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250190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92710</wp:posOffset>
            </wp:positionV>
            <wp:extent cx="1524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112395</wp:posOffset>
            </wp:positionV>
            <wp:extent cx="152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460" w:hanging="454"/>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1" w:lineRule="exact"/>
        <w:rPr>
          <w:sz w:val="24"/>
          <w:szCs w:val="24"/>
          <w:color w:val="auto"/>
        </w:rPr>
      </w:pPr>
    </w:p>
    <w:p>
      <w:pPr>
        <w:ind w:left="37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3843655</wp:posOffset>
            </wp:positionH>
            <wp:positionV relativeFrom="paragraph">
              <wp:posOffset>-17145</wp:posOffset>
            </wp:positionV>
            <wp:extent cx="1047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001-36593</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SOLENO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-304800</wp:posOffset>
            </wp:positionV>
            <wp:extent cx="152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103505</wp:posOffset>
            </wp:positionV>
            <wp:extent cx="152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4" w:lineRule="exact"/>
        <w:rPr>
          <w:sz w:val="24"/>
          <w:szCs w:val="24"/>
          <w:color w:val="auto"/>
        </w:rPr>
      </w:pPr>
    </w:p>
    <w:tbl>
      <w:tblPr>
        <w:tblLayout w:type="fixed"/>
        <w:tblInd w:w="1960" w:type="dxa"/>
        <w:tblCellMar>
          <w:top w:w="0" w:type="dxa"/>
          <w:left w:w="0" w:type="dxa"/>
          <w:bottom w:w="0" w:type="dxa"/>
          <w:right w:w="0" w:type="dxa"/>
        </w:tblCellMar>
      </w:tblPr>
      <w:tr>
        <w:trPr>
          <w:trHeight w:val="208"/>
        </w:trPr>
        <w:tc>
          <w:tcPr>
            <w:tcW w:w="2000" w:type="dxa"/>
            <w:vAlign w:val="bottom"/>
          </w:tcPr>
          <w:p>
            <w:pPr>
              <w:jc w:val="center"/>
              <w:ind w:right="63"/>
              <w:spacing w:after="0"/>
              <w:rPr>
                <w:sz w:val="20"/>
                <w:szCs w:val="20"/>
                <w:color w:val="auto"/>
              </w:rPr>
            </w:pPr>
            <w:r>
              <w:rPr>
                <w:rFonts w:ascii="Arial" w:cs="Arial" w:eastAsia="Arial" w:hAnsi="Arial"/>
                <w:sz w:val="18"/>
                <w:szCs w:val="18"/>
                <w:b w:val="1"/>
                <w:bCs w:val="1"/>
                <w:color w:val="auto"/>
                <w:w w:val="88"/>
              </w:rPr>
              <w:t>Delaware</w:t>
            </w:r>
          </w:p>
        </w:tc>
        <w:tc>
          <w:tcPr>
            <w:tcW w:w="5240" w:type="dxa"/>
            <w:vAlign w:val="bottom"/>
          </w:tcPr>
          <w:p>
            <w:pPr>
              <w:jc w:val="center"/>
              <w:ind w:left="4060"/>
              <w:spacing w:after="0"/>
              <w:rPr>
                <w:sz w:val="20"/>
                <w:szCs w:val="20"/>
                <w:color w:val="auto"/>
              </w:rPr>
            </w:pPr>
            <w:r>
              <w:rPr>
                <w:rFonts w:ascii="Arial" w:cs="Arial" w:eastAsia="Arial" w:hAnsi="Arial"/>
                <w:sz w:val="18"/>
                <w:szCs w:val="18"/>
                <w:b w:val="1"/>
                <w:bCs w:val="1"/>
                <w:color w:val="auto"/>
                <w:w w:val="89"/>
              </w:rPr>
              <w:t>77-0523891</w:t>
            </w:r>
          </w:p>
        </w:tc>
      </w:tr>
      <w:tr>
        <w:trPr>
          <w:trHeight w:val="146"/>
        </w:trPr>
        <w:tc>
          <w:tcPr>
            <w:tcW w:w="2000" w:type="dxa"/>
            <w:vAlign w:val="bottom"/>
          </w:tcPr>
          <w:p>
            <w:pPr>
              <w:jc w:val="center"/>
              <w:ind w:right="63"/>
              <w:spacing w:after="0" w:line="146" w:lineRule="exact"/>
              <w:rPr>
                <w:sz w:val="20"/>
                <w:szCs w:val="20"/>
                <w:color w:val="auto"/>
              </w:rPr>
            </w:pPr>
            <w:r>
              <w:rPr>
                <w:rFonts w:ascii="Arial" w:cs="Arial" w:eastAsia="Arial" w:hAnsi="Arial"/>
                <w:sz w:val="14"/>
                <w:szCs w:val="14"/>
                <w:b w:val="1"/>
                <w:bCs w:val="1"/>
                <w:color w:val="auto"/>
                <w:w w:val="92"/>
              </w:rPr>
              <w:t>(State or other jurisdiction of</w:t>
            </w:r>
          </w:p>
        </w:tc>
        <w:tc>
          <w:tcPr>
            <w:tcW w:w="5240" w:type="dxa"/>
            <w:vAlign w:val="bottom"/>
          </w:tcPr>
          <w:p>
            <w:pPr>
              <w:jc w:val="center"/>
              <w:ind w:left="4060"/>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63"/>
        </w:trPr>
        <w:tc>
          <w:tcPr>
            <w:tcW w:w="200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incorporation or organization)</w:t>
            </w:r>
          </w:p>
        </w:tc>
        <w:tc>
          <w:tcPr>
            <w:tcW w:w="5240" w:type="dxa"/>
            <w:vAlign w:val="bottom"/>
          </w:tcPr>
          <w:p>
            <w:pPr>
              <w:jc w:val="center"/>
              <w:ind w:left="4060"/>
              <w:spacing w:after="0"/>
              <w:rPr>
                <w:sz w:val="20"/>
                <w:szCs w:val="20"/>
                <w:color w:val="auto"/>
              </w:rPr>
            </w:pPr>
            <w:r>
              <w:rPr>
                <w:rFonts w:ascii="Arial" w:cs="Arial" w:eastAsia="Arial" w:hAnsi="Arial"/>
                <w:sz w:val="14"/>
                <w:szCs w:val="14"/>
                <w:b w:val="1"/>
                <w:bCs w:val="1"/>
                <w:color w:val="auto"/>
                <w:w w:val="92"/>
              </w:rPr>
              <w:t>Identification No.)</w:t>
            </w:r>
          </w:p>
        </w:tc>
      </w:tr>
      <w:tr>
        <w:trPr>
          <w:trHeight w:val="212"/>
        </w:trPr>
        <w:tc>
          <w:tcPr>
            <w:tcW w:w="2000" w:type="dxa"/>
            <w:vAlign w:val="bottom"/>
          </w:tcPr>
          <w:p>
            <w:pPr>
              <w:spacing w:after="0"/>
              <w:rPr>
                <w:sz w:val="18"/>
                <w:szCs w:val="18"/>
                <w:color w:val="auto"/>
              </w:rPr>
            </w:pPr>
          </w:p>
        </w:tc>
        <w:tc>
          <w:tcPr>
            <w:tcW w:w="5240" w:type="dxa"/>
            <w:vAlign w:val="bottom"/>
          </w:tcPr>
          <w:p>
            <w:pPr>
              <w:jc w:val="center"/>
              <w:ind w:right="1660"/>
              <w:spacing w:after="0"/>
              <w:rPr>
                <w:sz w:val="20"/>
                <w:szCs w:val="20"/>
                <w:color w:val="auto"/>
              </w:rPr>
            </w:pPr>
            <w:r>
              <w:rPr>
                <w:rFonts w:ascii="Arial" w:cs="Arial" w:eastAsia="Arial" w:hAnsi="Arial"/>
                <w:sz w:val="18"/>
                <w:szCs w:val="18"/>
                <w:b w:val="1"/>
                <w:bCs w:val="1"/>
                <w:color w:val="auto"/>
                <w:w w:val="87"/>
              </w:rPr>
              <w:t>1235 Radio Road, Suite 110,</w:t>
            </w:r>
          </w:p>
        </w:tc>
      </w:tr>
      <w:tr>
        <w:trPr>
          <w:trHeight w:val="208"/>
        </w:trPr>
        <w:tc>
          <w:tcPr>
            <w:tcW w:w="2000" w:type="dxa"/>
            <w:vAlign w:val="bottom"/>
          </w:tcPr>
          <w:p>
            <w:pPr>
              <w:spacing w:after="0"/>
              <w:rPr>
                <w:sz w:val="18"/>
                <w:szCs w:val="18"/>
                <w:color w:val="auto"/>
              </w:rPr>
            </w:pPr>
          </w:p>
        </w:tc>
        <w:tc>
          <w:tcPr>
            <w:tcW w:w="5240" w:type="dxa"/>
            <w:vAlign w:val="bottom"/>
          </w:tcPr>
          <w:p>
            <w:pPr>
              <w:jc w:val="center"/>
              <w:ind w:right="1660"/>
              <w:spacing w:after="0"/>
              <w:rPr>
                <w:sz w:val="20"/>
                <w:szCs w:val="20"/>
                <w:color w:val="auto"/>
              </w:rPr>
            </w:pPr>
            <w:r>
              <w:rPr>
                <w:rFonts w:ascii="Arial" w:cs="Arial" w:eastAsia="Arial" w:hAnsi="Arial"/>
                <w:sz w:val="18"/>
                <w:szCs w:val="18"/>
                <w:b w:val="1"/>
                <w:bCs w:val="1"/>
                <w:color w:val="auto"/>
                <w:w w:val="91"/>
              </w:rPr>
              <w:t>Redwood City, California</w:t>
            </w:r>
          </w:p>
        </w:tc>
      </w:tr>
      <w:tr>
        <w:trPr>
          <w:trHeight w:val="184"/>
        </w:trPr>
        <w:tc>
          <w:tcPr>
            <w:tcW w:w="2000" w:type="dxa"/>
            <w:vAlign w:val="bottom"/>
          </w:tcPr>
          <w:p>
            <w:pPr>
              <w:spacing w:after="0"/>
              <w:rPr>
                <w:sz w:val="15"/>
                <w:szCs w:val="15"/>
                <w:color w:val="auto"/>
              </w:rPr>
            </w:pPr>
          </w:p>
        </w:tc>
        <w:tc>
          <w:tcPr>
            <w:tcW w:w="5240" w:type="dxa"/>
            <w:vAlign w:val="bottom"/>
          </w:tcPr>
          <w:p>
            <w:pPr>
              <w:jc w:val="center"/>
              <w:ind w:right="1660"/>
              <w:spacing w:after="0"/>
              <w:rPr>
                <w:sz w:val="20"/>
                <w:szCs w:val="20"/>
                <w:color w:val="auto"/>
              </w:rPr>
            </w:pPr>
            <w:r>
              <w:rPr>
                <w:rFonts w:ascii="Arial" w:cs="Arial" w:eastAsia="Arial" w:hAnsi="Arial"/>
                <w:sz w:val="14"/>
                <w:szCs w:val="14"/>
                <w:b w:val="1"/>
                <w:bCs w:val="1"/>
                <w:color w:val="auto"/>
                <w:w w:val="89"/>
              </w:rPr>
              <w:t>(Address of principal executive offices)</w:t>
            </w:r>
          </w:p>
        </w:tc>
      </w:tr>
      <w:tr>
        <w:trPr>
          <w:trHeight w:val="254"/>
        </w:trPr>
        <w:tc>
          <w:tcPr>
            <w:tcW w:w="2000" w:type="dxa"/>
            <w:vAlign w:val="bottom"/>
          </w:tcPr>
          <w:p>
            <w:pPr>
              <w:spacing w:after="0"/>
              <w:rPr>
                <w:sz w:val="22"/>
                <w:szCs w:val="22"/>
                <w:color w:val="auto"/>
              </w:rPr>
            </w:pPr>
          </w:p>
        </w:tc>
        <w:tc>
          <w:tcPr>
            <w:tcW w:w="5240" w:type="dxa"/>
            <w:vAlign w:val="bottom"/>
          </w:tcPr>
          <w:p>
            <w:pPr>
              <w:jc w:val="right"/>
              <w:ind w:right="3180"/>
              <w:spacing w:after="0"/>
              <w:rPr>
                <w:sz w:val="20"/>
                <w:szCs w:val="20"/>
                <w:color w:val="auto"/>
              </w:rPr>
            </w:pPr>
            <w:r>
              <w:rPr>
                <w:rFonts w:ascii="Arial" w:cs="Arial" w:eastAsia="Arial" w:hAnsi="Arial"/>
                <w:sz w:val="18"/>
                <w:szCs w:val="18"/>
                <w:b w:val="1"/>
                <w:bCs w:val="1"/>
                <w:color w:val="auto"/>
              </w:rPr>
              <w:t>94065</w:t>
            </w:r>
          </w:p>
        </w:tc>
      </w:tr>
      <w:tr>
        <w:trPr>
          <w:trHeight w:val="184"/>
        </w:trPr>
        <w:tc>
          <w:tcPr>
            <w:tcW w:w="2000" w:type="dxa"/>
            <w:vAlign w:val="bottom"/>
          </w:tcPr>
          <w:p>
            <w:pPr>
              <w:spacing w:after="0"/>
              <w:rPr>
                <w:sz w:val="15"/>
                <w:szCs w:val="15"/>
                <w:color w:val="auto"/>
              </w:rPr>
            </w:pPr>
          </w:p>
        </w:tc>
        <w:tc>
          <w:tcPr>
            <w:tcW w:w="5240" w:type="dxa"/>
            <w:vAlign w:val="bottom"/>
          </w:tcPr>
          <w:p>
            <w:pPr>
              <w:jc w:val="center"/>
              <w:ind w:right="1660"/>
              <w:spacing w:after="0"/>
              <w:rPr>
                <w:sz w:val="20"/>
                <w:szCs w:val="20"/>
                <w:color w:val="auto"/>
              </w:rPr>
            </w:pPr>
            <w:r>
              <w:rPr>
                <w:rFonts w:ascii="Arial" w:cs="Arial" w:eastAsia="Arial" w:hAnsi="Arial"/>
                <w:sz w:val="14"/>
                <w:szCs w:val="14"/>
                <w:b w:val="1"/>
                <w:bCs w:val="1"/>
                <w:color w:val="auto"/>
                <w:w w:val="95"/>
              </w:rPr>
              <w:t>(Zip Code)</w:t>
            </w:r>
          </w:p>
        </w:tc>
      </w:tr>
      <w:tr>
        <w:trPr>
          <w:trHeight w:val="240"/>
        </w:trPr>
        <w:tc>
          <w:tcPr>
            <w:tcW w:w="2000" w:type="dxa"/>
            <w:vAlign w:val="bottom"/>
          </w:tcPr>
          <w:p>
            <w:pPr>
              <w:spacing w:after="0"/>
              <w:rPr>
                <w:sz w:val="20"/>
                <w:szCs w:val="20"/>
                <w:color w:val="auto"/>
              </w:rPr>
            </w:pPr>
          </w:p>
        </w:tc>
        <w:tc>
          <w:tcPr>
            <w:tcW w:w="5240" w:type="dxa"/>
            <w:vAlign w:val="bottom"/>
          </w:tcPr>
          <w:p>
            <w:pPr>
              <w:jc w:val="right"/>
              <w:ind w:right="2860"/>
              <w:spacing w:after="0"/>
              <w:rPr>
                <w:sz w:val="20"/>
                <w:szCs w:val="20"/>
                <w:color w:val="auto"/>
              </w:rPr>
            </w:pPr>
            <w:r>
              <w:rPr>
                <w:rFonts w:ascii="Arial" w:cs="Arial" w:eastAsia="Arial" w:hAnsi="Arial"/>
                <w:sz w:val="18"/>
                <w:szCs w:val="18"/>
                <w:b w:val="1"/>
                <w:bCs w:val="1"/>
                <w:color w:val="auto"/>
              </w:rPr>
              <w:t>(650) 213-8444</w:t>
            </w:r>
          </w:p>
        </w:tc>
      </w:tr>
      <w:tr>
        <w:trPr>
          <w:trHeight w:val="184"/>
        </w:trPr>
        <w:tc>
          <w:tcPr>
            <w:tcW w:w="2000" w:type="dxa"/>
            <w:vAlign w:val="bottom"/>
          </w:tcPr>
          <w:p>
            <w:pPr>
              <w:spacing w:after="0"/>
              <w:rPr>
                <w:sz w:val="15"/>
                <w:szCs w:val="15"/>
                <w:color w:val="auto"/>
              </w:rPr>
            </w:pPr>
          </w:p>
        </w:tc>
        <w:tc>
          <w:tcPr>
            <w:tcW w:w="5240" w:type="dxa"/>
            <w:vAlign w:val="bottom"/>
          </w:tcPr>
          <w:p>
            <w:pPr>
              <w:jc w:val="center"/>
              <w:ind w:right="16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82550</wp:posOffset>
            </wp:positionV>
            <wp:extent cx="1524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51" w:lineRule="exact"/>
        <w:rPr>
          <w:sz w:val="24"/>
          <w:szCs w:val="24"/>
          <w:color w:val="auto"/>
        </w:rPr>
      </w:pPr>
    </w:p>
    <w:p>
      <w:pPr>
        <w:ind w:right="220" w:firstLine="45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80" w:firstLine="457"/>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77" w:lineRule="exact"/>
        <w:rPr>
          <w:sz w:val="24"/>
          <w:szCs w:val="24"/>
          <w:color w:val="auto"/>
        </w:rPr>
      </w:pPr>
    </w:p>
    <w:p>
      <w:pPr>
        <w:ind w:right="80" w:firstLine="457"/>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3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560" w:type="dxa"/>
            <w:vAlign w:val="bottom"/>
          </w:tcPr>
          <w:p>
            <w:pPr>
              <w:ind w:left="34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560" w:type="dxa"/>
            <w:vAlign w:val="bottom"/>
          </w:tcPr>
          <w:p>
            <w:pPr>
              <w:ind w:left="340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560" w:type="dxa"/>
            <w:vAlign w:val="bottom"/>
          </w:tcPr>
          <w:p>
            <w:pPr>
              <w:ind w:left="3400"/>
              <w:spacing w:after="0"/>
              <w:rPr>
                <w:sz w:val="20"/>
                <w:szCs w:val="20"/>
                <w:color w:val="auto"/>
              </w:rPr>
            </w:pPr>
            <w:r>
              <w:rPr>
                <w:rFonts w:ascii="Arial" w:cs="Arial" w:eastAsia="Arial" w:hAnsi="Arial"/>
                <w:sz w:val="18"/>
                <w:szCs w:val="18"/>
                <w:color w:val="auto"/>
                <w:w w:val="99"/>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6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460" w:right="1620"/>
        <w:spacing w:after="0" w:line="27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7, 2018, there were </w:t>
      </w:r>
      <w:r>
        <w:rPr>
          <w:rFonts w:ascii="Arial" w:cs="Arial" w:eastAsia="Arial" w:hAnsi="Arial"/>
          <w:sz w:val="15"/>
          <w:szCs w:val="15"/>
          <w:u w:val="single" w:color="auto"/>
          <w:color w:val="auto"/>
        </w:rPr>
        <w:t>21,435,241</w:t>
      </w:r>
      <w:r>
        <w:rPr>
          <w:rFonts w:ascii="Arial" w:cs="Arial" w:eastAsia="Arial" w:hAnsi="Arial"/>
          <w:sz w:val="15"/>
          <w:szCs w:val="15"/>
          <w:color w:val="auto"/>
        </w:rPr>
        <w:t xml:space="preserve">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SOLENO THERAPEUTICS, INC.</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9180" w:type="dxa"/>
            <w:vAlign w:val="bottom"/>
            <w:gridSpan w:val="22"/>
            <w:vMerge w:val="continue"/>
          </w:tcPr>
          <w:p>
            <w:pPr>
              <w:spacing w:after="0"/>
              <w:rPr>
                <w:sz w:val="16"/>
                <w:szCs w:val="16"/>
                <w:color w:val="auto"/>
              </w:rPr>
            </w:pPr>
          </w:p>
        </w:tc>
        <w:tc>
          <w:tcPr>
            <w:tcW w:w="2180" w:type="dxa"/>
            <w:vAlign w:val="bottom"/>
          </w:tcPr>
          <w:p>
            <w:pPr>
              <w:jc w:val="right"/>
              <w:spacing w:after="0" w:line="18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36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gridSpan w:val="12"/>
          </w:tcPr>
          <w:p>
            <w:pPr>
              <w:spacing w:after="0" w:line="19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080" w:type="dxa"/>
            <w:vAlign w:val="bottom"/>
            <w:gridSpan w:val="9"/>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tcBorders>
              <w:bottom w:val="single" w:sz="8" w:color="0000EE"/>
            </w:tcBorders>
            <w:gridSpan w:val="13"/>
          </w:tcPr>
          <w:p>
            <w:pPr>
              <w:spacing w:after="0" w:line="192"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5580" w:type="dxa"/>
            <w:vAlign w:val="bottom"/>
            <w:gridSpan w:val="7"/>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60" w:type="dxa"/>
            <w:vAlign w:val="bottom"/>
            <w:gridSpan w:val="20"/>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00" w:type="dxa"/>
            <w:vAlign w:val="bottom"/>
            <w:tcBorders>
              <w:bottom w:val="single" w:sz="8" w:color="0000EE"/>
            </w:tcBorders>
            <w:gridSpan w:val="17"/>
          </w:tcPr>
          <w:p>
            <w:pPr>
              <w:spacing w:after="0" w:line="19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w:t>
              </w:r>
            </w:hyperlink>
          </w:p>
        </w:tc>
        <w:tc>
          <w:tcPr>
            <w:tcW w:w="3960" w:type="dxa"/>
            <w:vAlign w:val="bottom"/>
            <w:gridSpan w:val="3"/>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80" w:type="dxa"/>
            <w:vAlign w:val="bottom"/>
            <w:tcBorders>
              <w:bottom w:val="single" w:sz="8" w:color="0000EE"/>
            </w:tcBorders>
            <w:gridSpan w:val="18"/>
          </w:tcPr>
          <w:p>
            <w:pPr>
              <w:spacing w:after="0" w:line="19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680" w:type="dxa"/>
            <w:vAlign w:val="bottom"/>
            <w:gridSpan w:val="2"/>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820" w:type="dxa"/>
            <w:vAlign w:val="bottom"/>
            <w:gridSpan w:val="21"/>
          </w:tcPr>
          <w:p>
            <w:pPr>
              <w:spacing w:after="0" w:line="192"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484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3. Quantitative and Qualitative Disclosures About Market Risk</w:t>
              </w:r>
            </w:hyperlink>
          </w:p>
        </w:tc>
        <w:tc>
          <w:tcPr>
            <w:tcW w:w="2080" w:type="dxa"/>
            <w:vAlign w:val="bottom"/>
            <w:tcBorders>
              <w:top w:val="single" w:sz="8" w:color="0000EE"/>
            </w:tcBorders>
            <w:gridSpan w:val="3"/>
          </w:tcPr>
          <w:p>
            <w:pPr>
              <w:spacing w:after="0"/>
              <w:rPr>
                <w:sz w:val="16"/>
                <w:szCs w:val="16"/>
                <w:color w:val="auto"/>
              </w:rPr>
            </w:pPr>
          </w:p>
        </w:tc>
        <w:tc>
          <w:tcPr>
            <w:tcW w:w="1900" w:type="dxa"/>
            <w:vAlign w:val="bottom"/>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300" w:type="dxa"/>
            <w:vAlign w:val="bottom"/>
            <w:tcBorders>
              <w:bottom w:val="single" w:sz="8" w:color="0000EE"/>
            </w:tcBorders>
            <w:gridSpan w:val="10"/>
          </w:tcPr>
          <w:p>
            <w:pPr>
              <w:spacing w:after="0" w:line="192"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4. Controls and Procedures</w:t>
              </w:r>
            </w:hyperlink>
          </w:p>
        </w:tc>
        <w:tc>
          <w:tcPr>
            <w:tcW w:w="6520" w:type="dxa"/>
            <w:vAlign w:val="bottom"/>
            <w:gridSpan w:val="11"/>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0000EE"/>
            </w:tcBorders>
            <w:gridSpan w:val="12"/>
          </w:tcPr>
          <w:p>
            <w:pPr>
              <w:spacing w:after="0" w:line="19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II—OTHER INFORMATION</w:t>
              </w:r>
            </w:hyperlink>
          </w:p>
        </w:tc>
        <w:tc>
          <w:tcPr>
            <w:tcW w:w="6360" w:type="dxa"/>
            <w:vAlign w:val="bottom"/>
            <w:gridSpan w:val="10"/>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86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6960" w:type="dxa"/>
            <w:vAlign w:val="bottom"/>
            <w:gridSpan w:val="14"/>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820" w:type="dxa"/>
            <w:vAlign w:val="bottom"/>
            <w:gridSpan w:val="21"/>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4820" w:type="dxa"/>
            <w:vAlign w:val="bottom"/>
            <w:tcBorders>
              <w:bottom w:val="single" w:sz="8" w:color="0000EE"/>
            </w:tcBorders>
            <w:gridSpan w:val="16"/>
          </w:tcPr>
          <w:p>
            <w:pPr>
              <w:spacing w:after="0" w:line="192"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Item 2. Unregistered Sales of Equity Securities and Use of Proceeds</w:t>
              </w:r>
            </w:hyperlink>
          </w:p>
        </w:tc>
        <w:tc>
          <w:tcPr>
            <w:tcW w:w="4000" w:type="dxa"/>
            <w:vAlign w:val="bottom"/>
            <w:gridSpan w:val="5"/>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820" w:type="dxa"/>
            <w:vAlign w:val="bottom"/>
            <w:gridSpan w:val="21"/>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82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6000" w:type="dxa"/>
            <w:vAlign w:val="bottom"/>
            <w:gridSpan w:val="8"/>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5. Other Information</w:t>
              </w:r>
            </w:hyperlink>
          </w:p>
        </w:tc>
        <w:tc>
          <w:tcPr>
            <w:tcW w:w="440" w:type="dxa"/>
            <w:vAlign w:val="bottom"/>
            <w:tcBorders>
              <w:top w:val="single" w:sz="8" w:color="0000EE"/>
            </w:tcBorders>
            <w:gridSpan w:val="3"/>
          </w:tcPr>
          <w:p>
            <w:pPr>
              <w:spacing w:after="0"/>
              <w:rPr>
                <w:sz w:val="16"/>
                <w:szCs w:val="16"/>
                <w:color w:val="auto"/>
              </w:rPr>
            </w:pPr>
          </w:p>
        </w:tc>
        <w:tc>
          <w:tcPr>
            <w:tcW w:w="6540" w:type="dxa"/>
            <w:vAlign w:val="bottom"/>
            <w:gridSpan w:val="12"/>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140" w:type="dxa"/>
            <w:vAlign w:val="bottom"/>
            <w:tcBorders>
              <w:bottom w:val="single" w:sz="8" w:color="0000EE"/>
            </w:tcBorders>
            <w:gridSpan w:val="4"/>
          </w:tcPr>
          <w:p>
            <w:pPr>
              <w:spacing w:after="0" w:line="192"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 Exhibits</w:t>
              </w:r>
            </w:hyperlink>
          </w:p>
        </w:tc>
        <w:tc>
          <w:tcPr>
            <w:tcW w:w="7680" w:type="dxa"/>
            <w:vAlign w:val="bottom"/>
            <w:gridSpan w:val="17"/>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0000EE"/>
            </w:tcBorders>
            <w:gridSpan w:val="4"/>
          </w:tcPr>
          <w:p>
            <w:pPr>
              <w:spacing w:after="0" w:line="19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 INDEX</w:t>
              </w:r>
            </w:hyperlink>
          </w:p>
        </w:tc>
        <w:tc>
          <w:tcPr>
            <w:tcW w:w="7800" w:type="dxa"/>
            <w:vAlign w:val="bottom"/>
            <w:gridSpan w:val="18"/>
          </w:tcPr>
          <w:p>
            <w:pPr>
              <w:spacing w:after="0"/>
              <w:rPr>
                <w:sz w:val="16"/>
                <w:szCs w:val="16"/>
                <w:color w:val="auto"/>
              </w:rPr>
            </w:pPr>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2"/>
        </w:trPr>
        <w:tc>
          <w:tcPr>
            <w:tcW w:w="9180" w:type="dxa"/>
            <w:vAlign w:val="bottom"/>
            <w:gridSpan w:val="22"/>
          </w:tcPr>
          <w:p>
            <w:pPr>
              <w:spacing w:after="0" w:line="19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SIGNATURES</w:t>
              </w:r>
            </w:hyperlink>
          </w:p>
        </w:tc>
        <w:tc>
          <w:tcPr>
            <w:tcW w:w="2180" w:type="dxa"/>
            <w:vAlign w:val="bottom"/>
          </w:tcPr>
          <w:p>
            <w:pPr>
              <w:jc w:val="right"/>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3"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7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20" w:type="dxa"/>
            <w:vAlign w:val="bottom"/>
          </w:tcPr>
          <w:p>
            <w:pPr>
              <w:jc w:val="center"/>
              <w:ind w:left="2272"/>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gridSpan w:val="2"/>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tcPr>
          <w:p>
            <w:pPr>
              <w:jc w:val="center"/>
              <w:ind w:left="2292"/>
              <w:spacing w:after="0"/>
              <w:rPr>
                <w:sz w:val="20"/>
                <w:szCs w:val="20"/>
                <w:color w:val="auto"/>
              </w:rPr>
            </w:pPr>
            <w:r>
              <w:rPr>
                <w:rFonts w:ascii="Arial" w:cs="Arial" w:eastAsia="Arial" w:hAnsi="Arial"/>
                <w:sz w:val="18"/>
                <w:szCs w:val="18"/>
                <w:b w:val="1"/>
                <w:bCs w:val="1"/>
                <w:color w:val="auto"/>
                <w:w w:val="88"/>
              </w:rPr>
              <w:t>Soleno Therapeutics, Inc.</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20" w:type="dxa"/>
            <w:vAlign w:val="bottom"/>
          </w:tcPr>
          <w:p>
            <w:pPr>
              <w:jc w:val="center"/>
              <w:ind w:left="229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tcPr>
          <w:p>
            <w:pPr>
              <w:jc w:val="center"/>
              <w:ind w:left="2272"/>
              <w:spacing w:after="0"/>
              <w:rPr>
                <w:sz w:val="20"/>
                <w:szCs w:val="20"/>
                <w:color w:val="auto"/>
              </w:rPr>
            </w:pPr>
            <w:r>
              <w:rPr>
                <w:rFonts w:ascii="Arial" w:cs="Arial" w:eastAsia="Arial" w:hAnsi="Arial"/>
                <w:sz w:val="18"/>
                <w:szCs w:val="18"/>
                <w:i w:val="1"/>
                <w:iCs w:val="1"/>
                <w:color w:val="auto"/>
                <w:w w:val="88"/>
              </w:rPr>
              <w:t>(In thousands except share and per share data)</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7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39"/>
        </w:trPr>
        <w:tc>
          <w:tcPr>
            <w:tcW w:w="6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2"/>
              <w:spacing w:after="0" w:line="139"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10,239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assets held for sale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11,413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18,955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assets held for sale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30,835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7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liabilities held for sale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2,508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Series A warrant liability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Series C warrant liability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2017 PIPE warrant liability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6,641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5,671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liabilities held for sale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16,630</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Series B convertible preferred stock, 13,780 are designated at September 30, 2018 and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20" w:type="dxa"/>
            <w:vAlign w:val="bottom"/>
            <w:gridSpan w:val="2"/>
          </w:tcPr>
          <w:p>
            <w:pPr>
              <w:ind w:left="260"/>
              <w:spacing w:after="0"/>
              <w:rPr>
                <w:sz w:val="20"/>
                <w:szCs w:val="20"/>
                <w:color w:val="auto"/>
              </w:rPr>
            </w:pPr>
            <w:r>
              <w:rPr>
                <w:rFonts w:ascii="Arial" w:cs="Arial" w:eastAsia="Arial" w:hAnsi="Arial"/>
                <w:sz w:val="18"/>
                <w:szCs w:val="18"/>
                <w:color w:val="auto"/>
                <w:w w:val="96"/>
              </w:rPr>
              <w:t>December 31, 2017; nil and 4,571 shares issued and outstanding at September 30, 2018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2"/>
          </w:tcPr>
          <w:p>
            <w:pPr>
              <w:ind w:left="260"/>
              <w:spacing w:after="0"/>
              <w:rPr>
                <w:sz w:val="20"/>
                <w:szCs w:val="20"/>
                <w:color w:val="auto"/>
              </w:rPr>
            </w:pPr>
            <w:r>
              <w:rPr>
                <w:rFonts w:ascii="Arial" w:cs="Arial" w:eastAsia="Arial" w:hAnsi="Arial"/>
                <w:sz w:val="18"/>
                <w:szCs w:val="18"/>
                <w:color w:val="auto"/>
              </w:rPr>
              <w:t>and December 31, 2017, respectively. Liquidation value of zero.</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$0.001 par value, 100,000,000 shares authorized, 21,435,241 and 19,238,972 shares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issued and outstanding at September 30, 2018 and December 31, 2017, respectively.</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141,479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140,495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(127,295)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3"/>
            <w:vMerge w:val="restart"/>
          </w:tcPr>
          <w:p>
            <w:pPr>
              <w:ind w:left="34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14,205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30,835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2"/>
              </w:rPr>
              <w:t>Three Months Ended September 30,</w:t>
            </w:r>
          </w:p>
        </w:tc>
        <w:tc>
          <w:tcPr>
            <w:tcW w:w="120" w:type="dxa"/>
            <w:vAlign w:val="bottom"/>
          </w:tcPr>
          <w:p>
            <w:pPr>
              <w:spacing w:after="0"/>
              <w:rPr>
                <w:sz w:val="14"/>
                <w:szCs w:val="14"/>
                <w:color w:val="auto"/>
              </w:rPr>
            </w:pPr>
          </w:p>
        </w:tc>
        <w:tc>
          <w:tcPr>
            <w:tcW w:w="2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2,092</w:t>
            </w:r>
          </w:p>
        </w:tc>
        <w:tc>
          <w:tcPr>
            <w:tcW w:w="4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4,986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(3,878)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8"/>
        </w:trPr>
        <w:tc>
          <w:tcPr>
            <w:tcW w:w="5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340"/>
              <w:spacing w:after="0"/>
              <w:rPr>
                <w:sz w:val="20"/>
                <w:szCs w:val="20"/>
                <w:color w:val="auto"/>
              </w:rPr>
            </w:pPr>
            <w:r>
              <w:rPr>
                <w:rFonts w:ascii="Arial" w:cs="Arial" w:eastAsia="Arial" w:hAnsi="Arial"/>
                <w:sz w:val="18"/>
                <w:szCs w:val="18"/>
                <w:color w:val="auto"/>
              </w:rPr>
              <w:t>Total other income (expense)</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Loss on sale of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(2,736)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(3,786)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(13,598)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Loss per common share from continuing operations, basic and diluted</w:t>
            </w:r>
          </w:p>
        </w:tc>
        <w:tc>
          <w:tcPr>
            <w:tcW w:w="4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20"/>
              <w:spacing w:after="0" w:line="206" w:lineRule="exact"/>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0"/>
              <w:spacing w:after="0" w:line="206" w:lineRule="exact"/>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(0.60)</w:t>
            </w:r>
          </w:p>
        </w:tc>
        <w:tc>
          <w:tcPr>
            <w:tcW w:w="38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6"/>
              </w:rPr>
              <w:t>Loss per common share from discontinued operations, basic and diluted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common shares outstanding used to calculate basic and</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diluted net loss per common share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21,432,482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9,670,543</w:t>
            </w: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20,443,044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8,109,187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2"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28"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3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3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(10,642)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(12,234)</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Board fees paid with common stock</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stock warrants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expense of issuing shares to Aspire Capital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 and other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112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18"/>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Costs of Essentialis acquisition paid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780" w:type="dxa"/>
            <w:vAlign w:val="bottom"/>
          </w:tcPr>
          <w:p>
            <w:pPr>
              <w:ind w:left="1120"/>
              <w:spacing w:after="0"/>
              <w:rPr>
                <w:sz w:val="20"/>
                <w:szCs w:val="20"/>
                <w:color w:val="auto"/>
              </w:rPr>
            </w:pPr>
            <w:r>
              <w:rPr>
                <w:rFonts w:ascii="Arial" w:cs="Arial" w:eastAsia="Arial" w:hAnsi="Arial"/>
                <w:sz w:val="18"/>
                <w:szCs w:val="18"/>
                <w:b w:val="1"/>
                <w:bCs w:val="1"/>
                <w:color w:val="auto"/>
              </w:rPr>
              <w:t>Net cash provided by discontinued investing activities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8"/>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tcPr>
          <w:p>
            <w:pPr>
              <w:ind w:left="1120"/>
              <w:spacing w:after="0"/>
              <w:rPr>
                <w:sz w:val="20"/>
                <w:szCs w:val="20"/>
                <w:color w:val="auto"/>
              </w:rPr>
            </w:pPr>
            <w:r>
              <w:rPr>
                <w:rFonts w:ascii="Arial" w:cs="Arial" w:eastAsia="Arial" w:hAnsi="Arial"/>
                <w:sz w:val="18"/>
                <w:szCs w:val="18"/>
                <w:b w:val="1"/>
                <w:bCs w:val="1"/>
                <w:color w:val="auto"/>
              </w:rPr>
              <w:t>Net cash provided by continuing financing activities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780" w:type="dxa"/>
            <w:vAlign w:val="bottom"/>
          </w:tcPr>
          <w:p>
            <w:pPr>
              <w:ind w:left="112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 from continuing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Net increase (decrease) in cash, cash equivalents and restricted cash from discontinued operations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Net increase in cash and cash equivalents included in current assets held for sale</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17,135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7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Issuance of common stock in Essentialis acquisition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Contingent consideration of Essentialis acquisition</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Soleno Therapeutics,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2018</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17" w:lineRule="exact"/>
        <w:rPr>
          <w:sz w:val="20"/>
          <w:szCs w:val="20"/>
          <w:color w:val="auto"/>
        </w:rPr>
      </w:pPr>
    </w:p>
    <w:p>
      <w:pPr>
        <w:ind w:right="280" w:firstLine="457"/>
        <w:spacing w:after="0" w:line="266" w:lineRule="auto"/>
        <w:rPr>
          <w:sz w:val="20"/>
          <w:szCs w:val="20"/>
          <w:color w:val="auto"/>
        </w:rPr>
      </w:pPr>
      <w:r>
        <w:rPr>
          <w:rFonts w:ascii="Arial" w:cs="Arial" w:eastAsia="Arial" w:hAnsi="Arial"/>
          <w:sz w:val="17"/>
          <w:szCs w:val="17"/>
          <w:color w:val="auto"/>
        </w:rPr>
        <w:t xml:space="preserve">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75" w:lineRule="exact"/>
        <w:rPr>
          <w:sz w:val="20"/>
          <w:szCs w:val="20"/>
          <w:color w:val="auto"/>
        </w:rPr>
      </w:pPr>
    </w:p>
    <w:p>
      <w:pPr>
        <w:ind w:right="420" w:firstLine="457"/>
        <w:spacing w:after="0" w:line="255" w:lineRule="auto"/>
        <w:rPr>
          <w:sz w:val="20"/>
          <w:szCs w:val="20"/>
          <w:color w:val="auto"/>
        </w:rPr>
      </w:pPr>
      <w:r>
        <w:rPr>
          <w:rFonts w:ascii="Arial" w:cs="Arial" w:eastAsia="Arial" w:hAnsi="Arial"/>
          <w:sz w:val="18"/>
          <w:szCs w:val="18"/>
          <w:color w:val="auto"/>
        </w:rPr>
        <w:t>The Company’s previously wholly-owned subsidiary, NeoForce, Inc. or NFI, through which the Company acquired substantially all of the assets of an unrelated privately-held company, NeoForce Group, Inc., or NeoForce, also marketed innovative pulmonary resuscitation solutions for the inpatient and ambulatory neonatal markets.</w:t>
      </w:r>
    </w:p>
    <w:p>
      <w:pPr>
        <w:spacing w:after="0" w:line="83" w:lineRule="exact"/>
        <w:rPr>
          <w:sz w:val="20"/>
          <w:szCs w:val="20"/>
          <w:color w:val="auto"/>
        </w:rPr>
      </w:pPr>
    </w:p>
    <w:p>
      <w:pPr>
        <w:ind w:right="260" w:firstLine="457"/>
        <w:spacing w:after="0" w:line="305" w:lineRule="auto"/>
        <w:rPr>
          <w:sz w:val="20"/>
          <w:szCs w:val="20"/>
          <w:color w:val="auto"/>
        </w:rPr>
      </w:pPr>
      <w:r>
        <w:rPr>
          <w:rFonts w:ascii="Arial" w:cs="Arial" w:eastAsia="Arial" w:hAnsi="Arial"/>
          <w:sz w:val="15"/>
          <w:szCs w:val="15"/>
          <w:color w:val="auto"/>
        </w:rPr>
        <w:t>The Company acquired Essentialis, Inc., or Essentialis, through a merger, or the Merger, on March 7, 2017, pursuant to Merger Agreement and Plan of Merger dated December 22, 2016.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its stockholders, which was held on March 6, 2017.</w:t>
      </w:r>
    </w:p>
    <w:p>
      <w:pPr>
        <w:spacing w:after="0" w:line="50" w:lineRule="exact"/>
        <w:rPr>
          <w:sz w:val="20"/>
          <w:szCs w:val="20"/>
          <w:color w:val="auto"/>
        </w:rPr>
      </w:pPr>
    </w:p>
    <w:p>
      <w:pPr>
        <w:ind w:right="120" w:firstLine="457"/>
        <w:spacing w:after="0" w:line="252" w:lineRule="auto"/>
        <w:rPr>
          <w:sz w:val="20"/>
          <w:szCs w:val="20"/>
          <w:color w:val="auto"/>
        </w:rPr>
      </w:pPr>
      <w:r>
        <w:rPr>
          <w:rFonts w:ascii="Arial" w:cs="Arial" w:eastAsia="Arial" w:hAnsi="Arial"/>
          <w:sz w:val="18"/>
          <w:szCs w:val="18"/>
          <w:color w:val="auto"/>
        </w:rPr>
        <w:t>Soleno subsequently explored opportunities to divest, sell or otherwise dispose of the CoSense, NFI and Serenz businesses. Accordingly, and pursuant to ASC 205-20-45-10, the assets and liabilities related to the discontinued activities of CoSense, NFI and Serenz are presented separately in the balance sheet as held for sale items, and the related operations reported herein for the CoSense, NFI and Serenz activities are reported as discontinued operations in the Statement of Operations.</w:t>
      </w:r>
    </w:p>
    <w:p>
      <w:pPr>
        <w:spacing w:after="0" w:line="85" w:lineRule="exact"/>
        <w:rPr>
          <w:sz w:val="20"/>
          <w:szCs w:val="20"/>
          <w:color w:val="auto"/>
        </w:rPr>
      </w:pPr>
    </w:p>
    <w:p>
      <w:pPr>
        <w:ind w:right="400" w:firstLine="457"/>
        <w:spacing w:after="0" w:line="277" w:lineRule="auto"/>
        <w:rPr>
          <w:sz w:val="20"/>
          <w:szCs w:val="20"/>
          <w:color w:val="auto"/>
        </w:rPr>
      </w:pPr>
      <w:r>
        <w:rPr>
          <w:rFonts w:ascii="Arial" w:cs="Arial" w:eastAsia="Arial" w:hAnsi="Arial"/>
          <w:sz w:val="17"/>
          <w:szCs w:val="17"/>
          <w:color w:val="auto"/>
        </w:rPr>
        <w:t>The Company determined to divest, sell or otherwise dispose of the CoSense, NFI and Serenz businesses in order to focus on the development and commercialization of novel therapeutics for the treatment of rare diseases. The Company’s current research and development efforts are primarily focused on advancing its lead candidate, DCCR tablets for the treatment of PWS, into late-stage clinical development.</w:t>
      </w:r>
    </w:p>
    <w:p>
      <w:pPr>
        <w:spacing w:after="0" w:line="66" w:lineRule="exact"/>
        <w:rPr>
          <w:sz w:val="20"/>
          <w:szCs w:val="20"/>
          <w:color w:val="auto"/>
        </w:rPr>
      </w:pPr>
    </w:p>
    <w:p>
      <w:pPr>
        <w:ind w:right="160" w:firstLine="457"/>
        <w:spacing w:after="0" w:line="277" w:lineRule="auto"/>
        <w:rPr>
          <w:sz w:val="20"/>
          <w:szCs w:val="20"/>
          <w:color w:val="auto"/>
        </w:rPr>
      </w:pPr>
      <w:r>
        <w:rPr>
          <w:rFonts w:ascii="Arial" w:cs="Arial" w:eastAsia="Arial" w:hAnsi="Arial"/>
          <w:sz w:val="17"/>
          <w:szCs w:val="17"/>
          <w:color w:val="auto"/>
        </w:rPr>
        <w:t>The Company sold its entire interest in NFI in a stock transaction that was completed on July 18, 2017, pursuant to a Stock Purchase Agreement dated July 18, 2017, or the NFI Purchase Agreement, entered into with Neoforce Holdings, Inc., a wholly-owned subsidiary of Flexicare Medical Limited, a privately-held United Kingdom company, for $720,000 and adjustments for inventory and the current cash balances held at NFI.</w:t>
      </w:r>
    </w:p>
    <w:p>
      <w:pPr>
        <w:spacing w:after="0" w:line="66"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On December 4, 2017, Soleno, and its wholly-owned subsidiary, Capnia, Inc., a Delaware corporation, or Capnia, entered into a joint venture with OptAsia Healthcare Limited, or OAHL. The purpose of the joint venture is to develop and commercialize medical monitors, including CoSense, that measure end-tidal carbon monoxide in breath to assist in the detection of excessive hemolysis in neonates, a condition in which red blood cells degrade rapidly and which can lead to adverse neurological outcomes.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continues to separately evaluate alternatives for its Serenz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prior periods</w:t>
      </w:r>
    </w:p>
    <w:p>
      <w:pPr>
        <w:spacing w:after="0" w:line="151"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During the preparation of the condensed consolidated financial statements as of September 30, 2018 and for the related three- and nine-months then ended, the Company determined that an error had been made in certain previously reported consolidated balance sheets and statements of operations for the valuation and resultant reporting of fair value for the Company’s Series A Warrants, resulting in the value of the warrant liability being overstated. The Company has adjusted the prior period information reported in the current period. The Company determined that the error was not material to any of the previously reported periods in which the error occurred and has not amended any previously issued consolidated financial statements.</w:t>
      </w:r>
    </w:p>
    <w:p>
      <w:pPr>
        <w:spacing w:after="0" w:line="46" w:lineRule="exact"/>
        <w:rPr>
          <w:sz w:val="20"/>
          <w:szCs w:val="20"/>
          <w:color w:val="auto"/>
        </w:rPr>
      </w:pPr>
    </w:p>
    <w:p>
      <w:pPr>
        <w:jc w:val="both"/>
        <w:ind w:right="300" w:firstLine="457"/>
        <w:spacing w:after="0" w:line="255" w:lineRule="auto"/>
        <w:rPr>
          <w:sz w:val="20"/>
          <w:szCs w:val="20"/>
          <w:color w:val="auto"/>
        </w:rPr>
      </w:pPr>
      <w:r>
        <w:rPr>
          <w:rFonts w:ascii="Arial" w:cs="Arial" w:eastAsia="Arial" w:hAnsi="Arial"/>
          <w:sz w:val="18"/>
          <w:szCs w:val="18"/>
          <w:color w:val="auto"/>
        </w:rPr>
        <w:t>The following table (in thousands, except share and per share amounts) sets forth the effects of the restatement on affected items within the Company’s previously reported Consolidated Balance Sheets and Statements of Operations for the periods ended December 31, 2017, March 31, 2018, and June 30, 2018, had the adjustments been made in the corresponding quarters.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9"/>
              </w:rPr>
              <w:t>As of December 31, 2017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As of March 31, 2018</w:t>
            </w:r>
          </w:p>
        </w:tc>
        <w:tc>
          <w:tcPr>
            <w:tcW w:w="1800" w:type="dxa"/>
            <w:vAlign w:val="bottom"/>
            <w:gridSpan w:val="5"/>
          </w:tcPr>
          <w:p>
            <w:pPr>
              <w:jc w:val="center"/>
              <w:ind w:left="562"/>
              <w:spacing w:after="0"/>
              <w:rPr>
                <w:sz w:val="20"/>
                <w:szCs w:val="20"/>
                <w:color w:val="auto"/>
              </w:rPr>
            </w:pPr>
            <w:r>
              <w:rPr>
                <w:rFonts w:ascii="Arial" w:cs="Arial" w:eastAsia="Arial" w:hAnsi="Arial"/>
                <w:sz w:val="14"/>
                <w:szCs w:val="14"/>
                <w:b w:val="1"/>
                <w:bCs w:val="1"/>
                <w:color w:val="auto"/>
                <w:w w:val="89"/>
              </w:rPr>
              <w:t>As of June 30, 2018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9"/>
              </w:rPr>
              <w:t>As of June 30, 2018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3"/>
              </w:rPr>
              <w:t>As</w:t>
            </w: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Correction</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83"/>
              </w:rPr>
              <w:t>As</w:t>
            </w: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Correction</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96"/>
              </w:rPr>
              <w:t>As</w:t>
            </w: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Correction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6"/>
              </w:rPr>
              <w:t>As</w:t>
            </w: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Correction</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84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87"/>
              </w:rPr>
              <w:t>Previously</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40" w:type="dxa"/>
            <w:vAlign w:val="bottom"/>
          </w:tcPr>
          <w:p>
            <w:pPr>
              <w:spacing w:after="0"/>
              <w:rPr>
                <w:sz w:val="12"/>
                <w:szCs w:val="12"/>
                <w:color w:val="auto"/>
              </w:rPr>
            </w:pPr>
          </w:p>
        </w:tc>
        <w:tc>
          <w:tcPr>
            <w:tcW w:w="900" w:type="dxa"/>
            <w:vAlign w:val="bottom"/>
            <w:gridSpan w:val="3"/>
          </w:tcPr>
          <w:p>
            <w:pPr>
              <w:jc w:val="center"/>
              <w:ind w:right="160"/>
              <w:spacing w:after="0" w:line="146" w:lineRule="exact"/>
              <w:rPr>
                <w:sz w:val="20"/>
                <w:szCs w:val="20"/>
                <w:color w:val="auto"/>
              </w:rPr>
            </w:pPr>
            <w:r>
              <w:rPr>
                <w:rFonts w:ascii="Arial" w:cs="Arial" w:eastAsia="Arial" w:hAnsi="Arial"/>
                <w:sz w:val="14"/>
                <w:szCs w:val="14"/>
                <w:b w:val="1"/>
                <w:bCs w:val="1"/>
                <w:color w:val="auto"/>
                <w:w w:val="87"/>
              </w:rPr>
              <w:t>Previously</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900" w:type="dxa"/>
            <w:vAlign w:val="bottom"/>
            <w:gridSpan w:val="2"/>
          </w:tcPr>
          <w:p>
            <w:pPr>
              <w:jc w:val="center"/>
              <w:ind w:right="160"/>
              <w:spacing w:after="0" w:line="146" w:lineRule="exact"/>
              <w:rPr>
                <w:sz w:val="20"/>
                <w:szCs w:val="20"/>
                <w:color w:val="auto"/>
              </w:rPr>
            </w:pPr>
            <w:r>
              <w:rPr>
                <w:rFonts w:ascii="Arial" w:cs="Arial" w:eastAsia="Arial" w:hAnsi="Arial"/>
                <w:sz w:val="14"/>
                <w:szCs w:val="14"/>
                <w:b w:val="1"/>
                <w:bCs w:val="1"/>
                <w:color w:val="auto"/>
                <w:w w:val="87"/>
              </w:rPr>
              <w:t>Previously</w:t>
            </w:r>
          </w:p>
        </w:tc>
        <w:tc>
          <w:tcPr>
            <w:tcW w:w="820" w:type="dxa"/>
            <w:vAlign w:val="bottom"/>
            <w:gridSpan w:val="2"/>
            <w:vMerge w:val="continue"/>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8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7"/>
              </w:rPr>
              <w:t>Previously</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of error</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Reported</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of error</w:t>
            </w: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Reported</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of error</w:t>
            </w:r>
          </w:p>
        </w:tc>
        <w:tc>
          <w:tcPr>
            <w:tcW w:w="880" w:type="dxa"/>
            <w:vAlign w:val="bottom"/>
            <w:gridSpan w:val="3"/>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Reported</w:t>
            </w:r>
          </w:p>
        </w:tc>
        <w:tc>
          <w:tcPr>
            <w:tcW w:w="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of error</w:t>
            </w: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8"/>
                <w:szCs w:val="18"/>
                <w:color w:val="auto"/>
              </w:rPr>
              <w:t>Series A</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(233)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1,015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1,015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(812)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13,312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13,079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17,507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16,695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17,507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00"/>
        </w:trPr>
        <w:tc>
          <w:tcPr>
            <w:tcW w:w="11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Accumulated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(113,979)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(113,697)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(117,734)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(117,501)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(124,559)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(125,371)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(124,559)</w:t>
            </w:r>
          </w:p>
        </w:tc>
        <w:tc>
          <w:tcPr>
            <w:tcW w:w="0" w:type="dxa"/>
            <w:vAlign w:val="bottom"/>
          </w:tcPr>
          <w:p>
            <w:pPr>
              <w:spacing w:after="0"/>
              <w:rPr>
                <w:sz w:val="1"/>
                <w:szCs w:val="1"/>
                <w:color w:val="auto"/>
              </w:rPr>
            </w:pPr>
          </w:p>
        </w:tc>
      </w:tr>
    </w:tbl>
    <w:p>
      <w:pPr>
        <w:sectPr>
          <w:pgSz w:w="11900" w:h="16838" w:orient="portrait"/>
          <w:cols w:equalWidth="0" w:num="1">
            <w:col w:w="11520"/>
          </w:cols>
          <w:pgMar w:left="240" w:top="453" w:right="1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300" w:type="dxa"/>
            <w:vAlign w:val="bottom"/>
            <w:gridSpan w:val="5"/>
            <w:vMerge w:val="restart"/>
          </w:tcPr>
          <w:p>
            <w:pPr>
              <w:jc w:val="right"/>
              <w:ind w:right="119"/>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7"/>
            <w:vMerge w:val="restart"/>
          </w:tcPr>
          <w:p>
            <w:pPr>
              <w:jc w:val="right"/>
              <w:ind w:right="109"/>
              <w:spacing w:after="0"/>
              <w:rPr>
                <w:sz w:val="20"/>
                <w:szCs w:val="20"/>
                <w:color w:val="auto"/>
              </w:rPr>
            </w:pPr>
            <w:r>
              <w:rPr>
                <w:rFonts w:ascii="Arial" w:cs="Arial" w:eastAsia="Arial" w:hAnsi="Arial"/>
                <w:sz w:val="14"/>
                <w:szCs w:val="14"/>
                <w:b w:val="1"/>
                <w:bCs w:val="1"/>
                <w:color w:val="auto"/>
              </w:rPr>
              <w:t>Quarter Ended March 31, 2018</w:t>
            </w:r>
          </w:p>
        </w:tc>
        <w:tc>
          <w:tcPr>
            <w:tcW w:w="200" w:type="dxa"/>
            <w:vAlign w:val="bottom"/>
            <w:vMerge w:val="restart"/>
          </w:tcPr>
          <w:p>
            <w:pPr>
              <w:spacing w:after="0"/>
              <w:rPr>
                <w:sz w:val="14"/>
                <w:szCs w:val="14"/>
                <w:color w:val="auto"/>
              </w:rPr>
            </w:pPr>
          </w:p>
        </w:tc>
        <w:tc>
          <w:tcPr>
            <w:tcW w:w="2240" w:type="dxa"/>
            <w:vAlign w:val="bottom"/>
            <w:gridSpan w:val="6"/>
            <w:vMerge w:val="restart"/>
          </w:tcPr>
          <w:p>
            <w:pPr>
              <w:jc w:val="right"/>
              <w:ind w:right="139"/>
              <w:spacing w:after="0"/>
              <w:rPr>
                <w:sz w:val="20"/>
                <w:szCs w:val="20"/>
                <w:color w:val="auto"/>
              </w:rPr>
            </w:pPr>
            <w:r>
              <w:rPr>
                <w:rFonts w:ascii="Arial" w:cs="Arial" w:eastAsia="Arial" w:hAnsi="Arial"/>
                <w:sz w:val="14"/>
                <w:szCs w:val="14"/>
                <w:b w:val="1"/>
                <w:bCs w:val="1"/>
                <w:color w:val="auto"/>
              </w:rPr>
              <w:t>Quarter Ended June 30, 2018</w:t>
            </w:r>
          </w:p>
        </w:tc>
        <w:tc>
          <w:tcPr>
            <w:tcW w:w="200" w:type="dxa"/>
            <w:vAlign w:val="bottom"/>
            <w:vMerge w:val="restart"/>
          </w:tcPr>
          <w:p>
            <w:pPr>
              <w:spacing w:after="0"/>
              <w:rPr>
                <w:sz w:val="14"/>
                <w:szCs w:val="14"/>
                <w:color w:val="auto"/>
              </w:rPr>
            </w:pPr>
          </w:p>
        </w:tc>
        <w:tc>
          <w:tcPr>
            <w:tcW w:w="23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2300" w:type="dxa"/>
            <w:vAlign w:val="bottom"/>
            <w:tcBorders>
              <w:bottom w:val="single" w:sz="8" w:color="auto"/>
            </w:tcBorders>
            <w:gridSpan w:val="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240" w:type="dxa"/>
            <w:vAlign w:val="bottom"/>
            <w:tcBorders>
              <w:bottom w:val="single" w:sz="8" w:color="auto"/>
            </w:tcBorders>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As</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Correction</w:t>
            </w: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As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Correction</w:t>
            </w:r>
          </w:p>
        </w:tc>
        <w:tc>
          <w:tcPr>
            <w:tcW w:w="80" w:type="dxa"/>
            <w:vAlign w:val="bottom"/>
          </w:tcPr>
          <w:p>
            <w:pPr>
              <w:spacing w:after="0"/>
              <w:rPr>
                <w:sz w:val="10"/>
                <w:szCs w:val="10"/>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As</w:t>
            </w: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As</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Correction</w:t>
            </w: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As</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Correction</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Previously</w:t>
            </w:r>
          </w:p>
        </w:tc>
        <w:tc>
          <w:tcPr>
            <w:tcW w:w="8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0"/>
              </w:rPr>
              <w:t>Previously</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Previously</w:t>
            </w:r>
          </w:p>
        </w:tc>
        <w:tc>
          <w:tcPr>
            <w:tcW w:w="8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Previously</w:t>
            </w:r>
          </w:p>
        </w:tc>
        <w:tc>
          <w:tcPr>
            <w:tcW w:w="82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Reported</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error</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Restated</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of error</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Restated</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error</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Restated</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error</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80"/>
        </w:trPr>
        <w:tc>
          <w:tcPr>
            <w:tcW w:w="16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8"/>
                <w:szCs w:val="18"/>
                <w:color w:val="auto"/>
              </w:rPr>
              <w:t>Change in fair value</w:t>
            </w: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warrant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(3,834)</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0"/>
        </w:trPr>
        <w:tc>
          <w:tcPr>
            <w:tcW w:w="1680" w:type="dxa"/>
            <w:vAlign w:val="bottom"/>
          </w:tcPr>
          <w:p>
            <w:pPr>
              <w:spacing w:after="0" w:line="200" w:lineRule="exact"/>
              <w:rPr>
                <w:sz w:val="20"/>
                <w:szCs w:val="20"/>
                <w:color w:val="auto"/>
              </w:rPr>
            </w:pPr>
            <w:r>
              <w:rPr>
                <w:rFonts w:ascii="Arial" w:cs="Arial" w:eastAsia="Arial" w:hAnsi="Arial"/>
                <w:sz w:val="18"/>
                <w:szCs w:val="18"/>
                <w:color w:val="auto"/>
              </w:rPr>
              <w:t>Total other income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(1,271)</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(3,801)</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(3,222)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(3,567)</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loss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per common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(0.04)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(1.71)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(0.38)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(0.35)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(0.57)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 (0.54)</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17" w:lineRule="exact"/>
        <w:rPr>
          <w:sz w:val="20"/>
          <w:szCs w:val="20"/>
          <w:color w:val="auto"/>
        </w:rPr>
      </w:pPr>
    </w:p>
    <w:p>
      <w:pPr>
        <w:ind w:right="80" w:firstLine="457"/>
        <w:spacing w:after="0" w:line="252" w:lineRule="auto"/>
        <w:rPr>
          <w:sz w:val="20"/>
          <w:szCs w:val="20"/>
          <w:color w:val="auto"/>
        </w:rPr>
      </w:pPr>
      <w:r>
        <w:rPr>
          <w:rFonts w:ascii="Arial" w:cs="Arial" w:eastAsia="Arial" w:hAnsi="Arial"/>
          <w:sz w:val="18"/>
          <w:szCs w:val="18"/>
          <w:color w:val="auto"/>
        </w:rPr>
        <w:t>The Company had a net loss of $13.6 million for the nine months ended September 30, 2018 and has an accumulated deficit of $127.3 million at September 30, 2018 resulting from having incurred losses since its inception. The Company has $8.9 million of working capital at September 30, 2018 and used $7.9 million of cash in its operating activities during the nine months ended September 30, 2018. The Company has financed its operations principally through issuances of equity securities.</w:t>
      </w:r>
    </w:p>
    <w:p>
      <w:pPr>
        <w:spacing w:after="0" w:line="85" w:lineRule="exact"/>
        <w:rPr>
          <w:sz w:val="20"/>
          <w:szCs w:val="20"/>
          <w:color w:val="auto"/>
        </w:rPr>
      </w:pPr>
    </w:p>
    <w:p>
      <w:pPr>
        <w:ind w:right="720" w:firstLine="457"/>
        <w:spacing w:after="0" w:line="366" w:lineRule="auto"/>
        <w:rPr>
          <w:sz w:val="20"/>
          <w:szCs w:val="20"/>
          <w:color w:val="auto"/>
        </w:rPr>
      </w:pPr>
      <w:r>
        <w:rPr>
          <w:rFonts w:ascii="Arial" w:cs="Arial" w:eastAsia="Arial" w:hAnsi="Arial"/>
          <w:sz w:val="15"/>
          <w:szCs w:val="15"/>
          <w:color w:val="auto"/>
        </w:rPr>
        <w:t>The Company has continued to focus on expense control, including reducing its workforce, reducing outside consultants, reducing legal fees and implementing a policy providing for Board members to receive common stock in lieu of cash payments for Board service compensation.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0"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December 11, 2017, the Company entered into the Unit Purchase Agreement with certain stockholders, pursuant to which the Company sold and issued 8,141,116 immediately separable units at a price per unit of $1.84, for aggregate gross proceeds of $15.0 million. Each unit consisted of one share of the Company’s common stock and a warrant to purchase 0.74 shares of the Company’s common stock at an exercise price of $2.00 a share, for an aggregate of 8,141,116 shares of common stock and corresponding warrants to purchase an aggregate of 6,024,425 warrant shares of common stock and underlying warrants, together referred to as the Resale Shares. The Company also granted certain registration rights to these stockholders, pursuant to which, among other things, the Company prepared and filed a registration statement with the Securities and Exchange Commission, or SEC, to register for resale the Resale Shares. The registration statement was declared effective on February 6, 2018.</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40" w:firstLine="457"/>
        <w:spacing w:after="0" w:line="318" w:lineRule="auto"/>
        <w:rPr>
          <w:sz w:val="20"/>
          <w:szCs w:val="20"/>
          <w:color w:val="auto"/>
        </w:rPr>
      </w:pPr>
      <w:r>
        <w:rPr>
          <w:rFonts w:ascii="Arial" w:cs="Arial" w:eastAsia="Arial" w:hAnsi="Arial"/>
          <w:sz w:val="15"/>
          <w:szCs w:val="15"/>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4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80" w:lineRule="exact"/>
        <w:rPr>
          <w:sz w:val="20"/>
          <w:szCs w:val="20"/>
          <w:color w:val="auto"/>
        </w:rPr>
      </w:pPr>
    </w:p>
    <w:p>
      <w:pPr>
        <w:ind w:right="180" w:firstLine="457"/>
        <w:spacing w:after="0" w:line="250"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17" w:lineRule="exact"/>
        <w:rPr>
          <w:sz w:val="20"/>
          <w:szCs w:val="20"/>
          <w:color w:val="auto"/>
        </w:rPr>
      </w:pPr>
    </w:p>
    <w:p>
      <w:pPr>
        <w:ind w:right="140" w:firstLine="457"/>
        <w:spacing w:after="0" w:line="255"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2018 as compared to the significant accounting policies described in Note 3 of the “Notes to Consolidated Financial Statements” in the Company’s Annual Report on Form 10-K for the year ended December 31, 2017. Below are those policies with current period updates.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1"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or GAAP, and the applicable rules and regulations of the SEC for interim financial information. Accordingly, they do not include all of the information and notes required by GAAP for complete financial statements. The condensed consolidated balance sheet at December 31, 2017, has been derived from the audited consolidated financial statements at that date, but does not include all disclosures, including notes, required by GAAP for complete financial statements.</w:t>
      </w:r>
    </w:p>
    <w:p>
      <w:pPr>
        <w:spacing w:after="0" w:line="115" w:lineRule="exact"/>
        <w:rPr>
          <w:sz w:val="20"/>
          <w:szCs w:val="20"/>
          <w:color w:val="auto"/>
        </w:rPr>
      </w:pPr>
    </w:p>
    <w:p>
      <w:pPr>
        <w:ind w:right="100" w:firstLine="457"/>
        <w:spacing w:after="0" w:line="249"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September 30, 2018, and results of its operations for the three and nine months ended September 30, 2018 and 2017 and cash flows for the nine months ended September 30, 2018 and 2017.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or loss per share.</w:t>
      </w:r>
    </w:p>
    <w:p>
      <w:pPr>
        <w:spacing w:after="0" w:line="130" w:lineRule="exact"/>
        <w:rPr>
          <w:sz w:val="20"/>
          <w:szCs w:val="20"/>
          <w:color w:val="auto"/>
        </w:rPr>
      </w:pPr>
    </w:p>
    <w:p>
      <w:pPr>
        <w:ind w:right="100" w:firstLine="457"/>
        <w:spacing w:after="0" w:line="366" w:lineRule="auto"/>
        <w:rPr>
          <w:sz w:val="20"/>
          <w:szCs w:val="20"/>
          <w:color w:val="auto"/>
        </w:rPr>
      </w:pPr>
      <w:r>
        <w:rPr>
          <w:rFonts w:ascii="Arial" w:cs="Arial" w:eastAsia="Arial" w:hAnsi="Arial"/>
          <w:sz w:val="15"/>
          <w:szCs w:val="15"/>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In November 2016, the Financial Accounting Standards Board, or FASB, issued Accounting Standards Update, or the ASU 2016-18, “</w:t>
      </w:r>
      <w:r>
        <w:rPr>
          <w:rFonts w:ascii="Arial" w:cs="Arial" w:eastAsia="Arial" w:hAnsi="Arial"/>
          <w:sz w:val="18"/>
          <w:szCs w:val="18"/>
          <w:i w:val="1"/>
          <w:iCs w:val="1"/>
          <w:color w:val="auto"/>
        </w:rPr>
        <w:t>Statement of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Flows: Restricted Cash</w:t>
      </w:r>
      <w:r>
        <w:rPr>
          <w:rFonts w:ascii="Arial" w:cs="Arial" w:eastAsia="Arial" w:hAnsi="Arial"/>
          <w:sz w:val="18"/>
          <w:szCs w:val="18"/>
          <w:color w:val="auto"/>
        </w:rPr>
        <w:t>”, which requires that a statement of cash flows explain the change during the period in the total of cash, cash equivalents and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described as restricted cash or restricted cash equivalents. These standards are effective for financial statements issued for fiscal years beginning after December 15, 2017, including interim periods within those fiscal years. The Company adopted these standards in the first quarter of 2018 utilizing the retrospective transition method. There was no material impact on the Company’s condensed consolidated financial statements resulting from the adoption of this guidance.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which changes to the terms or conditions of a share-based payment award require an entity to apply modification accounting. The standard is effective beginning after December 15, 2017 and early adoption is permitted. The Company adopted the standard in the first quarter of 2018. The adoption did not have a material impact on the Company’s consolidated financial position and results of operations.</w:t>
      </w:r>
    </w:p>
    <w:p>
      <w:pPr>
        <w:spacing w:after="0" w:line="125"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“Amendments to SEC Paragraphs Pursuant to SEC Staff Accounting Bulletin No. 118”</w:t>
      </w:r>
      <w:r>
        <w:rPr>
          <w:rFonts w:ascii="Arial" w:cs="Arial" w:eastAsia="Arial" w:hAnsi="Arial"/>
          <w:sz w:val="18"/>
          <w:szCs w:val="18"/>
          <w:color w:val="auto"/>
        </w:rPr>
        <w:t>, to add various SEC paragraphs pursuant to the issuance of SEC Staff Accounting Bulletin No. 118, or SAB 118, to ASC 740 “Income Taxes”. SAB 118 was issued by the SEC in December 2017 to provide immediate guidance for accounting implications of U.S. tax reform under the “</w:t>
      </w:r>
      <w:r>
        <w:rPr>
          <w:rFonts w:ascii="Arial" w:cs="Arial" w:eastAsia="Arial" w:hAnsi="Arial"/>
          <w:sz w:val="18"/>
          <w:szCs w:val="18"/>
          <w:i w:val="1"/>
          <w:iCs w:val="1"/>
          <w:color w:val="auto"/>
        </w:rPr>
        <w:t>Tax Cuts and Jobs Act</w:t>
      </w:r>
      <w:r>
        <w:rPr>
          <w:rFonts w:ascii="Arial" w:cs="Arial" w:eastAsia="Arial" w:hAnsi="Arial"/>
          <w:sz w:val="18"/>
          <w:szCs w:val="18"/>
          <w:color w:val="auto"/>
        </w:rPr>
        <w:t>”, or the Tax Act, which became effective for the Company on January 1, 2018. The Company has adopted ASU 2018-09, and adoption of this ASU has no significant impact on its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In May 2014, the FASB issued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or ASU 2014-09. ASU 2014-09 supersedes the revenue recognition requirements in ASC Topic 605, “Revenue Recognition” and some cost guidance included in ASC Subtopic 605-35, “</w:t>
      </w:r>
      <w:r>
        <w:rPr>
          <w:rFonts w:ascii="Arial" w:cs="Arial" w:eastAsia="Arial" w:hAnsi="Arial"/>
          <w:sz w:val="15"/>
          <w:szCs w:val="15"/>
          <w:i w:val="1"/>
          <w:iCs w:val="1"/>
          <w:color w:val="auto"/>
        </w:rPr>
        <w:t>Revenue Recognition -</w:t>
      </w:r>
      <w:r>
        <w:rPr>
          <w:rFonts w:ascii="Arial" w:cs="Arial" w:eastAsia="Arial" w:hAnsi="Arial"/>
          <w:sz w:val="15"/>
          <w:szCs w:val="15"/>
          <w:color w:val="auto"/>
        </w:rPr>
        <w:t xml:space="preserve"> </w:t>
      </w:r>
      <w:r>
        <w:rPr>
          <w:rFonts w:ascii="Arial" w:cs="Arial" w:eastAsia="Arial" w:hAnsi="Arial"/>
          <w:sz w:val="15"/>
          <w:szCs w:val="15"/>
          <w:i w:val="1"/>
          <w:iCs w:val="1"/>
          <w:color w:val="auto"/>
        </w:rPr>
        <w:t>Construction-Type and Production-Type Contracts</w:t>
      </w:r>
      <w:r>
        <w:rPr>
          <w:rFonts w:ascii="Arial" w:cs="Arial" w:eastAsia="Arial" w:hAnsi="Arial"/>
          <w:sz w:val="15"/>
          <w:szCs w:val="15"/>
          <w:color w:val="auto"/>
        </w:rPr>
        <w:t>.” The core principle of ASU 2014-09 is that revenue is recognized when the transfer of control of goods or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Since the Company is an emerging growth company and elected to use the extended transition period for complying with any new or revised financial accounting standards provided pursuant to Section 13(a) of the Exchange Act, this ASU 2014-09 will be effective for the Company beginning in fiscal 2019 as a result of ASU 2015-14,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 Deferral of the Effective Date</w:t>
      </w:r>
      <w:r>
        <w:rPr>
          <w:rFonts w:ascii="Arial" w:cs="Arial" w:eastAsia="Arial" w:hAnsi="Arial"/>
          <w:sz w:val="15"/>
          <w:szCs w:val="15"/>
          <w:color w:val="auto"/>
        </w:rPr>
        <w:t>,” which was issued by the FASB in August 2015 and extended the original effective date</w:t>
      </w:r>
      <w:r>
        <w:rPr>
          <w:rFonts w:ascii="Arial" w:cs="Arial" w:eastAsia="Arial" w:hAnsi="Arial"/>
          <w:sz w:val="15"/>
          <w:szCs w:val="15"/>
          <w:i w:val="1"/>
          <w:iCs w:val="1"/>
          <w:color w:val="auto"/>
        </w:rPr>
        <w:t xml:space="preserve"> </w:t>
      </w:r>
      <w:r>
        <w:rPr>
          <w:rFonts w:ascii="Arial" w:cs="Arial" w:eastAsia="Arial" w:hAnsi="Arial"/>
          <w:sz w:val="15"/>
          <w:szCs w:val="15"/>
          <w:color w:val="auto"/>
        </w:rPr>
        <w:t>by one year. For other public entities the ASU is effective for annual reporting periods beginning after December 15, 2017. The Company is currently evaluating the impact of adopting the available methodologies of ASU 2014-09 and 2015-14 upon its consolidated financial statements in future reporting periods. The Company is also in the process of evaluating the new standard against its existing revenue recognition accounting policies to determine the effect the guidance will have on its condensed consolidated financial statements and what changes to systems and controls may be warranted.</w:t>
      </w:r>
    </w:p>
    <w:p>
      <w:pPr>
        <w:spacing w:after="0" w:line="306"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ASU 2016-02 provides new comprehensive lease accounting guidance that supersedes existing lease guidance. Upon adoption of ASU 2016-02, the Company will be required to recognize most leases on its balance sheet at the beginning of the earliest comparative period presented with a corresponding adjustment to stockholders’ equity. ASU 2016-02 requires the Company to capitalize most current operating lease obligations as right-of-use assets with a corresponding liability based on the present value of future operating lease obligations. Criteria for distinguishing leases between finance and operating are substantially similar to criteria for distinguishing between capital leases and operating leases in existing lease guidance. Lease agreements that are 12 months or less are permitted to be excluded from the balance sheet. Topic 842 includes a number of optional practical expedients that the Company may elect to apply. Expanded disclosures with additional qualitative and quantitative information will also be required. The adoption will include updates as provided under ASU 2018-01, Leases (Topic 842): Land Easement Practical Expedient for Transition to Topic</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842 and ASU 2018-10, Codification Improvements to Topic 842, Leases. Topic 842 is effective for public entities with fiscal years beginning after December 15, 2018 and for all other entities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Topic 842 will be effective for the Company beginning in fiscal 2020, although early adoption is permitted. The Company is currently evaluating the potential impact of adoption of this standard on its condensed consolidated financial statements and the additional transition method under ASU 2018-11, which allows the Company to recognize Topic 842’s cumulative effect within retained earnings in the period of adoption.</w:t>
      </w:r>
    </w:p>
    <w:p>
      <w:pPr>
        <w:spacing w:after="0" w:line="121" w:lineRule="exact"/>
        <w:rPr>
          <w:sz w:val="20"/>
          <w:szCs w:val="20"/>
          <w:color w:val="auto"/>
        </w:rPr>
      </w:pPr>
    </w:p>
    <w:p>
      <w:pPr>
        <w:ind w:right="160" w:firstLine="457"/>
        <w:spacing w:after="0" w:line="312" w:lineRule="auto"/>
        <w:rPr>
          <w:sz w:val="20"/>
          <w:szCs w:val="20"/>
          <w:color w:val="auto"/>
        </w:rPr>
      </w:pPr>
      <w:r>
        <w:rPr>
          <w:rFonts w:ascii="Arial" w:cs="Arial" w:eastAsia="Arial" w:hAnsi="Arial"/>
          <w:sz w:val="15"/>
          <w:szCs w:val="15"/>
          <w:color w:val="auto"/>
        </w:rPr>
        <w:t>In July 2017, the FASB issued ASU 2017-11, “</w:t>
      </w:r>
      <w:r>
        <w:rPr>
          <w:rFonts w:ascii="Arial" w:cs="Arial" w:eastAsia="Arial" w:hAnsi="Arial"/>
          <w:sz w:val="15"/>
          <w:szCs w:val="15"/>
          <w:i w:val="1"/>
          <w:iCs w:val="1"/>
          <w:color w:val="auto"/>
        </w:rPr>
        <w:t>Earnings Per Share (Topic 260), Distinguishing Liabilities from Equity (Topic 480);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5"/>
          <w:szCs w:val="15"/>
          <w:color w:val="auto"/>
        </w:rPr>
        <w:t>”, (ASU 2017-11). Part I of this update addresses the complexity of accounting for certain financial instruments with down round features. Down</w:t>
      </w:r>
      <w:r>
        <w:rPr>
          <w:rFonts w:ascii="Arial" w:cs="Arial" w:eastAsia="Arial" w:hAnsi="Arial"/>
          <w:sz w:val="15"/>
          <w:szCs w:val="15"/>
          <w:i w:val="1"/>
          <w:iCs w:val="1"/>
          <w:color w:val="auto"/>
        </w:rPr>
        <w:t xml:space="preserve"> </w:t>
      </w:r>
      <w:r>
        <w:rPr>
          <w:rFonts w:ascii="Arial" w:cs="Arial" w:eastAsia="Arial" w:hAnsi="Arial"/>
          <w:sz w:val="15"/>
          <w:szCs w:val="15"/>
          <w:color w:val="auto"/>
        </w:rPr>
        <w:t>round features are features of certain equity-linked instruments (or embedded features) that result in the strike price being reduced on the basis of the pricing of</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 ASU 2016-02 will be effective for the Company beginning in fiscal 2020, although early adoption is permitted. The Company is currently assessing the potential impact of adopting ASU 2017-11 on its condensed consolidated financial statements and related disclosures.</w:t>
      </w:r>
    </w:p>
    <w:p>
      <w:pPr>
        <w:spacing w:after="0" w:line="30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or ASU 2018-02, which allows a reclassification from accumulated other comprehensive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earnings for stranded tax effects resulting from the Tax Act and requires certain disclosures about stranded tax effects. ASU 2018-02 is effective for the Company beginning in 2019, with early adoption permitted, and shall be applied either in the period of adoption or retrospectively to each period (or periods) in which the effect of the change in the corporate income tax rate in the Tax Act is recognized. The Company is currently evaluating the potential impact of adopting this guidance on its condensed consolidated financial statements.</w:t>
      </w:r>
    </w:p>
    <w:p>
      <w:pPr>
        <w:spacing w:after="0" w:line="114" w:lineRule="exact"/>
        <w:rPr>
          <w:sz w:val="20"/>
          <w:szCs w:val="20"/>
          <w:color w:val="auto"/>
        </w:rPr>
      </w:pPr>
    </w:p>
    <w:p>
      <w:pPr>
        <w:ind w:right="180" w:firstLine="457"/>
        <w:spacing w:after="0" w:line="297" w:lineRule="auto"/>
        <w:rPr>
          <w:sz w:val="20"/>
          <w:szCs w:val="20"/>
          <w:color w:val="auto"/>
        </w:rPr>
      </w:pPr>
      <w:r>
        <w:rPr>
          <w:rFonts w:ascii="Arial" w:cs="Arial" w:eastAsia="Arial" w:hAnsi="Arial"/>
          <w:sz w:val="15"/>
          <w:szCs w:val="15"/>
          <w:color w:val="auto"/>
        </w:rPr>
        <w:t>In June 2018, the FASB issued ASU 2018-07, “</w:t>
      </w:r>
      <w:r>
        <w:rPr>
          <w:rFonts w:ascii="Arial" w:cs="Arial" w:eastAsia="Arial" w:hAnsi="Arial"/>
          <w:sz w:val="15"/>
          <w:szCs w:val="15"/>
          <w:i w:val="1"/>
          <w:iCs w:val="1"/>
          <w:color w:val="auto"/>
        </w:rPr>
        <w:t>Compensation – Stock Compensation (Topic 718): Improvements to Nonemployee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to simplify the accounting for share-based payments to nonemployees by aligning it with the accounting for share-based payments to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with certain exceptions. Under the guidance, the measurement of equity-classified nonemployee awards will be fixed at the grant date, which may lower their cost and reduce volatility in the income statement. This ASU is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ASU 2018-07 will be effective for the Company beginning in fiscal 2020. Early adoption is permitted, including in an interim period. The adoption of this ASU is not expected to have a material impact on the Company’s condensed consolidated financial statements.</w:t>
      </w:r>
    </w:p>
    <w:p>
      <w:pPr>
        <w:spacing w:after="0" w:line="113"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 June 2018, the FASB issued ASU 2018-08, “</w:t>
      </w:r>
      <w:r>
        <w:rPr>
          <w:rFonts w:ascii="Arial" w:cs="Arial" w:eastAsia="Arial" w:hAnsi="Arial"/>
          <w:sz w:val="17"/>
          <w:szCs w:val="17"/>
          <w:i w:val="1"/>
          <w:iCs w:val="1"/>
          <w:color w:val="auto"/>
        </w:rPr>
        <w:t>Not-for-Profit Entities (Topic 958): Clarifying the Scope and the Accounting Guidance for Contributions</w:t>
      </w:r>
      <w:r>
        <w:rPr>
          <w:rFonts w:ascii="Arial" w:cs="Arial" w:eastAsia="Arial" w:hAnsi="Arial"/>
          <w:sz w:val="17"/>
          <w:szCs w:val="17"/>
          <w:color w:val="auto"/>
        </w:rPr>
        <w:t xml:space="preserve"> </w:t>
      </w:r>
      <w:r>
        <w:rPr>
          <w:rFonts w:ascii="Arial" w:cs="Arial" w:eastAsia="Arial" w:hAnsi="Arial"/>
          <w:sz w:val="17"/>
          <w:szCs w:val="17"/>
          <w:i w:val="1"/>
          <w:iCs w:val="1"/>
          <w:color w:val="auto"/>
        </w:rPr>
        <w:t>Received and Contributions Made</w:t>
      </w:r>
      <w:r>
        <w:rPr>
          <w:rFonts w:ascii="Arial" w:cs="Arial" w:eastAsia="Arial" w:hAnsi="Arial"/>
          <w:sz w:val="17"/>
          <w:szCs w:val="17"/>
          <w:color w:val="auto"/>
        </w:rPr>
        <w:t>”. The ASU clarifies and enhances current guidance about whether a transfer of assets (or the reduction, settlement,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of liabilities) is a contribution or an exchange transaction. In addition, the amendments clarify how an entity determines whether a resource provider is participating in an exchange transaction and improves the framework for determining whether a contribution is conditional or unconditional, and for distinguishing a donor-imposed condition from a donor-imposed restriction. ASU 2018-08 is effective for contributions received by public entities in annual periods beginning after June 15, 2018 and interim periods within those fiscal years. However, as the Company is an emerging growth company and elected to use the extended transition period for complying with any new or revised financial accounting standards provided pursuant to Section 13(a) of the Exchange Act, this ASU 2018-08 will be effective for contributions received beginning in fiscal 2019. The adoption of this ASU is not expected to have a material impact on the Company’s condensed consolidated financial statements.</w:t>
      </w:r>
    </w:p>
    <w:p>
      <w:pPr>
        <w:spacing w:after="0" w:line="120"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In August 2018, the FASB issued ASU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The ASU modifies the disclosure requirements for fair value measurements by removing, modifying, or adding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This ASU is effective for the Company beginning in 2020. Early adoption is permitted. An entity is permitted to early adopt any removed or modified disclosures upon issuance of ASU No. 2018-13 and delay adoption of the additional disclosures until their effective date. The Company has not yet evaluated the impact of adoption of this ASU on its condensed consolidated financial statements disclosures.</w:t>
      </w:r>
    </w:p>
    <w:p>
      <w:pPr>
        <w:spacing w:after="0" w:line="111"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 xml:space="preserve">In August 2018, SEC adopted the final rule under SEC Release No. 33-10532, </w:t>
      </w:r>
      <w:r>
        <w:rPr>
          <w:rFonts w:ascii="Arial" w:cs="Arial" w:eastAsia="Arial" w:hAnsi="Arial"/>
          <w:sz w:val="15"/>
          <w:szCs w:val="15"/>
          <w:i w:val="1"/>
          <w:iCs w:val="1"/>
          <w:color w:val="auto"/>
        </w:rPr>
        <w:t>“Disclosure Update and Simplification</w:t>
      </w:r>
      <w:r>
        <w:rPr>
          <w:rFonts w:ascii="Arial" w:cs="Arial" w:eastAsia="Arial" w:hAnsi="Arial"/>
          <w:sz w:val="15"/>
          <w:szCs w:val="15"/>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The Company plans to apply the new guidance to its condensed consolidated financial statements during the first quarter of 2019.</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carrying value of the Company’s cash, restricted cash and accounts payable approximate fair value due to the short-term nature of these items.</w:t>
      </w:r>
    </w:p>
    <w:p>
      <w:pPr>
        <w:spacing w:after="0" w:line="252" w:lineRule="exact"/>
        <w:rPr>
          <w:sz w:val="20"/>
          <w:szCs w:val="20"/>
          <w:color w:val="auto"/>
        </w:rPr>
      </w:pPr>
    </w:p>
    <w:p>
      <w:pPr>
        <w:ind w:firstLine="457"/>
        <w:spacing w:after="0" w:line="277"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24" w:lineRule="exact"/>
        <w:rPr>
          <w:sz w:val="20"/>
          <w:szCs w:val="20"/>
          <w:color w:val="auto"/>
        </w:rPr>
      </w:pPr>
    </w:p>
    <w:p>
      <w:pPr>
        <w:ind w:left="5620" w:right="3980" w:hanging="5163"/>
        <w:spacing w:after="0" w:line="434" w:lineRule="auto"/>
        <w:tabs>
          <w:tab w:leader="none" w:pos="886"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I—Unadjusted quoted prices in active markets for identical assets or liabilities; 11</w:t>
      </w:r>
    </w:p>
    <w:p>
      <w:pPr>
        <w:sectPr>
          <w:pgSz w:w="11900" w:h="16838" w:orient="portrait"/>
          <w:cols w:equalWidth="0" w:num="1">
            <w:col w:w="10900"/>
          </w:cols>
          <w:pgMar w:left="240" w:top="453" w:right="7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00" w:hanging="443"/>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95" w:lineRule="exact"/>
        <w:rPr>
          <w:rFonts w:ascii="Arial" w:cs="Arial" w:eastAsia="Arial" w:hAnsi="Arial"/>
          <w:sz w:val="18"/>
          <w:szCs w:val="18"/>
          <w:color w:val="auto"/>
        </w:rPr>
      </w:pPr>
    </w:p>
    <w:p>
      <w:pPr>
        <w:ind w:left="900" w:hanging="44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for the related assets or liabilities.</w:t>
      </w:r>
    </w:p>
    <w:p>
      <w:pPr>
        <w:spacing w:after="0" w:line="217" w:lineRule="exact"/>
        <w:rPr>
          <w:sz w:val="20"/>
          <w:szCs w:val="20"/>
          <w:color w:val="auto"/>
        </w:rPr>
      </w:pPr>
    </w:p>
    <w:p>
      <w:pPr>
        <w:ind w:right="240" w:firstLine="457"/>
        <w:spacing w:after="0" w:line="265"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9" w:lineRule="exact"/>
        <w:rPr>
          <w:sz w:val="20"/>
          <w:szCs w:val="20"/>
          <w:color w:val="auto"/>
        </w:rPr>
      </w:pPr>
    </w:p>
    <w:p>
      <w:pPr>
        <w:ind w:right="120" w:firstLine="457"/>
        <w:spacing w:after="0" w:line="265"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11"/>
          </w:tcPr>
          <w:p>
            <w:pPr>
              <w:ind w:left="200"/>
              <w:spacing w:after="0"/>
              <w:rPr>
                <w:sz w:val="20"/>
                <w:szCs w:val="20"/>
                <w:color w:val="auto"/>
              </w:rPr>
            </w:pPr>
            <w:r>
              <w:rPr>
                <w:rFonts w:ascii="Arial" w:cs="Arial" w:eastAsia="Arial" w:hAnsi="Arial"/>
                <w:sz w:val="14"/>
                <w:szCs w:val="14"/>
                <w:color w:val="auto"/>
              </w:rPr>
              <w:t>Fair Value Measurements at September 30, 2018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39" w:lineRule="exact"/>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Arial" w:cs="Arial" w:eastAsia="Arial" w:hAnsi="Arial"/>
                <w:sz w:val="14"/>
                <w:szCs w:val="14"/>
                <w:color w:val="auto"/>
              </w:rPr>
              <w:t>Level 1</w:t>
            </w:r>
          </w:p>
        </w:tc>
        <w:tc>
          <w:tcPr>
            <w:tcW w:w="3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92"/>
              </w:rPr>
              <w:t>Level 2</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4"/>
              <w:spacing w:after="0" w:line="139" w:lineRule="exact"/>
              <w:rPr>
                <w:sz w:val="20"/>
                <w:szCs w:val="20"/>
                <w:color w:val="auto"/>
              </w:rPr>
            </w:pPr>
            <w:r>
              <w:rPr>
                <w:rFonts w:ascii="Arial" w:cs="Arial" w:eastAsia="Arial" w:hAnsi="Arial"/>
                <w:sz w:val="14"/>
                <w:szCs w:val="14"/>
                <w:color w:val="auto"/>
                <w:w w:val="92"/>
              </w:rPr>
              <w:t>Level 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Money market fund</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10,109</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10,109</w:t>
            </w:r>
          </w:p>
        </w:tc>
        <w:tc>
          <w:tcPr>
            <w:tcW w:w="80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Liabilities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w w:val="91"/>
              </w:rPr>
              <w:t>Total common stock warrant and contingent consideration liability</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11"/>
          </w:tcPr>
          <w:p>
            <w:pPr>
              <w:ind w:left="200"/>
              <w:spacing w:after="0"/>
              <w:rPr>
                <w:sz w:val="20"/>
                <w:szCs w:val="20"/>
                <w:color w:val="auto"/>
              </w:rPr>
            </w:pPr>
            <w:r>
              <w:rPr>
                <w:rFonts w:ascii="Arial" w:cs="Arial" w:eastAsia="Arial" w:hAnsi="Arial"/>
                <w:sz w:val="14"/>
                <w:szCs w:val="14"/>
                <w:color w:val="auto"/>
              </w:rPr>
              <w:t>Fair Value Measurements at December 31, 2017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39" w:lineRule="exact"/>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Arial" w:cs="Arial" w:eastAsia="Arial" w:hAnsi="Arial"/>
                <w:sz w:val="14"/>
                <w:szCs w:val="14"/>
                <w:color w:val="auto"/>
              </w:rPr>
              <w:t>Level 1</w:t>
            </w:r>
          </w:p>
        </w:tc>
        <w:tc>
          <w:tcPr>
            <w:tcW w:w="3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92"/>
              </w:rPr>
              <w:t>Level 2</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4"/>
              <w:spacing w:after="0" w:line="139" w:lineRule="exact"/>
              <w:rPr>
                <w:sz w:val="20"/>
                <w:szCs w:val="20"/>
                <w:color w:val="auto"/>
              </w:rPr>
            </w:pPr>
            <w:r>
              <w:rPr>
                <w:rFonts w:ascii="Arial" w:cs="Arial" w:eastAsia="Arial" w:hAnsi="Arial"/>
                <w:sz w:val="14"/>
                <w:szCs w:val="14"/>
                <w:color w:val="auto"/>
                <w:w w:val="92"/>
              </w:rPr>
              <w:t>Level 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Money market fund</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16,790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16,790</w:t>
            </w:r>
          </w:p>
        </w:tc>
        <w:tc>
          <w:tcPr>
            <w:tcW w:w="80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Liabilities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Essentialis purchase price contingency liability</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w w:val="91"/>
              </w:rPr>
              <w:t>Total common stock warrant and contingent consideration liability</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20" w:type="dxa"/>
            <w:vAlign w:val="bottom"/>
            <w:vMerge w:val="restart"/>
          </w:tcPr>
          <w:p>
            <w:pPr>
              <w:jc w:val="right"/>
              <w:ind w:right="1712"/>
              <w:spacing w:after="0"/>
              <w:rPr>
                <w:sz w:val="20"/>
                <w:szCs w:val="20"/>
                <w:color w:val="auto"/>
              </w:rPr>
            </w:pPr>
            <w:r>
              <w:rPr>
                <w:rFonts w:ascii="Arial" w:cs="Arial" w:eastAsia="Arial" w:hAnsi="Arial"/>
                <w:sz w:val="18"/>
                <w:szCs w:val="18"/>
                <w:color w:val="auto"/>
                <w:w w:val="99"/>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3"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56" w:lineRule="exact"/>
        <w:rPr>
          <w:sz w:val="20"/>
          <w:szCs w:val="20"/>
          <w:color w:val="auto"/>
        </w:rPr>
      </w:pPr>
    </w:p>
    <w:p>
      <w:pPr>
        <w:jc w:val="both"/>
        <w:ind w:right="160" w:firstLine="457"/>
        <w:spacing w:after="0" w:line="255"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9" w:lineRule="exact"/>
        <w:rPr>
          <w:sz w:val="20"/>
          <w:szCs w:val="20"/>
          <w:color w:val="auto"/>
        </w:rPr>
      </w:pPr>
    </w:p>
    <w:p>
      <w:pPr>
        <w:ind w:right="220" w:firstLine="457"/>
        <w:spacing w:after="0" w:line="265"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1760" w:type="dxa"/>
            <w:vAlign w:val="bottom"/>
            <w:gridSpan w:val="6"/>
          </w:tcPr>
          <w:p>
            <w:pPr>
              <w:ind w:left="220"/>
              <w:spacing w:after="0"/>
              <w:rPr>
                <w:sz w:val="20"/>
                <w:szCs w:val="20"/>
                <w:color w:val="auto"/>
              </w:rPr>
            </w:pPr>
            <w:r>
              <w:rPr>
                <w:rFonts w:ascii="Arial" w:cs="Arial" w:eastAsia="Arial" w:hAnsi="Arial"/>
                <w:sz w:val="14"/>
                <w:szCs w:val="14"/>
                <w:b w:val="1"/>
                <w:bCs w:val="1"/>
                <w:color w:val="auto"/>
              </w:rPr>
              <w:t>Series A Warrant</w:t>
            </w:r>
          </w:p>
        </w:tc>
        <w:tc>
          <w:tcPr>
            <w:tcW w:w="1740" w:type="dxa"/>
            <w:vAlign w:val="bottom"/>
            <w:gridSpan w:val="5"/>
          </w:tcPr>
          <w:p>
            <w:pPr>
              <w:ind w:left="200"/>
              <w:spacing w:after="0"/>
              <w:rPr>
                <w:sz w:val="20"/>
                <w:szCs w:val="20"/>
                <w:color w:val="auto"/>
              </w:rPr>
            </w:pPr>
            <w:r>
              <w:rPr>
                <w:rFonts w:ascii="Arial" w:cs="Arial" w:eastAsia="Arial" w:hAnsi="Arial"/>
                <w:sz w:val="14"/>
                <w:szCs w:val="14"/>
                <w:b w:val="1"/>
                <w:bCs w:val="1"/>
                <w:color w:val="auto"/>
              </w:rPr>
              <w:t>Series C Warrant</w:t>
            </w: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2017 PIPE 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53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gridSpan w:val="2"/>
          </w:tcPr>
          <w:p>
            <w:pPr>
              <w:jc w:val="center"/>
              <w:spacing w:after="0" w:line="103" w:lineRule="exact"/>
              <w:rPr>
                <w:sz w:val="20"/>
                <w:szCs w:val="20"/>
                <w:color w:val="auto"/>
              </w:rPr>
            </w:pPr>
            <w:r>
              <w:rPr>
                <w:rFonts w:ascii="Arial" w:cs="Arial" w:eastAsia="Arial" w:hAnsi="Arial"/>
                <w:sz w:val="11"/>
                <w:szCs w:val="11"/>
                <w:b w:val="1"/>
                <w:bCs w:val="1"/>
                <w:color w:val="auto"/>
              </w:rPr>
              <w:t>Purchase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2"/>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2"/>
                <w:szCs w:val="12"/>
                <w:color w:val="auto"/>
              </w:rPr>
            </w:pPr>
          </w:p>
        </w:tc>
        <w:tc>
          <w:tcPr>
            <w:tcW w:w="72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color w:val="auto"/>
                <w:w w:val="89"/>
              </w:rPr>
              <w:t>Contingent</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820" w:type="dxa"/>
            <w:vAlign w:val="bottom"/>
            <w:gridSpan w:val="3"/>
            <w:vMerge w:val="continue"/>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05"/>
        </w:trPr>
        <w:tc>
          <w:tcPr>
            <w:tcW w:w="5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2017</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485,121</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70</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118,083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80"/>
              <w:spacing w:after="0" w:line="206" w:lineRule="exact"/>
              <w:rPr>
                <w:sz w:val="20"/>
                <w:szCs w:val="20"/>
                <w:color w:val="auto"/>
              </w:rPr>
            </w:pPr>
            <w:r>
              <w:rPr>
                <w:rFonts w:ascii="Arial" w:cs="Arial" w:eastAsia="Arial" w:hAnsi="Arial"/>
                <w:sz w:val="18"/>
                <w:szCs w:val="18"/>
                <w:color w:val="auto"/>
                <w:w w:val="84"/>
              </w:rPr>
              <w:t>6,024,425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3"/>
              </w:rPr>
              <w:t>$ 5,076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160"/>
              <w:spacing w:after="0" w:line="206" w:lineRule="exact"/>
              <w:rPr>
                <w:sz w:val="20"/>
                <w:szCs w:val="20"/>
                <w:color w:val="auto"/>
              </w:rPr>
            </w:pPr>
            <w:r>
              <w:rPr>
                <w:rFonts w:ascii="Arial" w:cs="Arial" w:eastAsia="Arial" w:hAnsi="Arial"/>
                <w:sz w:val="18"/>
                <w:szCs w:val="18"/>
                <w:color w:val="auto"/>
                <w:w w:val="79"/>
              </w:rPr>
              <w:t>5,082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Series C Warrants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Change in value of 2017 PIPE Warrants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contingent liability</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589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Balance at September 30, 2018</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118,083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6,024,425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$ 6,641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w w:val="93"/>
              </w:rPr>
              <w:t>5,671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Assets held for sale and discontinued operations</w:t>
      </w:r>
    </w:p>
    <w:p>
      <w:pPr>
        <w:spacing w:after="0" w:line="111" w:lineRule="exact"/>
        <w:rPr>
          <w:sz w:val="20"/>
          <w:szCs w:val="20"/>
          <w:color w:val="auto"/>
        </w:rPr>
      </w:pPr>
    </w:p>
    <w:p>
      <w:pPr>
        <w:ind w:right="300" w:firstLine="457"/>
        <w:spacing w:after="0" w:line="265" w:lineRule="auto"/>
        <w:rPr>
          <w:sz w:val="20"/>
          <w:szCs w:val="20"/>
          <w:color w:val="auto"/>
        </w:rPr>
      </w:pPr>
      <w:r>
        <w:rPr>
          <w:rFonts w:ascii="Arial" w:cs="Arial" w:eastAsia="Arial" w:hAnsi="Arial"/>
          <w:sz w:val="18"/>
          <w:szCs w:val="18"/>
          <w:color w:val="auto"/>
        </w:rPr>
        <w:t>Subsequent to the Merger with Essentialis described in Note 1, the Company explored opportunities to divest, sell or dispose of the CoSense, NFI, and Serenz businesses.</w:t>
      </w:r>
    </w:p>
    <w:p>
      <w:pPr>
        <w:spacing w:after="0" w:line="179" w:lineRule="exact"/>
        <w:rPr>
          <w:sz w:val="20"/>
          <w:szCs w:val="20"/>
          <w:color w:val="auto"/>
        </w:rPr>
      </w:pPr>
    </w:p>
    <w:p>
      <w:pPr>
        <w:ind w:right="200" w:firstLine="457"/>
        <w:spacing w:after="0" w:line="318" w:lineRule="auto"/>
        <w:rPr>
          <w:sz w:val="20"/>
          <w:szCs w:val="20"/>
          <w:color w:val="auto"/>
        </w:rPr>
      </w:pPr>
      <w:r>
        <w:rPr>
          <w:rFonts w:ascii="Arial" w:cs="Arial" w:eastAsia="Arial" w:hAnsi="Arial"/>
          <w:sz w:val="15"/>
          <w:szCs w:val="15"/>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follow (in thousands).</w:t>
      </w:r>
    </w:p>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4640" w:type="dxa"/>
            <w:vAlign w:val="bottom"/>
          </w:tcPr>
          <w:p>
            <w:pPr>
              <w:spacing w:after="0"/>
              <w:rPr>
                <w:sz w:val="14"/>
                <w:szCs w:val="14"/>
                <w:color w:val="auto"/>
              </w:rPr>
            </w:pP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September 30, 2018</w:t>
            </w:r>
          </w:p>
        </w:tc>
        <w:tc>
          <w:tcPr>
            <w:tcW w:w="2160" w:type="dxa"/>
            <w:vAlign w:val="bottom"/>
            <w:gridSpan w:val="4"/>
          </w:tcPr>
          <w:p>
            <w:pPr>
              <w:ind w:left="960"/>
              <w:spacing w:after="0"/>
              <w:rPr>
                <w:sz w:val="20"/>
                <w:szCs w:val="20"/>
                <w:color w:val="auto"/>
              </w:rPr>
            </w:pPr>
            <w:r>
              <w:rPr>
                <w:rFonts w:ascii="Arial" w:cs="Arial" w:eastAsia="Arial" w:hAnsi="Arial"/>
                <w:sz w:val="14"/>
                <w:szCs w:val="14"/>
                <w:b w:val="1"/>
                <w:bCs w:val="1"/>
                <w:color w:val="auto"/>
                <w:w w:val="93"/>
              </w:rPr>
              <w:t>December 31, 2017</w:t>
            </w:r>
          </w:p>
        </w:tc>
      </w:tr>
      <w:tr>
        <w:trPr>
          <w:trHeight w:val="192"/>
        </w:trPr>
        <w:tc>
          <w:tcPr>
            <w:tcW w:w="46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18"/>
        </w:trPr>
        <w:tc>
          <w:tcPr>
            <w:tcW w:w="4640" w:type="dxa"/>
            <w:vAlign w:val="bottom"/>
          </w:tcPr>
          <w:p>
            <w:pPr>
              <w:ind w:left="700"/>
              <w:spacing w:after="0"/>
              <w:rPr>
                <w:sz w:val="20"/>
                <w:szCs w:val="20"/>
                <w:color w:val="auto"/>
              </w:rPr>
            </w:pPr>
            <w:r>
              <w:rPr>
                <w:rFonts w:ascii="Arial" w:cs="Arial" w:eastAsia="Arial" w:hAnsi="Arial"/>
                <w:sz w:val="18"/>
                <w:szCs w:val="18"/>
                <w:color w:val="auto"/>
              </w:rPr>
              <w:t>Total current assets held for sale</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847</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4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Long-term assets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7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9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r>
      <w:tr>
        <w:trPr>
          <w:trHeight w:val="218"/>
        </w:trPr>
        <w:tc>
          <w:tcPr>
            <w:tcW w:w="4640" w:type="dxa"/>
            <w:vAlign w:val="bottom"/>
          </w:tcPr>
          <w:p>
            <w:pPr>
              <w:ind w:left="700"/>
              <w:spacing w:after="0"/>
              <w:rPr>
                <w:sz w:val="20"/>
                <w:szCs w:val="20"/>
                <w:color w:val="auto"/>
              </w:rPr>
            </w:pPr>
            <w:r>
              <w:rPr>
                <w:rFonts w:ascii="Arial" w:cs="Arial" w:eastAsia="Arial" w:hAnsi="Arial"/>
                <w:sz w:val="18"/>
                <w:szCs w:val="18"/>
                <w:color w:val="auto"/>
              </w:rPr>
              <w:t>Total long-term assets held for sale</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453</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4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other current liabilities</w:t>
            </w:r>
          </w:p>
        </w:tc>
        <w:tc>
          <w:tcPr>
            <w:tcW w:w="7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8"/>
        </w:trPr>
        <w:tc>
          <w:tcPr>
            <w:tcW w:w="4640" w:type="dxa"/>
            <w:vAlign w:val="bottom"/>
          </w:tcPr>
          <w:p>
            <w:pPr>
              <w:ind w:left="700"/>
              <w:spacing w:after="0"/>
              <w:rPr>
                <w:sz w:val="20"/>
                <w:szCs w:val="20"/>
                <w:color w:val="auto"/>
              </w:rPr>
            </w:pPr>
            <w:r>
              <w:rPr>
                <w:rFonts w:ascii="Arial" w:cs="Arial" w:eastAsia="Arial" w:hAnsi="Arial"/>
                <w:sz w:val="18"/>
                <w:szCs w:val="18"/>
                <w:color w:val="auto"/>
              </w:rPr>
              <w:t>Total current liabilities for sale</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4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Long-term liabilities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7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1,750</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7"/>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 held for sale</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presented as Discontinued Operations follow (in thousands).</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3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3"/>
              <w:spacing w:after="0" w:line="139"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3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(1,364)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80" w:firstLine="457"/>
        <w:spacing w:after="0" w:line="294" w:lineRule="auto"/>
        <w:rPr>
          <w:sz w:val="20"/>
          <w:szCs w:val="20"/>
          <w:color w:val="auto"/>
        </w:rPr>
      </w:pPr>
      <w:r>
        <w:rPr>
          <w:rFonts w:ascii="Arial" w:cs="Arial" w:eastAsia="Arial" w:hAnsi="Arial"/>
          <w:sz w:val="17"/>
          <w:szCs w:val="17"/>
          <w:color w:val="auto"/>
        </w:rPr>
        <w:t>Stock-based compensation expense classified in discontinued operations was $20,000 and $23,000 for the three months ended September 30, 2018 and 2017, respectively, and was $58,000 and $106,000 for the nine months ended September 30, 2018 and 2017,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NFI Sale</w:t>
      </w:r>
    </w:p>
    <w:p>
      <w:pPr>
        <w:spacing w:after="0" w:line="111" w:lineRule="exact"/>
        <w:rPr>
          <w:sz w:val="20"/>
          <w:szCs w:val="20"/>
          <w:color w:val="auto"/>
        </w:rPr>
      </w:pPr>
    </w:p>
    <w:p>
      <w:pPr>
        <w:ind w:right="40" w:firstLine="457"/>
        <w:spacing w:after="0" w:line="265" w:lineRule="auto"/>
        <w:rPr>
          <w:sz w:val="20"/>
          <w:szCs w:val="20"/>
          <w:color w:val="auto"/>
        </w:rPr>
      </w:pPr>
      <w:r>
        <w:rPr>
          <w:rFonts w:ascii="Arial" w:cs="Arial" w:eastAsia="Arial" w:hAnsi="Arial"/>
          <w:sz w:val="18"/>
          <w:szCs w:val="18"/>
          <w:color w:val="auto"/>
        </w:rPr>
        <w:t>On September 2, 2015, the Company established NFI, a previously wholly owned subsidiary of the Company and through NFI, acquired substantially all of the assets of an unrelated privately held company, NeoForce.</w:t>
      </w:r>
    </w:p>
    <w:p>
      <w:pPr>
        <w:spacing w:after="0" w:line="179"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On July 18, 2017, the Company completed the sale of stock of its 100% wholly-owned subsidiary, NFI, primarily related to the Company’s portfolio of neonatology resuscitation business pursuant to the NFI Purchase Agreement, with NFI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NFI Purchase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3"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Agreement are a continuation of a process previously disclosed by the Company of evaluating strategic alternatives and focusing on the Company’s rare disease therapeutic business. The NFI Purchase Agreement includes customary terms and conditions, including an adjustment to the purchase price based on inventory and accounts receivables, and provisions that require the Company to indemnify NFI Holdings for certain losses that it incurs as a result of a breach by the Company of its representations and warranties in the NFI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NFI Purchase Agreement contains customary representations and warranties of each of the parties.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CoSense Joint Venture Agreement</w:t>
      </w:r>
    </w:p>
    <w:p>
      <w:pPr>
        <w:spacing w:after="0" w:line="85"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In December 2017, the Company entered into a joint venture with OAHL with respect to its CoSense product by agreeing to sell common shares of Capnia, its wholly-owned subsidiary, to OAHL. CoSense was Soleno’s first Sensalyze Technology Platform product to receive 510(k) clearances from the U.S. Food and Drug Administration, or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for Capnia’s common shares on an incremental quarterly basis commencing in December 2017. Going forward, OAHL will be responsible for funding a portion of the Capnia operations. The Joint Venture Agreement provides that Capnia will issue common shares to OAHL when the cumulative investment made by OAHL equals or exceeds $1.2 million. During October 2018, the Company and OAHL determined and agreed that the cumulative investment made by OAHL exceeded $1.2 million during the quarter ended September 30, 2018, when OAHL’s investment was determined to exceed $1.2 million and as of such date reached the total value of $1,690,000. As of September 30, 2018, Capnia had issued no shares of common stock to OAHL. However, refer to Note 12 for information regarding the issuance of Capnia shares subsequent to September 30, 2018.</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98" w:lineRule="exact"/>
        <w:rPr>
          <w:sz w:val="20"/>
          <w:szCs w:val="20"/>
          <w:color w:val="auto"/>
        </w:rPr>
      </w:pPr>
    </w:p>
    <w:p>
      <w:pPr>
        <w:ind w:right="620" w:firstLine="457"/>
        <w:spacing w:after="0" w:line="265" w:lineRule="auto"/>
        <w:rPr>
          <w:sz w:val="20"/>
          <w:szCs w:val="20"/>
          <w:color w:val="auto"/>
        </w:rPr>
      </w:pPr>
      <w:r>
        <w:rPr>
          <w:rFonts w:ascii="Arial" w:cs="Arial" w:eastAsia="Arial" w:hAnsi="Arial"/>
          <w:sz w:val="18"/>
          <w:szCs w:val="18"/>
          <w:color w:val="auto"/>
        </w:rPr>
        <w:t xml:space="preserve">The Company has issued multiple warrant series, of which the Series A Warrants, Series C Warrants and 2017 PIPE Warrants (the “Warrants”) are considered liabilities pursuant to the guidance established by </w:t>
      </w:r>
      <w:r>
        <w:rPr>
          <w:rFonts w:ascii="Arial" w:cs="Arial" w:eastAsia="Arial" w:hAnsi="Arial"/>
          <w:sz w:val="18"/>
          <w:szCs w:val="18"/>
          <w:i w:val="1"/>
          <w:iCs w:val="1"/>
          <w:color w:val="auto"/>
        </w:rPr>
        <w:t>ASC 815 Derivatives and Hedging.</w:t>
      </w:r>
    </w:p>
    <w:p>
      <w:pPr>
        <w:spacing w:after="0" w:line="60"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The Company’s Warrants contain standard anti-dilution provisions for stock dividends, stock splits, subdivisions, combinations and similar types of recapitalization events. The Series A and Series C Warrants also contain a cashless exercise feature that provides for their net share settlement at the option of the holder in the event that there is no effective registration statement covering the continuous offer and sale of the Series A Warrants and shares underlying the Series A Warrants, or the shares underlying the Series C Warrants, respectively. The Company is required to comply with certain requirements to cause or maintain the effectiveness of a registration statement for the offer and sale of the shares underlying the Warrants and for the offer and sale of the Series C Warrants. The Series A and Series C Warrants contracts further provide for the payment of liquidated damages at an amount per month equal to 1% of the aggregate volume weighted average price, or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98" w:lineRule="exact"/>
        <w:rPr>
          <w:sz w:val="20"/>
          <w:szCs w:val="20"/>
          <w:color w:val="auto"/>
        </w:rPr>
      </w:pPr>
    </w:p>
    <w:p>
      <w:pPr>
        <w:ind w:right="600" w:firstLine="457"/>
        <w:spacing w:after="0" w:line="265"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47" w:lineRule="exact"/>
        <w:rPr>
          <w:sz w:val="20"/>
          <w:szCs w:val="20"/>
          <w:color w:val="auto"/>
        </w:rPr>
      </w:pPr>
    </w:p>
    <w:p>
      <w:pPr>
        <w:ind w:right="60" w:firstLine="457"/>
        <w:spacing w:after="0" w:line="255" w:lineRule="auto"/>
        <w:rPr>
          <w:sz w:val="20"/>
          <w:szCs w:val="20"/>
          <w:color w:val="auto"/>
        </w:rPr>
      </w:pPr>
      <w:r>
        <w:rPr>
          <w:rFonts w:ascii="Arial" w:cs="Arial" w:eastAsia="Arial" w:hAnsi="Arial"/>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1" w:lineRule="exact"/>
        <w:rPr>
          <w:sz w:val="20"/>
          <w:szCs w:val="20"/>
          <w:color w:val="auto"/>
        </w:rPr>
      </w:pPr>
    </w:p>
    <w:p>
      <w:pPr>
        <w:jc w:val="both"/>
        <w:ind w:right="180" w:firstLine="457"/>
        <w:spacing w:after="0" w:line="255"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23" w:lineRule="exact"/>
        <w:rPr>
          <w:sz w:val="20"/>
          <w:szCs w:val="20"/>
          <w:color w:val="auto"/>
        </w:rPr>
      </w:pPr>
    </w:p>
    <w:p>
      <w:pPr>
        <w:ind w:right="60" w:firstLine="457"/>
        <w:spacing w:after="0" w:line="294"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w:t>
      </w:r>
    </w:p>
    <w:p>
      <w:pPr>
        <w:spacing w:after="0" w:line="91" w:lineRule="exact"/>
        <w:rPr>
          <w:sz w:val="20"/>
          <w:szCs w:val="20"/>
          <w:color w:val="auto"/>
        </w:rPr>
      </w:pPr>
    </w:p>
    <w:p>
      <w:pPr>
        <w:ind w:right="60" w:firstLine="457"/>
        <w:spacing w:after="0" w:line="277" w:lineRule="auto"/>
        <w:rPr>
          <w:sz w:val="20"/>
          <w:szCs w:val="20"/>
          <w:color w:val="auto"/>
        </w:rPr>
      </w:pPr>
      <w:r>
        <w:rPr>
          <w:rFonts w:ascii="Arial" w:cs="Arial" w:eastAsia="Arial" w:hAnsi="Arial"/>
          <w:sz w:val="17"/>
          <w:szCs w:val="17"/>
          <w:color w:val="auto"/>
        </w:rPr>
        <w:t>Since their issuance, a total of 4,800 Series A Warrants have been exercised. As of September 30, 2018, the fair value of the 485,121 outstanding Series A Warrants was $58,000, which represents a decrease of $145,000 and $12,000 in fair value during the three and nine months ended September 30, 2018, respectively, both of which were recorded as other income in the condensed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1"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w:t>
      </w:r>
    </w:p>
    <w:p>
      <w:pPr>
        <w:ind w:right="120"/>
        <w:spacing w:after="0" w:line="247" w:lineRule="auto"/>
        <w:rPr>
          <w:sz w:val="20"/>
          <w:szCs w:val="20"/>
          <w:color w:val="auto"/>
        </w:rPr>
      </w:pPr>
      <w:r>
        <w:rPr>
          <w:rFonts w:ascii="Arial" w:cs="Arial" w:eastAsia="Arial" w:hAnsi="Arial"/>
          <w:sz w:val="18"/>
          <w:szCs w:val="18"/>
          <w:color w:val="auto"/>
        </w:rPr>
        <w:t>$6.7 million of the previously issued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31" w:lineRule="exact"/>
        <w:rPr>
          <w:sz w:val="20"/>
          <w:szCs w:val="20"/>
          <w:color w:val="auto"/>
        </w:rPr>
      </w:pPr>
    </w:p>
    <w:p>
      <w:pPr>
        <w:ind w:right="20" w:firstLine="457"/>
        <w:spacing w:after="0" w:line="300" w:lineRule="auto"/>
        <w:rPr>
          <w:sz w:val="20"/>
          <w:szCs w:val="20"/>
          <w:color w:val="auto"/>
        </w:rPr>
      </w:pPr>
      <w:r>
        <w:rPr>
          <w:rFonts w:ascii="Arial" w:cs="Arial" w:eastAsia="Arial" w:hAnsi="Arial"/>
          <w:sz w:val="15"/>
          <w:szCs w:val="15"/>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July 24, 2015. During July 2015, certain Series B Warrant holder(s) tendered their Series B Warrants under the tender offer, which resulted in the issuance of 181 shares of the Company’s Common Stock, the issuance of 181 Series C Warrants and proceeds to the Company of $5,882.</w:t>
      </w:r>
    </w:p>
    <w:p>
      <w:pPr>
        <w:spacing w:after="0" w:line="126" w:lineRule="exact"/>
        <w:rPr>
          <w:sz w:val="20"/>
          <w:szCs w:val="20"/>
          <w:color w:val="auto"/>
        </w:rPr>
      </w:pPr>
    </w:p>
    <w:p>
      <w:pPr>
        <w:jc w:val="both"/>
        <w:ind w:right="280" w:firstLine="457"/>
        <w:spacing w:after="0" w:line="277" w:lineRule="auto"/>
        <w:rPr>
          <w:sz w:val="20"/>
          <w:szCs w:val="20"/>
          <w:color w:val="auto"/>
        </w:rPr>
      </w:pPr>
      <w:r>
        <w:rPr>
          <w:rFonts w:ascii="Arial" w:cs="Arial" w:eastAsia="Arial" w:hAnsi="Arial"/>
          <w:sz w:val="17"/>
          <w:szCs w:val="17"/>
          <w:color w:val="auto"/>
        </w:rPr>
        <w:t>The Series C Warrants are exercisable into 118,083 shares of the Company’s Common Stock. As of September 30, 2018, the fair value of the Series C Warrants was determined to be $2,000, which represents a decrease of $3,000 and $4,000 in fair value during the three and nine months ended September 30, 2018, respectively, both of which were recorded as other income in the condensed consolidated statements of operations.</w:t>
      </w:r>
    </w:p>
    <w:p>
      <w:pPr>
        <w:spacing w:after="0" w:line="92"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tbl>
      <w:tblPr>
        <w:tblLayout w:type="fixed"/>
        <w:tblInd w:w="1380" w:type="dxa"/>
        <w:tblCellMar>
          <w:top w:w="0" w:type="dxa"/>
          <w:left w:w="0" w:type="dxa"/>
          <w:bottom w:w="0" w:type="dxa"/>
          <w:right w:w="0" w:type="dxa"/>
        </w:tblCellMar>
      </w:tblPr>
      <w:tr>
        <w:trPr>
          <w:trHeight w:val="152"/>
        </w:trPr>
        <w:tc>
          <w:tcPr>
            <w:tcW w:w="3380" w:type="dxa"/>
            <w:vAlign w:val="bottom"/>
          </w:tcPr>
          <w:p>
            <w:pPr>
              <w:spacing w:after="0"/>
              <w:rPr>
                <w:sz w:val="13"/>
                <w:szCs w:val="13"/>
                <w:color w:val="auto"/>
              </w:rPr>
            </w:pPr>
          </w:p>
        </w:tc>
        <w:tc>
          <w:tcPr>
            <w:tcW w:w="3460" w:type="dxa"/>
            <w:vAlign w:val="bottom"/>
            <w:gridSpan w:val="3"/>
          </w:tcPr>
          <w:p>
            <w:pPr>
              <w:jc w:val="right"/>
              <w:ind w:right="640"/>
              <w:spacing w:after="0" w:line="153" w:lineRule="exact"/>
              <w:rPr>
                <w:sz w:val="20"/>
                <w:szCs w:val="20"/>
                <w:color w:val="auto"/>
              </w:rPr>
            </w:pPr>
            <w:r>
              <w:rPr>
                <w:rFonts w:ascii="Arial" w:cs="Arial" w:eastAsia="Arial" w:hAnsi="Arial"/>
                <w:sz w:val="14"/>
                <w:szCs w:val="14"/>
                <w:b w:val="1"/>
                <w:bCs w:val="1"/>
                <w:color w:val="auto"/>
              </w:rPr>
              <w:t>September 30, 2018</w:t>
            </w:r>
          </w:p>
        </w:tc>
        <w:tc>
          <w:tcPr>
            <w:tcW w:w="18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16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color w:val="auto"/>
              </w:rPr>
              <w:t>90%</w:t>
            </w:r>
          </w:p>
        </w:tc>
        <w:tc>
          <w:tcPr>
            <w:tcW w:w="50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6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Risk-free rate</w:t>
            </w:r>
          </w:p>
        </w:tc>
        <w:tc>
          <w:tcPr>
            <w:tcW w:w="3460" w:type="dxa"/>
            <w:vAlign w:val="bottom"/>
            <w:gridSpan w:val="3"/>
          </w:tcPr>
          <w:p>
            <w:pPr>
              <w:jc w:val="right"/>
              <w:ind w:right="480"/>
              <w:spacing w:after="0"/>
              <w:rPr>
                <w:sz w:val="20"/>
                <w:szCs w:val="20"/>
                <w:color w:val="auto"/>
              </w:rPr>
            </w:pPr>
            <w:r>
              <w:rPr>
                <w:rFonts w:ascii="Arial" w:cs="Arial" w:eastAsia="Arial" w:hAnsi="Arial"/>
                <w:sz w:val="18"/>
                <w:szCs w:val="18"/>
                <w:color w:val="auto"/>
              </w:rPr>
              <w:t>2.68%</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1"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25" w:lineRule="exact"/>
        <w:rPr>
          <w:sz w:val="20"/>
          <w:szCs w:val="20"/>
          <w:color w:val="auto"/>
        </w:rPr>
      </w:pPr>
    </w:p>
    <w:p>
      <w:pPr>
        <w:ind w:right="60" w:firstLine="457"/>
        <w:spacing w:after="0" w:line="255"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firstLine="457"/>
        <w:spacing w:after="0" w:line="359" w:lineRule="auto"/>
        <w:rPr>
          <w:sz w:val="20"/>
          <w:szCs w:val="20"/>
          <w:color w:val="auto"/>
        </w:rPr>
      </w:pPr>
      <w:r>
        <w:rPr>
          <w:rFonts w:ascii="Arial" w:cs="Arial" w:eastAsia="Arial" w:hAnsi="Arial"/>
          <w:sz w:val="15"/>
          <w:szCs w:val="15"/>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2018, the fair value of the PIPE Warrants was determined to be approximately $6.6 million, which represents a decrease of</w:t>
      </w:r>
    </w:p>
    <w:p>
      <w:pPr>
        <w:spacing w:after="0" w:line="2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$1.4 million and an increase of $1.6 million in fair value during the three and nine months ended September 30, 2018, respectively, both of which were recorded as other income (expense) in the condensed consolidated statements of operations.</w:t>
      </w:r>
    </w:p>
    <w:p>
      <w:pPr>
        <w:spacing w:after="0" w:line="73" w:lineRule="exact"/>
        <w:rPr>
          <w:sz w:val="20"/>
          <w:szCs w:val="20"/>
          <w:color w:val="auto"/>
        </w:rPr>
      </w:pPr>
    </w:p>
    <w:p>
      <w:pPr>
        <w:ind w:right="20" w:firstLine="457"/>
        <w:spacing w:after="0" w:line="255"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8"/>
        </w:trPr>
        <w:tc>
          <w:tcPr>
            <w:tcW w:w="37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05"/>
        </w:trPr>
        <w:tc>
          <w:tcPr>
            <w:tcW w:w="3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20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0"/>
              <w:spacing w:after="0" w:line="206" w:lineRule="exact"/>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67%</w:t>
            </w:r>
          </w:p>
        </w:tc>
      </w:tr>
      <w:tr>
        <w:trPr>
          <w:trHeight w:val="212"/>
        </w:trPr>
        <w:tc>
          <w:tcPr>
            <w:tcW w:w="3780" w:type="dxa"/>
            <w:vAlign w:val="bottom"/>
          </w:tcPr>
          <w:p>
            <w:pPr>
              <w:spacing w:after="0"/>
              <w:rPr>
                <w:sz w:val="20"/>
                <w:szCs w:val="20"/>
                <w:color w:val="auto"/>
              </w:rPr>
            </w:pPr>
            <w:r>
              <w:rPr>
                <w:rFonts w:ascii="Arial" w:cs="Arial" w:eastAsia="Arial" w:hAnsi="Arial"/>
                <w:sz w:val="18"/>
                <w:szCs w:val="18"/>
                <w:color w:val="auto"/>
              </w:rPr>
              <w:t>Expected term (years)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Risk-free rate</w:t>
            </w:r>
          </w:p>
        </w:tc>
        <w:tc>
          <w:tcPr>
            <w:tcW w:w="3460" w:type="dxa"/>
            <w:vAlign w:val="bottom"/>
            <w:gridSpan w:val="3"/>
          </w:tcPr>
          <w:p>
            <w:pPr>
              <w:jc w:val="right"/>
              <w:ind w:right="400"/>
              <w:spacing w:after="0"/>
              <w:rPr>
                <w:sz w:val="20"/>
                <w:szCs w:val="20"/>
                <w:color w:val="auto"/>
              </w:rPr>
            </w:pPr>
            <w:r>
              <w:rPr>
                <w:rFonts w:ascii="Arial" w:cs="Arial" w:eastAsia="Arial" w:hAnsi="Arial"/>
                <w:sz w:val="18"/>
                <w:szCs w:val="18"/>
                <w:color w:val="auto"/>
              </w:rPr>
              <w:t>2.59%</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85"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On July 1, 2015 the Company executed a new four-year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 and in December 2017 the Company subleased this additional space to a third party through the end of the lease term.</w:t>
      </w:r>
    </w:p>
    <w:p>
      <w:pPr>
        <w:spacing w:after="0" w:line="85" w:lineRule="exact"/>
        <w:rPr>
          <w:sz w:val="20"/>
          <w:szCs w:val="20"/>
          <w:color w:val="auto"/>
        </w:rPr>
      </w:pPr>
    </w:p>
    <w:p>
      <w:pPr>
        <w:ind w:right="60" w:firstLine="457"/>
        <w:spacing w:after="0" w:line="277" w:lineRule="auto"/>
        <w:rPr>
          <w:sz w:val="20"/>
          <w:szCs w:val="20"/>
          <w:color w:val="auto"/>
        </w:rPr>
      </w:pPr>
      <w:r>
        <w:rPr>
          <w:rFonts w:ascii="Arial" w:cs="Arial" w:eastAsia="Arial" w:hAnsi="Arial"/>
          <w:sz w:val="17"/>
          <w:szCs w:val="17"/>
          <w:color w:val="auto"/>
        </w:rPr>
        <w:t>The Company also leased office space under a non-cancelable operating lease agreement that was set to expire in May 2015, and in February 2015 the Company signed an amendment to its lease agreement, extending the lease through June 2018. The amendment provided for monthly lease payments of $22,000 beginning in June 2015, with increases in the following two years. The Company subleased this facility in January 2016.</w:t>
      </w:r>
    </w:p>
    <w:p>
      <w:pPr>
        <w:spacing w:after="0" w:line="52" w:lineRule="exact"/>
        <w:rPr>
          <w:sz w:val="20"/>
          <w:szCs w:val="20"/>
          <w:color w:val="auto"/>
        </w:rPr>
      </w:pPr>
    </w:p>
    <w:p>
      <w:pPr>
        <w:ind w:right="240" w:firstLine="457"/>
        <w:spacing w:after="0" w:line="265" w:lineRule="auto"/>
        <w:rPr>
          <w:sz w:val="20"/>
          <w:szCs w:val="20"/>
          <w:color w:val="auto"/>
        </w:rPr>
      </w:pPr>
      <w:r>
        <w:rPr>
          <w:rFonts w:ascii="Arial" w:cs="Arial" w:eastAsia="Arial" w:hAnsi="Arial"/>
          <w:sz w:val="18"/>
          <w:szCs w:val="18"/>
          <w:color w:val="auto"/>
        </w:rPr>
        <w:t>Rent expense was $78,000 and $62,000 for the three months ended September 30, 2018 and 2017, respectively, and was $246,000 and $405,000 for the nine months ended September 30, 2018 and 2017,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9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Company has issued a total of 13,780 shares of Series B Convertible Preferred Stock under the Securities Purchase Agreement entered into on June 29, 2016 with Sabby Healthcare Master Fund Ltd and Sabby Volatility Warrant Fund Ltd, which are funds managed by Sabby Management, LLC, and which the Company collectively refers to as Sabby, as amended by Amendment No. 1 dated September 2016, referred to as the 2016 Sabby Purchase Agreement, with a par value of $0.001 and a stated value of $1,000 per share. The Series B Convertible Preferred Stock is convertible to Common Stock of the Company at the rate of 200 shares of Common Stock for each converted share of Series B Convertible Preferred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 Sabby converted 1,000 shares of Series B Convertible Preferred Stock into 200,000 shares of Common Stock during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457"/>
        <w:spacing w:after="0" w:line="366" w:lineRule="auto"/>
        <w:rPr>
          <w:sz w:val="20"/>
          <w:szCs w:val="20"/>
          <w:color w:val="auto"/>
        </w:rPr>
      </w:pPr>
      <w:r>
        <w:rPr>
          <w:rFonts w:ascii="Arial" w:cs="Arial" w:eastAsia="Arial" w:hAnsi="Arial"/>
          <w:sz w:val="15"/>
          <w:szCs w:val="15"/>
          <w:color w:val="auto"/>
        </w:rPr>
        <w:t>During the nine months ended September 30, 2018 and 2017 Sabby converted 4,571 and 2,731 shares of Series B Convertible Preferred stock into 914,200 and 546,200 shares of Common Stock, respectively. As of September 30, 2018, there were no shares of Series B Convertible Preferred Stock outstanding.</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jc w:val="both"/>
        <w:ind w:right="240" w:firstLine="457"/>
        <w:spacing w:after="0" w:line="252"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which occurred on March 7, 2017 and the receipt of stockholder approval of the Merger at a special meeting of stockholders, which the Company received on March 6, 2017.</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March 7, 2017, the Company completed the Merger with Essentialis and issued 3,783,388 shares of common stock to shareholders of Essentialis.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terms of the Merger Agreement, the Company held back shares of common stock as partial recourse to satisfy indemnification claims. Effective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March 7, 2018, on the 1-year anniversary of the closing of the merger, the Company issued 180,667 shares for the previously held back amount. In the second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quarter of 2018 there were 903,367 additional shares of common stock issued upon the achievement of a development milestone. In total, 4,867,422 shares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common stock were issued to Essentialis stockholders. Additionally, upon the achievement of certain commercial milestones associated with the sale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Essentialis’ product in accordance with the terms of the Merger Agreement, the Company is obligated to make cash earnout payments of up to a maximum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$30 million to Essentialis stockholders. The merger consideration described above will be reduced by any such shares of common stock issuable, or cash earnout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payments payable, to Essentialis’ management carve-out plan participants and other service providers of Essentialis, in each case, in accordance with the terms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of the Merger Agreement.</w:t>
      </w:r>
    </w:p>
    <w:p>
      <w:pPr>
        <w:spacing w:after="0" w:line="206"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provided that, upon the terms and subject to the conditions and limitations set forth therein, Aspire Capital was committed to purchase up to an aggregate of $17.0 million in value of shares of the Company’s common stock over the 30-month term of the purchase agreement. Additionally, on the date of the closing of the financing, as defined in the Merger Agreement, the Company issued to Aspire Capital, and Aspire Capital purchased from the Company an aggregate of $2.0 million of the Company’s common stock.</w:t>
      </w:r>
    </w:p>
    <w:p>
      <w:pPr>
        <w:spacing w:after="0" w:line="195"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In December 2017, the Company entered into a Securities Purchase Agreement, or the Unit Purchase Agreement, with purchasers of the Company’s securities pursuant to which the Company sold and issued 8,141,116 immediately separable units at a price per unit of $1.84 for aggregate gross proceeds of approximately $15.0 million. Each unit consisted of one share of the Company’s common stock and a warrant to purchase 0.74 of a share of the Company’s common stock at an exercise price of $2.00 per share, for an aggregate of 8,141,116 shares of common stock, and corresponding warrants, or the 2017 PIPE Warrants, to purchase 6,024,425 shares of common stock. Soleno refers to the Shares and the Warrant Shares collectively as the Resale Shares. The Company also granted certain registration rights to the investors pursuant to the Unit Purchase Agreement pursuant to which, among other things, the Company prepared and filed a registration statement with the SEC to register for resale the Resale Shares. The registration statement was declared effective in February 2018.</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11"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There have been no grants of stock appreciation rights, performance units or performance shares as of September 30, 2018. As of September 30, 2018, a total of 1,150,218 shares are available for future grant under the 2014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The Company recognized stock-based compensation expense related to options and restricted stock units granted to employees, directors and consultants for the three months ended September 30, 2018 and 2017 of $231,000 and $226,000, respectively of which $20,000 and $23,000 was recorded in discontinued operations during the three months ended September 30, 2018 and 2017, respectively. Stock-based compensation expense related to options and restricted stock units granted to employees, directors and consultants for the nine months ended September 30, 2018 and 2017 was $789,000 and $855,000, respectively of which $58,000 and $106,000 was recorded in discontinued operations during the nine months ended September 30, 2018 and 2017, respectively. The compensation expense is allocated on a departmental basis, based on the classification of the option holder.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39"/>
        </w:trPr>
        <w:tc>
          <w:tcPr>
            <w:tcW w:w="2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39"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39"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05"/>
        </w:trPr>
        <w:tc>
          <w:tcPr>
            <w:tcW w:w="20" w:type="dxa"/>
            <w:vAlign w:val="bottom"/>
          </w:tcPr>
          <w:p>
            <w:pPr>
              <w:spacing w:after="0"/>
              <w:rPr>
                <w:sz w:val="17"/>
                <w:szCs w:val="17"/>
                <w:color w:val="auto"/>
              </w:rPr>
            </w:pPr>
          </w:p>
        </w:tc>
        <w:tc>
          <w:tcPr>
            <w:tcW w:w="3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174</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ind w:right="60" w:firstLine="457"/>
        <w:spacing w:after="0" w:line="330" w:lineRule="auto"/>
        <w:rPr>
          <w:sz w:val="20"/>
          <w:szCs w:val="20"/>
          <w:color w:val="auto"/>
        </w:rPr>
      </w:pPr>
      <w:r>
        <w:rPr>
          <w:rFonts w:ascii="Arial" w:cs="Arial" w:eastAsia="Arial" w:hAnsi="Arial"/>
          <w:sz w:val="15"/>
          <w:szCs w:val="15"/>
          <w:color w:val="auto"/>
        </w:rPr>
        <w:t>No options were granted by the Company during the three months ended September 30, 2018 and 2017. The Company granted options to purchase 736,086 and 622,755 shares of the Company’s common stock during the nine months ended September 30, 2018 and 2017, respectively. The fair value of each award granted was estimated on the date of grant using the Black-Scholes option pricing model with the following assumptions.</w:t>
      </w:r>
    </w:p>
    <w:tbl>
      <w:tblPr>
        <w:tblLayout w:type="fixed"/>
        <w:tblInd w:w="138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22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w w:val="93"/>
              </w:rPr>
              <w:t>Nine Months Ended September 30,</w:t>
            </w:r>
          </w:p>
        </w:tc>
      </w:tr>
      <w:tr>
        <w:trPr>
          <w:trHeight w:val="168"/>
        </w:trPr>
        <w:tc>
          <w:tcPr>
            <w:tcW w:w="6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05"/>
        </w:trPr>
        <w:tc>
          <w:tcPr>
            <w:tcW w:w="6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Expected life (years)</w:t>
            </w:r>
          </w:p>
        </w:tc>
        <w:tc>
          <w:tcPr>
            <w:tcW w:w="10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5.5-6.02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5.5-6.08</w:t>
            </w:r>
          </w:p>
        </w:tc>
      </w:tr>
      <w:tr>
        <w:trPr>
          <w:trHeight w:val="212"/>
        </w:trPr>
        <w:tc>
          <w:tcPr>
            <w:tcW w:w="6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2.7%-2.8%</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1.9%-2.2%</w:t>
            </w:r>
          </w:p>
        </w:tc>
      </w:tr>
      <w:tr>
        <w:trPr>
          <w:trHeight w:val="212"/>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61%-69%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Dividend rate</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109" w:lineRule="exact"/>
        <w:rPr>
          <w:sz w:val="20"/>
          <w:szCs w:val="20"/>
          <w:color w:val="auto"/>
        </w:rPr>
      </w:pPr>
    </w:p>
    <w:p>
      <w:pPr>
        <w:ind w:right="520" w:firstLine="457"/>
        <w:spacing w:after="0" w:line="265"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60" w:lineRule="exact"/>
        <w:rPr>
          <w:sz w:val="20"/>
          <w:szCs w:val="20"/>
          <w:color w:val="auto"/>
        </w:rPr>
      </w:pPr>
    </w:p>
    <w:p>
      <w:pPr>
        <w:ind w:left="900" w:hanging="443"/>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The estimated volatility rate based on a peer index of common stock of comparable companies in the Company’s industry.</w:t>
      </w:r>
    </w:p>
    <w:p>
      <w:pPr>
        <w:spacing w:after="0" w:line="132" w:lineRule="exact"/>
        <w:rPr>
          <w:rFonts w:ascii="Arial" w:cs="Arial" w:eastAsia="Arial" w:hAnsi="Arial"/>
          <w:sz w:val="15"/>
          <w:szCs w:val="15"/>
          <w:color w:val="auto"/>
        </w:rPr>
      </w:pPr>
    </w:p>
    <w:p>
      <w:pPr>
        <w:jc w:val="both"/>
        <w:ind w:left="900" w:right="180" w:hanging="443"/>
        <w:spacing w:after="0" w:line="25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72" w:lineRule="exact"/>
        <w:rPr>
          <w:rFonts w:ascii="Arial" w:cs="Arial" w:eastAsia="Arial" w:hAnsi="Arial"/>
          <w:sz w:val="18"/>
          <w:szCs w:val="18"/>
          <w:color w:val="auto"/>
        </w:rPr>
      </w:pPr>
    </w:p>
    <w:p>
      <w:pPr>
        <w:ind w:left="900" w:hanging="443"/>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Risk-free rate: </w:t>
      </w:r>
      <w:r>
        <w:rPr>
          <w:rFonts w:ascii="Arial" w:cs="Arial" w:eastAsia="Arial" w:hAnsi="Arial"/>
          <w:sz w:val="15"/>
          <w:szCs w:val="15"/>
          <w:color w:val="auto"/>
        </w:rPr>
        <w:t>The risk-free interest rate is based on the yields of U.S. Treasury securities with maturities similar to the expected time to liquidity.</w:t>
      </w:r>
    </w:p>
    <w:p>
      <w:pPr>
        <w:spacing w:after="0" w:line="132" w:lineRule="exact"/>
        <w:rPr>
          <w:rFonts w:ascii="Arial" w:cs="Arial" w:eastAsia="Arial" w:hAnsi="Arial"/>
          <w:sz w:val="15"/>
          <w:szCs w:val="15"/>
          <w:color w:val="auto"/>
        </w:rPr>
      </w:pPr>
    </w:p>
    <w:p>
      <w:pPr>
        <w:ind w:left="900" w:right="340" w:hanging="443"/>
        <w:spacing w:after="0" w:line="26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transactions for the nine months ended September 30, 2018 as issued under the Plans:</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gridSpan w:val="2"/>
          </w:tcPr>
          <w:p>
            <w:pPr>
              <w:jc w:val="center"/>
              <w:ind w:right="40"/>
              <w:spacing w:after="0" w:line="146"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82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Exercise Price per</w:t>
            </w:r>
          </w:p>
        </w:tc>
        <w:tc>
          <w:tcPr>
            <w:tcW w:w="1140" w:type="dxa"/>
            <w:vAlign w:val="bottom"/>
            <w:gridSpan w:val="2"/>
          </w:tcPr>
          <w:p>
            <w:pPr>
              <w:jc w:val="right"/>
              <w:ind w:right="60"/>
              <w:spacing w:after="0" w:line="146" w:lineRule="exact"/>
              <w:rPr>
                <w:sz w:val="20"/>
                <w:szCs w:val="20"/>
                <w:color w:val="auto"/>
              </w:rPr>
            </w:pPr>
            <w:r>
              <w:rPr>
                <w:rFonts w:ascii="Arial" w:cs="Arial" w:eastAsia="Arial" w:hAnsi="Arial"/>
                <w:sz w:val="14"/>
                <w:szCs w:val="14"/>
                <w:b w:val="1"/>
                <w:bCs w:val="1"/>
                <w:color w:val="auto"/>
                <w:w w:val="91"/>
              </w:rPr>
              <w:t>Contractual Term</w:t>
            </w:r>
          </w:p>
        </w:tc>
        <w:tc>
          <w:tcPr>
            <w:tcW w:w="0" w:type="dxa"/>
            <w:vAlign w:val="bottom"/>
          </w:tcPr>
          <w:p>
            <w:pPr>
              <w:spacing w:after="0"/>
              <w:rPr>
                <w:sz w:val="1"/>
                <w:szCs w:val="1"/>
                <w:color w:val="auto"/>
              </w:rPr>
            </w:pPr>
          </w:p>
        </w:tc>
      </w:tr>
      <w:tr>
        <w:trPr>
          <w:trHeight w:val="168"/>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2017</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1,026,987</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9.99</w:t>
            </w:r>
          </w:p>
        </w:tc>
        <w:tc>
          <w:tcPr>
            <w:tcW w:w="7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736,086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1.68</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360"/>
              <w:spacing w:after="0"/>
              <w:rPr>
                <w:sz w:val="20"/>
                <w:szCs w:val="20"/>
                <w:color w:val="auto"/>
              </w:rPr>
            </w:pPr>
            <w:r>
              <w:rPr>
                <w:rFonts w:ascii="Arial" w:cs="Arial" w:eastAsia="Arial" w:hAnsi="Arial"/>
                <w:sz w:val="18"/>
                <w:szCs w:val="18"/>
                <w:color w:val="auto"/>
              </w:rPr>
              <w:t>Options canceled/forfeited</w:t>
            </w:r>
          </w:p>
        </w:tc>
        <w:tc>
          <w:tcPr>
            <w:tcW w:w="6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(95,177)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1,667,896</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vested at September 30, 2018</w:t>
            </w: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40" w:type="dxa"/>
            <w:vAlign w:val="bottom"/>
            <w:vMerge w:val="continue"/>
          </w:tcPr>
          <w:p>
            <w:pPr>
              <w:spacing w:after="0"/>
              <w:rPr>
                <w:sz w:val="17"/>
                <w:szCs w:val="17"/>
                <w:color w:val="auto"/>
              </w:rPr>
            </w:pPr>
          </w:p>
        </w:tc>
        <w:tc>
          <w:tcPr>
            <w:tcW w:w="1820" w:type="dxa"/>
            <w:vAlign w:val="bottom"/>
            <w:gridSpan w:val="3"/>
          </w:tcPr>
          <w:p>
            <w:pPr>
              <w:jc w:val="right"/>
              <w:ind w:right="400"/>
              <w:spacing w:after="0" w:line="205" w:lineRule="exact"/>
              <w:rPr>
                <w:sz w:val="20"/>
                <w:szCs w:val="20"/>
                <w:color w:val="auto"/>
              </w:rPr>
            </w:pPr>
            <w:r>
              <w:rPr>
                <w:rFonts w:ascii="Arial" w:cs="Arial" w:eastAsia="Arial" w:hAnsi="Arial"/>
                <w:sz w:val="18"/>
                <w:szCs w:val="18"/>
                <w:color w:val="auto"/>
              </w:rPr>
              <w:t>739,851</w:t>
            </w:r>
          </w:p>
        </w:tc>
        <w:tc>
          <w:tcPr>
            <w:tcW w:w="600" w:type="dxa"/>
            <w:vAlign w:val="bottom"/>
            <w:gridSpan w:val="2"/>
          </w:tcPr>
          <w:p>
            <w:pPr>
              <w:ind w:left="360"/>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10.44</w:t>
            </w:r>
          </w:p>
        </w:tc>
        <w:tc>
          <w:tcPr>
            <w:tcW w:w="700" w:type="dxa"/>
            <w:vAlign w:val="bottom"/>
          </w:tcPr>
          <w:p>
            <w:pPr>
              <w:spacing w:after="0"/>
              <w:rPr>
                <w:sz w:val="17"/>
                <w:szCs w:val="17"/>
                <w:color w:val="auto"/>
              </w:rPr>
            </w:pPr>
          </w:p>
        </w:tc>
        <w:tc>
          <w:tcPr>
            <w:tcW w:w="11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2"/>
              </w:rPr>
              <w:t>Options vested and expected to vest at September 30, 2018</w:t>
            </w:r>
          </w:p>
        </w:tc>
        <w:tc>
          <w:tcPr>
            <w:tcW w:w="1820" w:type="dxa"/>
            <w:vAlign w:val="bottom"/>
            <w:gridSpan w:val="3"/>
            <w:shd w:val="clear" w:color="auto" w:fill="CCEEFF"/>
          </w:tcPr>
          <w:p>
            <w:pPr>
              <w:jc w:val="right"/>
              <w:ind w:right="400"/>
              <w:spacing w:after="0" w:line="206" w:lineRule="exact"/>
              <w:rPr>
                <w:sz w:val="20"/>
                <w:szCs w:val="20"/>
                <w:color w:val="auto"/>
              </w:rPr>
            </w:pPr>
            <w:r>
              <w:rPr>
                <w:rFonts w:ascii="Arial" w:cs="Arial" w:eastAsia="Arial" w:hAnsi="Arial"/>
                <w:sz w:val="18"/>
                <w:szCs w:val="18"/>
                <w:color w:val="auto"/>
              </w:rPr>
              <w:t>1,667,896</w:t>
            </w:r>
          </w:p>
        </w:tc>
        <w:tc>
          <w:tcPr>
            <w:tcW w:w="600" w:type="dxa"/>
            <w:vAlign w:val="bottom"/>
            <w:gridSpan w:val="2"/>
            <w:shd w:val="clear" w:color="auto" w:fill="CCEEFF"/>
          </w:tcPr>
          <w:p>
            <w:pPr>
              <w:ind w:left="360"/>
              <w:spacing w:after="0" w:line="206"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line="206" w:lineRule="exact"/>
              <w:rPr>
                <w:sz w:val="20"/>
                <w:szCs w:val="20"/>
                <w:color w:val="auto"/>
              </w:rPr>
            </w:pPr>
            <w:r>
              <w:rPr>
                <w:rFonts w:ascii="Arial" w:cs="Arial" w:eastAsia="Arial" w:hAnsi="Arial"/>
                <w:sz w:val="18"/>
                <w:szCs w:val="18"/>
                <w:color w:val="auto"/>
              </w:rPr>
              <w:t>6.06</w:t>
            </w:r>
          </w:p>
        </w:tc>
        <w:tc>
          <w:tcPr>
            <w:tcW w:w="114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18"/>
                <w:szCs w:val="18"/>
                <w:color w:val="auto"/>
              </w:rPr>
              <w:t>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4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3"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457"/>
        <w:spacing w:after="0" w:line="330" w:lineRule="auto"/>
        <w:rPr>
          <w:sz w:val="20"/>
          <w:szCs w:val="20"/>
          <w:color w:val="auto"/>
        </w:rPr>
      </w:pPr>
      <w:r>
        <w:rPr>
          <w:rFonts w:ascii="Arial" w:cs="Arial" w:eastAsia="Arial" w:hAnsi="Arial"/>
          <w:sz w:val="15"/>
          <w:szCs w:val="15"/>
          <w:color w:val="auto"/>
        </w:rPr>
        <w:t>The weighted-average grant date fair value of employee options granted was $1.09 and $3.05 per share for the nine months ended September 30, 2018 and 2017, respectively. At September 30, 2018, total unrecognized employee stock-based compensation was $1.4 million, which is expected to be recognized over the weighted-average remaining vesting period of 2.7 years. As of September 30, 2018, the outstanding stock options had an intrinsic value of $0.4 million.</w:t>
      </w:r>
    </w:p>
    <w:p>
      <w:pPr>
        <w:spacing w:after="0" w:line="137" w:lineRule="exact"/>
        <w:rPr>
          <w:sz w:val="20"/>
          <w:szCs w:val="20"/>
          <w:color w:val="auto"/>
        </w:rPr>
      </w:pPr>
    </w:p>
    <w:p>
      <w:pPr>
        <w:ind w:right="240" w:firstLine="457"/>
        <w:spacing w:after="0" w:line="255"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ind w:right="20" w:firstLine="457"/>
        <w:spacing w:after="0" w:line="255" w:lineRule="auto"/>
        <w:rPr>
          <w:sz w:val="20"/>
          <w:szCs w:val="20"/>
          <w:color w:val="auto"/>
        </w:rPr>
      </w:pPr>
      <w:r>
        <w:rPr>
          <w:rFonts w:ascii="Arial" w:cs="Arial" w:eastAsia="Arial" w:hAnsi="Arial"/>
          <w:sz w:val="18"/>
          <w:szCs w:val="18"/>
          <w:color w:val="auto"/>
        </w:rPr>
        <w:t>There were 99,217 restricted stock units granted by the Company during the nine months ended September 30, 2018 to employees and nonemployees. The shares were 100% vested on the grant date and were valued based on the Company’s common stock price on the grant date, with $159,000 of the related stock-based compensation expense recognized at that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1" w:lineRule="exact"/>
        <w:rPr>
          <w:sz w:val="20"/>
          <w:szCs w:val="20"/>
          <w:color w:val="auto"/>
        </w:rPr>
      </w:pPr>
    </w:p>
    <w:p>
      <w:pPr>
        <w:ind w:right="60" w:firstLine="457"/>
        <w:spacing w:after="0" w:line="318" w:lineRule="auto"/>
        <w:rPr>
          <w:sz w:val="20"/>
          <w:szCs w:val="20"/>
          <w:color w:val="auto"/>
        </w:rPr>
      </w:pPr>
      <w:r>
        <w:rPr>
          <w:rFonts w:ascii="Arial" w:cs="Arial" w:eastAsia="Arial" w:hAnsi="Arial"/>
          <w:sz w:val="15"/>
          <w:szCs w:val="15"/>
          <w:color w:val="auto"/>
        </w:rPr>
        <w:t>Soleno’s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54" w:lineRule="exact"/>
        <w:rPr>
          <w:sz w:val="20"/>
          <w:szCs w:val="20"/>
          <w:color w:val="auto"/>
        </w:rPr>
      </w:pPr>
    </w:p>
    <w:p>
      <w:pPr>
        <w:ind w:left="1460" w:hanging="552"/>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 55,936 shares; or</w:t>
      </w:r>
    </w:p>
    <w:p>
      <w:pPr>
        <w:spacing w:after="0" w:line="124" w:lineRule="exact"/>
        <w:rPr>
          <w:rFonts w:ascii="Arial" w:cs="Arial" w:eastAsia="Arial" w:hAnsi="Arial"/>
          <w:sz w:val="18"/>
          <w:szCs w:val="18"/>
          <w:color w:val="auto"/>
        </w:rPr>
      </w:pPr>
    </w:p>
    <w:p>
      <w:pPr>
        <w:ind w:left="1460" w:hanging="552"/>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2018, there were no purchases by employees under the ESPP.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1" w:lineRule="exact"/>
        <w:rPr>
          <w:sz w:val="20"/>
          <w:szCs w:val="20"/>
          <w:color w:val="auto"/>
        </w:rPr>
      </w:pPr>
    </w:p>
    <w:p>
      <w:pPr>
        <w:ind w:right="140" w:firstLine="457"/>
        <w:spacing w:after="0" w:line="302" w:lineRule="auto"/>
        <w:rPr>
          <w:sz w:val="20"/>
          <w:szCs w:val="20"/>
          <w:color w:val="auto"/>
        </w:rPr>
      </w:pPr>
      <w:r>
        <w:rPr>
          <w:rFonts w:ascii="Arial" w:cs="Arial" w:eastAsia="Arial" w:hAnsi="Arial"/>
          <w:sz w:val="15"/>
          <w:szCs w:val="15"/>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1" w:lineRule="exact"/>
        <w:rPr>
          <w:sz w:val="20"/>
          <w:szCs w:val="20"/>
          <w:color w:val="auto"/>
        </w:rPr>
      </w:pPr>
    </w:p>
    <w:p>
      <w:pPr>
        <w:ind w:right="60" w:firstLine="457"/>
        <w:spacing w:after="0" w:line="252" w:lineRule="auto"/>
        <w:rPr>
          <w:sz w:val="20"/>
          <w:szCs w:val="20"/>
          <w:color w:val="auto"/>
        </w:rPr>
      </w:pPr>
      <w:r>
        <w:rPr>
          <w:rFonts w:ascii="Arial" w:cs="Arial" w:eastAsia="Arial" w:hAnsi="Arial"/>
          <w:sz w:val="18"/>
          <w:szCs w:val="18"/>
          <w:color w:val="auto"/>
        </w:rPr>
        <w:t>As of September 30, 2018, the Company had 102,070 Common Stock warrants outstanding from the 2010/2012 convertible notes, with an exercise price of $24.35 and a term of 10 years expiring in November 2024. The Company also had outstanding 1,851 Common Stock warrants issued in 2009, with an exercise price of $108.00 and a term of 10 years, expiring in January 2019 and 16,500 Common Stock warrants issued to the underwriter in the Company’s IPO, with an exercise price of $35.70 and a term of 10 years, expiring in November 2024.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117"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and nine months ended September 30, 2018 and 2017, the effect of issuing the potential Common Stock is anti-dilutive due to the net losses in those periods and the number of shares used to compute basic and diluted earnings per share are the same in each of those periods.</w:t>
      </w:r>
    </w:p>
    <w:p>
      <w:pPr>
        <w:spacing w:after="0" w:line="155" w:lineRule="exact"/>
        <w:rPr>
          <w:sz w:val="20"/>
          <w:szCs w:val="20"/>
          <w:color w:val="auto"/>
        </w:rPr>
      </w:pPr>
    </w:p>
    <w:p>
      <w:pPr>
        <w:ind w:right="520" w:firstLine="457"/>
        <w:spacing w:after="0" w:line="265"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September 30</w:t>
            </w:r>
          </w:p>
        </w:tc>
      </w:tr>
      <w:tr>
        <w:trPr>
          <w:trHeight w:val="139"/>
        </w:trPr>
        <w:tc>
          <w:tcPr>
            <w:tcW w:w="678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39"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tcBorders>
            <w:gridSpan w:val="2"/>
          </w:tcPr>
          <w:p>
            <w:pPr>
              <w:jc w:val="right"/>
              <w:ind w:right="152"/>
              <w:spacing w:after="0" w:line="13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05"/>
        </w:trPr>
        <w:tc>
          <w:tcPr>
            <w:tcW w:w="67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Convertible preferred stock</w:t>
            </w: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2,009,800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102,070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102,070</w:t>
            </w:r>
          </w:p>
        </w:tc>
        <w:tc>
          <w:tcPr>
            <w:tcW w:w="60" w:type="dxa"/>
            <w:vAlign w:val="bottom"/>
          </w:tcPr>
          <w:p>
            <w:pPr>
              <w:spacing w:after="0"/>
              <w:rPr>
                <w:sz w:val="18"/>
                <w:szCs w:val="18"/>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1,667,896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1,072,004</w:t>
            </w:r>
          </w:p>
        </w:tc>
        <w:tc>
          <w:tcPr>
            <w:tcW w:w="60" w:type="dxa"/>
            <w:vAlign w:val="bottom"/>
            <w:shd w:val="clear" w:color="auto" w:fill="CCEEFF"/>
          </w:tcPr>
          <w:p>
            <w:pPr>
              <w:spacing w:after="0"/>
              <w:rPr>
                <w:sz w:val="18"/>
                <w:szCs w:val="18"/>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1,851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60" w:type="dxa"/>
            <w:vAlign w:val="bottom"/>
            <w:shd w:val="clear" w:color="auto" w:fill="CCEEFF"/>
          </w:tcPr>
          <w:p>
            <w:pPr>
              <w:spacing w:after="0"/>
              <w:rPr>
                <w:sz w:val="18"/>
                <w:szCs w:val="18"/>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485,121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485,121</w:t>
            </w:r>
          </w:p>
        </w:tc>
        <w:tc>
          <w:tcPr>
            <w:tcW w:w="60" w:type="dxa"/>
            <w:vAlign w:val="bottom"/>
          </w:tcPr>
          <w:p>
            <w:pPr>
              <w:spacing w:after="0"/>
              <w:rPr>
                <w:sz w:val="18"/>
                <w:szCs w:val="18"/>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 to purchase 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60" w:type="dxa"/>
            <w:vAlign w:val="bottom"/>
            <w:shd w:val="clear" w:color="auto" w:fill="CCEEFF"/>
          </w:tcPr>
          <w:p>
            <w:pPr>
              <w:spacing w:after="0"/>
              <w:rPr>
                <w:sz w:val="18"/>
                <w:szCs w:val="18"/>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8"/>
                <w:szCs w:val="18"/>
                <w:color w:val="auto"/>
              </w:rPr>
              <w:t>Series D warrants to purchase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586,162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586,162</w:t>
            </w:r>
          </w:p>
        </w:tc>
        <w:tc>
          <w:tcPr>
            <w:tcW w:w="60" w:type="dxa"/>
            <w:vAlign w:val="bottom"/>
          </w:tcPr>
          <w:p>
            <w:pPr>
              <w:spacing w:after="0"/>
              <w:rPr>
                <w:sz w:val="18"/>
                <w:szCs w:val="18"/>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2017 PIPE warrants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6,024,425</w:t>
            </w: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8"/>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9,002,108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4,391,591</w:t>
            </w:r>
          </w:p>
        </w:tc>
        <w:tc>
          <w:tcPr>
            <w:tcW w:w="6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Contingent Consideration</w:t>
      </w:r>
    </w:p>
    <w:p>
      <w:pPr>
        <w:spacing w:after="0" w:line="117" w:lineRule="exact"/>
        <w:rPr>
          <w:sz w:val="20"/>
          <w:szCs w:val="20"/>
          <w:color w:val="auto"/>
        </w:rPr>
      </w:pPr>
    </w:p>
    <w:p>
      <w:pPr>
        <w:ind w:right="180" w:firstLine="457"/>
        <w:spacing w:after="0" w:line="255"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or the Merger Sub, whereby Merger Sub merged into Essentialis, with Essentialis surviving the Merger as a wholly owned subsidiary of the Company.</w:t>
      </w:r>
    </w:p>
    <w:p>
      <w:pPr>
        <w:spacing w:after="0" w:line="123" w:lineRule="exact"/>
        <w:rPr>
          <w:sz w:val="20"/>
          <w:szCs w:val="20"/>
          <w:color w:val="auto"/>
        </w:rPr>
      </w:pPr>
    </w:p>
    <w:p>
      <w:pPr>
        <w:ind w:right="260" w:firstLine="457"/>
        <w:spacing w:after="0" w:line="330" w:lineRule="auto"/>
        <w:rPr>
          <w:sz w:val="20"/>
          <w:szCs w:val="20"/>
          <w:color w:val="auto"/>
        </w:rPr>
      </w:pPr>
      <w:r>
        <w:rPr>
          <w:rFonts w:ascii="Arial" w:cs="Arial" w:eastAsia="Arial" w:hAnsi="Arial"/>
          <w:sz w:val="15"/>
          <w:szCs w:val="15"/>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71"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Upon the achievement of certain commercial milestones associated with the sale of Essentialis’ product in accordance with the terms of the Merger Agreement, the Company is obligated to make cash earnout payments of up to a maximum of $30 million to Essentialis stockholders. 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w:t>
      </w:r>
    </w:p>
    <w:p>
      <w:pPr>
        <w:spacing w:after="0" w:line="98" w:lineRule="exact"/>
        <w:rPr>
          <w:sz w:val="20"/>
          <w:szCs w:val="20"/>
          <w:color w:val="auto"/>
        </w:rPr>
      </w:pPr>
    </w:p>
    <w:p>
      <w:pPr>
        <w:ind w:right="100" w:firstLine="457"/>
        <w:spacing w:after="0" w:line="309" w:lineRule="auto"/>
        <w:rPr>
          <w:sz w:val="20"/>
          <w:szCs w:val="20"/>
          <w:color w:val="auto"/>
        </w:rPr>
      </w:pPr>
      <w:r>
        <w:rPr>
          <w:rFonts w:ascii="Arial" w:cs="Arial" w:eastAsia="Arial" w:hAnsi="Arial"/>
          <w:sz w:val="15"/>
          <w:szCs w:val="15"/>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payable upon timing milestones was reduced; the resulting combined 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w:t>
      </w:r>
    </w:p>
    <w:p>
      <w:pPr>
        <w:spacing w:after="0" w:line="19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80" w:lineRule="exact"/>
        <w:rPr>
          <w:sz w:val="20"/>
          <w:szCs w:val="20"/>
          <w:color w:val="auto"/>
        </w:rPr>
      </w:pPr>
    </w:p>
    <w:p>
      <w:pPr>
        <w:ind w:right="80" w:firstLine="457"/>
        <w:spacing w:after="0" w:line="265" w:lineRule="auto"/>
        <w:rPr>
          <w:sz w:val="20"/>
          <w:szCs w:val="20"/>
          <w:color w:val="auto"/>
        </w:rPr>
      </w:pPr>
      <w:r>
        <w:rPr>
          <w:rFonts w:ascii="Arial" w:cs="Arial" w:eastAsia="Arial" w:hAnsi="Arial"/>
          <w:sz w:val="18"/>
          <w:szCs w:val="18"/>
          <w:color w:val="auto"/>
        </w:rPr>
        <w:t>The probability weighted milestone payments were discounted to determine the present value of future cash payments. The analysis utilized the weighted average cost of capital, or WACC, discount rate which was estimated to be 20%.</w:t>
      </w:r>
    </w:p>
    <w:p>
      <w:pPr>
        <w:spacing w:after="0" w:line="179" w:lineRule="exact"/>
        <w:rPr>
          <w:sz w:val="20"/>
          <w:szCs w:val="20"/>
          <w:color w:val="auto"/>
        </w:rPr>
      </w:pPr>
    </w:p>
    <w:p>
      <w:pPr>
        <w:ind w:right="180" w:firstLine="457"/>
        <w:spacing w:after="0" w:line="277" w:lineRule="auto"/>
        <w:rPr>
          <w:sz w:val="20"/>
          <w:szCs w:val="20"/>
          <w:color w:val="auto"/>
        </w:rPr>
      </w:pPr>
      <w:r>
        <w:rPr>
          <w:rFonts w:ascii="Arial" w:cs="Arial" w:eastAsia="Arial" w:hAnsi="Arial"/>
          <w:sz w:val="17"/>
          <w:szCs w:val="17"/>
          <w:color w:val="auto"/>
        </w:rPr>
        <w:t>The fair value of the liability for the contingent consideration payable by the Company achieving the commercial sales milestones of $100 million and $200 million was initially established as approximately $2.6 million at the time of the merger and approximately $5.7 million at September 30, 2018, based on the Company’s assessment that it could reach the commercial sales milestones in 2024 and 2026,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17"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In 2017, the Compensation Committee of the Board of Directors recommended, and the Board approved a revised compensation plan pursuant to which all board fees are paid in Common Stock of the Company. Payment to the Board of Directors in shares of the Company’s Common Stock is made after the close of the quarter in which the compensation is earned. During the nine months ended September 30, 2018 and 2017, the Company issued 98,818 and 58,589 shares, respectively, of Common Stock to its Board members for fees earned.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117" w:lineRule="exact"/>
        <w:rPr>
          <w:sz w:val="20"/>
          <w:szCs w:val="20"/>
          <w:color w:val="auto"/>
        </w:rPr>
      </w:pPr>
    </w:p>
    <w:p>
      <w:pPr>
        <w:ind w:right="180" w:firstLine="457"/>
        <w:spacing w:after="0" w:line="301" w:lineRule="auto"/>
        <w:rPr>
          <w:sz w:val="20"/>
          <w:szCs w:val="20"/>
          <w:color w:val="auto"/>
        </w:rPr>
      </w:pPr>
      <w:r>
        <w:rPr>
          <w:rFonts w:ascii="Arial" w:cs="Arial" w:eastAsia="Arial" w:hAnsi="Arial"/>
          <w:sz w:val="15"/>
          <w:szCs w:val="15"/>
          <w:color w:val="auto"/>
        </w:rPr>
        <w:t>The Joint Venture Agreement between the Company and OAHL provides that the Company’s previously wholly-owned subsidiary, Capnia, will issue common shares to OAHL when the cumulative investment made by OAHL equals or exceeds $1.2 million (see Note 5). In October 2018, the Company and OAHL determined and agreed that the cumulative investment made by OAHL exceeded $1.2 million during the quarter ended September 30, 2018, once each entity had concluded its quarterly and year-to-date record-keeping. As of September 30, 2018, Capnia had issued no shares of common stock to OAHL as the Company and OAHL had not concluded their review prior to the end of the quarter. Immediately after the close of the quarter ended September 30, 2018, the Company and OAHL reconciled and determined that the cumulative investment made by OAHL was $1,690,000 as of the end of the September 2018 quarter and Capnia issued 1,690,322 shares of its common stock to OAHL. Accordingly, the total shares of Capnia’s issued and outstanding common stock as of October 16, 2018, is 3,170,322, of which OAHL owns 1,690,322 shares, or 53.3% of the total outstanding shares, and the Company owns 1,480,000 shares, or 46.7% of the shares outstanding. After the sale by Capnia of the 53.3% of its common stock shares, Soleno will no longer have a controlling interest in Capnia and the financial statements of the previously wholly-owned subsidiary will no longer be consolidated with those of the Company. The Company’s remaining 46.7% ownership in Capnia will be recorded as an investment and initially measured at fair value. Any gain or loss on the deconsolidation will be included in Other income (expense) in the Company’s Consolidated Statement of Operations during the fourth quarter of 2018.</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3"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117" w:lineRule="exact"/>
        <w:rPr>
          <w:sz w:val="20"/>
          <w:szCs w:val="20"/>
          <w:color w:val="auto"/>
        </w:rPr>
      </w:pPr>
    </w:p>
    <w:p>
      <w:pPr>
        <w:ind w:right="20" w:firstLine="457"/>
        <w:spacing w:after="0" w:line="307" w:lineRule="auto"/>
        <w:rPr>
          <w:sz w:val="20"/>
          <w:szCs w:val="20"/>
          <w:color w:val="auto"/>
        </w:rPr>
      </w:pPr>
      <w:r>
        <w:rPr>
          <w:rFonts w:ascii="Arial" w:cs="Arial" w:eastAsia="Arial" w:hAnsi="Arial"/>
          <w:sz w:val="15"/>
          <w:szCs w:val="15"/>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contained in the Company’s Form 10-K for the year ended December 31, 2017.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 xml:space="preserve">We were incorporated in the State of Delaware on August 25, 1999, and are located in Redwood City, California. On May 8, 2017, we received stockholder approval to amend our Amended and Restated Certificate of Incorporation to change our name from “Capnia, Inc.” to “Soleno Therapeutics, Inc.” We were initially established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94" w:lineRule="exact"/>
        <w:rPr>
          <w:sz w:val="20"/>
          <w:szCs w:val="20"/>
          <w:color w:val="auto"/>
        </w:rPr>
      </w:pPr>
    </w:p>
    <w:p>
      <w:pPr>
        <w:ind w:right="520" w:firstLine="457"/>
        <w:spacing w:after="0" w:line="265" w:lineRule="auto"/>
        <w:rPr>
          <w:sz w:val="20"/>
          <w:szCs w:val="20"/>
          <w:color w:val="auto"/>
        </w:rPr>
      </w:pPr>
      <w:r>
        <w:rPr>
          <w:rFonts w:ascii="Arial" w:cs="Arial" w:eastAsia="Arial" w:hAnsi="Arial"/>
          <w:sz w:val="18"/>
          <w:szCs w:val="18"/>
          <w:color w:val="auto"/>
        </w:rPr>
        <w:t>Our previously wholly-owned subsidiary NFI also marketed innovative pulmonary resuscitation solutions for the inpatient and ambulatory neonatal markets.</w:t>
      </w:r>
    </w:p>
    <w:p>
      <w:pPr>
        <w:spacing w:after="0" w:line="179" w:lineRule="exact"/>
        <w:rPr>
          <w:sz w:val="20"/>
          <w:szCs w:val="20"/>
          <w:color w:val="auto"/>
        </w:rPr>
      </w:pPr>
    </w:p>
    <w:p>
      <w:pPr>
        <w:ind w:right="40" w:firstLine="457"/>
        <w:spacing w:after="0" w:line="249" w:lineRule="auto"/>
        <w:rPr>
          <w:sz w:val="20"/>
          <w:szCs w:val="20"/>
          <w:color w:val="auto"/>
        </w:rPr>
      </w:pPr>
      <w:r>
        <w:rPr>
          <w:rFonts w:ascii="Arial" w:cs="Arial" w:eastAsia="Arial" w:hAnsi="Arial"/>
          <w:sz w:val="18"/>
          <w:szCs w:val="18"/>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DCCR as a treatment for PWS, a complex metabolic/neurobehavioral disorder. DCCR has orphan designation for the treatment of PWS in the U.S. as well as in the E.U.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was held on March 6, 2017.</w:t>
      </w:r>
    </w:p>
    <w:p>
      <w:pPr>
        <w:spacing w:after="0" w:line="194"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We subsequently explored opportunities, and made a decision to divest, sell or otherwise dispose of the CoSense, NFI and Serenz businesses. Accordingly, and pursuant to ASC 205-20-45-10, the assets and liabilities related to the discontinued activities of CoSense, NFI and Serenz businesses are presented separately in the balance sheet as held for sale items, and the related operations reported herein for the CoSense, NFI and Serenz activities are reported as discontinued operations in the Statement of Operations.</w:t>
      </w:r>
    </w:p>
    <w:p>
      <w:pPr>
        <w:spacing w:after="0" w:line="191" w:lineRule="exact"/>
        <w:rPr>
          <w:sz w:val="20"/>
          <w:szCs w:val="20"/>
          <w:color w:val="auto"/>
        </w:rPr>
      </w:pPr>
    </w:p>
    <w:p>
      <w:pPr>
        <w:ind w:right="440" w:firstLine="457"/>
        <w:spacing w:after="0" w:line="366" w:lineRule="auto"/>
        <w:rPr>
          <w:sz w:val="20"/>
          <w:szCs w:val="20"/>
          <w:color w:val="auto"/>
        </w:rPr>
      </w:pPr>
      <w:r>
        <w:rPr>
          <w:rFonts w:ascii="Arial" w:cs="Arial" w:eastAsia="Arial" w:hAnsi="Arial"/>
          <w:sz w:val="15"/>
          <w:szCs w:val="15"/>
          <w:color w:val="auto"/>
        </w:rPr>
        <w:t>We now primarily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10" w:lineRule="exact"/>
        <w:rPr>
          <w:sz w:val="20"/>
          <w:szCs w:val="20"/>
          <w:color w:val="auto"/>
        </w:rPr>
      </w:pPr>
    </w:p>
    <w:p>
      <w:pPr>
        <w:jc w:val="both"/>
        <w:ind w:right="300" w:firstLine="457"/>
        <w:spacing w:after="0" w:line="255" w:lineRule="auto"/>
        <w:rPr>
          <w:sz w:val="20"/>
          <w:szCs w:val="20"/>
          <w:color w:val="auto"/>
        </w:rPr>
      </w:pPr>
      <w:r>
        <w:rPr>
          <w:rFonts w:ascii="Arial" w:cs="Arial" w:eastAsia="Arial" w:hAnsi="Arial"/>
          <w:sz w:val="18"/>
          <w:szCs w:val="18"/>
          <w:color w:val="auto"/>
        </w:rPr>
        <w:t>We sold NFI in a stock transaction that was completed on July 18, 2017, pursuant to the NFI Purchase Agreement with Neoforce Holdings, a wholly-owned subsidiary of Flexicare Medical Limited, a privately-held United Kingdom company, for $720,000 and adjustments for inventory and the current cash balances held at NFI (see Note 5).</w:t>
      </w:r>
    </w:p>
    <w:p>
      <w:pPr>
        <w:spacing w:after="0" w:line="189" w:lineRule="exact"/>
        <w:rPr>
          <w:sz w:val="20"/>
          <w:szCs w:val="20"/>
          <w:color w:val="auto"/>
        </w:rPr>
      </w:pPr>
    </w:p>
    <w:p>
      <w:pPr>
        <w:ind w:right="640" w:firstLine="457"/>
        <w:spacing w:after="0" w:line="265" w:lineRule="auto"/>
        <w:rPr>
          <w:sz w:val="20"/>
          <w:szCs w:val="20"/>
          <w:color w:val="auto"/>
        </w:rPr>
      </w:pPr>
      <w:r>
        <w:rPr>
          <w:rFonts w:ascii="Arial" w:cs="Arial" w:eastAsia="Arial" w:hAnsi="Arial"/>
          <w:sz w:val="18"/>
          <w:szCs w:val="18"/>
          <w:color w:val="auto"/>
        </w:rPr>
        <w:t>On December 4, 2017, we, and our wholly-owned subsidiary, Capnia, entered into a joint venture with OAHL with the purpose of developing and commercializing CoSense.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separately evaluate alternatives for our Serenz portfolio.</w:t>
      </w:r>
    </w:p>
    <w:p>
      <w:pPr>
        <w:spacing w:after="0" w:line="217" w:lineRule="exact"/>
        <w:rPr>
          <w:sz w:val="20"/>
          <w:szCs w:val="20"/>
          <w:color w:val="auto"/>
        </w:rPr>
      </w:pPr>
    </w:p>
    <w:p>
      <w:pPr>
        <w:ind w:right="100" w:firstLine="457"/>
        <w:spacing w:after="0" w:line="265" w:lineRule="auto"/>
        <w:rPr>
          <w:sz w:val="20"/>
          <w:szCs w:val="20"/>
          <w:color w:val="auto"/>
        </w:rPr>
      </w:pPr>
      <w:r>
        <w:rPr>
          <w:rFonts w:ascii="Arial" w:cs="Arial" w:eastAsia="Arial" w:hAnsi="Arial"/>
          <w:sz w:val="18"/>
          <w:szCs w:val="18"/>
          <w:color w:val="auto"/>
        </w:rPr>
        <w:t>On July 27, 2018 the FDA has granted Fast Track designation to DCCR for the treatment of PWS. Soleno is currently conducting a Phase III clinical trial of DCCR for the treatment of PWS.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 from continuing operations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92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8"/>
              <w:spacing w:after="0" w:line="13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39"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39"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auto"/>
            </w:tcBorders>
            <w:gridSpan w:val="5"/>
          </w:tcPr>
          <w:p>
            <w:pPr>
              <w:jc w:val="center"/>
              <w:spacing w:after="0" w:line="139" w:lineRule="exact"/>
              <w:rPr>
                <w:sz w:val="20"/>
                <w:szCs w:val="20"/>
                <w:color w:val="auto"/>
              </w:rPr>
            </w:pPr>
            <w:r>
              <w:rPr>
                <w:rFonts w:ascii="Arial" w:cs="Arial" w:eastAsia="Arial" w:hAnsi="Arial"/>
                <w:sz w:val="14"/>
                <w:szCs w:val="14"/>
                <w:color w:val="auto"/>
                <w:w w:val="90"/>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$ 2,092</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$ 1,146</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1,685</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700"/>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(3,878)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(2,631)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(1,247)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Cease-use income</w:t>
            </w:r>
          </w:p>
        </w:tc>
        <w:tc>
          <w:tcPr>
            <w:tcW w:w="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20" w:type="dxa"/>
            <w:vAlign w:val="bottom"/>
            <w:gridSpan w:val="2"/>
            <w:vMerge w:val="continue"/>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(3,786)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$ 1,050</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1" w:lineRule="exact"/>
        <w:rPr>
          <w:sz w:val="20"/>
          <w:szCs w:val="20"/>
          <w:color w:val="auto"/>
        </w:rPr>
      </w:pPr>
    </w:p>
    <w:p>
      <w:pPr>
        <w:jc w:val="both"/>
        <w:ind w:right="40" w:firstLine="457"/>
        <w:spacing w:after="0" w:line="265"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September 30, 2018, have generated no revenue from continuing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1" w:lineRule="exact"/>
        <w:rPr>
          <w:sz w:val="20"/>
          <w:szCs w:val="20"/>
          <w:color w:val="auto"/>
        </w:rPr>
      </w:pPr>
    </w:p>
    <w:p>
      <w:pPr>
        <w:jc w:val="both"/>
        <w:ind w:right="40" w:firstLine="457"/>
        <w:spacing w:after="0" w:line="255" w:lineRule="auto"/>
        <w:rPr>
          <w:sz w:val="20"/>
          <w:szCs w:val="20"/>
          <w:color w:val="auto"/>
        </w:rPr>
      </w:pPr>
      <w:r>
        <w:rPr>
          <w:rFonts w:ascii="Arial" w:cs="Arial" w:eastAsia="Arial" w:hAnsi="Arial"/>
          <w:sz w:val="18"/>
          <w:szCs w:val="18"/>
          <w:color w:val="auto"/>
        </w:rPr>
        <w:t>Research and development expense of $2.1 million for the three months ended September 30, 2018 increased by $1.1 million over the three months ended September 30, 2017, resulting primarily from efforts directed toward development and commencement, during the quarter ended June 30, 2018, of the Phase III trial of DCCR which we acquired with the Essentialis acquisition on March 7,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1" w:lineRule="exact"/>
        <w:rPr>
          <w:sz w:val="20"/>
          <w:szCs w:val="20"/>
          <w:color w:val="auto"/>
        </w:rPr>
      </w:pPr>
    </w:p>
    <w:p>
      <w:pPr>
        <w:ind w:firstLine="457"/>
        <w:spacing w:after="0" w:line="277" w:lineRule="auto"/>
        <w:rPr>
          <w:sz w:val="20"/>
          <w:szCs w:val="20"/>
          <w:color w:val="auto"/>
        </w:rPr>
      </w:pPr>
      <w:r>
        <w:rPr>
          <w:rFonts w:ascii="Arial" w:cs="Arial" w:eastAsia="Arial" w:hAnsi="Arial"/>
          <w:sz w:val="17"/>
          <w:szCs w:val="17"/>
          <w:color w:val="auto"/>
        </w:rPr>
        <w:t>General and administrative expense of $1.6 million for the three months ended September 30, 2018 decreased $127,000 from the three months ended September 30, 2017. The decrease was primarily a result of a decrease in personnel related expenses of $92,000 due to planned headcount reductions as well as a $30,000 decrease in rent expense as the lease on one of the Company’s facilities expired on June 30, 2018.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1"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8"/>
          <w:szCs w:val="18"/>
          <w:color w:val="auto"/>
        </w:rPr>
        <w:t>The $228,000 for the three months ended September 30, 2018 represents the change in the fair value of the additional consideration that we expect to pay Essentialis stockholders based on our assessment of the expected likelihood of achieving commercial sales milestones of $100 million and $200 million in future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income of $1.6 million in the three months ended September 30, 2018, increased by $1.4 million from the three months ended September 30, 2017.</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This increase was primarily due to a $1.4 million larger decrease in the fair value for the Company’s outstanding warrants during the three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of which $1.4 million relates to the decrease in the valuation of the 2017 PIPE warrants.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 from continuing operations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192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39"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39"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jc w:val="center"/>
              <w:ind w:right="13"/>
              <w:spacing w:after="0" w:line="139"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4,986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$ 2,940</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tcPr>
          <w:p>
            <w:pPr>
              <w:ind w:left="104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(3,794)</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income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(1,520)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340"/>
              <w:spacing w:after="0"/>
              <w:rPr>
                <w:sz w:val="20"/>
                <w:szCs w:val="20"/>
                <w:color w:val="auto"/>
              </w:rPr>
            </w:pPr>
            <w:r>
              <w:rPr>
                <w:rFonts w:ascii="Arial" w:cs="Arial" w:eastAsia="Arial" w:hAnsi="Arial"/>
                <w:sz w:val="18"/>
                <w:szCs w:val="18"/>
                <w:color w:val="auto"/>
              </w:rPr>
              <w:t>Other expense</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(847)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(12,234)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(4,641)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(13,598)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(10,642)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1" w:lineRule="exact"/>
        <w:rPr>
          <w:sz w:val="20"/>
          <w:szCs w:val="20"/>
          <w:color w:val="auto"/>
        </w:rPr>
      </w:pPr>
    </w:p>
    <w:p>
      <w:pPr>
        <w:ind w:right="40" w:firstLine="457"/>
        <w:spacing w:after="0" w:line="265"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September 30, 2018, have generated no revenue from continuing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1" w:lineRule="exact"/>
        <w:rPr>
          <w:sz w:val="20"/>
          <w:szCs w:val="20"/>
          <w:color w:val="auto"/>
        </w:rPr>
      </w:pPr>
    </w:p>
    <w:p>
      <w:pPr>
        <w:jc w:val="both"/>
        <w:ind w:right="80" w:firstLine="457"/>
        <w:spacing w:after="0" w:line="255" w:lineRule="auto"/>
        <w:rPr>
          <w:sz w:val="20"/>
          <w:szCs w:val="20"/>
          <w:color w:val="auto"/>
        </w:rPr>
      </w:pPr>
      <w:r>
        <w:rPr>
          <w:rFonts w:ascii="Arial" w:cs="Arial" w:eastAsia="Arial" w:hAnsi="Arial"/>
          <w:sz w:val="18"/>
          <w:szCs w:val="18"/>
          <w:color w:val="auto"/>
        </w:rPr>
        <w:t>Research and development expense of $5.0 million for the nine months ended September 30, 2018 increased by $2.9 million over the nine months ended September 30, 2017, resulting primarily from efforts directed toward development and commencement, during the quarter ended June 30, 2018, of the Phase III trial of DCCR which we acquired with the Essentialis acquisition on March 7,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1" w:lineRule="exact"/>
        <w:rPr>
          <w:sz w:val="20"/>
          <w:szCs w:val="20"/>
          <w:color w:val="auto"/>
        </w:rPr>
      </w:pPr>
    </w:p>
    <w:p>
      <w:pPr>
        <w:jc w:val="both"/>
        <w:ind w:right="120" w:firstLine="457"/>
        <w:spacing w:after="0" w:line="255" w:lineRule="auto"/>
        <w:rPr>
          <w:sz w:val="20"/>
          <w:szCs w:val="20"/>
          <w:color w:val="auto"/>
        </w:rPr>
      </w:pPr>
      <w:r>
        <w:rPr>
          <w:rFonts w:ascii="Arial" w:cs="Arial" w:eastAsia="Arial" w:hAnsi="Arial"/>
          <w:sz w:val="18"/>
          <w:szCs w:val="18"/>
          <w:color w:val="auto"/>
        </w:rPr>
        <w:t>Sales and marketing expense of $26,000 for the nine months ended September 30, 2017 consisted of expense incurred to revise our website. We have not yet commenced commercialization of DCCR, our current sole novel therapeutic product, and accordingly, through September 30, 2018, have incurred no sales and marketing activities in continuing operations.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1"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General and administrative expense of $5.2 million for the nine months ended September 30, 2018 increased $291,000 over the nine months ended September 30, 2017. The increase was primarily from a $415,000 increase in the amortization expense of the patent intangible acquired in the March 7, 2017 acquisition of Essentialis, as 2017 only had amortization for a portion of the nine months compared to the entire period in 2018. In addition, during the three months ended March 31, 2017, $267,000 of legal fees that had been previously recorded as expense in an earlier quarter were reclassified as transaction costs, which increased the cost of the intangible asset acquired with the Merger with Essentialis. Professional fees and investor communication expenses also increased by $353,000 between the two periods, primarily related to financing activities and regulatory filings required in 2018. These increases were offset by a decrease in employee and consultant-related expenses of $492,000 due to planned reductions, and $217,000 of general planned cost reductions including the sublease of excess facility space during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1" w:lineRule="exact"/>
        <w:rPr>
          <w:sz w:val="20"/>
          <w:szCs w:val="20"/>
          <w:color w:val="auto"/>
        </w:rPr>
      </w:pPr>
    </w:p>
    <w:p>
      <w:pPr>
        <w:ind w:right="240" w:firstLine="457"/>
        <w:spacing w:after="0" w:line="255" w:lineRule="auto"/>
        <w:rPr>
          <w:sz w:val="20"/>
          <w:szCs w:val="20"/>
          <w:color w:val="auto"/>
        </w:rPr>
      </w:pPr>
      <w:r>
        <w:rPr>
          <w:rFonts w:ascii="Arial" w:cs="Arial" w:eastAsia="Arial" w:hAnsi="Arial"/>
          <w:sz w:val="18"/>
          <w:szCs w:val="18"/>
          <w:color w:val="auto"/>
        </w:rPr>
        <w:t>The change in fair value of contingent consideration in the amount of $589,000 for the nine months ended September 30, 2018 represents the change in the fair value of the additional consideration that we expect to pay Essentialis stockholders based on our assessment of the expected likelihood of achieving commercial sales milestones of $100 million and $200 million in future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1" w:lineRule="exact"/>
        <w:rPr>
          <w:sz w:val="20"/>
          <w:szCs w:val="20"/>
          <w:color w:val="auto"/>
        </w:rPr>
      </w:pPr>
    </w:p>
    <w:p>
      <w:pPr>
        <w:ind w:right="240" w:firstLine="457"/>
        <w:spacing w:after="0" w:line="250" w:lineRule="auto"/>
        <w:rPr>
          <w:sz w:val="20"/>
          <w:szCs w:val="20"/>
          <w:color w:val="auto"/>
        </w:rPr>
      </w:pPr>
      <w:r>
        <w:rPr>
          <w:rFonts w:ascii="Arial" w:cs="Arial" w:eastAsia="Arial" w:hAnsi="Arial"/>
          <w:sz w:val="18"/>
          <w:szCs w:val="18"/>
          <w:color w:val="auto"/>
        </w:rPr>
        <w:t>Net other expense of $1.5 million in the nine months ended September 30, 2018, increased by $847,000 from net other expense of $621,000 in the nine months ended September 30, 2017. This increase was primarily due to a $1.5 million increase in the fair value for the Company’s outstanding warrants during the nine months ended September 30, 2018, primarily for the 2017 PIPE warrants. This amount was partially offset by a $670,000 decrease in expense due primarily to the fact that during the nine months ended September 30, 2017 there were commitment shares issued to Aspire Capital with a value of approximately $600,000.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Discontinued operations consist of our activities previously dedicated to the development and commercialization of innovative diagnostics, devices and therapeutics addressing unmet medical needs, which consisted of: precision metering of gas flow technology marketed as Serenz </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 </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NFI,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 from discontinued operations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4"/>
              </w:rPr>
              <w:t>Increase (decrease)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39"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gridSpan w:val="2"/>
          </w:tcPr>
          <w:p>
            <w:pPr>
              <w:jc w:val="right"/>
              <w:ind w:right="20"/>
              <w:spacing w:after="0" w:line="13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jc w:val="center"/>
              <w:ind w:right="33"/>
              <w:spacing w:after="0" w:line="139" w:lineRule="exact"/>
              <w:rPr>
                <w:sz w:val="20"/>
                <w:szCs w:val="20"/>
                <w:color w:val="auto"/>
              </w:rPr>
            </w:pPr>
            <w:r>
              <w:rPr>
                <w:rFonts w:ascii="Arial" w:cs="Arial" w:eastAsia="Arial" w:hAnsi="Arial"/>
                <w:sz w:val="14"/>
                <w:szCs w:val="14"/>
                <w:color w:val="auto"/>
                <w:w w:val="90"/>
              </w:rPr>
              <w:t>(in thousands)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(326)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1040"/>
              <w:spacing w:after="0"/>
              <w:rPr>
                <w:sz w:val="20"/>
                <w:szCs w:val="20"/>
                <w:color w:val="auto"/>
              </w:rPr>
            </w:pPr>
            <w:r>
              <w:rPr>
                <w:rFonts w:ascii="Arial" w:cs="Arial" w:eastAsia="Arial" w:hAnsi="Arial"/>
                <w:sz w:val="18"/>
                <w:szCs w:val="18"/>
                <w:color w:val="auto"/>
              </w:rPr>
              <w:t>Total operating expenses</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(442)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expense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Net loss from discontinued operations</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gridSpan w:val="2"/>
            <w:vMerge w:val="continue"/>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(1,294)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60" w:type="dxa"/>
            <w:vAlign w:val="bottom"/>
            <w:vMerge w:val="restart"/>
          </w:tcPr>
          <w:p>
            <w:pPr>
              <w:jc w:val="right"/>
              <w:ind w:right="123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1"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Revenue related to our discontinued operations was $6,000 during the three months ended September 30, 2018, a $55,000 decrease from the three months ended September 30, 2017, resulting primarily from the sale of the NFI business in July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1" w:lineRule="exact"/>
        <w:rPr>
          <w:sz w:val="20"/>
          <w:szCs w:val="20"/>
          <w:color w:val="auto"/>
        </w:rPr>
      </w:pPr>
    </w:p>
    <w:p>
      <w:pPr>
        <w:ind w:right="100" w:firstLine="457"/>
        <w:spacing w:after="0" w:line="255" w:lineRule="auto"/>
        <w:rPr>
          <w:sz w:val="20"/>
          <w:szCs w:val="20"/>
          <w:color w:val="auto"/>
        </w:rPr>
      </w:pPr>
      <w:r>
        <w:rPr>
          <w:rFonts w:ascii="Arial" w:cs="Arial" w:eastAsia="Arial" w:hAnsi="Arial"/>
          <w:sz w:val="18"/>
          <w:szCs w:val="18"/>
          <w:color w:val="auto"/>
        </w:rPr>
        <w:t>Cost of product revenue related to our discontinued operations has declined in relation to the decrease in sales activity, resulting from the sale of the NFI business in July 2017. The negative gross profit of $(176,000) during the three months ended September 30, 2017 was the result of the write-off of Serenz product inventory.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1" w:lineRule="exact"/>
        <w:rPr>
          <w:sz w:val="20"/>
          <w:szCs w:val="20"/>
          <w:color w:val="auto"/>
        </w:rPr>
      </w:pPr>
    </w:p>
    <w:p>
      <w:pPr>
        <w:ind w:right="440" w:firstLine="457"/>
        <w:spacing w:after="0" w:line="255" w:lineRule="auto"/>
        <w:rPr>
          <w:sz w:val="20"/>
          <w:szCs w:val="20"/>
          <w:color w:val="auto"/>
        </w:rPr>
      </w:pPr>
      <w:r>
        <w:rPr>
          <w:rFonts w:ascii="Arial" w:cs="Arial" w:eastAsia="Arial" w:hAnsi="Arial"/>
          <w:sz w:val="18"/>
          <w:szCs w:val="18"/>
          <w:color w:val="auto"/>
        </w:rPr>
        <w:t>Research and development expense related to our discontinued operations decreased by $326,000 from the three months ended September 30, 2017 compared to the same period of 2018. The decrease resulted primarily from the sale of NFI in July 2017, and the curtailment of spending towards the development of the Serenz product commencing in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1"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Sales and marketing expense during the three months ended September 30, 2018 was $1,000, representing a $36,000 decrease from the three months ended September 30, 2017. The decrease is largely attributed to our stopping the promotion and sales of the Serenz product in the second quarter of 2017. The sales and marketing expenses relating to our discontinued operations during the three months ended September 30, 2018 relate only to Capnia’s marketing of its CoSense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1" w:lineRule="exact"/>
        <w:rPr>
          <w:sz w:val="20"/>
          <w:szCs w:val="20"/>
          <w:color w:val="auto"/>
        </w:rPr>
      </w:pPr>
    </w:p>
    <w:p>
      <w:pPr>
        <w:ind w:right="360" w:firstLine="457"/>
        <w:spacing w:after="0" w:line="366" w:lineRule="auto"/>
        <w:rPr>
          <w:sz w:val="20"/>
          <w:szCs w:val="20"/>
          <w:color w:val="auto"/>
        </w:rPr>
      </w:pPr>
      <w:r>
        <w:rPr>
          <w:rFonts w:ascii="Arial" w:cs="Arial" w:eastAsia="Arial" w:hAnsi="Arial"/>
          <w:sz w:val="15"/>
          <w:szCs w:val="15"/>
          <w:color w:val="auto"/>
        </w:rPr>
        <w:t>General and administrative expense associated with our discontinued operations was $124,000 during the three months ended September 30, 2018, a decrease of $80,000 from the three months ended September 30, 2017, which decrease was primarily due to the sale of the NFI business in July 2017.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expense associated with discontinued operations during the three months ended September 31, 2017 relates to NFI, which was sold in July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111" w:lineRule="exact"/>
        <w:rPr>
          <w:sz w:val="20"/>
          <w:szCs w:val="20"/>
          <w:color w:val="auto"/>
        </w:rPr>
      </w:pPr>
    </w:p>
    <w:p>
      <w:pPr>
        <w:ind w:right="160" w:firstLine="457"/>
        <w:spacing w:after="0" w:line="265" w:lineRule="auto"/>
        <w:rPr>
          <w:sz w:val="20"/>
          <w:szCs w:val="20"/>
          <w:color w:val="auto"/>
        </w:rPr>
      </w:pPr>
      <w:r>
        <w:rPr>
          <w:rFonts w:ascii="Arial" w:cs="Arial" w:eastAsia="Arial" w:hAnsi="Arial"/>
          <w:sz w:val="18"/>
          <w:szCs w:val="18"/>
          <w:color w:val="auto"/>
        </w:rPr>
        <w:t>In July 2017 we completed the sale of stock of our wholly-owned subsidiary, NFI. A loss was recorded on the sale in the amount of $208,000 as the net book value of assets sold in the amount of $1.2 million exceeded the total proceeds of $977,000.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 from discontinued operations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Nine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280"/>
              <w:spacing w:after="0" w:line="139"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tcBorders>
              <w:top w:val="single" w:sz="8" w:color="auto"/>
            </w:tcBorders>
            <w:gridSpan w:val="2"/>
          </w:tcPr>
          <w:p>
            <w:pPr>
              <w:jc w:val="right"/>
              <w:ind w:right="20"/>
              <w:spacing w:after="0" w:line="13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jc w:val="center"/>
              <w:ind w:right="13"/>
              <w:spacing w:after="0" w:line="139" w:lineRule="exact"/>
              <w:rPr>
                <w:sz w:val="20"/>
                <w:szCs w:val="20"/>
                <w:color w:val="auto"/>
              </w:rPr>
            </w:pPr>
            <w:r>
              <w:rPr>
                <w:rFonts w:ascii="Arial" w:cs="Arial" w:eastAsia="Arial" w:hAnsi="Arial"/>
                <w:sz w:val="14"/>
                <w:szCs w:val="14"/>
                <w:color w:val="auto"/>
                <w:w w:val="90"/>
              </w:rPr>
              <w:t>(in thousands)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1040"/>
              <w:spacing w:after="0"/>
              <w:rPr>
                <w:sz w:val="20"/>
                <w:szCs w:val="20"/>
                <w:color w:val="auto"/>
              </w:rPr>
            </w:pPr>
            <w:r>
              <w:rPr>
                <w:rFonts w:ascii="Arial" w:cs="Arial" w:eastAsia="Arial" w:hAnsi="Arial"/>
                <w:sz w:val="18"/>
                <w:szCs w:val="18"/>
                <w:color w:val="auto"/>
              </w:rPr>
              <w:t>Total operating expenses</w:t>
            </w: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(1,372)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expense</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Net loss from discontinued operations</w:t>
            </w: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gridSpan w:val="2"/>
            <w:vMerge w:val="continue"/>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(1,364)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(3,049)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1,685</w:t>
            </w:r>
          </w:p>
        </w:tc>
        <w:tc>
          <w:tcPr>
            <w:tcW w:w="2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580" w:type="dxa"/>
            <w:vAlign w:val="bottom"/>
            <w:vMerge w:val="restart"/>
          </w:tcPr>
          <w:p>
            <w:pPr>
              <w:jc w:val="right"/>
              <w:ind w:right="1152"/>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3"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1" w:lineRule="exact"/>
        <w:rPr>
          <w:sz w:val="20"/>
          <w:szCs w:val="20"/>
          <w:color w:val="auto"/>
        </w:rPr>
      </w:pPr>
    </w:p>
    <w:p>
      <w:pPr>
        <w:ind w:right="440" w:firstLine="457"/>
        <w:spacing w:after="0" w:line="265" w:lineRule="auto"/>
        <w:rPr>
          <w:sz w:val="20"/>
          <w:szCs w:val="20"/>
          <w:color w:val="auto"/>
        </w:rPr>
      </w:pPr>
      <w:r>
        <w:rPr>
          <w:rFonts w:ascii="Arial" w:cs="Arial" w:eastAsia="Arial" w:hAnsi="Arial"/>
          <w:sz w:val="18"/>
          <w:szCs w:val="18"/>
          <w:color w:val="auto"/>
        </w:rPr>
        <w:t>Revenue related to our discontinued operations was $60,000 during the nine months ended September 30, 2018, a $642,000 decrease from the nine months ended September 30, 2017, resulting primarily from the sale of the NFI business in July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1" w:lineRule="exact"/>
        <w:rPr>
          <w:sz w:val="20"/>
          <w:szCs w:val="20"/>
          <w:color w:val="auto"/>
        </w:rPr>
      </w:pPr>
    </w:p>
    <w:p>
      <w:pPr>
        <w:ind w:right="60" w:firstLine="457"/>
        <w:spacing w:after="0" w:line="265" w:lineRule="auto"/>
        <w:rPr>
          <w:sz w:val="20"/>
          <w:szCs w:val="20"/>
          <w:color w:val="auto"/>
        </w:rPr>
      </w:pPr>
      <w:r>
        <w:rPr>
          <w:rFonts w:ascii="Arial" w:cs="Arial" w:eastAsia="Arial" w:hAnsi="Arial"/>
          <w:sz w:val="18"/>
          <w:szCs w:val="18"/>
          <w:color w:val="auto"/>
        </w:rPr>
        <w:t>Cost of product revenue related to our discontinued operations has declined in relation to the decrease in sales activity, resulting from the sale of the NFI business in July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1"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8"/>
          <w:szCs w:val="18"/>
          <w:color w:val="auto"/>
        </w:rPr>
        <w:t>Research and development expense related to our discontinued operations decreased by $937,000 from the nine months ended September 30, 2017 to the same period of 2018. The decrease primarily resulted from the sale of NFI in July 2017, and the curtailment of spending towards the development of the Serenz product during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1"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Sales and marketing expense during the nine months ended September 30, 2018 was $25,000, representing a $195,000 decrease from the nine months ended September 30, 2017. The decrease is largely attributed to our stopping the promotion and sales of the Serenz product in the second quarter of 2017. The sales and marketing expenses relating to our discontinued operations during the nine months ended September 30, 2018 relate only to Capnia’s marketing of its CoSense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1" w:lineRule="exact"/>
        <w:rPr>
          <w:sz w:val="20"/>
          <w:szCs w:val="20"/>
          <w:color w:val="auto"/>
        </w:rPr>
      </w:pPr>
    </w:p>
    <w:p>
      <w:pPr>
        <w:ind w:right="380" w:firstLine="457"/>
        <w:spacing w:after="0" w:line="366" w:lineRule="auto"/>
        <w:rPr>
          <w:sz w:val="20"/>
          <w:szCs w:val="20"/>
          <w:color w:val="auto"/>
        </w:rPr>
      </w:pPr>
      <w:r>
        <w:rPr>
          <w:rFonts w:ascii="Arial" w:cs="Arial" w:eastAsia="Arial" w:hAnsi="Arial"/>
          <w:sz w:val="15"/>
          <w:szCs w:val="15"/>
          <w:color w:val="auto"/>
        </w:rPr>
        <w:t>General and administrative expense associated with our discontinued operations was $360,000 during the nine months ended September 30, 2018, a decrease of $240,000 from the nine months ended September 30, 2017. The decrease was primarily due to the sale of NFI in July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associated with discontinued operations has been nominal in the periods reported.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111" w:lineRule="exact"/>
        <w:rPr>
          <w:sz w:val="20"/>
          <w:szCs w:val="20"/>
          <w:color w:val="auto"/>
        </w:rPr>
      </w:pPr>
    </w:p>
    <w:p>
      <w:pPr>
        <w:ind w:right="120" w:firstLine="457"/>
        <w:spacing w:after="0" w:line="265" w:lineRule="auto"/>
        <w:rPr>
          <w:sz w:val="20"/>
          <w:szCs w:val="20"/>
          <w:color w:val="auto"/>
        </w:rPr>
      </w:pPr>
      <w:r>
        <w:rPr>
          <w:rFonts w:ascii="Arial" w:cs="Arial" w:eastAsia="Arial" w:hAnsi="Arial"/>
          <w:sz w:val="18"/>
          <w:szCs w:val="18"/>
          <w:color w:val="auto"/>
        </w:rPr>
        <w:t>In July 2017 we completed the sale of stock of our wholly-owned subsidiary, NFI. A loss was recorded on the sale in the amount of $208,000 as the net book value of assets sold in the amount of $1.2 million exceeded the total proceeds of $977,000.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220" w:firstLine="457"/>
        <w:spacing w:after="0" w:line="330" w:lineRule="auto"/>
        <w:rPr>
          <w:sz w:val="20"/>
          <w:szCs w:val="20"/>
          <w:color w:val="auto"/>
        </w:rPr>
      </w:pPr>
      <w:r>
        <w:rPr>
          <w:rFonts w:ascii="Arial" w:cs="Arial" w:eastAsia="Arial" w:hAnsi="Arial"/>
          <w:sz w:val="15"/>
          <w:szCs w:val="15"/>
          <w:color w:val="auto"/>
        </w:rPr>
        <w:t>We had a net loss of $13.6 million for the nine months ended September 30, 2018 and an accumulated deficit of $127.3 million at September 30, 2018 from having incurred losses since our inception. We had $8.9 million of working capital at September 30, 2018 and used $7.9 million of cash in operating activities during the nine months ended September 30, 2018. We have financed our operations principally through issuances of equity securities.</w:t>
      </w:r>
    </w:p>
    <w:p>
      <w:pPr>
        <w:spacing w:after="0" w:line="137"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We have continued to focus on expense control, including reducing our workforce, eliminating outside consultants, reducing legal fees and implementing a plan to allow Board members to receive common stock, in lieu of cash payments.</w:t>
      </w:r>
    </w:p>
    <w:p>
      <w:pPr>
        <w:spacing w:after="0" w:line="179"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On December 11, 2017, we entered into the Unit Purchase Agreement with certain stockholders,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a share, for an aggregate of 8,141,116 shares of common stock and corresponding warrants to purchase an aggregate of 6,024,425 shares of common stock underlying the warrants. We also granted certain registration rights to these stockholders, pursuant to which, among other things, we prepared and filed a registration statement with the SEC to register for resale the Resale Shares. The registration statement was declared effective in February 2018.</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3"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457"/>
        <w:spacing w:after="0" w:line="252"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165"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80"/>
              <w:spacing w:after="0" w:line="139" w:lineRule="exact"/>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operating activities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continuing investing activities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discontinued investing activities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gridSpan w:val="2"/>
          </w:tcPr>
          <w:p>
            <w:pPr>
              <w:spacing w:after="0"/>
              <w:rPr>
                <w:sz w:val="20"/>
                <w:szCs w:val="20"/>
                <w:color w:val="auto"/>
              </w:rPr>
            </w:pPr>
            <w:r>
              <w:rPr>
                <w:rFonts w:ascii="Arial" w:cs="Arial" w:eastAsia="Arial" w:hAnsi="Arial"/>
                <w:sz w:val="18"/>
                <w:szCs w:val="18"/>
                <w:color w:val="auto"/>
                <w:w w:val="98"/>
              </w:rPr>
              <w:t>Net increase (decrease) in cash, cash equivalents and restricted cash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cash equivalents and restricted cash</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85"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During the nine months ended September 30, 2018, operating activities used net cash of $6.8 million, which was primarily due to the loss from continuing operations of $12.2 million, which loss is adjusted for non-cash expenses of $1.5 million for depreciation and amortization, $928,000 of expenses paid with common stock or equity awards, and $2.1 million for the change in fair value of stock warrants and contingent consideration. Additionally, the usage of cash during the nine-months ended September 30, 2018 was reduced by $920,000 by an increase in accounts payable, accrued compensation and other current liabilities and a decrease in prepaid expenses.</w:t>
      </w:r>
    </w:p>
    <w:p>
      <w:pPr>
        <w:spacing w:after="0" w:line="168"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During the nine months ended September 30, 2017, operating activities used net cash of $4.8 million, which was primarily due to the loss from continuing operations of $7.6 million, adjusted for non-cash expenses of $1.0 million for depreciation and amortization, $1.0 million of non-cash expenses paid with common stock or equity awards, $29,000 for the change in fair value of stock warrants and contingent consideration, and $602,000 for issuing shares to Aspire Capital. There were also decreases in accounts receivable, prepaid expenses and other current assets, accrued compensation and other current liabilities and other long-term liabilities and an increase in accounts payable that offset the cash usage by $242,000.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1" w:lineRule="exact"/>
        <w:rPr>
          <w:sz w:val="20"/>
          <w:szCs w:val="20"/>
          <w:color w:val="auto"/>
        </w:rPr>
      </w:pPr>
    </w:p>
    <w:p>
      <w:pPr>
        <w:ind w:right="140" w:firstLine="457"/>
        <w:spacing w:after="0" w:line="255" w:lineRule="auto"/>
        <w:rPr>
          <w:sz w:val="20"/>
          <w:szCs w:val="20"/>
          <w:color w:val="auto"/>
        </w:rPr>
      </w:pPr>
      <w:r>
        <w:rPr>
          <w:rFonts w:ascii="Arial" w:cs="Arial" w:eastAsia="Arial" w:hAnsi="Arial"/>
          <w:sz w:val="18"/>
          <w:szCs w:val="18"/>
          <w:color w:val="auto"/>
        </w:rPr>
        <w:t>Minimal cash was used for investing activities in the nine months ended September 30, 2018 and September 30, 2017 for the costs of acquiring property and equipment. During the nine months ended September 30, 2017 cash used in investing activities also includes the payment of costs associated with the acquisition of Essentialis.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1" w:lineRule="exact"/>
        <w:rPr>
          <w:sz w:val="20"/>
          <w:szCs w:val="20"/>
          <w:color w:val="auto"/>
        </w:rPr>
      </w:pPr>
    </w:p>
    <w:p>
      <w:pPr>
        <w:ind w:right="440" w:firstLine="457"/>
        <w:spacing w:after="0" w:line="366" w:lineRule="auto"/>
        <w:rPr>
          <w:sz w:val="20"/>
          <w:szCs w:val="20"/>
          <w:color w:val="auto"/>
        </w:rPr>
      </w:pPr>
      <w:r>
        <w:rPr>
          <w:rFonts w:ascii="Arial" w:cs="Arial" w:eastAsia="Arial" w:hAnsi="Arial"/>
          <w:sz w:val="15"/>
          <w:szCs w:val="15"/>
          <w:color w:val="auto"/>
        </w:rPr>
        <w:t>There were no financing activities related to continued operations during the nine months ended September 30, 2018. During the nine months ended September 30, 2017, we received $10.0 million as a result of the completion of the concurrent financing associated with the Essentialis Merger.</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2018, we had cash, cash equivalents and restricted cash of approximately $10.2 million.</w:t>
      </w:r>
    </w:p>
    <w:p>
      <w:pPr>
        <w:spacing w:after="0" w:line="151" w:lineRule="exact"/>
        <w:rPr>
          <w:sz w:val="20"/>
          <w:szCs w:val="20"/>
          <w:color w:val="auto"/>
        </w:rPr>
      </w:pPr>
    </w:p>
    <w:p>
      <w:pPr>
        <w:ind w:right="220" w:firstLine="457"/>
        <w:spacing w:after="0" w:line="330" w:lineRule="auto"/>
        <w:rPr>
          <w:sz w:val="20"/>
          <w:szCs w:val="20"/>
          <w:color w:val="auto"/>
        </w:rPr>
      </w:pPr>
      <w:r>
        <w:rPr>
          <w:rFonts w:ascii="Arial" w:cs="Arial" w:eastAsia="Arial" w:hAnsi="Arial"/>
          <w:sz w:val="15"/>
          <w:szCs w:val="15"/>
          <w:color w:val="auto"/>
        </w:rPr>
        <w:t>We do not believe that we have sufficient capital resources to sustain operations through at least the next twelve months from the date of this filing. We expect to continue incurring losses for the foreseeable future and may be required to raise additional capital to pursue its therapeutic product development initiatives. These conditions raise substantial doubt about our ability to continue as a going concern for a period of one year from the date of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8"/>
          <w:szCs w:val="18"/>
          <w:color w:val="auto"/>
        </w:rPr>
        <w:t>During the nine months ended September 30, 2018 we used net cash of $1.2 million for discontinued operating activities, compared to $2.5 million during the nine months ended September 30, 2017. The decrease was primarily due to the lower comparative level of operating activities for the discontinued operations, reflecting primarily the sale of NFI in July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11" w:lineRule="exact"/>
        <w:rPr>
          <w:sz w:val="20"/>
          <w:szCs w:val="20"/>
          <w:color w:val="auto"/>
        </w:rPr>
      </w:pPr>
    </w:p>
    <w:p>
      <w:pPr>
        <w:ind w:right="260" w:firstLine="457"/>
        <w:spacing w:after="0" w:line="366" w:lineRule="auto"/>
        <w:rPr>
          <w:sz w:val="20"/>
          <w:szCs w:val="20"/>
          <w:color w:val="auto"/>
        </w:rPr>
      </w:pPr>
      <w:r>
        <w:rPr>
          <w:rFonts w:ascii="Arial" w:cs="Arial" w:eastAsia="Arial" w:hAnsi="Arial"/>
          <w:sz w:val="15"/>
          <w:szCs w:val="15"/>
          <w:color w:val="auto"/>
        </w:rPr>
        <w:t>There were no investing activities related to discontinued operations during the nine months ended September 30, 2018. During the nine months ended September 30, 2017, net cash provided by investing activities was $716,000, resulting primarily from the sale of the NFI operations in July 2017.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1" w:lineRule="exact"/>
        <w:rPr>
          <w:sz w:val="20"/>
          <w:szCs w:val="20"/>
          <w:color w:val="auto"/>
        </w:rPr>
      </w:pPr>
    </w:p>
    <w:p>
      <w:pPr>
        <w:ind w:right="140" w:firstLine="457"/>
        <w:spacing w:after="0" w:line="255" w:lineRule="auto"/>
        <w:rPr>
          <w:sz w:val="20"/>
          <w:szCs w:val="20"/>
          <w:color w:val="auto"/>
        </w:rPr>
      </w:pPr>
      <w:r>
        <w:rPr>
          <w:rFonts w:ascii="Arial" w:cs="Arial" w:eastAsia="Arial" w:hAnsi="Arial"/>
          <w:sz w:val="18"/>
          <w:szCs w:val="18"/>
          <w:color w:val="auto"/>
        </w:rPr>
        <w:t>Net cash provided by financing activities related to discontinued operations was $1.5 million during the nine months ended September 30, 2018, representing the cash received during the period from our joint venture partner. There were no financing activities related to discontinued operations during the nine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3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7" w:lineRule="exact"/>
        <w:rPr>
          <w:sz w:val="20"/>
          <w:szCs w:val="20"/>
          <w:color w:val="auto"/>
        </w:rPr>
      </w:pPr>
    </w:p>
    <w:p>
      <w:pPr>
        <w:ind w:right="200" w:firstLine="457"/>
        <w:spacing w:after="0" w:line="294"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nine months ended September 30, 2018.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17" w:lineRule="exact"/>
        <w:rPr>
          <w:sz w:val="20"/>
          <w:szCs w:val="20"/>
          <w:color w:val="auto"/>
        </w:rPr>
      </w:pPr>
    </w:p>
    <w:p>
      <w:pPr>
        <w:ind w:right="40" w:firstLine="457"/>
        <w:spacing w:after="0" w:line="312"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17" w:lineRule="exact"/>
        <w:rPr>
          <w:sz w:val="20"/>
          <w:szCs w:val="20"/>
          <w:color w:val="auto"/>
        </w:rPr>
      </w:pPr>
    </w:p>
    <w:p>
      <w:pPr>
        <w:ind w:right="240" w:firstLine="457"/>
        <w:spacing w:after="0" w:line="265"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third fiscal quarter ended September 30, 2018, that have materially affected, or are reasonably likely to materially affect, our internal control over financial reporting.</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1"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3"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300" w:firstLine="457"/>
        <w:spacing w:after="0" w:line="307" w:lineRule="auto"/>
        <w:rPr>
          <w:sz w:val="20"/>
          <w:szCs w:val="20"/>
          <w:color w:val="auto"/>
        </w:rPr>
      </w:pPr>
      <w:r>
        <w:rPr>
          <w:rFonts w:ascii="Arial" w:cs="Arial" w:eastAsia="Arial" w:hAnsi="Arial"/>
          <w:sz w:val="15"/>
          <w:szCs w:val="15"/>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2017 Annual Report on Form 10-K and is incorporated herein by reference. We have marked below with an asterisk (*) those risk factors that reflect substantive changes to the text of the risk factors in our 2017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54" w:lineRule="exact"/>
        <w:rPr>
          <w:sz w:val="20"/>
          <w:szCs w:val="20"/>
          <w:color w:val="auto"/>
        </w:rPr>
      </w:pPr>
    </w:p>
    <w:p>
      <w:pPr>
        <w:ind w:left="240" w:right="500" w:hanging="234"/>
        <w:spacing w:after="0" w:line="259" w:lineRule="auto"/>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8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81" w:lineRule="exact"/>
        <w:rPr>
          <w:sz w:val="20"/>
          <w:szCs w:val="20"/>
          <w:color w:val="auto"/>
        </w:rPr>
      </w:pPr>
    </w:p>
    <w:p>
      <w:pPr>
        <w:ind w:right="160" w:firstLine="457"/>
        <w:spacing w:after="0" w:line="255"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96" w:lineRule="exact"/>
        <w:rPr>
          <w:sz w:val="20"/>
          <w:szCs w:val="20"/>
          <w:color w:val="auto"/>
        </w:rPr>
      </w:pPr>
    </w:p>
    <w:p>
      <w:pPr>
        <w:ind w:left="900" w:right="100" w:hanging="443"/>
        <w:spacing w:after="0" w:line="26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86"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and maintain institutional review board, or IRB, approval at each clinical trial site;</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24" w:lineRule="exact"/>
        <w:rPr>
          <w:rFonts w:ascii="Arial" w:cs="Arial" w:eastAsia="Arial" w:hAnsi="Arial"/>
          <w:sz w:val="18"/>
          <w:szCs w:val="18"/>
          <w:color w:val="auto"/>
        </w:rPr>
      </w:pPr>
    </w:p>
    <w:p>
      <w:pPr>
        <w:ind w:left="900" w:hanging="44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17" w:lineRule="exact"/>
        <w:rPr>
          <w:sz w:val="20"/>
          <w:szCs w:val="20"/>
          <w:color w:val="auto"/>
        </w:rPr>
      </w:pPr>
    </w:p>
    <w:p>
      <w:pPr>
        <w:ind w:right="180" w:firstLine="457"/>
        <w:spacing w:after="0" w:line="250"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95" w:lineRule="exact"/>
        <w:rPr>
          <w:sz w:val="20"/>
          <w:szCs w:val="20"/>
          <w:color w:val="auto"/>
        </w:rPr>
      </w:pPr>
    </w:p>
    <w:p>
      <w:pPr>
        <w:ind w:right="380" w:firstLine="457"/>
        <w:spacing w:after="0" w:line="255" w:lineRule="auto"/>
        <w:rPr>
          <w:sz w:val="20"/>
          <w:szCs w:val="20"/>
          <w:color w:val="auto"/>
        </w:rPr>
      </w:pPr>
      <w:r>
        <w:rPr>
          <w:rFonts w:ascii="Arial" w:cs="Arial" w:eastAsia="Arial" w:hAnsi="Arial"/>
          <w:sz w:val="18"/>
          <w:szCs w:val="18"/>
          <w:color w:val="auto"/>
        </w:rPr>
        <w:t>There has recently been increased activity in the development of drugs to treat PWS. As of November 2018, we are aware of eight other current or proposed clinical trials evaluating PWS therapies. If all of these clinical trials are ongoing concurrently, given the limited number of patients, it may hamper recruitment and enrollment of qualified patients for our current trial of DCCR in PWS.</w:t>
      </w:r>
    </w:p>
    <w:p>
      <w:pPr>
        <w:spacing w:after="0" w:line="189" w:lineRule="exact"/>
        <w:rPr>
          <w:sz w:val="20"/>
          <w:szCs w:val="20"/>
          <w:color w:val="auto"/>
        </w:rPr>
      </w:pPr>
    </w:p>
    <w:p>
      <w:pPr>
        <w:ind w:right="120" w:firstLine="457"/>
        <w:spacing w:after="0" w:line="309" w:lineRule="auto"/>
        <w:rPr>
          <w:sz w:val="20"/>
          <w:szCs w:val="20"/>
          <w:color w:val="auto"/>
        </w:rPr>
      </w:pPr>
      <w:r>
        <w:rPr>
          <w:rFonts w:ascii="Arial" w:cs="Arial" w:eastAsia="Arial" w:hAnsi="Arial"/>
          <w:sz w:val="15"/>
          <w:szCs w:val="15"/>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53"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30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85"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The accompanying consolidated financial statements have been prepared on a going concern basis, which contemplates the realization of assets and the satisfaction of liabilities in the normal course of business. As of September 30, 2018, we have incurred significant operating losses since inception and continue to generate losses from operations and have an accumulated deficit of $127.3 million. These matters raise substantial doubt about our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2" w:lineRule="exact"/>
        <w:rPr>
          <w:sz w:val="20"/>
          <w:szCs w:val="20"/>
          <w:color w:val="auto"/>
        </w:rPr>
      </w:pPr>
    </w:p>
    <w:p>
      <w:pPr>
        <w:ind w:right="180" w:firstLine="457"/>
        <w:spacing w:after="0" w:line="318" w:lineRule="auto"/>
        <w:rPr>
          <w:sz w:val="20"/>
          <w:szCs w:val="20"/>
          <w:color w:val="auto"/>
        </w:rPr>
      </w:pPr>
      <w:r>
        <w:rPr>
          <w:rFonts w:ascii="Arial" w:cs="Arial" w:eastAsia="Arial" w:hAnsi="Arial"/>
          <w:sz w:val="15"/>
          <w:szCs w:val="15"/>
          <w:color w:val="auto"/>
        </w:rPr>
        <w:t>Commercial results have been limited and we have not generated significant revenues. We cannot assure our stockholders that our revenues will be sufficient to fund our operations, including expenses related to our current ongoing clinical trial of DCCR. If adequate funds are not available, we may be required to curtail our operations significantly or to obtain funds through dilutive financings or entering into arrangements with collaborative partners or others that may require us to relinquish rights to certain of our technologies or products that we would not otherwise relinquish.</w:t>
      </w:r>
    </w:p>
    <w:p>
      <w:pPr>
        <w:spacing w:after="0" w:line="147" w:lineRule="exact"/>
        <w:rPr>
          <w:sz w:val="20"/>
          <w:szCs w:val="20"/>
          <w:color w:val="auto"/>
        </w:rPr>
      </w:pPr>
    </w:p>
    <w:p>
      <w:pPr>
        <w:ind w:right="80" w:firstLine="457"/>
        <w:spacing w:after="0" w:line="309" w:lineRule="auto"/>
        <w:rPr>
          <w:sz w:val="20"/>
          <w:szCs w:val="20"/>
          <w:color w:val="auto"/>
        </w:rPr>
      </w:pPr>
      <w:r>
        <w:rPr>
          <w:rFonts w:ascii="Arial" w:cs="Arial" w:eastAsia="Arial" w:hAnsi="Arial"/>
          <w:sz w:val="15"/>
          <w:szCs w:val="15"/>
          <w:color w:val="auto"/>
        </w:rPr>
        <w:t>At September 30, 2018, our cash balance was $10.2 million. We intend to raise additional capital, either through debt or equity financings to achieve our business plan objectives, including increased expenses for additional resources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53"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200" w:lineRule="exact"/>
        <w:rPr>
          <w:sz w:val="20"/>
          <w:szCs w:val="20"/>
          <w:color w:val="auto"/>
        </w:rPr>
      </w:pPr>
    </w:p>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53" w:right="239" w:bottom="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7" w:lineRule="exact"/>
        <w:rPr>
          <w:sz w:val="20"/>
          <w:szCs w:val="20"/>
          <w:color w:val="auto"/>
        </w:rPr>
      </w:pPr>
    </w:p>
    <w:p>
      <w:pPr>
        <w:ind w:firstLine="457"/>
        <w:spacing w:after="0" w:line="265"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240" w:top="47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16"/>
          </w:tcPr>
          <w:p>
            <w:pPr>
              <w:jc w:val="center"/>
              <w:ind w:right="1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5"/>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5"/>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6880" w:type="dxa"/>
            <w:vAlign w:val="bottom"/>
            <w:gridSpan w:val="32"/>
          </w:tcPr>
          <w:p>
            <w:pPr>
              <w:spacing w:after="0"/>
              <w:rPr>
                <w:rFonts w:ascii="Arial" w:cs="Arial" w:eastAsia="Arial" w:hAnsi="Arial"/>
                <w:sz w:val="18"/>
                <w:szCs w:val="18"/>
                <w:color w:val="0000EE"/>
                <w:w w:val="88"/>
              </w:rPr>
            </w:pPr>
            <w:hyperlink r:id="rId51">
              <w:r>
                <w:rPr>
                  <w:rFonts w:ascii="Arial" w:cs="Arial" w:eastAsia="Arial" w:hAnsi="Arial"/>
                  <w:sz w:val="18"/>
                  <w:szCs w:val="18"/>
                  <w:color w:val="0000EE"/>
                  <w:w w:val="88"/>
                </w:rPr>
                <w:t>Stock Purchase Agreement, dated as of July 18, 2017, and between Soleno Therapeutics, Inc., a</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Delaware corporation, and NeoForce Holdings, Inc. a Delaware corporation</w:t>
              </w:r>
            </w:hyperlink>
          </w:p>
        </w:tc>
        <w:tc>
          <w:tcPr>
            <w:tcW w:w="1420" w:type="dxa"/>
            <w:vAlign w:val="bottom"/>
            <w:tcBorders>
              <w:top w:val="single" w:sz="8" w:color="0000EE"/>
            </w:tcBorders>
            <w:gridSpan w:val="14"/>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6640" w:type="dxa"/>
            <w:vAlign w:val="bottom"/>
            <w:tcBorders>
              <w:bottom w:val="single" w:sz="8" w:color="0000EE"/>
            </w:tcBorders>
            <w:gridSpan w:val="28"/>
          </w:tcPr>
          <w:p>
            <w:pPr>
              <w:spacing w:after="0"/>
              <w:rPr>
                <w:rFonts w:ascii="Arial" w:cs="Arial" w:eastAsia="Arial" w:hAnsi="Arial"/>
                <w:sz w:val="18"/>
                <w:szCs w:val="18"/>
                <w:color w:val="0000EE"/>
                <w:w w:val="88"/>
              </w:rPr>
            </w:pPr>
            <w:hyperlink r:id="rId52">
              <w:r>
                <w:rPr>
                  <w:rFonts w:ascii="Arial" w:cs="Arial" w:eastAsia="Arial" w:hAnsi="Arial"/>
                  <w:sz w:val="18"/>
                  <w:szCs w:val="18"/>
                  <w:color w:val="0000EE"/>
                  <w:w w:val="88"/>
                </w:rPr>
                <w:t>Joint Venture Agreement, dated as of December 4, 2017, by and among Soleno Therapeutics,</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2"/>
          </w:tcPr>
          <w:p>
            <w:pPr>
              <w:spacing w:after="0" w:line="192" w:lineRule="exact"/>
              <w:rPr>
                <w:rFonts w:ascii="Arial" w:cs="Arial" w:eastAsia="Arial" w:hAnsi="Arial"/>
                <w:sz w:val="18"/>
                <w:szCs w:val="18"/>
                <w:color w:val="0000EE"/>
              </w:rPr>
            </w:pPr>
            <w:hyperlink r:id="rId52">
              <w:r>
                <w:rPr>
                  <w:rFonts w:ascii="Arial" w:cs="Arial" w:eastAsia="Arial" w:hAnsi="Arial"/>
                  <w:sz w:val="18"/>
                  <w:szCs w:val="18"/>
                  <w:color w:val="0000EE"/>
                </w:rPr>
                <w:t>Inc., Capnia, Inc., and OptAsia Healthcare Limited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6080" w:type="dxa"/>
            <w:vAlign w:val="bottom"/>
            <w:tcBorders>
              <w:bottom w:val="single" w:sz="8" w:color="0000EE"/>
            </w:tcBorders>
            <w:gridSpan w:val="20"/>
          </w:tcPr>
          <w:p>
            <w:pPr>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PRC IP Purchase Agreement, dated as of December 4, 2017, by and between OptAsia</w:t>
              </w:r>
            </w:hyperlink>
          </w:p>
        </w:tc>
        <w:tc>
          <w:tcPr>
            <w:tcW w:w="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tcBorders>
              <w:bottom w:val="single" w:sz="8" w:color="0000EE"/>
            </w:tcBorders>
            <w:gridSpan w:val="7"/>
          </w:tcPr>
          <w:p>
            <w:pPr>
              <w:spacing w:after="0" w:line="192"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Healthcare Limited and Capnia, Inc.</w:t>
              </w:r>
            </w:hyperlink>
          </w:p>
        </w:tc>
        <w:tc>
          <w:tcPr>
            <w:tcW w:w="430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54">
              <w:r>
                <w:rPr>
                  <w:rFonts w:ascii="Arial" w:cs="Arial" w:eastAsia="Arial" w:hAnsi="Arial"/>
                  <w:sz w:val="18"/>
                  <w:szCs w:val="18"/>
                  <w:color w:val="0000EE"/>
                </w:rPr>
                <w:t>Transition Services Agreement, dated as of December 4, 2017, by and among Soleno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2"/>
          </w:tcPr>
          <w:p>
            <w:pPr>
              <w:spacing w:after="0" w:line="192"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Therapeutics, Inc., a Delaware corporation, Capnia, Inc. and OptAsia Healthcare, Ltd., a Hong</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top w:val="single" w:sz="8" w:color="0000EE"/>
            </w:tcBorders>
            <w:gridSpan w:val="29"/>
          </w:tcPr>
          <w:p>
            <w:pPr>
              <w:spacing w:after="0" w:line="192" w:lineRule="exact"/>
              <w:rPr>
                <w:rFonts w:ascii="Arial" w:cs="Arial" w:eastAsia="Arial" w:hAnsi="Arial"/>
                <w:sz w:val="18"/>
                <w:szCs w:val="18"/>
                <w:color w:val="0000EE"/>
              </w:rPr>
            </w:pPr>
            <w:hyperlink r:id="rId54">
              <w:r>
                <w:rPr>
                  <w:rFonts w:ascii="Arial" w:cs="Arial" w:eastAsia="Arial" w:hAnsi="Arial"/>
                  <w:sz w:val="18"/>
                  <w:szCs w:val="18"/>
                  <w:color w:val="0000EE"/>
                </w:rPr>
                <w:t>Kong company</w:t>
              </w:r>
            </w:hyperlink>
          </w:p>
        </w:tc>
        <w:tc>
          <w:tcPr>
            <w:tcW w:w="2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55">
              <w:r>
                <w:rPr>
                  <w:rFonts w:ascii="Arial" w:cs="Arial" w:eastAsia="Arial" w:hAnsi="Arial"/>
                  <w:sz w:val="18"/>
                  <w:szCs w:val="18"/>
                  <w:color w:val="0000EE"/>
                </w:rPr>
                <w:t>Amended and Restated Certificate of Incorporation of Soleno Therapeutics, Inc.</w:t>
              </w:r>
            </w:hyperlink>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r:id="rId56">
              <w:r>
                <w:rPr>
                  <w:rFonts w:ascii="Arial" w:cs="Arial" w:eastAsia="Arial" w:hAnsi="Arial"/>
                  <w:sz w:val="18"/>
                  <w:szCs w:val="18"/>
                  <w:color w:val="0000EE"/>
                  <w:w w:val="88"/>
                </w:rPr>
                <w:t>Amended and Restated Bylaws of Soleno Therapeutics, Inc.</w:t>
              </w:r>
            </w:hyperlink>
          </w:p>
        </w:tc>
        <w:tc>
          <w:tcPr>
            <w:tcW w:w="1400" w:type="dxa"/>
            <w:vAlign w:val="bottom"/>
            <w:tcBorders>
              <w:top w:val="single" w:sz="8" w:color="0000EE"/>
            </w:tcBorders>
            <w:gridSpan w:val="3"/>
          </w:tcPr>
          <w:p>
            <w:pPr>
              <w:spacing w:after="0"/>
              <w:rPr>
                <w:sz w:val="24"/>
                <w:szCs w:val="24"/>
                <w:color w:val="auto"/>
              </w:rPr>
            </w:pPr>
          </w:p>
        </w:tc>
        <w:tc>
          <w:tcPr>
            <w:tcW w:w="12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6320" w:type="dxa"/>
            <w:vAlign w:val="bottom"/>
            <w:tcBorders>
              <w:bottom w:val="single" w:sz="8" w:color="0000EE"/>
            </w:tcBorders>
            <w:gridSpan w:val="22"/>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Certificate of Designation of Preferences, Rights and Limitations of Series A Convertible</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r:id="rId57">
              <w:r>
                <w:rPr>
                  <w:rFonts w:ascii="Arial" w:cs="Arial" w:eastAsia="Arial" w:hAnsi="Arial"/>
                  <w:sz w:val="18"/>
                  <w:szCs w:val="18"/>
                  <w:color w:val="0000EE"/>
                  <w:w w:val="87"/>
                </w:rPr>
                <w:t>Preferred Stock.</w:t>
              </w:r>
            </w:hyperlink>
          </w:p>
        </w:tc>
        <w:tc>
          <w:tcPr>
            <w:tcW w:w="572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6320" w:type="dxa"/>
            <w:vAlign w:val="bottom"/>
            <w:tcBorders>
              <w:bottom w:val="single" w:sz="8" w:color="0000EE"/>
            </w:tcBorders>
            <w:gridSpan w:val="22"/>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Certificate of Designation of Preferences, Rights and Limitations of Series B Convertible</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2"/>
          </w:tcPr>
          <w:p>
            <w:pPr>
              <w:spacing w:after="0" w:line="192" w:lineRule="exact"/>
              <w:rPr>
                <w:rFonts w:ascii="Arial" w:cs="Arial" w:eastAsia="Arial" w:hAnsi="Arial"/>
                <w:sz w:val="18"/>
                <w:szCs w:val="18"/>
                <w:color w:val="0000EE"/>
              </w:rPr>
            </w:pPr>
            <w:hyperlink r:id="rId58">
              <w:r>
                <w:rPr>
                  <w:rFonts w:ascii="Arial" w:cs="Arial" w:eastAsia="Arial" w:hAnsi="Arial"/>
                  <w:sz w:val="18"/>
                  <w:szCs w:val="18"/>
                  <w:color w:val="0000EE"/>
                </w:rPr>
                <w:t>Preferred Stock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860" w:type="dxa"/>
            <w:vAlign w:val="bottom"/>
            <w:tcBorders>
              <w:bottom w:val="single" w:sz="8" w:color="0000EE"/>
            </w:tcBorders>
            <w:gridSpan w:val="4"/>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Certificate of Amendment</w:t>
              </w:r>
            </w:hyperlink>
          </w:p>
        </w:tc>
        <w:tc>
          <w:tcPr>
            <w:tcW w:w="502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60">
              <w:r>
                <w:rPr>
                  <w:rFonts w:ascii="Arial" w:cs="Arial" w:eastAsia="Arial" w:hAnsi="Arial"/>
                  <w:sz w:val="18"/>
                  <w:szCs w:val="18"/>
                  <w:color w:val="0000EE"/>
                </w:rPr>
                <w:t>Certificate of Amendment to the Certificate of Incorporation</w:t>
              </w:r>
            </w:hyperlink>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Form of the common stock certificate.</w:t>
              </w:r>
            </w:hyperlink>
          </w:p>
        </w:tc>
        <w:tc>
          <w:tcPr>
            <w:tcW w:w="1560" w:type="dxa"/>
            <w:vAlign w:val="bottom"/>
            <w:tcBorders>
              <w:top w:val="single" w:sz="8" w:color="0000EE"/>
            </w:tcBorders>
            <w:gridSpan w:val="7"/>
          </w:tcPr>
          <w:p>
            <w:pPr>
              <w:spacing w:after="0"/>
              <w:rPr>
                <w:sz w:val="24"/>
                <w:szCs w:val="24"/>
                <w:color w:val="auto"/>
              </w:rPr>
            </w:pPr>
          </w:p>
        </w:tc>
        <w:tc>
          <w:tcPr>
            <w:tcW w:w="2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6560" w:type="dxa"/>
            <w:vAlign w:val="bottom"/>
            <w:tcBorders>
              <w:bottom w:val="single" w:sz="8" w:color="0000EE"/>
            </w:tcBorders>
            <w:gridSpan w:val="27"/>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Amended And Restated Investors’ Rights Agreement, dated March 20, 2008, by and among</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2"/>
          </w:tcPr>
          <w:p>
            <w:pPr>
              <w:spacing w:after="0" w:line="192"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Soleno Therapeutics, Inc. and certain holders of the Soleno Therapeutics, Inc.’s capital stock</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named therein.</w:t>
              </w:r>
            </w:hyperlink>
          </w:p>
        </w:tc>
        <w:tc>
          <w:tcPr>
            <w:tcW w:w="5460" w:type="dxa"/>
            <w:vAlign w:val="bottom"/>
            <w:tcBorders>
              <w:top w:val="single" w:sz="8" w:color="0000EE"/>
            </w:tcBorders>
            <w:gridSpan w:val="24"/>
          </w:tcPr>
          <w:p>
            <w:pPr>
              <w:spacing w:after="0"/>
              <w:rPr>
                <w:sz w:val="16"/>
                <w:szCs w:val="16"/>
                <w:color w:val="auto"/>
              </w:rPr>
            </w:pPr>
          </w:p>
        </w:tc>
        <w:tc>
          <w:tcPr>
            <w:tcW w:w="3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Series A Warrant 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64">
              <w:r>
                <w:rPr>
                  <w:rFonts w:ascii="Arial" w:cs="Arial" w:eastAsia="Arial" w:hAnsi="Arial"/>
                  <w:sz w:val="18"/>
                  <w:szCs w:val="18"/>
                  <w:color w:val="0000EE"/>
                </w:rPr>
                <w:t>Form of the Series A Warrant certificate.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Underwriters’ Compensation Warrant.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Form of Convertible Promissory Note issued in February 2010 and March 2010 in connection</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with the 2010 convertible note financing.</w:t>
              </w:r>
            </w:hyperlink>
          </w:p>
        </w:tc>
        <w:tc>
          <w:tcPr>
            <w:tcW w:w="3720" w:type="dxa"/>
            <w:vAlign w:val="bottom"/>
            <w:tcBorders>
              <w:top w:val="single" w:sz="8" w:color="0000EE"/>
            </w:tcBorders>
            <w:gridSpan w:val="17"/>
          </w:tcPr>
          <w:p>
            <w:pPr>
              <w:spacing w:after="0"/>
              <w:rPr>
                <w:sz w:val="16"/>
                <w:szCs w:val="16"/>
                <w:color w:val="auto"/>
              </w:rPr>
            </w:pPr>
          </w:p>
        </w:tc>
        <w:tc>
          <w:tcPr>
            <w:tcW w:w="2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6520" w:type="dxa"/>
            <w:vAlign w:val="bottom"/>
            <w:tcBorders>
              <w:bottom w:val="single" w:sz="8" w:color="0000EE"/>
            </w:tcBorders>
            <w:gridSpan w:val="25"/>
          </w:tcPr>
          <w:p>
            <w:pPr>
              <w:spacing w:after="0"/>
              <w:rPr>
                <w:rFonts w:ascii="Arial" w:cs="Arial" w:eastAsia="Arial" w:hAnsi="Arial"/>
                <w:sz w:val="18"/>
                <w:szCs w:val="18"/>
                <w:color w:val="0000EE"/>
                <w:w w:val="88"/>
              </w:rPr>
            </w:pPr>
            <w:hyperlink r:id="rId67">
              <w:r>
                <w:rPr>
                  <w:rFonts w:ascii="Arial" w:cs="Arial" w:eastAsia="Arial" w:hAnsi="Arial"/>
                  <w:sz w:val="18"/>
                  <w:szCs w:val="18"/>
                  <w:color w:val="0000EE"/>
                  <w:w w:val="88"/>
                </w:rPr>
                <w:t>Form of Warrant to Purchase Shares issued in February 2010 and March 2010 in connection</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Borders>
              <w:bottom w:val="single" w:sz="8" w:color="0000EE"/>
            </w:tcBorders>
            <w:gridSpan w:val="11"/>
          </w:tcPr>
          <w:p>
            <w:pPr>
              <w:spacing w:after="0" w:line="192"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with the 2010 convertible note financing.</w:t>
              </w:r>
            </w:hyperlink>
          </w:p>
        </w:tc>
        <w:tc>
          <w:tcPr>
            <w:tcW w:w="396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Form of Convertible Promissory Note issued in November 2010 in connection with the 2010</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60" w:type="dxa"/>
            <w:vAlign w:val="bottom"/>
            <w:tcBorders>
              <w:top w:val="single" w:sz="8" w:color="0000EE"/>
            </w:tcBorders>
            <w:gridSpan w:val="27"/>
          </w:tcPr>
          <w:p>
            <w:pPr>
              <w:spacing w:after="0" w:line="192" w:lineRule="exact"/>
              <w:rPr>
                <w:rFonts w:ascii="Arial" w:cs="Arial" w:eastAsia="Arial" w:hAnsi="Arial"/>
                <w:sz w:val="18"/>
                <w:szCs w:val="18"/>
                <w:color w:val="0000EE"/>
              </w:rPr>
            </w:pPr>
            <w:hyperlink r:id="rId68">
              <w:r>
                <w:rPr>
                  <w:rFonts w:ascii="Arial" w:cs="Arial" w:eastAsia="Arial" w:hAnsi="Arial"/>
                  <w:sz w:val="18"/>
                  <w:szCs w:val="18"/>
                  <w:color w:val="0000EE"/>
                </w:rPr>
                <w:t>convertible note financing.</w:t>
              </w:r>
            </w:hyperlink>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6440" w:type="dxa"/>
            <w:vAlign w:val="bottom"/>
            <w:tcBorders>
              <w:bottom w:val="single" w:sz="8" w:color="0000EE"/>
            </w:tcBorders>
            <w:gridSpan w:val="24"/>
          </w:tcPr>
          <w:p>
            <w:pPr>
              <w:spacing w:after="0"/>
              <w:rPr>
                <w:rFonts w:ascii="Arial" w:cs="Arial" w:eastAsia="Arial" w:hAnsi="Arial"/>
                <w:sz w:val="18"/>
                <w:szCs w:val="18"/>
                <w:color w:val="0000EE"/>
                <w:w w:val="88"/>
              </w:rPr>
            </w:pPr>
            <w:hyperlink r:id="rId69">
              <w:r>
                <w:rPr>
                  <w:rFonts w:ascii="Arial" w:cs="Arial" w:eastAsia="Arial" w:hAnsi="Arial"/>
                  <w:sz w:val="18"/>
                  <w:szCs w:val="18"/>
                  <w:color w:val="0000EE"/>
                  <w:w w:val="88"/>
                </w:rPr>
                <w:t>Form of Warrant to Purchase Shares issued in November 2010 in connection with the 2010</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2"/>
          </w:tcPr>
          <w:p>
            <w:pPr>
              <w:spacing w:after="0" w:line="192" w:lineRule="exact"/>
              <w:rPr>
                <w:rFonts w:ascii="Arial" w:cs="Arial" w:eastAsia="Arial" w:hAnsi="Arial"/>
                <w:sz w:val="18"/>
                <w:szCs w:val="18"/>
                <w:color w:val="0000EE"/>
              </w:rPr>
            </w:pPr>
            <w:hyperlink r:id="rId69">
              <w:r>
                <w:rPr>
                  <w:rFonts w:ascii="Arial" w:cs="Arial" w:eastAsia="Arial" w:hAnsi="Arial"/>
                  <w:sz w:val="18"/>
                  <w:szCs w:val="18"/>
                  <w:color w:val="0000EE"/>
                </w:rPr>
                <w:t>convertible note financing.</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w w:val="96"/>
              </w:rPr>
            </w:pPr>
            <w:hyperlink r:id="rId70">
              <w:r>
                <w:rPr>
                  <w:rFonts w:ascii="Arial" w:cs="Arial" w:eastAsia="Arial" w:hAnsi="Arial"/>
                  <w:sz w:val="18"/>
                  <w:szCs w:val="18"/>
                  <w:color w:val="0000EE"/>
                  <w:w w:val="96"/>
                </w:rPr>
                <w:t>Form of Convertible Promissory Note issued in January 2012 in connection with the 2012</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Borders>
              <w:top w:val="single" w:sz="8" w:color="0000EE"/>
            </w:tcBorders>
            <w:gridSpan w:val="23"/>
          </w:tcPr>
          <w:p>
            <w:pPr>
              <w:spacing w:after="0" w:line="192" w:lineRule="exact"/>
              <w:rPr>
                <w:rFonts w:ascii="Arial" w:cs="Arial" w:eastAsia="Arial" w:hAnsi="Arial"/>
                <w:sz w:val="18"/>
                <w:szCs w:val="18"/>
                <w:color w:val="0000EE"/>
              </w:rPr>
            </w:pPr>
            <w:hyperlink r:id="rId70">
              <w:r>
                <w:rPr>
                  <w:rFonts w:ascii="Arial" w:cs="Arial" w:eastAsia="Arial" w:hAnsi="Arial"/>
                  <w:sz w:val="18"/>
                  <w:szCs w:val="18"/>
                  <w:color w:val="0000EE"/>
                </w:rPr>
                <w:t>convertible note financing.</w:t>
              </w:r>
            </w:hyperlink>
          </w:p>
        </w:tc>
        <w:tc>
          <w:tcPr>
            <w:tcW w:w="5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4"/>
                <w:szCs w:val="24"/>
                <w:color w:val="auto"/>
              </w:rPr>
            </w:pPr>
          </w:p>
        </w:tc>
        <w:tc>
          <w:tcPr>
            <w:tcW w:w="6120" w:type="dxa"/>
            <w:vAlign w:val="bottom"/>
            <w:tcBorders>
              <w:bottom w:val="single" w:sz="8" w:color="0000EE"/>
            </w:tcBorders>
            <w:gridSpan w:val="21"/>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Form of Warrant to Purchase Shares issued in January 2012 in connection with Soleno</w:t>
              </w:r>
            </w:hyperlink>
          </w:p>
        </w:tc>
        <w:tc>
          <w:tcPr>
            <w:tcW w:w="7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tcBorders>
              <w:bottom w:val="single" w:sz="8" w:color="0000EE"/>
            </w:tcBorders>
            <w:gridSpan w:val="14"/>
          </w:tcPr>
          <w:p>
            <w:pPr>
              <w:spacing w:after="0" w:line="192"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Therapeutics, Inc.’s 2012 convertible note financing.</w:t>
              </w:r>
            </w:hyperlink>
          </w:p>
        </w:tc>
        <w:tc>
          <w:tcPr>
            <w:tcW w:w="314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4"/>
                <w:szCs w:val="24"/>
                <w:color w:val="auto"/>
              </w:rPr>
            </w:pPr>
          </w:p>
        </w:tc>
        <w:tc>
          <w:tcPr>
            <w:tcW w:w="6880" w:type="dxa"/>
            <w:vAlign w:val="bottom"/>
            <w:gridSpan w:val="32"/>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Form of Convertible Promissory Note issued in July 2012 and August 2012 in connection with</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00" w:type="dxa"/>
            <w:vAlign w:val="bottom"/>
            <w:tcBorders>
              <w:top w:val="single" w:sz="8" w:color="0000EE"/>
            </w:tcBorders>
            <w:gridSpan w:val="30"/>
          </w:tcPr>
          <w:p>
            <w:pPr>
              <w:spacing w:after="0" w:line="192" w:lineRule="exact"/>
              <w:rPr>
                <w:rFonts w:ascii="Arial" w:cs="Arial" w:eastAsia="Arial" w:hAnsi="Arial"/>
                <w:sz w:val="18"/>
                <w:szCs w:val="18"/>
                <w:color w:val="0000EE"/>
              </w:rPr>
            </w:pPr>
            <w:hyperlink r:id="rId72">
              <w:r>
                <w:rPr>
                  <w:rFonts w:ascii="Arial" w:cs="Arial" w:eastAsia="Arial" w:hAnsi="Arial"/>
                  <w:sz w:val="18"/>
                  <w:szCs w:val="18"/>
                  <w:color w:val="0000EE"/>
                </w:rPr>
                <w:t>the 2012 convertible note financing.</w:t>
              </w:r>
            </w:hyperlink>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540" w:type="dxa"/>
            <w:vAlign w:val="bottom"/>
            <w:tcBorders>
              <w:top w:val="single" w:sz="8" w:color="0000EE"/>
            </w:tcBorders>
            <w:gridSpan w:val="5"/>
          </w:tcPr>
          <w:p>
            <w:pPr>
              <w:spacing w:after="0"/>
              <w:rPr>
                <w:sz w:val="24"/>
                <w:szCs w:val="24"/>
                <w:color w:val="auto"/>
              </w:rPr>
            </w:pPr>
          </w:p>
        </w:tc>
        <w:tc>
          <w:tcPr>
            <w:tcW w:w="2820" w:type="dxa"/>
            <w:vAlign w:val="bottom"/>
            <w:gridSpan w:val="11"/>
          </w:tcPr>
          <w:p>
            <w:pPr>
              <w:jc w:val="right"/>
              <w:ind w:right="212"/>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4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rPr>
              <w:t>Registrant’s</w:t>
            </w:r>
          </w:p>
        </w:tc>
        <w:tc>
          <w:tcPr>
            <w:tcW w:w="1600" w:type="dxa"/>
            <w:vAlign w:val="bottom"/>
            <w:tcBorders>
              <w:top w:val="single" w:sz="8" w:color="auto"/>
            </w:tcBorders>
          </w:tcPr>
          <w:p>
            <w:pPr>
              <w:ind w:left="480"/>
              <w:spacing w:after="0" w:line="117"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rPr>
              <w:t>Exhibit</w:t>
            </w: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Filed</w:t>
            </w:r>
          </w:p>
        </w:tc>
      </w:tr>
      <w:tr>
        <w:trPr>
          <w:trHeight w:val="182"/>
        </w:trPr>
        <w:tc>
          <w:tcPr>
            <w:tcW w:w="74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509"/>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24, 2017</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December 8,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December 8,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2"/>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December 8,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7,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1,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6, 2016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May 11,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6,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5,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2"/>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1,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5,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5,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5,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0"/>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2">
            <w:col w:w="7600" w:space="100"/>
            <w:col w:w="3720"/>
          </w:cols>
          <w:pgMar w:left="240" w:top="453"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53"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gridSpan w:val="25"/>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6840" w:type="dxa"/>
            <w:vAlign w:val="bottom"/>
            <w:tcBorders>
              <w:bottom w:val="single" w:sz="8" w:color="0000EE"/>
            </w:tcBorders>
            <w:gridSpan w:val="34"/>
          </w:tcPr>
          <w:p>
            <w:pPr>
              <w:spacing w:after="0"/>
              <w:rPr>
                <w:rFonts w:ascii="Arial" w:cs="Arial" w:eastAsia="Arial" w:hAnsi="Arial"/>
                <w:sz w:val="18"/>
                <w:szCs w:val="18"/>
                <w:color w:val="0000EE"/>
                <w:w w:val="88"/>
              </w:rPr>
            </w:pPr>
            <w:hyperlink r:id="rId74">
              <w:r>
                <w:rPr>
                  <w:rFonts w:ascii="Arial" w:cs="Arial" w:eastAsia="Arial" w:hAnsi="Arial"/>
                  <w:sz w:val="18"/>
                  <w:szCs w:val="18"/>
                  <w:color w:val="0000EE"/>
                  <w:w w:val="88"/>
                </w:rPr>
                <w:t>Form of Warrant to Purchase Shares issued in July 2012 and August 2012 in connection with the</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2012 convertible note financing.</w:t>
              </w:r>
            </w:hyperlink>
          </w:p>
        </w:tc>
        <w:tc>
          <w:tcPr>
            <w:tcW w:w="458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Convertible Promissory Note issued in April, August and October 2014 in connection</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with the 2014 convertible note financing.</w:t>
              </w:r>
            </w:hyperlink>
          </w:p>
        </w:tc>
        <w:tc>
          <w:tcPr>
            <w:tcW w:w="3740" w:type="dxa"/>
            <w:vAlign w:val="bottom"/>
            <w:tcBorders>
              <w:top w:val="single" w:sz="8" w:color="0000EE"/>
            </w:tcBorders>
            <w:gridSpan w:val="17"/>
          </w:tcPr>
          <w:p>
            <w:pPr>
              <w:spacing w:after="0"/>
              <w:rPr>
                <w:sz w:val="16"/>
                <w:szCs w:val="16"/>
                <w:color w:val="auto"/>
              </w:rPr>
            </w:pPr>
          </w:p>
        </w:tc>
        <w:tc>
          <w:tcPr>
            <w:tcW w:w="2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2"/>
                <w:szCs w:val="22"/>
                <w:color w:val="auto"/>
              </w:rPr>
            </w:pPr>
          </w:p>
        </w:tc>
        <w:tc>
          <w:tcPr>
            <w:tcW w:w="6580" w:type="dxa"/>
            <w:vAlign w:val="bottom"/>
            <w:tcBorders>
              <w:bottom w:val="single" w:sz="8" w:color="0000EE"/>
            </w:tcBorders>
            <w:gridSpan w:val="29"/>
          </w:tcPr>
          <w:p>
            <w:pPr>
              <w:spacing w:after="0"/>
              <w:rPr>
                <w:rFonts w:ascii="Arial" w:cs="Arial" w:eastAsia="Arial" w:hAnsi="Arial"/>
                <w:sz w:val="18"/>
                <w:szCs w:val="18"/>
                <w:color w:val="0000EE"/>
                <w:w w:val="88"/>
              </w:rPr>
            </w:pPr>
            <w:hyperlink r:id="rId76">
              <w:r>
                <w:rPr>
                  <w:rFonts w:ascii="Arial" w:cs="Arial" w:eastAsia="Arial" w:hAnsi="Arial"/>
                  <w:sz w:val="18"/>
                  <w:szCs w:val="18"/>
                  <w:color w:val="0000EE"/>
                  <w:w w:val="88"/>
                </w:rPr>
                <w:t>Form of Warrant to Purchase Shares issued in April, August and October 2014 in connection</w:t>
              </w:r>
            </w:hyperlink>
          </w:p>
        </w:tc>
        <w:tc>
          <w:tcPr>
            <w:tcW w:w="3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with the 2014 convertible note financing.</w:t>
              </w:r>
            </w:hyperlink>
          </w:p>
        </w:tc>
        <w:tc>
          <w:tcPr>
            <w:tcW w:w="396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2"/>
                <w:szCs w:val="22"/>
                <w:color w:val="auto"/>
              </w:rPr>
            </w:pPr>
          </w:p>
        </w:tc>
        <w:tc>
          <w:tcPr>
            <w:tcW w:w="1700" w:type="dxa"/>
            <w:vAlign w:val="bottom"/>
            <w:tcBorders>
              <w:bottom w:val="single" w:sz="8" w:color="0000EE"/>
            </w:tcBorders>
            <w:gridSpan w:val="6"/>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unit certificate.</w:t>
              </w:r>
            </w:hyperlink>
          </w:p>
        </w:tc>
        <w:tc>
          <w:tcPr>
            <w:tcW w:w="5180" w:type="dxa"/>
            <w:vAlign w:val="bottom"/>
            <w:gridSpan w:val="29"/>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2"/>
                <w:szCs w:val="22"/>
                <w:color w:val="auto"/>
              </w:rPr>
            </w:pPr>
          </w:p>
        </w:tc>
        <w:tc>
          <w:tcPr>
            <w:tcW w:w="2700" w:type="dxa"/>
            <w:vAlign w:val="bottom"/>
            <w:tcBorders>
              <w:bottom w:val="single" w:sz="8" w:color="0000EE"/>
            </w:tcBorders>
            <w:gridSpan w:val="11"/>
          </w:tcPr>
          <w:p>
            <w:pPr>
              <w:spacing w:after="0"/>
              <w:rPr>
                <w:rFonts w:ascii="Arial" w:cs="Arial" w:eastAsia="Arial" w:hAnsi="Arial"/>
                <w:sz w:val="18"/>
                <w:szCs w:val="18"/>
                <w:color w:val="0000EE"/>
                <w:w w:val="88"/>
              </w:rPr>
            </w:pPr>
            <w:hyperlink r:id="rId78">
              <w:r>
                <w:rPr>
                  <w:rFonts w:ascii="Arial" w:cs="Arial" w:eastAsia="Arial" w:hAnsi="Arial"/>
                  <w:sz w:val="18"/>
                  <w:szCs w:val="18"/>
                  <w:color w:val="0000EE"/>
                  <w:w w:val="88"/>
                </w:rPr>
                <w:t>Form of Series B Warrant Agreement.</w:t>
              </w:r>
            </w:hyperlink>
          </w:p>
        </w:tc>
        <w:tc>
          <w:tcPr>
            <w:tcW w:w="418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2"/>
                <w:szCs w:val="22"/>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Form of the Series B Warrant certificate.</w:t>
              </w:r>
            </w:hyperlink>
          </w:p>
        </w:tc>
        <w:tc>
          <w:tcPr>
            <w:tcW w:w="400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2"/>
                <w:szCs w:val="22"/>
                <w:color w:val="auto"/>
              </w:rPr>
            </w:pPr>
          </w:p>
        </w:tc>
        <w:tc>
          <w:tcPr>
            <w:tcW w:w="2960" w:type="dxa"/>
            <w:vAlign w:val="bottom"/>
            <w:tcBorders>
              <w:bottom w:val="single" w:sz="8" w:color="0000EE"/>
            </w:tcBorders>
            <w:gridSpan w:val="15"/>
          </w:tcPr>
          <w:p>
            <w:pP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Form of the Series C Warrant Agreement.</w:t>
              </w:r>
            </w:hyperlink>
          </w:p>
        </w:tc>
        <w:tc>
          <w:tcPr>
            <w:tcW w:w="392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2"/>
                <w:szCs w:val="22"/>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Form of the Series C Warrant certificate.</w:t>
              </w:r>
            </w:hyperlink>
          </w:p>
        </w:tc>
        <w:tc>
          <w:tcPr>
            <w:tcW w:w="400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82">
              <w:r>
                <w:rPr>
                  <w:rFonts w:ascii="Arial" w:cs="Arial" w:eastAsia="Arial" w:hAnsi="Arial"/>
                  <w:sz w:val="18"/>
                  <w:szCs w:val="18"/>
                  <w:color w:val="0000EE"/>
                </w:rPr>
                <w:t>Form of Series D Common Stock Purchase Warrant.</w:t>
              </w:r>
            </w:hyperlink>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2"/>
                <w:szCs w:val="22"/>
                <w:color w:val="auto"/>
              </w:rPr>
            </w:pPr>
          </w:p>
        </w:tc>
        <w:tc>
          <w:tcPr>
            <w:tcW w:w="3700" w:type="dxa"/>
            <w:vAlign w:val="bottom"/>
            <w:tcBorders>
              <w:top w:val="single" w:sz="8" w:color="0000EE"/>
            </w:tcBorders>
            <w:gridSpan w:val="17"/>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Placement Agent Warrant.</w:t>
              </w:r>
            </w:hyperlink>
          </w:p>
        </w:tc>
        <w:tc>
          <w:tcPr>
            <w:tcW w:w="318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Series D common stock Warrant Certificate.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22"/>
                <w:szCs w:val="22"/>
                <w:color w:val="auto"/>
              </w:rPr>
            </w:pPr>
          </w:p>
        </w:tc>
        <w:tc>
          <w:tcPr>
            <w:tcW w:w="4100" w:type="dxa"/>
            <w:vAlign w:val="bottom"/>
            <w:tcBorders>
              <w:bottom w:val="single" w:sz="8" w:color="0000EE"/>
            </w:tcBorders>
            <w:gridSpan w:val="20"/>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Form of Series A Convertible Preferred Stock Certificate.</w:t>
              </w:r>
            </w:hyperlink>
          </w:p>
        </w:tc>
        <w:tc>
          <w:tcPr>
            <w:tcW w:w="278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86">
              <w:r>
                <w:rPr>
                  <w:rFonts w:ascii="Arial" w:cs="Arial" w:eastAsia="Arial" w:hAnsi="Arial"/>
                  <w:sz w:val="18"/>
                  <w:szCs w:val="18"/>
                  <w:color w:val="0000EE"/>
                </w:rPr>
                <w:t>Form of Placement Agent Warrant.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22"/>
                <w:szCs w:val="22"/>
                <w:color w:val="auto"/>
              </w:rPr>
            </w:pPr>
          </w:p>
        </w:tc>
        <w:tc>
          <w:tcPr>
            <w:tcW w:w="4080" w:type="dxa"/>
            <w:vAlign w:val="bottom"/>
            <w:tcBorders>
              <w:bottom w:val="single" w:sz="8" w:color="0000EE"/>
            </w:tcBorders>
            <w:gridSpan w:val="19"/>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Form of Series B Convertible Preferred Stock Certificate.</w:t>
              </w:r>
            </w:hyperlink>
          </w:p>
        </w:tc>
        <w:tc>
          <w:tcPr>
            <w:tcW w:w="280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22"/>
                <w:szCs w:val="22"/>
                <w:color w:val="auto"/>
              </w:rPr>
            </w:pPr>
          </w:p>
        </w:tc>
        <w:tc>
          <w:tcPr>
            <w:tcW w:w="3020" w:type="dxa"/>
            <w:vAlign w:val="bottom"/>
            <w:tcBorders>
              <w:bottom w:val="single" w:sz="8" w:color="0000EE"/>
            </w:tcBorders>
            <w:gridSpan w:val="16"/>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Form of Common Stock Purchase Warrant</w:t>
              </w:r>
            </w:hyperlink>
          </w:p>
        </w:tc>
        <w:tc>
          <w:tcPr>
            <w:tcW w:w="386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89">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Voting Agreement.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2"/>
                <w:szCs w:val="22"/>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Form of Indemnification Agreement between the Registrant and each of its directors and</w:t>
              </w:r>
            </w:hyperlink>
          </w:p>
        </w:tc>
        <w:tc>
          <w:tcPr>
            <w:tcW w:w="6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5"/>
          </w:tcPr>
          <w:p>
            <w:pPr>
              <w:spacing w:after="0" w:line="192" w:lineRule="exact"/>
              <w:rPr>
                <w:rFonts w:ascii="Arial" w:cs="Arial" w:eastAsia="Arial" w:hAnsi="Arial"/>
                <w:sz w:val="18"/>
                <w:szCs w:val="18"/>
                <w:color w:val="0000EE"/>
              </w:rPr>
            </w:pPr>
            <w:hyperlink r:id="rId92">
              <w:r>
                <w:rPr>
                  <w:rFonts w:ascii="Arial" w:cs="Arial" w:eastAsia="Arial" w:hAnsi="Arial"/>
                  <w:sz w:val="18"/>
                  <w:szCs w:val="18"/>
                  <w:color w:val="0000EE"/>
                </w:rPr>
                <w:t>executive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4500" w:type="dxa"/>
            <w:vAlign w:val="bottom"/>
            <w:tcBorders>
              <w:bottom w:val="single" w:sz="8" w:color="0000EE"/>
            </w:tcBorders>
            <w:gridSpan w:val="22"/>
          </w:tcPr>
          <w:p>
            <w:pPr>
              <w:spacing w:after="0"/>
              <w:rPr>
                <w:rFonts w:ascii="Arial" w:cs="Arial" w:eastAsia="Arial" w:hAnsi="Arial"/>
                <w:sz w:val="18"/>
                <w:szCs w:val="18"/>
                <w:color w:val="0000EE"/>
                <w:w w:val="87"/>
              </w:rPr>
            </w:pPr>
            <w:hyperlink r:id="rId93">
              <w:r>
                <w:rPr>
                  <w:rFonts w:ascii="Arial" w:cs="Arial" w:eastAsia="Arial" w:hAnsi="Arial"/>
                  <w:sz w:val="18"/>
                  <w:szCs w:val="18"/>
                  <w:color w:val="0000EE"/>
                  <w:w w:val="87"/>
                </w:rPr>
                <w:t>1999 Incentive Stock Plan and forms of agreements thereunder.</w:t>
              </w:r>
            </w:hyperlink>
          </w:p>
        </w:tc>
        <w:tc>
          <w:tcPr>
            <w:tcW w:w="238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94">
              <w:r>
                <w:rPr>
                  <w:rFonts w:ascii="Arial" w:cs="Arial" w:eastAsia="Arial" w:hAnsi="Arial"/>
                  <w:sz w:val="18"/>
                  <w:szCs w:val="18"/>
                  <w:color w:val="0000EE"/>
                </w:rPr>
                <w:t>2010 Equity Incentive Plan and forms of agreements thereunder.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580" w:type="dxa"/>
            <w:vAlign w:val="bottom"/>
            <w:gridSpan w:val="11"/>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rPr>
            </w:pPr>
            <w:hyperlink r:id="rId95">
              <w:r>
                <w:rPr>
                  <w:rFonts w:ascii="Arial" w:cs="Arial" w:eastAsia="Arial" w:hAnsi="Arial"/>
                  <w:sz w:val="18"/>
                  <w:szCs w:val="18"/>
                  <w:color w:val="0000EE"/>
                </w:rPr>
                <w:t>2014 Equity Incentive Plan and forms of agreements thereunder.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580" w:type="dxa"/>
            <w:vAlign w:val="bottom"/>
            <w:gridSpan w:val="11"/>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5240" w:type="dxa"/>
            <w:vAlign w:val="bottom"/>
            <w:tcBorders>
              <w:bottom w:val="single" w:sz="8" w:color="0000EE"/>
            </w:tcBorders>
            <w:gridSpan w:val="24"/>
          </w:tcPr>
          <w:p>
            <w:pPr>
              <w:spacing w:after="0"/>
              <w:rPr>
                <w:rFonts w:ascii="Arial" w:cs="Arial" w:eastAsia="Arial" w:hAnsi="Arial"/>
                <w:sz w:val="18"/>
                <w:szCs w:val="18"/>
                <w:color w:val="0000EE"/>
                <w:w w:val="87"/>
              </w:rPr>
            </w:pPr>
            <w:hyperlink r:id="rId96">
              <w:r>
                <w:rPr>
                  <w:rFonts w:ascii="Arial" w:cs="Arial" w:eastAsia="Arial" w:hAnsi="Arial"/>
                  <w:sz w:val="18"/>
                  <w:szCs w:val="18"/>
                  <w:color w:val="0000EE"/>
                  <w:w w:val="87"/>
                </w:rPr>
                <w:t>2014 Employee Stock Purchase Plan and forms of agreements thereunder.</w:t>
              </w:r>
            </w:hyperlink>
          </w:p>
        </w:tc>
        <w:tc>
          <w:tcPr>
            <w:tcW w:w="16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6720" w:type="dxa"/>
            <w:vAlign w:val="bottom"/>
            <w:tcBorders>
              <w:bottom w:val="single" w:sz="8" w:color="0000EE"/>
            </w:tcBorders>
            <w:gridSpan w:val="33"/>
          </w:tcPr>
          <w:p>
            <w:pPr>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Offer Letter, dated June 22, 2007, by and between Soleno Therapeutics, Inc. and Ernest Mario,</w:t>
              </w:r>
            </w:hyperlink>
          </w:p>
        </w:tc>
        <w:tc>
          <w:tcPr>
            <w:tcW w:w="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5"/>
          </w:tcPr>
          <w:p>
            <w:pPr>
              <w:spacing w:after="0" w:line="192" w:lineRule="exact"/>
              <w:rPr>
                <w:rFonts w:ascii="Arial" w:cs="Arial" w:eastAsia="Arial" w:hAnsi="Arial"/>
                <w:sz w:val="18"/>
                <w:szCs w:val="18"/>
                <w:color w:val="0000EE"/>
              </w:rPr>
            </w:pPr>
            <w:hyperlink r:id="rId97">
              <w:r>
                <w:rPr>
                  <w:rFonts w:ascii="Arial" w:cs="Arial" w:eastAsia="Arial" w:hAnsi="Arial"/>
                  <w:sz w:val="18"/>
                  <w:szCs w:val="18"/>
                  <w:color w:val="0000EE"/>
                </w:rPr>
                <w:t>Ph.D.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6560" w:type="dxa"/>
            <w:vAlign w:val="bottom"/>
            <w:tcBorders>
              <w:bottom w:val="single" w:sz="8" w:color="0000EE"/>
            </w:tcBorders>
            <w:gridSpan w:val="28"/>
          </w:tcPr>
          <w:p>
            <w:pPr>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Employment Agreement, dated April 6, 2010, by and between Soleno Therapeutics, Inc. and</w:t>
              </w:r>
            </w:hyperlink>
          </w:p>
        </w:tc>
        <w:tc>
          <w:tcPr>
            <w:tcW w:w="3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5"/>
          </w:tcPr>
          <w:p>
            <w:pPr>
              <w:spacing w:after="0" w:line="192" w:lineRule="exact"/>
              <w:rPr>
                <w:rFonts w:ascii="Arial" w:cs="Arial" w:eastAsia="Arial" w:hAnsi="Arial"/>
                <w:sz w:val="18"/>
                <w:szCs w:val="18"/>
                <w:color w:val="0000EE"/>
              </w:rPr>
            </w:pPr>
            <w:hyperlink r:id="rId98">
              <w:r>
                <w:rPr>
                  <w:rFonts w:ascii="Arial" w:cs="Arial" w:eastAsia="Arial" w:hAnsi="Arial"/>
                  <w:sz w:val="18"/>
                  <w:szCs w:val="18"/>
                  <w:color w:val="0000EE"/>
                </w:rPr>
                <w:t>Anish Bhatnagar.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Offer Letter, dated May 29, 2013, between Soleno Therapeutics, Inc. and Anthony Wondka.</w:t>
              </w:r>
            </w:hyperlink>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2"/>
                <w:szCs w:val="22"/>
                <w:color w:val="auto"/>
              </w:rPr>
            </w:pPr>
          </w:p>
        </w:tc>
        <w:tc>
          <w:tcPr>
            <w:tcW w:w="632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Offer Letter, dated April 17, 2014, by and between Soleno Therapeutics, Inc. and Antoun</w:t>
              </w:r>
            </w:hyperlink>
          </w:p>
        </w:tc>
        <w:tc>
          <w:tcPr>
            <w:tcW w:w="180" w:type="dxa"/>
            <w:vAlign w:val="bottom"/>
            <w:tcBorders>
              <w:top w:val="single" w:sz="8" w:color="0000EE"/>
            </w:tcBorders>
          </w:tcPr>
          <w:p>
            <w:pPr>
              <w:spacing w:after="0"/>
              <w:rPr>
                <w:sz w:val="22"/>
                <w:szCs w:val="22"/>
                <w:color w:val="auto"/>
              </w:rPr>
            </w:pPr>
          </w:p>
        </w:tc>
        <w:tc>
          <w:tcPr>
            <w:tcW w:w="3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bottom w:val="single" w:sz="8" w:color="0000EE"/>
            </w:tcBorders>
            <w:gridSpan w:val="3"/>
          </w:tcPr>
          <w:p>
            <w:pPr>
              <w:spacing w:after="0" w:line="192" w:lineRule="exact"/>
              <w:rPr>
                <w:rFonts w:ascii="Arial" w:cs="Arial" w:eastAsia="Arial" w:hAnsi="Arial"/>
                <w:sz w:val="18"/>
                <w:szCs w:val="18"/>
                <w:color w:val="0000EE"/>
                <w:w w:val="85"/>
              </w:rPr>
            </w:pPr>
            <w:hyperlink r:id="rId100">
              <w:r>
                <w:rPr>
                  <w:rFonts w:ascii="Arial" w:cs="Arial" w:eastAsia="Arial" w:hAnsi="Arial"/>
                  <w:sz w:val="18"/>
                  <w:szCs w:val="18"/>
                  <w:color w:val="0000EE"/>
                  <w:w w:val="85"/>
                </w:rPr>
                <w:t>Nabhan.</w:t>
              </w:r>
            </w:hyperlink>
          </w:p>
        </w:tc>
        <w:tc>
          <w:tcPr>
            <w:tcW w:w="6280" w:type="dxa"/>
            <w:vAlign w:val="bottom"/>
            <w:gridSpan w:val="3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2"/>
                <w:szCs w:val="22"/>
                <w:color w:val="auto"/>
              </w:rPr>
            </w:pPr>
          </w:p>
        </w:tc>
        <w:tc>
          <w:tcPr>
            <w:tcW w:w="6880" w:type="dxa"/>
            <w:vAlign w:val="bottom"/>
            <w:gridSpan w:val="35"/>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Asset Purchase Agreement dated May 11, 2010, by and between Soleno Therapeutics, Inc. and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10"/>
          </w:tcPr>
          <w:p>
            <w:pPr>
              <w:spacing w:after="0" w:line="192"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BioMedical Drug Development Inc.</w:t>
              </w:r>
            </w:hyperlink>
          </w:p>
        </w:tc>
        <w:tc>
          <w:tcPr>
            <w:tcW w:w="4140" w:type="dxa"/>
            <w:vAlign w:val="bottom"/>
            <w:tcBorders>
              <w:top w:val="single" w:sz="8" w:color="0000EE"/>
            </w:tcBorders>
            <w:gridSpan w:val="22"/>
          </w:tcPr>
          <w:p>
            <w:pPr>
              <w:spacing w:after="0"/>
              <w:rPr>
                <w:sz w:val="16"/>
                <w:szCs w:val="16"/>
                <w:color w:val="auto"/>
              </w:rPr>
            </w:pPr>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2"/>
                <w:szCs w:val="22"/>
                <w:color w:val="auto"/>
              </w:rPr>
            </w:pPr>
          </w:p>
        </w:tc>
        <w:tc>
          <w:tcPr>
            <w:tcW w:w="6600" w:type="dxa"/>
            <w:vAlign w:val="bottom"/>
            <w:tcBorders>
              <w:bottom w:val="single" w:sz="8" w:color="0000EE"/>
            </w:tcBorders>
            <w:gridSpan w:val="30"/>
          </w:tcPr>
          <w:p>
            <w:pPr>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Convertible Note and Warrant Purchase Agreement, dated February 10, 2010, by and among</w:t>
              </w:r>
            </w:hyperlink>
          </w:p>
        </w:tc>
        <w:tc>
          <w:tcPr>
            <w:tcW w:w="2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5"/>
          </w:tcPr>
          <w:p>
            <w:pPr>
              <w:spacing w:after="0" w:line="192" w:lineRule="exact"/>
              <w:rPr>
                <w:rFonts w:ascii="Arial" w:cs="Arial" w:eastAsia="Arial" w:hAnsi="Arial"/>
                <w:sz w:val="18"/>
                <w:szCs w:val="18"/>
                <w:color w:val="0000EE"/>
              </w:rPr>
            </w:pPr>
            <w:hyperlink r:id="rId102">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377"/>
        </w:trPr>
        <w:tc>
          <w:tcPr>
            <w:tcW w:w="5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120" w:type="dxa"/>
            <w:vAlign w:val="bottom"/>
            <w:tcBorders>
              <w:top w:val="single" w:sz="8" w:color="0000EE"/>
            </w:tcBorders>
            <w:gridSpan w:val="20"/>
          </w:tcPr>
          <w:p>
            <w:pPr>
              <w:spacing w:after="0"/>
              <w:rPr>
                <w:sz w:val="24"/>
                <w:szCs w:val="2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4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rPr>
              <w:t>Registrant’s</w:t>
            </w:r>
          </w:p>
        </w:tc>
        <w:tc>
          <w:tcPr>
            <w:tcW w:w="1600" w:type="dxa"/>
            <w:vAlign w:val="bottom"/>
            <w:tcBorders>
              <w:top w:val="single" w:sz="8" w:color="auto"/>
            </w:tcBorders>
          </w:tcPr>
          <w:p>
            <w:pPr>
              <w:ind w:left="480"/>
              <w:spacing w:after="0" w:line="117"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rPr>
              <w:t>Exhibit</w:t>
            </w: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Filed</w:t>
            </w:r>
          </w:p>
        </w:tc>
      </w:tr>
      <w:tr>
        <w:trPr>
          <w:trHeight w:val="182"/>
        </w:trPr>
        <w:tc>
          <w:tcPr>
            <w:tcW w:w="74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470"/>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S-1</w:t>
            </w: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10, 2014</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August 5,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November 4,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November 4,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S-4</w:t>
            </w:r>
          </w:p>
        </w:tc>
        <w:tc>
          <w:tcPr>
            <w:tcW w:w="1600" w:type="dxa"/>
            <w:vAlign w:val="bottom"/>
          </w:tcPr>
          <w:p>
            <w:pPr>
              <w:spacing w:after="0"/>
              <w:rPr>
                <w:sz w:val="20"/>
                <w:szCs w:val="20"/>
                <w:color w:val="auto"/>
              </w:rPr>
            </w:pPr>
            <w:r>
              <w:rPr>
                <w:rFonts w:ascii="Arial" w:cs="Arial" w:eastAsia="Arial" w:hAnsi="Arial"/>
                <w:sz w:val="18"/>
                <w:szCs w:val="18"/>
                <w:color w:val="auto"/>
              </w:rPr>
              <w:t>April 1,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S-4</w:t>
            </w:r>
          </w:p>
        </w:tc>
        <w:tc>
          <w:tcPr>
            <w:tcW w:w="1600" w:type="dxa"/>
            <w:vAlign w:val="bottom"/>
          </w:tcPr>
          <w:p>
            <w:pPr>
              <w:spacing w:after="0"/>
              <w:rPr>
                <w:sz w:val="20"/>
                <w:szCs w:val="20"/>
                <w:color w:val="auto"/>
              </w:rPr>
            </w:pPr>
            <w:r>
              <w:rPr>
                <w:rFonts w:ascii="Arial" w:cs="Arial" w:eastAsia="Arial" w:hAnsi="Arial"/>
                <w:sz w:val="18"/>
                <w:szCs w:val="18"/>
                <w:color w:val="auto"/>
              </w:rPr>
              <w:t>April 1,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6, 2016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6, 2016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w w:val="99"/>
              </w:rPr>
              <w:t>December 13, 2017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6, 2016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w w:val="99"/>
              </w:rPr>
              <w:t>December 27, 2016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1,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1,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2">
            <w:col w:w="7600" w:space="100"/>
            <w:col w:w="3720"/>
          </w:cols>
          <w:pgMar w:left="240" w:top="453"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gridSpan w:val="21"/>
            <w:vMerge w:val="restart"/>
          </w:tcPr>
          <w:p>
            <w:pPr>
              <w:ind w:left="1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6880" w:type="dxa"/>
            <w:vAlign w:val="bottom"/>
            <w:gridSpan w:val="3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Amendment No. 1 to Convertible Note and Warrant Purchase Agreement, Convertible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40" w:type="dxa"/>
            <w:vAlign w:val="bottom"/>
            <w:tcBorders>
              <w:bottom w:val="single" w:sz="8" w:color="0000EE"/>
            </w:tcBorders>
            <w:gridSpan w:val="25"/>
          </w:tcPr>
          <w:p>
            <w:pPr>
              <w:spacing w:after="0" w:line="192" w:lineRule="exact"/>
              <w:rPr>
                <w:rFonts w:ascii="Arial" w:cs="Arial" w:eastAsia="Arial" w:hAnsi="Arial"/>
                <w:sz w:val="18"/>
                <w:szCs w:val="18"/>
                <w:color w:val="0000EE"/>
                <w:w w:val="87"/>
              </w:rPr>
            </w:pPr>
            <w:hyperlink r:id="rId104">
              <w:r>
                <w:rPr>
                  <w:rFonts w:ascii="Arial" w:cs="Arial" w:eastAsia="Arial" w:hAnsi="Arial"/>
                  <w:sz w:val="18"/>
                  <w:szCs w:val="18"/>
                  <w:color w:val="0000EE"/>
                  <w:w w:val="87"/>
                </w:rPr>
                <w:t>Promissory Notes and Warrants to Purchase Shares, dated November 10, 2010, by and among</w:t>
              </w:r>
            </w:hyperlink>
          </w:p>
        </w:tc>
        <w:tc>
          <w:tcPr>
            <w:tcW w:w="2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Borders>
              <w:bottom w:val="single" w:sz="8" w:color="0000EE"/>
            </w:tcBorders>
            <w:gridSpan w:val="14"/>
          </w:tcPr>
          <w:p>
            <w:pPr>
              <w:spacing w:after="0" w:line="192" w:lineRule="exact"/>
              <w:rPr>
                <w:rFonts w:ascii="Arial" w:cs="Arial" w:eastAsia="Arial" w:hAnsi="Arial"/>
                <w:sz w:val="18"/>
                <w:szCs w:val="18"/>
                <w:color w:val="0000EE"/>
                <w:w w:val="87"/>
              </w:rPr>
            </w:pPr>
            <w:hyperlink r:id="rId104">
              <w:r>
                <w:rPr>
                  <w:rFonts w:ascii="Arial" w:cs="Arial" w:eastAsia="Arial" w:hAnsi="Arial"/>
                  <w:sz w:val="18"/>
                  <w:szCs w:val="18"/>
                  <w:color w:val="0000EE"/>
                  <w:w w:val="87"/>
                </w:rPr>
                <w:t>Soleno Therapeutics, Inc. and the investors named therein.</w:t>
              </w:r>
            </w:hyperlink>
          </w:p>
        </w:tc>
        <w:tc>
          <w:tcPr>
            <w:tcW w:w="27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rPr>
            </w:pPr>
            <w:hyperlink r:id="rId105">
              <w:r>
                <w:rPr>
                  <w:rFonts w:ascii="Arial" w:cs="Arial" w:eastAsia="Arial" w:hAnsi="Arial"/>
                  <w:sz w:val="18"/>
                  <w:szCs w:val="18"/>
                  <w:color w:val="0000EE"/>
                </w:rPr>
                <w:t>Amendment No. 2 to Convertible Note and Warrant Purchase Agreement, Convertible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40" w:type="dxa"/>
            <w:vAlign w:val="bottom"/>
            <w:tcBorders>
              <w:bottom w:val="single" w:sz="8" w:color="0000EE"/>
            </w:tcBorders>
            <w:gridSpan w:val="19"/>
          </w:tcPr>
          <w:p>
            <w:pPr>
              <w:spacing w:after="0" w:line="192" w:lineRule="exact"/>
              <w:rPr>
                <w:rFonts w:ascii="Arial" w:cs="Arial" w:eastAsia="Arial" w:hAnsi="Arial"/>
                <w:sz w:val="18"/>
                <w:szCs w:val="18"/>
                <w:color w:val="0000EE"/>
                <w:w w:val="86"/>
              </w:rPr>
            </w:pPr>
            <w:hyperlink r:id="rId105">
              <w:r>
                <w:rPr>
                  <w:rFonts w:ascii="Arial" w:cs="Arial" w:eastAsia="Arial" w:hAnsi="Arial"/>
                  <w:sz w:val="18"/>
                  <w:szCs w:val="18"/>
                  <w:color w:val="0000EE"/>
                  <w:w w:val="86"/>
                </w:rPr>
                <w:t>Promissory Notes and Warrants to Purchase Shares, dated January 17, 2012, by and among</w:t>
              </w:r>
            </w:hyperlink>
          </w:p>
        </w:tc>
        <w:tc>
          <w:tcPr>
            <w:tcW w:w="4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05">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2"/>
                <w:szCs w:val="22"/>
                <w:color w:val="auto"/>
              </w:rPr>
            </w:pPr>
          </w:p>
        </w:tc>
        <w:tc>
          <w:tcPr>
            <w:tcW w:w="6520" w:type="dxa"/>
            <w:vAlign w:val="bottom"/>
            <w:tcBorders>
              <w:bottom w:val="single" w:sz="8" w:color="0000EE"/>
            </w:tcBorders>
            <w:gridSpan w:val="22"/>
          </w:tcPr>
          <w:p>
            <w:pPr>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Convertible Note and Warrant Purchase Agreement, dated January 16, 2012, by and among</w:t>
              </w:r>
            </w:hyperlink>
          </w:p>
        </w:tc>
        <w:tc>
          <w:tcPr>
            <w:tcW w:w="3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Borders>
              <w:bottom w:val="single" w:sz="8" w:color="0000EE"/>
            </w:tcBorders>
            <w:gridSpan w:val="14"/>
          </w:tcPr>
          <w:p>
            <w:pPr>
              <w:spacing w:after="0" w:line="192" w:lineRule="exact"/>
              <w:rPr>
                <w:rFonts w:ascii="Arial" w:cs="Arial" w:eastAsia="Arial" w:hAnsi="Arial"/>
                <w:sz w:val="18"/>
                <w:szCs w:val="18"/>
                <w:color w:val="0000EE"/>
                <w:w w:val="87"/>
              </w:rPr>
            </w:pPr>
            <w:hyperlink r:id="rId106">
              <w:r>
                <w:rPr>
                  <w:rFonts w:ascii="Arial" w:cs="Arial" w:eastAsia="Arial" w:hAnsi="Arial"/>
                  <w:sz w:val="18"/>
                  <w:szCs w:val="18"/>
                  <w:color w:val="0000EE"/>
                  <w:w w:val="87"/>
                </w:rPr>
                <w:t>Soleno Therapeutics, Inc. and the investors named therein.</w:t>
              </w:r>
            </w:hyperlink>
          </w:p>
        </w:tc>
        <w:tc>
          <w:tcPr>
            <w:tcW w:w="27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2"/>
                <w:szCs w:val="22"/>
                <w:color w:val="auto"/>
              </w:rPr>
            </w:pPr>
          </w:p>
        </w:tc>
        <w:tc>
          <w:tcPr>
            <w:tcW w:w="6380" w:type="dxa"/>
            <w:vAlign w:val="bottom"/>
            <w:tcBorders>
              <w:bottom w:val="single" w:sz="8" w:color="0000EE"/>
            </w:tcBorders>
            <w:gridSpan w:val="17"/>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Omnibus Amendment to Convertible Note and Warrant Purchase Agreement, Convertible</w:t>
              </w:r>
            </w:hyperlink>
          </w:p>
        </w:tc>
        <w:tc>
          <w:tcPr>
            <w:tcW w:w="5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20" w:type="dxa"/>
            <w:vAlign w:val="bottom"/>
            <w:tcBorders>
              <w:bottom w:val="single" w:sz="8" w:color="0000EE"/>
            </w:tcBorders>
            <w:gridSpan w:val="28"/>
          </w:tcPr>
          <w:p>
            <w:pPr>
              <w:spacing w:after="0" w:line="192" w:lineRule="exact"/>
              <w:rPr>
                <w:rFonts w:ascii="Arial" w:cs="Arial" w:eastAsia="Arial" w:hAnsi="Arial"/>
                <w:sz w:val="18"/>
                <w:szCs w:val="18"/>
                <w:color w:val="0000EE"/>
                <w:w w:val="86"/>
              </w:rPr>
            </w:pPr>
            <w:hyperlink r:id="rId107">
              <w:r>
                <w:rPr>
                  <w:rFonts w:ascii="Arial" w:cs="Arial" w:eastAsia="Arial" w:hAnsi="Arial"/>
                  <w:sz w:val="18"/>
                  <w:szCs w:val="18"/>
                  <w:color w:val="0000EE"/>
                  <w:w w:val="86"/>
                </w:rPr>
                <w:t>Promissory Notes and Warrants to Purchase Shares, dated July 31, 2012, by and among Soleno</w:t>
              </w:r>
            </w:hyperlink>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07">
              <w:r>
                <w:rPr>
                  <w:rFonts w:ascii="Arial" w:cs="Arial" w:eastAsia="Arial" w:hAnsi="Arial"/>
                  <w:sz w:val="18"/>
                  <w:szCs w:val="18"/>
                  <w:color w:val="0000EE"/>
                </w:rPr>
                <w:t>Therapeutics, Inc. and the investors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Omnibus Amendment to Convertible Promissory Notes and Warrants to Purchase Shares, dated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April 28, 2014, by and among Soleno Therapeutics, Inc. and the investors named therein.</w:t>
              </w:r>
            </w:hyperlink>
          </w:p>
        </w:tc>
        <w:tc>
          <w:tcPr>
            <w:tcW w:w="400" w:type="dxa"/>
            <w:vAlign w:val="bottom"/>
            <w:tcBorders>
              <w:top w:val="single" w:sz="8" w:color="0000EE"/>
            </w:tcBorders>
            <w:gridSpan w:val="13"/>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2"/>
                <w:szCs w:val="22"/>
                <w:color w:val="auto"/>
              </w:rPr>
            </w:pPr>
          </w:p>
        </w:tc>
        <w:tc>
          <w:tcPr>
            <w:tcW w:w="4140" w:type="dxa"/>
            <w:vAlign w:val="bottom"/>
            <w:tcBorders>
              <w:bottom w:val="single" w:sz="8" w:color="0000EE"/>
            </w:tcBorders>
            <w:gridSpan w:val="13"/>
          </w:tcPr>
          <w:p>
            <w:pPr>
              <w:spacing w:after="0"/>
              <w:rPr>
                <w:rFonts w:ascii="Arial" w:cs="Arial" w:eastAsia="Arial" w:hAnsi="Arial"/>
                <w:sz w:val="18"/>
                <w:szCs w:val="18"/>
                <w:color w:val="0000EE"/>
                <w:w w:val="87"/>
              </w:rPr>
            </w:pPr>
            <w:hyperlink r:id="rId109">
              <w:r>
                <w:rPr>
                  <w:rFonts w:ascii="Arial" w:cs="Arial" w:eastAsia="Arial" w:hAnsi="Arial"/>
                  <w:sz w:val="18"/>
                  <w:szCs w:val="18"/>
                  <w:color w:val="0000EE"/>
                  <w:w w:val="87"/>
                </w:rPr>
                <w:t>Convertible Note and Warrant Purchase Agreement, dated</w:t>
              </w:r>
            </w:hyperlink>
          </w:p>
        </w:tc>
        <w:tc>
          <w:tcPr>
            <w:tcW w:w="274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60" w:type="dxa"/>
            <w:vAlign w:val="bottom"/>
            <w:tcBorders>
              <w:bottom w:val="single" w:sz="8" w:color="0000EE"/>
            </w:tcBorders>
            <w:gridSpan w:val="16"/>
          </w:tcPr>
          <w:p>
            <w:pPr>
              <w:spacing w:after="0" w:line="192"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April 28, 2014, by and among Soleno Therapeutics, Inc. and the investors named therein.</w:t>
              </w:r>
            </w:hyperlink>
          </w:p>
        </w:tc>
        <w:tc>
          <w:tcPr>
            <w:tcW w:w="5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2"/>
                <w:szCs w:val="22"/>
                <w:color w:val="auto"/>
              </w:rPr>
            </w:pPr>
          </w:p>
        </w:tc>
        <w:tc>
          <w:tcPr>
            <w:tcW w:w="6380" w:type="dxa"/>
            <w:vAlign w:val="bottom"/>
            <w:tcBorders>
              <w:bottom w:val="single" w:sz="8" w:color="0000EE"/>
            </w:tcBorders>
            <w:gridSpan w:val="17"/>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Omnibus Amendment to Convertible Note and Warrant Purchase Agreement, Convertible</w:t>
              </w:r>
            </w:hyperlink>
          </w:p>
        </w:tc>
        <w:tc>
          <w:tcPr>
            <w:tcW w:w="5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tcBorders>
              <w:bottom w:val="single" w:sz="8" w:color="0000EE"/>
            </w:tcBorders>
            <w:gridSpan w:val="26"/>
          </w:tcPr>
          <w:p>
            <w:pPr>
              <w:spacing w:after="0" w:line="192"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Promissory Notes and Warrants to Purchase Shares, dated May 5, 2014, by and among Soleno</w:t>
              </w:r>
            </w:hyperlink>
          </w:p>
        </w:tc>
        <w:tc>
          <w:tcPr>
            <w:tcW w:w="2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10">
              <w:r>
                <w:rPr>
                  <w:rFonts w:ascii="Arial" w:cs="Arial" w:eastAsia="Arial" w:hAnsi="Arial"/>
                  <w:sz w:val="18"/>
                  <w:szCs w:val="18"/>
                  <w:color w:val="0000EE"/>
                </w:rPr>
                <w:t>Therapeutics, Inc. and the investors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2"/>
                <w:szCs w:val="22"/>
                <w:color w:val="auto"/>
              </w:rPr>
            </w:pPr>
          </w:p>
        </w:tc>
        <w:tc>
          <w:tcPr>
            <w:tcW w:w="6420" w:type="dxa"/>
            <w:vAlign w:val="bottom"/>
            <w:tcBorders>
              <w:bottom w:val="single" w:sz="8" w:color="0000EE"/>
            </w:tcBorders>
            <w:gridSpan w:val="18"/>
          </w:tcPr>
          <w:p>
            <w:pPr>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Sublease, dated May 20, 2014, by and among Soleno Therapeutics, Inc. and Silicon Valley</w:t>
              </w:r>
            </w:hyperlink>
          </w:p>
        </w:tc>
        <w:tc>
          <w:tcPr>
            <w:tcW w:w="46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11">
              <w:r>
                <w:rPr>
                  <w:rFonts w:ascii="Arial" w:cs="Arial" w:eastAsia="Arial" w:hAnsi="Arial"/>
                  <w:sz w:val="18"/>
                  <w:szCs w:val="18"/>
                  <w:color w:val="0000EE"/>
                </w:rPr>
                <w:t>Finance Group.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Offer Letter, dated June 24, 2014, by and between Soleno Therapeutics, Inc. and David 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O’Toole.</w:t>
              </w:r>
            </w:hyperlink>
          </w:p>
        </w:tc>
        <w:tc>
          <w:tcPr>
            <w:tcW w:w="5740" w:type="dxa"/>
            <w:vAlign w:val="bottom"/>
            <w:tcBorders>
              <w:top w:val="single" w:sz="8" w:color="0000EE"/>
            </w:tcBorders>
            <w:gridSpan w:val="15"/>
          </w:tcPr>
          <w:p>
            <w:pPr>
              <w:spacing w:after="0"/>
              <w:rPr>
                <w:sz w:val="16"/>
                <w:szCs w:val="16"/>
                <w:color w:val="auto"/>
              </w:rPr>
            </w:pPr>
          </w:p>
        </w:tc>
        <w:tc>
          <w:tcPr>
            <w:tcW w:w="50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2"/>
                <w:szCs w:val="22"/>
                <w:color w:val="auto"/>
              </w:rPr>
            </w:pPr>
          </w:p>
        </w:tc>
        <w:tc>
          <w:tcPr>
            <w:tcW w:w="6540" w:type="dxa"/>
            <w:vAlign w:val="bottom"/>
            <w:tcBorders>
              <w:bottom w:val="single" w:sz="8" w:color="0000EE"/>
            </w:tcBorders>
            <w:gridSpan w:val="23"/>
          </w:tcPr>
          <w:p>
            <w:pPr>
              <w:spacing w:after="0"/>
              <w:rPr>
                <w:rFonts w:ascii="Arial" w:cs="Arial" w:eastAsia="Arial" w:hAnsi="Arial"/>
                <w:sz w:val="18"/>
                <w:szCs w:val="18"/>
                <w:color w:val="0000EE"/>
                <w:w w:val="87"/>
              </w:rPr>
            </w:pPr>
            <w:hyperlink r:id="rId113">
              <w:r>
                <w:rPr>
                  <w:rFonts w:ascii="Arial" w:cs="Arial" w:eastAsia="Arial" w:hAnsi="Arial"/>
                  <w:sz w:val="18"/>
                  <w:szCs w:val="18"/>
                  <w:color w:val="0000EE"/>
                  <w:w w:val="87"/>
                </w:rPr>
                <w:t>Loan Agreement by and between Soleno Therapeutics, Inc. and the investors named therein,</w:t>
              </w:r>
            </w:hyperlink>
          </w:p>
        </w:tc>
        <w:tc>
          <w:tcPr>
            <w:tcW w:w="3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bottom w:val="single" w:sz="8" w:color="0000EE"/>
            </w:tcBorders>
            <w:gridSpan w:val="8"/>
          </w:tcPr>
          <w:p>
            <w:pPr>
              <w:spacing w:after="0" w:line="192"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dated September 29, 2014.</w:t>
              </w:r>
            </w:hyperlink>
          </w:p>
        </w:tc>
        <w:tc>
          <w:tcPr>
            <w:tcW w:w="498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2"/>
                <w:szCs w:val="22"/>
                <w:color w:val="auto"/>
              </w:rPr>
            </w:pPr>
          </w:p>
        </w:tc>
        <w:tc>
          <w:tcPr>
            <w:tcW w:w="6780" w:type="dxa"/>
            <w:vAlign w:val="bottom"/>
            <w:tcBorders>
              <w:bottom w:val="single" w:sz="8" w:color="0000EE"/>
            </w:tcBorders>
            <w:gridSpan w:val="30"/>
          </w:tcPr>
          <w:p>
            <w:pPr>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Revised Second Tranche Closing Notice and Letter Amendment dated August 18, 2014 relating</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Borders>
              <w:bottom w:val="single" w:sz="8" w:color="0000EE"/>
            </w:tcBorders>
            <w:gridSpan w:val="7"/>
          </w:tcPr>
          <w:p>
            <w:pPr>
              <w:spacing w:after="0" w:line="192"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to the August 2014 Notes.</w:t>
              </w:r>
            </w:hyperlink>
          </w:p>
        </w:tc>
        <w:tc>
          <w:tcPr>
            <w:tcW w:w="502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2"/>
                <w:szCs w:val="22"/>
                <w:color w:val="auto"/>
              </w:rPr>
            </w:pPr>
          </w:p>
        </w:tc>
        <w:tc>
          <w:tcPr>
            <w:tcW w:w="6500" w:type="dxa"/>
            <w:vAlign w:val="bottom"/>
            <w:tcBorders>
              <w:bottom w:val="single" w:sz="8" w:color="0000EE"/>
            </w:tcBorders>
            <w:gridSpan w:val="21"/>
          </w:tcPr>
          <w:p>
            <w:pPr>
              <w:spacing w:after="0"/>
              <w:rPr>
                <w:rFonts w:ascii="Arial" w:cs="Arial" w:eastAsia="Arial" w:hAnsi="Arial"/>
                <w:sz w:val="18"/>
                <w:szCs w:val="18"/>
                <w:color w:val="0000EE"/>
                <w:w w:val="87"/>
              </w:rPr>
            </w:pPr>
            <w:hyperlink r:id="rId115">
              <w:r>
                <w:rPr>
                  <w:rFonts w:ascii="Arial" w:cs="Arial" w:eastAsia="Arial" w:hAnsi="Arial"/>
                  <w:sz w:val="18"/>
                  <w:szCs w:val="18"/>
                  <w:color w:val="0000EE"/>
                  <w:w w:val="87"/>
                </w:rPr>
                <w:t>Second Tranche Subsequent Closing Notice and Letter Amendment dated October 22, 2014</w:t>
              </w:r>
            </w:hyperlink>
          </w:p>
        </w:tc>
        <w:tc>
          <w:tcPr>
            <w:tcW w:w="3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0000EE"/>
            </w:tcBorders>
            <w:gridSpan w:val="10"/>
          </w:tcPr>
          <w:p>
            <w:pPr>
              <w:spacing w:after="0" w:line="192"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relating to the October 2014 Notes.</w:t>
              </w:r>
            </w:hyperlink>
          </w:p>
        </w:tc>
        <w:tc>
          <w:tcPr>
            <w:tcW w:w="438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2"/>
                <w:szCs w:val="22"/>
                <w:color w:val="auto"/>
              </w:rPr>
            </w:pPr>
          </w:p>
        </w:tc>
        <w:tc>
          <w:tcPr>
            <w:tcW w:w="2720" w:type="dxa"/>
            <w:vAlign w:val="bottom"/>
            <w:tcBorders>
              <w:bottom w:val="single" w:sz="8" w:color="0000EE"/>
            </w:tcBorders>
            <w:gridSpan w:val="11"/>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Form of Warrant Exercise Agreement.</w:t>
              </w:r>
            </w:hyperlink>
          </w:p>
        </w:tc>
        <w:tc>
          <w:tcPr>
            <w:tcW w:w="416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2"/>
                <w:szCs w:val="22"/>
                <w:color w:val="auto"/>
              </w:rPr>
            </w:pPr>
          </w:p>
        </w:tc>
        <w:tc>
          <w:tcPr>
            <w:tcW w:w="6700" w:type="dxa"/>
            <w:vAlign w:val="bottom"/>
            <w:tcBorders>
              <w:bottom w:val="single" w:sz="8" w:color="0000EE"/>
            </w:tcBorders>
            <w:gridSpan w:val="27"/>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Advisory Agreement by and between Soleno Therapeutics, Inc. and Maxim Group LLC, dated</w:t>
              </w:r>
            </w:hyperlink>
          </w:p>
        </w:tc>
        <w:tc>
          <w:tcPr>
            <w:tcW w:w="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17">
              <w:r>
                <w:rPr>
                  <w:rFonts w:ascii="Arial" w:cs="Arial" w:eastAsia="Arial" w:hAnsi="Arial"/>
                  <w:sz w:val="18"/>
                  <w:szCs w:val="18"/>
                  <w:color w:val="0000EE"/>
                </w:rPr>
                <w:t>March 4, 2015.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2"/>
                <w:szCs w:val="22"/>
                <w:color w:val="auto"/>
              </w:rPr>
            </w:pPr>
          </w:p>
        </w:tc>
        <w:tc>
          <w:tcPr>
            <w:tcW w:w="6640" w:type="dxa"/>
            <w:vAlign w:val="bottom"/>
            <w:tcBorders>
              <w:bottom w:val="single" w:sz="8" w:color="0000EE"/>
            </w:tcBorders>
            <w:gridSpan w:val="25"/>
          </w:tcPr>
          <w:p>
            <w:pPr>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Agreement and First Amendment to Asset Purchase Agreement between the Company, BDDI</w:t>
              </w:r>
            </w:hyperlink>
          </w:p>
        </w:tc>
        <w:tc>
          <w:tcPr>
            <w:tcW w:w="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18">
              <w:r>
                <w:rPr>
                  <w:rFonts w:ascii="Arial" w:cs="Arial" w:eastAsia="Arial" w:hAnsi="Arial"/>
                  <w:sz w:val="18"/>
                  <w:szCs w:val="18"/>
                  <w:color w:val="0000EE"/>
                </w:rPr>
                <w:t>and affiliate of BDDI, dated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7"/>
              </w:rPr>
            </w:pPr>
            <w:hyperlink r:id="rId118">
              <w:r>
                <w:rPr>
                  <w:rFonts w:ascii="Arial" w:cs="Arial" w:eastAsia="Arial" w:hAnsi="Arial"/>
                  <w:sz w:val="18"/>
                  <w:szCs w:val="18"/>
                  <w:color w:val="0000EE"/>
                  <w:w w:val="87"/>
                </w:rPr>
                <w:t>June 30, 2015.</w:t>
              </w:r>
            </w:hyperlink>
          </w:p>
        </w:tc>
        <w:tc>
          <w:tcPr>
            <w:tcW w:w="900" w:type="dxa"/>
            <w:vAlign w:val="bottom"/>
            <w:tcBorders>
              <w:top w:val="single" w:sz="8" w:color="0000EE"/>
            </w:tcBorders>
            <w:gridSpan w:val="4"/>
          </w:tcPr>
          <w:p>
            <w:pPr>
              <w:spacing w:after="0"/>
              <w:rPr>
                <w:sz w:val="16"/>
                <w:szCs w:val="16"/>
                <w:color w:val="auto"/>
              </w:rPr>
            </w:pPr>
          </w:p>
        </w:tc>
        <w:tc>
          <w:tcPr>
            <w:tcW w:w="490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w w:val="94"/>
              </w:rPr>
            </w:pPr>
            <w:hyperlink r:id="rId119">
              <w:r>
                <w:rPr>
                  <w:rFonts w:ascii="Arial" w:cs="Arial" w:eastAsia="Arial" w:hAnsi="Arial"/>
                  <w:sz w:val="18"/>
                  <w:szCs w:val="18"/>
                  <w:color w:val="0000EE"/>
                  <w:w w:val="94"/>
                </w:rPr>
                <w:t>Common Stock Purchase Agreement between the Company and an affiliate of BDDI, dated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7"/>
              </w:rPr>
            </w:pPr>
            <w:hyperlink r:id="rId119">
              <w:r>
                <w:rPr>
                  <w:rFonts w:ascii="Arial" w:cs="Arial" w:eastAsia="Arial" w:hAnsi="Arial"/>
                  <w:sz w:val="18"/>
                  <w:szCs w:val="18"/>
                  <w:color w:val="0000EE"/>
                  <w:w w:val="87"/>
                </w:rPr>
                <w:t>June 30, 2015.</w:t>
              </w:r>
            </w:hyperlink>
          </w:p>
        </w:tc>
        <w:tc>
          <w:tcPr>
            <w:tcW w:w="5400" w:type="dxa"/>
            <w:vAlign w:val="bottom"/>
            <w:tcBorders>
              <w:top w:val="single" w:sz="8" w:color="0000EE"/>
            </w:tcBorders>
            <w:gridSpan w:val="15"/>
          </w:tcPr>
          <w:p>
            <w:pPr>
              <w:spacing w:after="0"/>
              <w:rPr>
                <w:sz w:val="16"/>
                <w:szCs w:val="16"/>
                <w:color w:val="auto"/>
              </w:rPr>
            </w:pPr>
          </w:p>
        </w:tc>
        <w:tc>
          <w:tcPr>
            <w:tcW w:w="4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2"/>
                <w:szCs w:val="22"/>
                <w:color w:val="auto"/>
              </w:rPr>
            </w:pPr>
          </w:p>
        </w:tc>
        <w:tc>
          <w:tcPr>
            <w:tcW w:w="6500" w:type="dxa"/>
            <w:vAlign w:val="bottom"/>
            <w:tcBorders>
              <w:bottom w:val="single" w:sz="8" w:color="0000EE"/>
            </w:tcBorders>
            <w:gridSpan w:val="21"/>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Registration Rights Agreement between the Company and Aspire Capital Fund, LLC, dated</w:t>
              </w:r>
            </w:hyperlink>
          </w:p>
        </w:tc>
        <w:tc>
          <w:tcPr>
            <w:tcW w:w="3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80" w:type="dxa"/>
            <w:vAlign w:val="bottom"/>
            <w:gridSpan w:val="31"/>
          </w:tcPr>
          <w:p>
            <w:pPr>
              <w:spacing w:after="0" w:line="192" w:lineRule="exact"/>
              <w:rPr>
                <w:rFonts w:ascii="Arial" w:cs="Arial" w:eastAsia="Arial" w:hAnsi="Arial"/>
                <w:sz w:val="18"/>
                <w:szCs w:val="18"/>
                <w:color w:val="0000EE"/>
              </w:rPr>
            </w:pPr>
            <w:hyperlink r:id="rId120">
              <w:r>
                <w:rPr>
                  <w:rFonts w:ascii="Arial" w:cs="Arial" w:eastAsia="Arial" w:hAnsi="Arial"/>
                  <w:sz w:val="18"/>
                  <w:szCs w:val="18"/>
                  <w:color w:val="0000EE"/>
                </w:rPr>
                <w:t>July 24, 2015.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w w:val="94"/>
              </w:rPr>
            </w:pPr>
            <w:hyperlink r:id="rId121">
              <w:r>
                <w:rPr>
                  <w:rFonts w:ascii="Arial" w:cs="Arial" w:eastAsia="Arial" w:hAnsi="Arial"/>
                  <w:sz w:val="18"/>
                  <w:szCs w:val="18"/>
                  <w:color w:val="0000EE"/>
                  <w:w w:val="94"/>
                </w:rPr>
                <w:t>Common Stock Purchase Agreement between the Company and Aspire Capital Fund, LLC,</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dated July 24, 2015.</w:t>
              </w:r>
            </w:hyperlink>
          </w:p>
        </w:tc>
        <w:tc>
          <w:tcPr>
            <w:tcW w:w="5040" w:type="dxa"/>
            <w:vAlign w:val="bottom"/>
            <w:tcBorders>
              <w:top w:val="single" w:sz="8" w:color="0000EE"/>
            </w:tcBorders>
            <w:gridSpan w:val="14"/>
          </w:tcPr>
          <w:p>
            <w:pPr>
              <w:spacing w:after="0"/>
              <w:rPr>
                <w:sz w:val="16"/>
                <w:szCs w:val="16"/>
                <w:color w:val="auto"/>
              </w:rPr>
            </w:pPr>
          </w:p>
        </w:tc>
        <w:tc>
          <w:tcPr>
            <w:tcW w:w="4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2"/>
                <w:szCs w:val="22"/>
                <w:color w:val="auto"/>
              </w:rPr>
            </w:pPr>
          </w:p>
        </w:tc>
        <w:tc>
          <w:tcPr>
            <w:tcW w:w="6880" w:type="dxa"/>
            <w:vAlign w:val="bottom"/>
            <w:gridSpan w:val="31"/>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Engagement Letter dated September 17, 2015, between Soleno Therapeutics, Inc. and Maxim</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2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r:id="rId122">
              <w:r>
                <w:rPr>
                  <w:rFonts w:ascii="Arial" w:cs="Arial" w:eastAsia="Arial" w:hAnsi="Arial"/>
                  <w:sz w:val="18"/>
                  <w:szCs w:val="18"/>
                  <w:color w:val="0000EE"/>
                </w:rPr>
                <w:t>Group, LLC.</w:t>
              </w:r>
            </w:hyperlink>
          </w:p>
        </w:tc>
        <w:tc>
          <w:tcPr>
            <w:tcW w:w="2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900" w:type="dxa"/>
            <w:vAlign w:val="bottom"/>
            <w:tcBorders>
              <w:top w:val="single" w:sz="8" w:color="0000EE"/>
            </w:tcBorders>
            <w:gridSpan w:val="2"/>
          </w:tcPr>
          <w:p>
            <w:pPr>
              <w:spacing w:after="0"/>
              <w:rPr>
                <w:sz w:val="24"/>
                <w:szCs w:val="24"/>
                <w:color w:val="auto"/>
              </w:rPr>
            </w:pPr>
          </w:p>
        </w:tc>
        <w:tc>
          <w:tcPr>
            <w:tcW w:w="5220" w:type="dxa"/>
            <w:vAlign w:val="bottom"/>
            <w:gridSpan w:val="12"/>
          </w:tcPr>
          <w:p>
            <w:pPr>
              <w:jc w:val="right"/>
              <w:ind w:right="10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Incorporated by Reference from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4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rPr>
              <w:t>Registrant’s</w:t>
            </w:r>
          </w:p>
        </w:tc>
        <w:tc>
          <w:tcPr>
            <w:tcW w:w="1600" w:type="dxa"/>
            <w:vAlign w:val="bottom"/>
            <w:tcBorders>
              <w:top w:val="single" w:sz="8" w:color="auto"/>
            </w:tcBorders>
          </w:tcPr>
          <w:p>
            <w:pPr>
              <w:ind w:left="480"/>
              <w:spacing w:after="0" w:line="117" w:lineRule="exact"/>
              <w:rPr>
                <w:sz w:val="20"/>
                <w:szCs w:val="20"/>
                <w:color w:val="auto"/>
              </w:rPr>
            </w:pPr>
            <w:r>
              <w:rPr>
                <w:rFonts w:ascii="Arial" w:cs="Arial" w:eastAsia="Arial" w:hAnsi="Arial"/>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rPr>
              <w:t>Exhibit</w:t>
            </w: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Filed</w:t>
            </w:r>
          </w:p>
        </w:tc>
      </w:tr>
      <w:tr>
        <w:trPr>
          <w:trHeight w:val="182"/>
        </w:trPr>
        <w:tc>
          <w:tcPr>
            <w:tcW w:w="74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with the SEC</w:t>
            </w:r>
          </w:p>
        </w:tc>
        <w:tc>
          <w:tcPr>
            <w:tcW w:w="10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682"/>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S-1</w:t>
            </w: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10, 2014</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703"/>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03"/>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03"/>
        </w:trPr>
        <w:tc>
          <w:tcPr>
            <w:tcW w:w="840" w:type="dxa"/>
            <w:vAlign w:val="bottom"/>
            <w:gridSpan w:val="2"/>
          </w:tcPr>
          <w:p>
            <w:pPr>
              <w:spacing w:after="0"/>
              <w:rPr>
                <w:sz w:val="20"/>
                <w:szCs w:val="20"/>
                <w:color w:val="auto"/>
              </w:rPr>
            </w:pPr>
            <w:r>
              <w:rPr>
                <w:rFonts w:ascii="Arial" w:cs="Arial" w:eastAsia="Arial" w:hAnsi="Arial"/>
                <w:sz w:val="18"/>
                <w:szCs w:val="18"/>
                <w:color w:val="auto"/>
              </w:rPr>
              <w:t>S-1</w:t>
            </w:r>
          </w:p>
        </w:tc>
        <w:tc>
          <w:tcPr>
            <w:tcW w:w="1600" w:type="dxa"/>
            <w:vAlign w:val="bottom"/>
          </w:tcPr>
          <w:p>
            <w:pPr>
              <w:spacing w:after="0"/>
              <w:rPr>
                <w:sz w:val="20"/>
                <w:szCs w:val="20"/>
                <w:color w:val="auto"/>
              </w:rPr>
            </w:pPr>
            <w:r>
              <w:rPr>
                <w:rFonts w:ascii="Arial" w:cs="Arial" w:eastAsia="Arial" w:hAnsi="Arial"/>
                <w:sz w:val="18"/>
                <w:szCs w:val="18"/>
                <w:color w:val="auto"/>
              </w:rPr>
              <w:t>June 10,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1,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July 22,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w w:val="96"/>
              </w:rPr>
              <w:t>September 29,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November 4,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S-1/A</w:t>
            </w:r>
          </w:p>
        </w:tc>
        <w:tc>
          <w:tcPr>
            <w:tcW w:w="1600" w:type="dxa"/>
            <w:vAlign w:val="bottom"/>
          </w:tcPr>
          <w:p>
            <w:pPr>
              <w:spacing w:after="0"/>
              <w:rPr>
                <w:sz w:val="20"/>
                <w:szCs w:val="20"/>
                <w:color w:val="auto"/>
              </w:rPr>
            </w:pPr>
            <w:r>
              <w:rPr>
                <w:rFonts w:ascii="Arial" w:cs="Arial" w:eastAsia="Arial" w:hAnsi="Arial"/>
                <w:sz w:val="18"/>
                <w:szCs w:val="18"/>
                <w:color w:val="auto"/>
              </w:rPr>
              <w:t>November 4, 2014</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March 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S-4</w:t>
            </w:r>
          </w:p>
        </w:tc>
        <w:tc>
          <w:tcPr>
            <w:tcW w:w="1600" w:type="dxa"/>
            <w:vAlign w:val="bottom"/>
          </w:tcPr>
          <w:p>
            <w:pPr>
              <w:spacing w:after="0"/>
              <w:rPr>
                <w:sz w:val="20"/>
                <w:szCs w:val="20"/>
                <w:color w:val="auto"/>
              </w:rPr>
            </w:pPr>
            <w:r>
              <w:rPr>
                <w:rFonts w:ascii="Arial" w:cs="Arial" w:eastAsia="Arial" w:hAnsi="Arial"/>
                <w:sz w:val="18"/>
                <w:szCs w:val="18"/>
                <w:color w:val="auto"/>
              </w:rPr>
              <w:t>April 1,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03"/>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7,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7,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27,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July 27,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91"/>
        </w:trPr>
        <w:tc>
          <w:tcPr>
            <w:tcW w:w="840" w:type="dxa"/>
            <w:vAlign w:val="bottom"/>
            <w:gridSpan w:val="2"/>
          </w:tcPr>
          <w:p>
            <w:pPr>
              <w:spacing w:after="0"/>
              <w:rPr>
                <w:sz w:val="20"/>
                <w:szCs w:val="20"/>
                <w:color w:val="auto"/>
              </w:rPr>
            </w:pPr>
            <w:r>
              <w:rPr>
                <w:rFonts w:ascii="Arial" w:cs="Arial" w:eastAsia="Arial" w:hAnsi="Arial"/>
                <w:sz w:val="18"/>
                <w:szCs w:val="18"/>
                <w:color w:val="auto"/>
              </w:rPr>
              <w:t>8-K</w:t>
            </w:r>
          </w:p>
        </w:tc>
        <w:tc>
          <w:tcPr>
            <w:tcW w:w="1600" w:type="dxa"/>
            <w:vAlign w:val="bottom"/>
          </w:tcPr>
          <w:p>
            <w:pPr>
              <w:spacing w:after="0"/>
              <w:rPr>
                <w:sz w:val="20"/>
                <w:szCs w:val="20"/>
                <w:color w:val="auto"/>
              </w:rPr>
            </w:pPr>
            <w:r>
              <w:rPr>
                <w:rFonts w:ascii="Arial" w:cs="Arial" w:eastAsia="Arial" w:hAnsi="Arial"/>
                <w:sz w:val="18"/>
                <w:szCs w:val="18"/>
                <w:color w:val="auto"/>
              </w:rPr>
              <w:t>October 15, 2015</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2">
            <w:col w:w="7600" w:space="100"/>
            <w:col w:w="3720"/>
          </w:cols>
          <w:pgMar w:left="240" w:top="45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by Reference from</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7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0"/>
                <w:szCs w:val="10"/>
                <w:color w:val="auto"/>
              </w:rPr>
            </w:pPr>
          </w:p>
        </w:tc>
        <w:tc>
          <w:tcPr>
            <w:tcW w:w="84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w w:val="98"/>
              </w:rPr>
              <w:t>Registrant’s</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rPr>
              <w:t>Date Filed</w:t>
            </w:r>
          </w:p>
        </w:tc>
        <w:tc>
          <w:tcPr>
            <w:tcW w:w="620" w:type="dxa"/>
            <w:vAlign w:val="bottom"/>
            <w:gridSpan w:val="2"/>
          </w:tcPr>
          <w:p>
            <w:pPr>
              <w:jc w:val="center"/>
              <w:ind w:right="100"/>
              <w:spacing w:after="0" w:line="117" w:lineRule="exact"/>
              <w:rPr>
                <w:sz w:val="20"/>
                <w:szCs w:val="20"/>
                <w:color w:val="auto"/>
              </w:rPr>
            </w:pPr>
            <w:r>
              <w:rPr>
                <w:rFonts w:ascii="Arial" w:cs="Arial" w:eastAsia="Arial" w:hAnsi="Arial"/>
                <w:sz w:val="13"/>
                <w:szCs w:val="13"/>
                <w:b w:val="1"/>
                <w:bCs w:val="1"/>
                <w:color w:val="auto"/>
              </w:rPr>
              <w:t>Exhibit</w:t>
            </w:r>
          </w:p>
        </w:tc>
        <w:tc>
          <w:tcPr>
            <w:tcW w:w="5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ectPr>
          <w:pgSz w:w="11900" w:h="16838" w:orient="portrait"/>
          <w:cols w:equalWidth="0" w:num="1">
            <w:col w:w="11420"/>
          </w:cols>
          <w:pgMar w:left="240" w:top="453"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3960" w:type="dxa"/>
            <w:vAlign w:val="bottom"/>
            <w:tcBorders>
              <w:bottom w:val="single" w:sz="8" w:color="0000EE"/>
            </w:tcBorders>
            <w:gridSpan w:val="12"/>
          </w:tcPr>
          <w:p>
            <w:pPr>
              <w:spacing w:after="0"/>
              <w:rPr>
                <w:rFonts w:ascii="Arial" w:cs="Arial" w:eastAsia="Arial" w:hAnsi="Arial"/>
                <w:sz w:val="18"/>
                <w:szCs w:val="18"/>
                <w:color w:val="0000EE"/>
                <w:w w:val="87"/>
              </w:rPr>
            </w:pPr>
            <w:hyperlink r:id="rId124">
              <w:r>
                <w:rPr>
                  <w:rFonts w:ascii="Arial" w:cs="Arial" w:eastAsia="Arial" w:hAnsi="Arial"/>
                  <w:sz w:val="18"/>
                  <w:szCs w:val="18"/>
                  <w:color w:val="0000EE"/>
                  <w:w w:val="87"/>
                </w:rPr>
                <w:t>Securities Purchase Agreement dated October 12, 2015.</w:t>
              </w:r>
            </w:hyperlink>
          </w:p>
        </w:tc>
        <w:tc>
          <w:tcPr>
            <w:tcW w:w="2740" w:type="dxa"/>
            <w:vAlign w:val="bottom"/>
            <w:gridSpan w:val="16"/>
          </w:tcPr>
          <w:p>
            <w:pPr>
              <w:spacing w:after="0"/>
              <w:rPr>
                <w:sz w:val="17"/>
                <w:szCs w:val="17"/>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6700" w:type="dxa"/>
            <w:vAlign w:val="bottom"/>
            <w:gridSpan w:val="28"/>
          </w:tcPr>
          <w:p>
            <w:pPr>
              <w:spacing w:after="0"/>
              <w:rPr>
                <w:rFonts w:ascii="Arial" w:cs="Arial" w:eastAsia="Arial" w:hAnsi="Arial"/>
                <w:sz w:val="18"/>
                <w:szCs w:val="18"/>
                <w:color w:val="0000EE"/>
              </w:rPr>
            </w:pPr>
            <w:hyperlink r:id="rId125">
              <w:r>
                <w:rPr>
                  <w:rFonts w:ascii="Arial" w:cs="Arial" w:eastAsia="Arial" w:hAnsi="Arial"/>
                  <w:sz w:val="18"/>
                  <w:szCs w:val="18"/>
                  <w:color w:val="0000EE"/>
                </w:rPr>
                <w:t>Form of Registration Rights Agreement.</w:t>
              </w:r>
            </w:hyperlink>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21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Lock-Up Agreement.</w:t>
              </w:r>
            </w:hyperlink>
          </w:p>
        </w:tc>
        <w:tc>
          <w:tcPr>
            <w:tcW w:w="720" w:type="dxa"/>
            <w:vAlign w:val="bottom"/>
            <w:tcBorders>
              <w:top w:val="single" w:sz="8" w:color="0000EE"/>
            </w:tcBorders>
          </w:tcPr>
          <w:p>
            <w:pPr>
              <w:spacing w:after="0"/>
              <w:rPr>
                <w:sz w:val="24"/>
                <w:szCs w:val="24"/>
                <w:color w:val="auto"/>
              </w:rPr>
            </w:pPr>
          </w:p>
        </w:tc>
        <w:tc>
          <w:tcPr>
            <w:tcW w:w="3840" w:type="dxa"/>
            <w:vAlign w:val="bottom"/>
            <w:gridSpan w:val="21"/>
          </w:tcPr>
          <w:p>
            <w:pPr>
              <w:spacing w:after="0"/>
              <w:rPr>
                <w:sz w:val="24"/>
                <w:szCs w:val="24"/>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5500" w:type="dxa"/>
            <w:vAlign w:val="bottom"/>
            <w:tcBorders>
              <w:bottom w:val="single" w:sz="8" w:color="0000EE"/>
            </w:tcBorders>
            <w:gridSpan w:val="15"/>
          </w:tcPr>
          <w:p>
            <w:pPr>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Amendment No. 1 to Securities Purchase Agreement dated October 29, 2015.</w:t>
              </w:r>
            </w:hyperlink>
          </w:p>
        </w:tc>
        <w:tc>
          <w:tcPr>
            <w:tcW w:w="1200" w:type="dxa"/>
            <w:vAlign w:val="bottom"/>
            <w:gridSpan w:val="13"/>
          </w:tcPr>
          <w:p>
            <w:pPr>
              <w:spacing w:after="0"/>
              <w:rPr>
                <w:sz w:val="24"/>
                <w:szCs w:val="24"/>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6400" w:type="dxa"/>
            <w:vAlign w:val="bottom"/>
            <w:tcBorders>
              <w:bottom w:val="single" w:sz="8" w:color="0000EE"/>
            </w:tcBorders>
            <w:gridSpan w:val="22"/>
          </w:tcPr>
          <w:p>
            <w:pPr>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Transfer and Distribution Agreement: United States: by and between Soleno Therapeutics,</w:t>
              </w:r>
            </w:hyperlink>
          </w:p>
        </w:tc>
        <w:tc>
          <w:tcPr>
            <w:tcW w:w="300" w:type="dxa"/>
            <w:vAlign w:val="bottom"/>
            <w:gridSpan w:val="6"/>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3260" w:type="dxa"/>
            <w:vAlign w:val="bottom"/>
            <w:tcBorders>
              <w:bottom w:val="single" w:sz="8" w:color="0000EE"/>
            </w:tcBorders>
            <w:gridSpan w:val="9"/>
          </w:tcPr>
          <w:p>
            <w:pPr>
              <w:spacing w:after="0" w:line="192"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Inc. and Bemes, Inc. signed January 26, 2016.</w:t>
              </w:r>
            </w:hyperlink>
          </w:p>
        </w:tc>
        <w:tc>
          <w:tcPr>
            <w:tcW w:w="3440" w:type="dxa"/>
            <w:vAlign w:val="bottom"/>
            <w:gridSpan w:val="19"/>
          </w:tcPr>
          <w:p>
            <w:pPr>
              <w:spacing w:after="0"/>
              <w:rPr>
                <w:sz w:val="16"/>
                <w:szCs w:val="16"/>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6200" w:type="dxa"/>
            <w:vAlign w:val="bottom"/>
            <w:tcBorders>
              <w:bottom w:val="single" w:sz="8" w:color="0000EE"/>
            </w:tcBorders>
            <w:gridSpan w:val="19"/>
          </w:tcPr>
          <w:p>
            <w:pPr>
              <w:spacing w:after="0"/>
              <w:rPr>
                <w:rFonts w:ascii="Arial" w:cs="Arial" w:eastAsia="Arial" w:hAnsi="Arial"/>
                <w:sz w:val="18"/>
                <w:szCs w:val="18"/>
                <w:color w:val="0000EE"/>
                <w:w w:val="87"/>
              </w:rPr>
            </w:pPr>
            <w:hyperlink r:id="rId129">
              <w:r>
                <w:rPr>
                  <w:rFonts w:ascii="Arial" w:cs="Arial" w:eastAsia="Arial" w:hAnsi="Arial"/>
                  <w:sz w:val="18"/>
                  <w:szCs w:val="18"/>
                  <w:color w:val="0000EE"/>
                  <w:w w:val="87"/>
                </w:rPr>
                <w:t>Engagement Letter dated June 26, 2016, between Soleno Therapeutics, Inc. and Maxim</w:t>
              </w:r>
            </w:hyperlink>
          </w:p>
        </w:tc>
        <w:tc>
          <w:tcPr>
            <w:tcW w:w="500" w:type="dxa"/>
            <w:vAlign w:val="bottom"/>
            <w:gridSpan w:val="9"/>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920" w:type="dxa"/>
            <w:vAlign w:val="bottom"/>
            <w:tcBorders>
              <w:bottom w:val="single" w:sz="8" w:color="0000EE"/>
            </w:tcBorders>
            <w:gridSpan w:val="2"/>
          </w:tcPr>
          <w:p>
            <w:pPr>
              <w:spacing w:after="0" w:line="192"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Group, LLC.</w:t>
              </w:r>
            </w:hyperlink>
          </w:p>
        </w:tc>
        <w:tc>
          <w:tcPr>
            <w:tcW w:w="5780" w:type="dxa"/>
            <w:vAlign w:val="bottom"/>
            <w:gridSpan w:val="26"/>
          </w:tcPr>
          <w:p>
            <w:pPr>
              <w:spacing w:after="0"/>
              <w:rPr>
                <w:sz w:val="16"/>
                <w:szCs w:val="16"/>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3720" w:type="dxa"/>
            <w:vAlign w:val="bottom"/>
            <w:tcBorders>
              <w:bottom w:val="single" w:sz="8" w:color="0000EE"/>
            </w:tcBorders>
            <w:gridSpan w:val="11"/>
          </w:tcPr>
          <w:p>
            <w:pPr>
              <w:spacing w:after="0"/>
              <w:rPr>
                <w:rFonts w:ascii="Arial" w:cs="Arial" w:eastAsia="Arial" w:hAnsi="Arial"/>
                <w:sz w:val="18"/>
                <w:szCs w:val="18"/>
                <w:color w:val="0000EE"/>
                <w:w w:val="86"/>
              </w:rPr>
            </w:pPr>
            <w:hyperlink r:id="rId130">
              <w:r>
                <w:rPr>
                  <w:rFonts w:ascii="Arial" w:cs="Arial" w:eastAsia="Arial" w:hAnsi="Arial"/>
                  <w:sz w:val="18"/>
                  <w:szCs w:val="18"/>
                  <w:color w:val="0000EE"/>
                  <w:w w:val="86"/>
                </w:rPr>
                <w:t>Securities Purchase Agreement dated June 29, 2016.</w:t>
              </w:r>
            </w:hyperlink>
          </w:p>
        </w:tc>
        <w:tc>
          <w:tcPr>
            <w:tcW w:w="2980" w:type="dxa"/>
            <w:vAlign w:val="bottom"/>
            <w:gridSpan w:val="17"/>
          </w:tcPr>
          <w:p>
            <w:pPr>
              <w:spacing w:after="0"/>
              <w:rPr>
                <w:sz w:val="24"/>
                <w:szCs w:val="24"/>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6700" w:type="dxa"/>
            <w:vAlign w:val="bottom"/>
            <w:gridSpan w:val="2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Registration Rights Agreement dated June 29, 2016.</w:t>
              </w:r>
            </w:hyperlink>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5680" w:type="dxa"/>
            <w:vAlign w:val="bottom"/>
            <w:tcBorders>
              <w:bottom w:val="single" w:sz="8" w:color="0000EE"/>
            </w:tcBorders>
            <w:gridSpan w:val="16"/>
          </w:tcPr>
          <w:p>
            <w:pPr>
              <w:spacing w:after="0"/>
              <w:rPr>
                <w:rFonts w:ascii="Arial" w:cs="Arial" w:eastAsia="Arial" w:hAnsi="Arial"/>
                <w:sz w:val="18"/>
                <w:szCs w:val="18"/>
                <w:color w:val="0000EE"/>
                <w:w w:val="87"/>
              </w:rPr>
            </w:pPr>
            <w:hyperlink r:id="rId132">
              <w:r>
                <w:rPr>
                  <w:rFonts w:ascii="Arial" w:cs="Arial" w:eastAsia="Arial" w:hAnsi="Arial"/>
                  <w:sz w:val="18"/>
                  <w:szCs w:val="18"/>
                  <w:color w:val="0000EE"/>
                  <w:w w:val="87"/>
                </w:rPr>
                <w:t>Amendment No. 1 to Securities Purchase Agreement dated September 20, 2016.</w:t>
              </w:r>
            </w:hyperlink>
          </w:p>
        </w:tc>
        <w:tc>
          <w:tcPr>
            <w:tcW w:w="1020" w:type="dxa"/>
            <w:vAlign w:val="bottom"/>
            <w:gridSpan w:val="12"/>
          </w:tcPr>
          <w:p>
            <w:pPr>
              <w:spacing w:after="0"/>
              <w:rPr>
                <w:sz w:val="24"/>
                <w:szCs w:val="24"/>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6540" w:type="dxa"/>
            <w:vAlign w:val="bottom"/>
            <w:tcBorders>
              <w:bottom w:val="single" w:sz="8" w:color="0000EE"/>
            </w:tcBorders>
            <w:gridSpan w:val="26"/>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Agreement and Plan of Merger and Reorganization, dated as of December 22, 2016, by and</w:t>
              </w:r>
            </w:hyperlink>
          </w:p>
        </w:tc>
        <w:tc>
          <w:tcPr>
            <w:tcW w:w="160" w:type="dxa"/>
            <w:vAlign w:val="bottom"/>
            <w:gridSpan w:val="2"/>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6700" w:type="dxa"/>
            <w:vAlign w:val="bottom"/>
            <w:gridSpan w:val="28"/>
          </w:tcPr>
          <w:p>
            <w:pPr>
              <w:spacing w:after="0" w:line="192"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among Soleno Therapeutics, Inc., a Delaware corporation, Essentialis, Inc., a Delaware</w:t>
              </w:r>
            </w:hyperlink>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880" w:type="dxa"/>
            <w:vAlign w:val="bottom"/>
          </w:tcPr>
          <w:p>
            <w:pPr>
              <w:spacing w:after="0"/>
              <w:rPr>
                <w:sz w:val="16"/>
                <w:szCs w:val="16"/>
                <w:color w:val="auto"/>
              </w:rPr>
            </w:pPr>
          </w:p>
        </w:tc>
        <w:tc>
          <w:tcPr>
            <w:tcW w:w="6260" w:type="dxa"/>
            <w:vAlign w:val="bottom"/>
            <w:tcBorders>
              <w:bottom w:val="single" w:sz="8" w:color="0000EE"/>
            </w:tcBorders>
            <w:gridSpan w:val="20"/>
          </w:tcPr>
          <w:p>
            <w:pPr>
              <w:spacing w:after="0" w:line="192"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corporation, Company E Merger Sub, Inc., a Delaware corporation and a wholly-owned</w:t>
              </w:r>
            </w:hyperlink>
          </w:p>
        </w:tc>
        <w:tc>
          <w:tcPr>
            <w:tcW w:w="440" w:type="dxa"/>
            <w:vAlign w:val="bottom"/>
            <w:gridSpan w:val="8"/>
          </w:tcPr>
          <w:p>
            <w:pPr>
              <w:spacing w:after="0"/>
              <w:rPr>
                <w:sz w:val="16"/>
                <w:szCs w:val="16"/>
                <w:color w:val="auto"/>
              </w:rPr>
            </w:pPr>
          </w:p>
        </w:tc>
      </w:tr>
      <w:tr>
        <w:trPr>
          <w:trHeight w:val="192"/>
        </w:trPr>
        <w:tc>
          <w:tcPr>
            <w:tcW w:w="880" w:type="dxa"/>
            <w:vAlign w:val="bottom"/>
          </w:tcPr>
          <w:p>
            <w:pPr>
              <w:spacing w:after="0"/>
              <w:rPr>
                <w:sz w:val="16"/>
                <w:szCs w:val="16"/>
                <w:color w:val="auto"/>
              </w:rPr>
            </w:pPr>
          </w:p>
        </w:tc>
        <w:tc>
          <w:tcPr>
            <w:tcW w:w="618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subsidiary of Soleno Therapeutics, and Neil Cowen as the stockholders’ representative.</w:t>
              </w:r>
            </w:hyperlink>
          </w:p>
        </w:tc>
        <w:tc>
          <w:tcPr>
            <w:tcW w:w="520" w:type="dxa"/>
            <w:vAlign w:val="bottom"/>
            <w:gridSpan w:val="10"/>
          </w:tcPr>
          <w:p>
            <w:pPr>
              <w:spacing w:after="0"/>
              <w:rPr>
                <w:sz w:val="16"/>
                <w:szCs w:val="16"/>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6520" w:type="dxa"/>
            <w:vAlign w:val="bottom"/>
            <w:tcBorders>
              <w:bottom w:val="single" w:sz="8" w:color="0000EE"/>
            </w:tcBorders>
            <w:gridSpan w:val="25"/>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Registration Rights Agreement between the Company and Aspire Capital Fund, LLC, dated</w:t>
              </w:r>
            </w:hyperlink>
          </w:p>
        </w:tc>
        <w:tc>
          <w:tcPr>
            <w:tcW w:w="180" w:type="dxa"/>
            <w:vAlign w:val="bottom"/>
            <w:gridSpan w:val="3"/>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1260" w:type="dxa"/>
            <w:vAlign w:val="bottom"/>
            <w:tcBorders>
              <w:bottom w:val="single" w:sz="8" w:color="0000EE"/>
            </w:tcBorders>
            <w:gridSpan w:val="4"/>
          </w:tcPr>
          <w:p>
            <w:pPr>
              <w:spacing w:after="0" w:line="192" w:lineRule="exact"/>
              <w:rPr>
                <w:rFonts w:ascii="Arial" w:cs="Arial" w:eastAsia="Arial" w:hAnsi="Arial"/>
                <w:sz w:val="18"/>
                <w:szCs w:val="18"/>
                <w:color w:val="0000EE"/>
                <w:w w:val="86"/>
              </w:rPr>
            </w:pPr>
            <w:hyperlink r:id="rId134">
              <w:r>
                <w:rPr>
                  <w:rFonts w:ascii="Arial" w:cs="Arial" w:eastAsia="Arial" w:hAnsi="Arial"/>
                  <w:sz w:val="18"/>
                  <w:szCs w:val="18"/>
                  <w:color w:val="0000EE"/>
                  <w:w w:val="86"/>
                </w:rPr>
                <w:t>January 27, 2017.</w:t>
              </w:r>
            </w:hyperlink>
          </w:p>
        </w:tc>
        <w:tc>
          <w:tcPr>
            <w:tcW w:w="5440" w:type="dxa"/>
            <w:vAlign w:val="bottom"/>
            <w:gridSpan w:val="24"/>
          </w:tcPr>
          <w:p>
            <w:pPr>
              <w:spacing w:after="0"/>
              <w:rPr>
                <w:sz w:val="16"/>
                <w:szCs w:val="16"/>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6500" w:type="dxa"/>
            <w:vAlign w:val="bottom"/>
            <w:tcBorders>
              <w:bottom w:val="single" w:sz="8" w:color="0000EE"/>
            </w:tcBorders>
            <w:gridSpan w:val="24"/>
          </w:tcPr>
          <w:p>
            <w:pPr>
              <w:spacing w:after="0"/>
              <w:rPr>
                <w:rFonts w:ascii="Arial" w:cs="Arial" w:eastAsia="Arial" w:hAnsi="Arial"/>
                <w:sz w:val="18"/>
                <w:szCs w:val="18"/>
                <w:color w:val="0000EE"/>
                <w:w w:val="88"/>
              </w:rPr>
            </w:pPr>
            <w:hyperlink r:id="rId135">
              <w:r>
                <w:rPr>
                  <w:rFonts w:ascii="Arial" w:cs="Arial" w:eastAsia="Arial" w:hAnsi="Arial"/>
                  <w:sz w:val="18"/>
                  <w:szCs w:val="18"/>
                  <w:color w:val="0000EE"/>
                  <w:w w:val="88"/>
                </w:rPr>
                <w:t>Common Stock Purchase Agreement between the Company and Aspire Capital Fund, LLC,</w:t>
              </w:r>
            </w:hyperlink>
          </w:p>
        </w:tc>
        <w:tc>
          <w:tcPr>
            <w:tcW w:w="200" w:type="dxa"/>
            <w:vAlign w:val="bottom"/>
            <w:gridSpan w:val="4"/>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6700" w:type="dxa"/>
            <w:vAlign w:val="bottom"/>
            <w:gridSpan w:val="28"/>
          </w:tcPr>
          <w:p>
            <w:pPr>
              <w:spacing w:after="0" w:line="192" w:lineRule="exact"/>
              <w:rPr>
                <w:rFonts w:ascii="Arial" w:cs="Arial" w:eastAsia="Arial" w:hAnsi="Arial"/>
                <w:sz w:val="18"/>
                <w:szCs w:val="18"/>
                <w:color w:val="0000EE"/>
              </w:rPr>
            </w:pPr>
            <w:hyperlink r:id="rId135">
              <w:r>
                <w:rPr>
                  <w:rFonts w:ascii="Arial" w:cs="Arial" w:eastAsia="Arial" w:hAnsi="Arial"/>
                  <w:sz w:val="18"/>
                  <w:szCs w:val="18"/>
                  <w:color w:val="0000EE"/>
                </w:rPr>
                <w:t>dated January 27, 2017.</w:t>
              </w:r>
            </w:hyperlink>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6700" w:type="dxa"/>
            <w:vAlign w:val="bottom"/>
            <w:tcBorders>
              <w:bottom w:val="single" w:sz="8" w:color="0000EE"/>
            </w:tcBorders>
            <w:gridSpan w:val="28"/>
          </w:tcPr>
          <w:p>
            <w:pP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Stock Purchase Agreement made by and between the Company and NeoForce Holdings, Inc. a</w:t>
              </w:r>
            </w:hyperlink>
          </w:p>
        </w:tc>
      </w:tr>
      <w:tr>
        <w:trPr>
          <w:trHeight w:val="192"/>
        </w:trPr>
        <w:tc>
          <w:tcPr>
            <w:tcW w:w="880" w:type="dxa"/>
            <w:vAlign w:val="bottom"/>
          </w:tcPr>
          <w:p>
            <w:pPr>
              <w:spacing w:after="0"/>
              <w:rPr>
                <w:sz w:val="16"/>
                <w:szCs w:val="16"/>
                <w:color w:val="auto"/>
              </w:rPr>
            </w:pPr>
          </w:p>
        </w:tc>
        <w:tc>
          <w:tcPr>
            <w:tcW w:w="6700" w:type="dxa"/>
            <w:vAlign w:val="bottom"/>
            <w:gridSpan w:val="28"/>
          </w:tcPr>
          <w:p>
            <w:pPr>
              <w:spacing w:after="0" w:line="192" w:lineRule="exact"/>
              <w:rPr>
                <w:rFonts w:ascii="Arial" w:cs="Arial" w:eastAsia="Arial" w:hAnsi="Arial"/>
                <w:sz w:val="18"/>
                <w:szCs w:val="18"/>
                <w:color w:val="0000EE"/>
              </w:rPr>
            </w:pPr>
            <w:hyperlink r:id="rId51">
              <w:r>
                <w:rPr>
                  <w:rFonts w:ascii="Arial" w:cs="Arial" w:eastAsia="Arial" w:hAnsi="Arial"/>
                  <w:sz w:val="18"/>
                  <w:szCs w:val="18"/>
                  <w:color w:val="0000EE"/>
                </w:rPr>
                <w:t>Delaware corporation dated July 18, 2017</w:t>
              </w:r>
            </w:hyperlink>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6700" w:type="dxa"/>
            <w:vAlign w:val="bottom"/>
            <w:gridSpan w:val="28"/>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Joint Venture Agreement dated as of December 4, 2017 by and among Soleno Therapeutics,</w:t>
              </w:r>
            </w:hyperlink>
          </w:p>
        </w:tc>
      </w:tr>
      <w:tr>
        <w:trPr>
          <w:trHeight w:val="192"/>
        </w:trPr>
        <w:tc>
          <w:tcPr>
            <w:tcW w:w="880" w:type="dxa"/>
            <w:vAlign w:val="bottom"/>
          </w:tcPr>
          <w:p>
            <w:pPr>
              <w:spacing w:after="0"/>
              <w:rPr>
                <w:sz w:val="16"/>
                <w:szCs w:val="16"/>
                <w:color w:val="auto"/>
              </w:rPr>
            </w:pPr>
          </w:p>
        </w:tc>
        <w:tc>
          <w:tcPr>
            <w:tcW w:w="6540" w:type="dxa"/>
            <w:vAlign w:val="bottom"/>
            <w:tcBorders>
              <w:top w:val="single" w:sz="8" w:color="0000EE"/>
            </w:tcBorders>
            <w:gridSpan w:val="26"/>
          </w:tcPr>
          <w:p>
            <w:pPr>
              <w:spacing w:after="0" w:line="192" w:lineRule="exact"/>
              <w:rPr>
                <w:rFonts w:ascii="Arial" w:cs="Arial" w:eastAsia="Arial" w:hAnsi="Arial"/>
                <w:sz w:val="18"/>
                <w:szCs w:val="18"/>
                <w:color w:val="0000EE"/>
              </w:rPr>
            </w:pPr>
            <w:hyperlink r:id="rId52">
              <w:r>
                <w:rPr>
                  <w:rFonts w:ascii="Arial" w:cs="Arial" w:eastAsia="Arial" w:hAnsi="Arial"/>
                  <w:sz w:val="18"/>
                  <w:szCs w:val="18"/>
                  <w:color w:val="0000EE"/>
                </w:rPr>
                <w:t>Inc., Capnia, Inc., and OptAsia Healthcare Limited</w:t>
              </w:r>
            </w:hyperlink>
          </w:p>
        </w:tc>
        <w:tc>
          <w:tcPr>
            <w:tcW w:w="160" w:type="dxa"/>
            <w:vAlign w:val="bottom"/>
            <w:gridSpan w:val="2"/>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6700" w:type="dxa"/>
            <w:vAlign w:val="bottom"/>
            <w:gridSpan w:val="28"/>
          </w:tcPr>
          <w:p>
            <w:pPr>
              <w:spacing w:after="0"/>
              <w:rPr>
                <w:rFonts w:ascii="Arial" w:cs="Arial" w:eastAsia="Arial" w:hAnsi="Arial"/>
                <w:sz w:val="18"/>
                <w:szCs w:val="18"/>
                <w:color w:val="0000EE"/>
              </w:rPr>
            </w:pPr>
            <w:hyperlink r:id="rId136">
              <w:r>
                <w:rPr>
                  <w:rFonts w:ascii="Arial" w:cs="Arial" w:eastAsia="Arial" w:hAnsi="Arial"/>
                  <w:sz w:val="18"/>
                  <w:szCs w:val="18"/>
                  <w:color w:val="0000EE"/>
                </w:rPr>
                <w:t>Securities Purchase Agreement, dated as of December 11, 2017</w:t>
              </w:r>
            </w:hyperlink>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520" w:type="dxa"/>
            <w:vAlign w:val="bottom"/>
            <w:gridSpan w:val="11"/>
            <w:shd w:val="clear" w:color="auto" w:fill="0000EE"/>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64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Principal Executive Officer and Principal Financial and Accounting Officer</w:t>
              </w:r>
            </w:hyperlink>
          </w:p>
        </w:tc>
        <w:tc>
          <w:tcPr>
            <w:tcW w:w="220" w:type="dxa"/>
            <w:vAlign w:val="bottom"/>
            <w:gridSpan w:val="5"/>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6700" w:type="dxa"/>
            <w:vAlign w:val="bottom"/>
            <w:gridSpan w:val="28"/>
          </w:tcPr>
          <w:p>
            <w:pPr>
              <w:spacing w:after="0" w:line="192"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Required Under Rule 13a-14(a) and 15d-14(a) of the Securities Exchange Act of 1934, as</w:t>
              </w:r>
            </w:hyperlink>
          </w:p>
        </w:tc>
      </w:tr>
      <w:tr>
        <w:trPr>
          <w:trHeight w:val="192"/>
        </w:trPr>
        <w:tc>
          <w:tcPr>
            <w:tcW w:w="880" w:type="dxa"/>
            <w:vAlign w:val="bottom"/>
          </w:tcPr>
          <w:p>
            <w:pPr>
              <w:spacing w:after="0"/>
              <w:rPr>
                <w:sz w:val="16"/>
                <w:szCs w:val="16"/>
                <w:color w:val="auto"/>
              </w:rPr>
            </w:pPr>
          </w:p>
        </w:tc>
        <w:tc>
          <w:tcPr>
            <w:tcW w:w="64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2"/>
              </w:rPr>
            </w:pPr>
            <w:hyperlink w:anchor="page41">
              <w:r>
                <w:rPr>
                  <w:rFonts w:ascii="Arial" w:cs="Arial" w:eastAsia="Arial" w:hAnsi="Arial"/>
                  <w:sz w:val="18"/>
                  <w:szCs w:val="18"/>
                  <w:color w:val="0000EE"/>
                  <w:w w:val="82"/>
                </w:rPr>
                <w:t>amended</w:t>
              </w:r>
            </w:hyperlink>
          </w:p>
        </w:tc>
        <w:tc>
          <w:tcPr>
            <w:tcW w:w="5740" w:type="dxa"/>
            <w:vAlign w:val="bottom"/>
            <w:tcBorders>
              <w:top w:val="single" w:sz="8" w:color="0000EE"/>
            </w:tcBorders>
            <w:gridSpan w:val="20"/>
          </w:tcPr>
          <w:p>
            <w:pPr>
              <w:spacing w:after="0"/>
              <w:rPr>
                <w:sz w:val="16"/>
                <w:szCs w:val="16"/>
                <w:color w:val="auto"/>
              </w:rPr>
            </w:pPr>
          </w:p>
        </w:tc>
        <w:tc>
          <w:tcPr>
            <w:tcW w:w="320" w:type="dxa"/>
            <w:vAlign w:val="bottom"/>
            <w:gridSpan w:val="7"/>
          </w:tcPr>
          <w:p>
            <w:pPr>
              <w:spacing w:after="0"/>
              <w:rPr>
                <w:sz w:val="16"/>
                <w:szCs w:val="16"/>
                <w:color w:val="auto"/>
              </w:rPr>
            </w:pPr>
          </w:p>
        </w:tc>
      </w:tr>
      <w:tr>
        <w:trPr>
          <w:trHeight w:val="29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64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Principal Executive Officer and Principal Financial and Accounting Officer</w:t>
              </w:r>
            </w:hyperlink>
          </w:p>
        </w:tc>
        <w:tc>
          <w:tcPr>
            <w:tcW w:w="220" w:type="dxa"/>
            <w:vAlign w:val="bottom"/>
            <w:gridSpan w:val="5"/>
          </w:tcPr>
          <w:p>
            <w:pPr>
              <w:spacing w:after="0"/>
              <w:rPr>
                <w:sz w:val="24"/>
                <w:szCs w:val="24"/>
                <w:color w:val="auto"/>
              </w:rPr>
            </w:pPr>
          </w:p>
        </w:tc>
      </w:tr>
      <w:tr>
        <w:trPr>
          <w:trHeight w:val="192"/>
        </w:trPr>
        <w:tc>
          <w:tcPr>
            <w:tcW w:w="880" w:type="dxa"/>
            <w:vAlign w:val="bottom"/>
          </w:tcPr>
          <w:p>
            <w:pPr>
              <w:spacing w:after="0"/>
              <w:rPr>
                <w:sz w:val="16"/>
                <w:szCs w:val="16"/>
                <w:color w:val="auto"/>
              </w:rPr>
            </w:pPr>
          </w:p>
        </w:tc>
        <w:tc>
          <w:tcPr>
            <w:tcW w:w="6700" w:type="dxa"/>
            <w:vAlign w:val="bottom"/>
            <w:gridSpan w:val="28"/>
          </w:tcPr>
          <w:p>
            <w:pPr>
              <w:spacing w:after="0" w:line="19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Required Under Rule 13a-14(b) of the Securities Exchange Act of 1934, as amended, and 18</w:t>
              </w:r>
            </w:hyperlink>
          </w:p>
        </w:tc>
      </w:tr>
      <w:tr>
        <w:trPr>
          <w:trHeight w:val="192"/>
        </w:trPr>
        <w:tc>
          <w:tcPr>
            <w:tcW w:w="880" w:type="dxa"/>
            <w:vAlign w:val="bottom"/>
          </w:tcPr>
          <w:p>
            <w:pPr>
              <w:spacing w:after="0"/>
              <w:rPr>
                <w:sz w:val="16"/>
                <w:szCs w:val="16"/>
                <w:color w:val="auto"/>
              </w:rPr>
            </w:pPr>
          </w:p>
        </w:tc>
        <w:tc>
          <w:tcPr>
            <w:tcW w:w="6600" w:type="dxa"/>
            <w:vAlign w:val="bottom"/>
            <w:tcBorders>
              <w:top w:val="single" w:sz="8" w:color="0000EE"/>
            </w:tcBorders>
            <w:gridSpan w:val="27"/>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U.S.C. §1350</w:t>
              </w:r>
            </w:hyperlink>
          </w:p>
        </w:tc>
        <w:tc>
          <w:tcPr>
            <w:tcW w:w="10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5740" w:type="dxa"/>
            <w:vAlign w:val="bottom"/>
            <w:gridSpan w:val="25"/>
          </w:tcPr>
          <w:p>
            <w:pPr>
              <w:spacing w:after="0" w:line="20" w:lineRule="exact"/>
              <w:rPr>
                <w:sz w:val="1"/>
                <w:szCs w:val="1"/>
                <w:color w:val="auto"/>
              </w:rPr>
            </w:pP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Instance Document.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70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58"/>
        </w:trPr>
        <w:tc>
          <w:tcPr>
            <w:tcW w:w="880" w:type="dxa"/>
            <w:vAlign w:val="bottom"/>
          </w:tcPr>
          <w:p>
            <w:pPr>
              <w:spacing w:after="0"/>
              <w:rPr>
                <w:sz w:val="24"/>
                <w:szCs w:val="24"/>
                <w:color w:val="auto"/>
              </w:rPr>
            </w:pPr>
          </w:p>
        </w:tc>
        <w:tc>
          <w:tcPr>
            <w:tcW w:w="5500" w:type="dxa"/>
            <w:vAlign w:val="bottom"/>
            <w:gridSpan w:val="15"/>
          </w:tcPr>
          <w:p>
            <w:pPr>
              <w:ind w:left="47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October 15, 2015</w:t>
            </w:r>
          </w:p>
        </w:tc>
        <w:tc>
          <w:tcPr>
            <w:tcW w:w="540" w:type="dxa"/>
            <w:vAlign w:val="bottom"/>
          </w:tcPr>
          <w:p>
            <w:pPr>
              <w:ind w:left="140"/>
              <w:spacing w:after="0"/>
              <w:rPr>
                <w:sz w:val="20"/>
                <w:szCs w:val="20"/>
                <w:color w:val="auto"/>
              </w:rPr>
            </w:pPr>
            <w:r>
              <w:rPr>
                <w:rFonts w:ascii="Arial" w:cs="Arial" w:eastAsia="Arial" w:hAnsi="Arial"/>
                <w:sz w:val="18"/>
                <w:szCs w:val="18"/>
                <w:color w:val="auto"/>
              </w:rPr>
              <w:t>10.3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760" w:type="dxa"/>
            <w:vAlign w:val="bottom"/>
          </w:tcPr>
          <w:p>
            <w:pPr>
              <w:ind w:left="200"/>
              <w:spacing w:after="0"/>
              <w:rPr>
                <w:sz w:val="20"/>
                <w:szCs w:val="20"/>
                <w:color w:val="auto"/>
              </w:rPr>
            </w:pPr>
            <w:r>
              <w:rPr>
                <w:rFonts w:ascii="Arial" w:cs="Arial" w:eastAsia="Arial" w:hAnsi="Arial"/>
                <w:sz w:val="18"/>
                <w:szCs w:val="18"/>
                <w:color w:val="auto"/>
                <w:w w:val="97"/>
              </w:rPr>
              <w:t>December 22, 2015</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10.33</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January 28,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July 6, 2016</w:t>
            </w:r>
          </w:p>
        </w:tc>
        <w:tc>
          <w:tcPr>
            <w:tcW w:w="540" w:type="dxa"/>
            <w:vAlign w:val="bottom"/>
          </w:tcPr>
          <w:p>
            <w:pPr>
              <w:ind w:left="140"/>
              <w:spacing w:after="0"/>
              <w:rPr>
                <w:sz w:val="20"/>
                <w:szCs w:val="20"/>
                <w:color w:val="auto"/>
              </w:rPr>
            </w:pPr>
            <w:r>
              <w:rPr>
                <w:rFonts w:ascii="Arial" w:cs="Arial" w:eastAsia="Arial" w:hAnsi="Arial"/>
                <w:sz w:val="18"/>
                <w:szCs w:val="18"/>
                <w:color w:val="auto"/>
              </w:rPr>
              <w:t>10.2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1760" w:type="dxa"/>
            <w:vAlign w:val="bottom"/>
          </w:tcPr>
          <w:p>
            <w:pPr>
              <w:ind w:left="200"/>
              <w:spacing w:after="0"/>
              <w:rPr>
                <w:sz w:val="20"/>
                <w:szCs w:val="20"/>
                <w:color w:val="auto"/>
              </w:rPr>
            </w:pPr>
            <w:r>
              <w:rPr>
                <w:rFonts w:ascii="Arial" w:cs="Arial" w:eastAsia="Arial" w:hAnsi="Arial"/>
                <w:sz w:val="18"/>
                <w:szCs w:val="18"/>
                <w:color w:val="auto"/>
                <w:w w:val="94"/>
              </w:rPr>
              <w:t>September 20, 2016</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10.39</w:t>
            </w:r>
          </w:p>
        </w:tc>
      </w:tr>
      <w:tr>
        <w:trPr>
          <w:trHeight w:val="955"/>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w w:val="97"/>
              </w:rPr>
              <w:t>December 27, 2016</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760" w:type="dxa"/>
            <w:vAlign w:val="bottom"/>
          </w:tcPr>
          <w:p>
            <w:pPr>
              <w:ind w:left="200"/>
              <w:spacing w:after="0"/>
              <w:rPr>
                <w:sz w:val="20"/>
                <w:szCs w:val="20"/>
                <w:color w:val="auto"/>
              </w:rPr>
            </w:pPr>
            <w:r>
              <w:rPr>
                <w:rFonts w:ascii="Arial" w:cs="Arial" w:eastAsia="Arial" w:hAnsi="Arial"/>
                <w:sz w:val="18"/>
                <w:szCs w:val="18"/>
                <w:color w:val="auto"/>
              </w:rPr>
              <w:t>February 1,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10.51</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760" w:type="dxa"/>
            <w:vAlign w:val="bottom"/>
          </w:tcPr>
          <w:p>
            <w:pPr>
              <w:ind w:left="200"/>
              <w:spacing w:after="0"/>
              <w:rPr>
                <w:sz w:val="20"/>
                <w:szCs w:val="20"/>
                <w:color w:val="auto"/>
              </w:rPr>
            </w:pPr>
            <w:r>
              <w:rPr>
                <w:rFonts w:ascii="Arial" w:cs="Arial" w:eastAsia="Arial" w:hAnsi="Arial"/>
                <w:sz w:val="18"/>
                <w:szCs w:val="18"/>
                <w:color w:val="auto"/>
              </w:rPr>
              <w:t>February 1, 2017</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10.52</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July 24, 2017</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5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rPr>
              <w:t>December 8, 2017</w:t>
            </w:r>
          </w:p>
        </w:tc>
        <w:tc>
          <w:tcPr>
            <w:tcW w:w="540" w:type="dxa"/>
            <w:vAlign w:val="bottom"/>
          </w:tcPr>
          <w:p>
            <w:pPr>
              <w:ind w:left="140"/>
              <w:spacing w:after="0"/>
              <w:rPr>
                <w:sz w:val="20"/>
                <w:szCs w:val="20"/>
                <w:color w:val="auto"/>
              </w:rPr>
            </w:pPr>
            <w:r>
              <w:rPr>
                <w:rFonts w:ascii="Arial" w:cs="Arial" w:eastAsia="Arial" w:hAnsi="Arial"/>
                <w:sz w:val="18"/>
                <w:szCs w:val="18"/>
                <w:color w:val="auto"/>
              </w:rPr>
              <w:t>2.1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760" w:type="dxa"/>
            <w:vAlign w:val="bottom"/>
          </w:tcPr>
          <w:p>
            <w:pPr>
              <w:ind w:left="200"/>
              <w:spacing w:after="0"/>
              <w:rPr>
                <w:sz w:val="20"/>
                <w:szCs w:val="20"/>
                <w:color w:val="auto"/>
              </w:rPr>
            </w:pPr>
            <w:r>
              <w:rPr>
                <w:rFonts w:ascii="Arial" w:cs="Arial" w:eastAsia="Arial" w:hAnsi="Arial"/>
                <w:sz w:val="18"/>
                <w:szCs w:val="18"/>
                <w:color w:val="auto"/>
                <w:w w:val="97"/>
              </w:rPr>
              <w:t>December 13, 2017</w:t>
            </w:r>
          </w:p>
        </w:tc>
        <w:tc>
          <w:tcPr>
            <w:tcW w:w="540" w:type="dxa"/>
            <w:vAlign w:val="bottom"/>
          </w:tcPr>
          <w:p>
            <w:pPr>
              <w:ind w:left="140"/>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580" w:space="120"/>
            <w:col w:w="3720"/>
          </w:cols>
          <w:pgMar w:left="240" w:top="453"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860" w:firstLine="457"/>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Date: November 14, 2018</w:t>
            </w:r>
          </w:p>
        </w:tc>
        <w:tc>
          <w:tcPr>
            <w:tcW w:w="7760" w:type="dxa"/>
            <w:vAlign w:val="bottom"/>
            <w:gridSpan w:val="2"/>
          </w:tcPr>
          <w:p>
            <w:pPr>
              <w:ind w:left="1800"/>
              <w:spacing w:after="0"/>
              <w:rPr>
                <w:sz w:val="20"/>
                <w:szCs w:val="20"/>
                <w:color w:val="auto"/>
              </w:rPr>
            </w:pPr>
            <w:r>
              <w:rPr>
                <w:rFonts w:ascii="Arial" w:cs="Arial" w:eastAsia="Arial" w:hAnsi="Arial"/>
                <w:sz w:val="18"/>
                <w:szCs w:val="18"/>
                <w:b w:val="1"/>
                <w:bCs w:val="1"/>
                <w:color w:val="auto"/>
              </w:rPr>
              <w:t>SOLENO THERAPEUTICS, INC.</w:t>
            </w:r>
          </w:p>
        </w:tc>
      </w:tr>
      <w:tr>
        <w:trPr>
          <w:trHeight w:val="425"/>
        </w:trPr>
        <w:tc>
          <w:tcPr>
            <w:tcW w:w="3660" w:type="dxa"/>
            <w:vAlign w:val="bottom"/>
          </w:tcPr>
          <w:p>
            <w:pPr>
              <w:spacing w:after="0"/>
              <w:rPr>
                <w:sz w:val="24"/>
                <w:szCs w:val="24"/>
                <w:color w:val="auto"/>
              </w:rPr>
            </w:pPr>
          </w:p>
        </w:tc>
        <w:tc>
          <w:tcPr>
            <w:tcW w:w="2400" w:type="dxa"/>
            <w:vAlign w:val="bottom"/>
          </w:tcPr>
          <w:p>
            <w:pPr>
              <w:ind w:left="18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Wolter</w:t>
            </w:r>
          </w:p>
        </w:tc>
      </w:tr>
      <w:tr>
        <w:trPr>
          <w:trHeight w:val="207"/>
        </w:trPr>
        <w:tc>
          <w:tcPr>
            <w:tcW w:w="3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Jonathan Wolter</w:t>
            </w:r>
          </w:p>
        </w:tc>
      </w:tr>
      <w:tr>
        <w:trPr>
          <w:trHeight w:val="206"/>
        </w:trPr>
        <w:tc>
          <w:tcPr>
            <w:tcW w:w="3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9"/>
        </w:trPr>
        <w:tc>
          <w:tcPr>
            <w:tcW w:w="3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w w:val="96"/>
              </w:rPr>
              <w:t>(authorized officer and principal financial and accounting officer)</w:t>
            </w:r>
          </w:p>
        </w:tc>
      </w:tr>
      <w:tr>
        <w:trPr>
          <w:trHeight w:val="371"/>
        </w:trPr>
        <w:tc>
          <w:tcPr>
            <w:tcW w:w="3660" w:type="dxa"/>
            <w:vAlign w:val="bottom"/>
          </w:tcPr>
          <w:p>
            <w:pPr>
              <w:spacing w:after="0"/>
              <w:rPr>
                <w:sz w:val="24"/>
                <w:szCs w:val="24"/>
                <w:color w:val="auto"/>
              </w:rPr>
            </w:pPr>
          </w:p>
        </w:tc>
        <w:tc>
          <w:tcPr>
            <w:tcW w:w="240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111"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111" w:lineRule="exact"/>
        <w:rPr>
          <w:rFonts w:ascii="Arial" w:cs="Arial" w:eastAsia="Arial" w:hAnsi="Arial"/>
          <w:sz w:val="18"/>
          <w:szCs w:val="18"/>
          <w:color w:val="auto"/>
        </w:rPr>
      </w:pPr>
    </w:p>
    <w:p>
      <w:pPr>
        <w:ind w:right="160" w:firstLine="6"/>
        <w:spacing w:after="0" w:line="366" w:lineRule="auto"/>
        <w:tabs>
          <w:tab w:leader="none" w:pos="1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right="260" w:firstLine="6"/>
        <w:spacing w:after="0" w:line="265" w:lineRule="auto"/>
        <w:tabs>
          <w:tab w:leader="none" w:pos="1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right="220" w:firstLine="6"/>
        <w:spacing w:after="0" w:line="255" w:lineRule="auto"/>
        <w:tabs>
          <w:tab w:leader="none" w:pos="1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460" w:right="60" w:firstLine="3"/>
        <w:spacing w:after="0" w:line="255" w:lineRule="auto"/>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460" w:right="160" w:firstLine="3"/>
        <w:spacing w:after="0" w:line="255" w:lineRule="auto"/>
        <w:tabs>
          <w:tab w:leader="none" w:pos="7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460" w:right="40" w:firstLine="3"/>
        <w:spacing w:after="0" w:line="294" w:lineRule="auto"/>
        <w:tabs>
          <w:tab w:leader="none" w:pos="7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240" w:firstLine="3"/>
        <w:spacing w:after="0" w:line="255" w:lineRule="auto"/>
        <w:tabs>
          <w:tab w:leader="none" w:pos="7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right="660" w:firstLine="6"/>
        <w:spacing w:after="0" w:line="366" w:lineRule="auto"/>
        <w:tabs>
          <w:tab w:leader="none" w:pos="1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5"/>
          <w:szCs w:val="15"/>
          <w:color w:val="auto"/>
        </w:rPr>
      </w:pPr>
    </w:p>
    <w:p>
      <w:pPr>
        <w:ind w:left="460" w:right="140" w:firstLine="3"/>
        <w:spacing w:after="0" w:line="265" w:lineRule="auto"/>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180" w:firstLine="3"/>
        <w:spacing w:after="0" w:line="265" w:lineRule="auto"/>
        <w:tabs>
          <w:tab w:leader="none" w:pos="7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96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8">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2018,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79" w:lineRule="exact"/>
        <w:rPr>
          <w:sz w:val="20"/>
          <w:szCs w:val="20"/>
          <w:color w:val="auto"/>
        </w:rPr>
      </w:pPr>
    </w:p>
    <w:p>
      <w:pPr>
        <w:ind w:left="1920" w:hanging="442"/>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4" w:lineRule="exact"/>
        <w:rPr>
          <w:rFonts w:ascii="Arial" w:cs="Arial" w:eastAsia="Arial" w:hAnsi="Arial"/>
          <w:sz w:val="18"/>
          <w:szCs w:val="18"/>
          <w:color w:val="auto"/>
        </w:rPr>
      </w:pPr>
    </w:p>
    <w:p>
      <w:pPr>
        <w:ind w:left="1920" w:right="740" w:hanging="442"/>
        <w:spacing w:after="0" w:line="265"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96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9">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3" Type="http://schemas.openxmlformats.org/officeDocument/2006/relationships/image" Target="media/image44.png"/><Relationship Id="rId103" Type="http://schemas.openxmlformats.org/officeDocument/2006/relationships/image" Target="media/image45.png"/><Relationship Id="rId123" Type="http://schemas.openxmlformats.org/officeDocument/2006/relationships/image" Target="media/image46.png"/><Relationship Id="rId137" Type="http://schemas.openxmlformats.org/officeDocument/2006/relationships/image" Target="media/image47.png"/><Relationship Id="rId138" Type="http://schemas.openxmlformats.org/officeDocument/2006/relationships/image" Target="media/image48.png"/><Relationship Id="rId139" Type="http://schemas.openxmlformats.org/officeDocument/2006/relationships/image" Target="media/image49.png"/><Relationship Id="rId51" Type="http://schemas.openxmlformats.org/officeDocument/2006/relationships/hyperlink" Target="http://www.sec.gov/Archives/edgar/data/1484565/000162828017007221/ehx21.htm" TargetMode="External"/><Relationship Id="rId52" Type="http://schemas.openxmlformats.org/officeDocument/2006/relationships/hyperlink" Target="http://www.sec.gov/Archives/edgar/data/1484565/000162828017012274/ex21soleno-captainjvagreem.htm" TargetMode="External"/><Relationship Id="rId53" Type="http://schemas.openxmlformats.org/officeDocument/2006/relationships/hyperlink" Target="http://www.sec.gov/Archives/edgar/data/1484565/000162828017012274/ex22ippurchaseagreement.htm" TargetMode="External"/><Relationship Id="rId54" Type="http://schemas.openxmlformats.org/officeDocument/2006/relationships/hyperlink" Target="http://www.sec.gov/Archives/edgar/data/1484565/000162828017012274/ex23soleno-transitionservi.htm" TargetMode="External"/><Relationship Id="rId55" Type="http://schemas.openxmlformats.org/officeDocument/2006/relationships/hyperlink" Target="http://www.sec.gov/Archives/edgar/data/1484565/000119312514300848/d711637dex32.htm" TargetMode="External"/><Relationship Id="rId56" Type="http://schemas.openxmlformats.org/officeDocument/2006/relationships/hyperlink" Target="http://www.sec.gov/Archives/edgar/data/1484565/000119312514256995/d711637dex34.htm" TargetMode="External"/><Relationship Id="rId57" Type="http://schemas.openxmlformats.org/officeDocument/2006/relationships/hyperlink" Target="http://www.sec.gov/Archives/edgar/data/1484565/000119312515344002/d67111dex31.htm" TargetMode="External"/><Relationship Id="rId58" Type="http://schemas.openxmlformats.org/officeDocument/2006/relationships/hyperlink" Target="http://www.sec.gov/Archives/edgar/data/1484565/000119312516642505/d221558dex31.htm" TargetMode="External"/><Relationship Id="rId59" Type="http://schemas.openxmlformats.org/officeDocument/2006/relationships/hyperlink" Target="http://www.sec.gov/Archives/edgar/data/1484565/000162828017005427/exhibit31.htm" TargetMode="External"/><Relationship Id="rId60" Type="http://schemas.openxmlformats.org/officeDocument/2006/relationships/hyperlink" Target="http://www.sec.gov/Archives/edgar/data/1484565/000162828017009761/soleno-certificateofamendm.htm" TargetMode="External"/><Relationship Id="rId61" Type="http://schemas.openxmlformats.org/officeDocument/2006/relationships/hyperlink" Target="http://www.sec.gov/Archives/edgar/data/1484565/000119312514293949/d711637dex41.htm" TargetMode="External"/><Relationship Id="rId62" Type="http://schemas.openxmlformats.org/officeDocument/2006/relationships/hyperlink" Target="http://www.sec.gov/Archives/edgar/data/1484565/000119312514256995/d711637dex42.htm" TargetMode="External"/><Relationship Id="rId63" Type="http://schemas.openxmlformats.org/officeDocument/2006/relationships/hyperlink" Target="http://www.sec.gov/Archives/edgar/data/1484565/000119312514293949/d711637dex43.htm" TargetMode="External"/><Relationship Id="rId64" Type="http://schemas.openxmlformats.org/officeDocument/2006/relationships/hyperlink" Target="http://www.sec.gov/Archives/edgar/data/1484565/000119312514293949/d711637dex44.htm" TargetMode="External"/><Relationship Id="rId65" Type="http://schemas.openxmlformats.org/officeDocument/2006/relationships/hyperlink" Target="http://www.sec.gov/Archives/edgar/data/1484565/000119312514293949/d711637dex45.htm" TargetMode="External"/><Relationship Id="rId66" Type="http://schemas.openxmlformats.org/officeDocument/2006/relationships/hyperlink" Target="http://www.sec.gov/Archives/edgar/data/1484565/000119312514231812/d711637dex46.htm" TargetMode="External"/><Relationship Id="rId67" Type="http://schemas.openxmlformats.org/officeDocument/2006/relationships/hyperlink" Target="http://www.sec.gov/Archives/edgar/data/1484565/000119312514231812/d711637dex47.htm" TargetMode="External"/><Relationship Id="rId68" Type="http://schemas.openxmlformats.org/officeDocument/2006/relationships/hyperlink" Target="http://www.sec.gov/Archives/edgar/data/1484565/000119312514231812/d711637dex48.htm" TargetMode="External"/><Relationship Id="rId69" Type="http://schemas.openxmlformats.org/officeDocument/2006/relationships/hyperlink" Target="http://www.sec.gov/Archives/edgar/data/1484565/000119312514231812/d711637dex49.htm" TargetMode="External"/><Relationship Id="rId70" Type="http://schemas.openxmlformats.org/officeDocument/2006/relationships/hyperlink" Target="http://www.sec.gov/Archives/edgar/data/1484565/000119312514231812/d711637dex410.htm" TargetMode="External"/><Relationship Id="rId71" Type="http://schemas.openxmlformats.org/officeDocument/2006/relationships/hyperlink" Target="http://www.sec.gov/Archives/edgar/data/1484565/000119312514231812/d711637dex411.htm" TargetMode="External"/><Relationship Id="rId72" Type="http://schemas.openxmlformats.org/officeDocument/2006/relationships/hyperlink" Target="http://www.sec.gov/Archives/edgar/data/1484565/000119312514231812/d711637dex412.htm" TargetMode="External"/><Relationship Id="rId74" Type="http://schemas.openxmlformats.org/officeDocument/2006/relationships/hyperlink" Target="http://www.sec.gov/Archives/edgar/data/1484565/000119312514231812/d711637dex413.htm" TargetMode="External"/><Relationship Id="rId75" Type="http://schemas.openxmlformats.org/officeDocument/2006/relationships/hyperlink" Target="http://www.sec.gov/Archives/edgar/data/1484565/000119312514231812/d711637dex414.htm" TargetMode="External"/><Relationship Id="rId76" Type="http://schemas.openxmlformats.org/officeDocument/2006/relationships/hyperlink" Target="http://www.sec.gov/Archives/edgar/data/1484565/000119312514231812/d711637dex415.htm" TargetMode="External"/><Relationship Id="rId77" Type="http://schemas.openxmlformats.org/officeDocument/2006/relationships/hyperlink" Target="http://www.sec.gov/Archives/edgar/data/1484565/000119312514293949/d711637dex416.htm" TargetMode="External"/><Relationship Id="rId78" Type="http://schemas.openxmlformats.org/officeDocument/2006/relationships/hyperlink" Target="http://www.sec.gov/Archives/edgar/data/1484565/000119312514396517/d711637dex417.htm" TargetMode="External"/><Relationship Id="rId79" Type="http://schemas.openxmlformats.org/officeDocument/2006/relationships/hyperlink" Target="http://www.sec.gov/Archives/edgar/data/1484565/000119312514396517/d711637dex418.htm" TargetMode="External"/><Relationship Id="rId80" Type="http://schemas.openxmlformats.org/officeDocument/2006/relationships/hyperlink" Target="http://www.sec.gov/Archives/edgar/data/1484565/000119312515114723/d893037dex419.htm" TargetMode="External"/><Relationship Id="rId81" Type="http://schemas.openxmlformats.org/officeDocument/2006/relationships/hyperlink" Target="http://www.sec.gov/Archives/edgar/data/1484565/000119312515114723/d893037dex420.htm" TargetMode="External"/><Relationship Id="rId82" Type="http://schemas.openxmlformats.org/officeDocument/2006/relationships/hyperlink" Target="http://www.sec.gov/Archives/edgar/data/1484565/000119312515344002/d67111dex41.htm" TargetMode="External"/><Relationship Id="rId83" Type="http://schemas.openxmlformats.org/officeDocument/2006/relationships/hyperlink" Target="http://www.sec.gov/Archives/edgar/data/1484565/000119312515344002/d67111dex42.htm" TargetMode="External"/><Relationship Id="rId84" Type="http://schemas.openxmlformats.org/officeDocument/2006/relationships/hyperlink" Target="http://www.sec.gov/Archives/edgar/data/1484565/000119312515344002/d67111dex43.htm" TargetMode="External"/><Relationship Id="rId85" Type="http://schemas.openxmlformats.org/officeDocument/2006/relationships/hyperlink" Target="http://www.sec.gov/Archives/edgar/data/1484565/000119312515344002/d67111dex44.htm" TargetMode="External"/><Relationship Id="rId86" Type="http://schemas.openxmlformats.org/officeDocument/2006/relationships/hyperlink" Target="http://www.sec.gov/Archives/edgar/data/1484565/000119312516642505/d221558dex41.htm" TargetMode="External"/><Relationship Id="rId87" Type="http://schemas.openxmlformats.org/officeDocument/2006/relationships/hyperlink" Target="http://www.sec.gov/Archives/edgar/data/1484565/000119312516642505/d221558dex42.htm" TargetMode="External"/><Relationship Id="rId88" Type="http://schemas.openxmlformats.org/officeDocument/2006/relationships/hyperlink" Target="http://www.sec.gov/Archives/edgar/data/1484565/000148456517000004/ex41commonstockwarrant.htm" TargetMode="External"/><Relationship Id="rId89" Type="http://schemas.openxmlformats.org/officeDocument/2006/relationships/hyperlink" Target="http://www.sec.gov/Archives/edgar/data/1484565/000119312515344002/d67111dex91.htm" TargetMode="External"/><Relationship Id="rId90" Type="http://schemas.openxmlformats.org/officeDocument/2006/relationships/hyperlink" Target="http://www.sec.gov/Archives/edgar/data/1484565/000119312516642505/d221558dex91.htm" TargetMode="External"/><Relationship Id="rId91" Type="http://schemas.openxmlformats.org/officeDocument/2006/relationships/hyperlink" Target="http://www.sec.gov/Archives/edgar/data/1484565/000119312516803934/d282262dex101.htm" TargetMode="External"/><Relationship Id="rId92" Type="http://schemas.openxmlformats.org/officeDocument/2006/relationships/hyperlink" Target="http://www.sec.gov/Archives/edgar/data/1484565/000119312514231812/d711637dex101.htm" TargetMode="External"/><Relationship Id="rId93" Type="http://schemas.openxmlformats.org/officeDocument/2006/relationships/hyperlink" Target="http://www.sec.gov/Archives/edgar/data/1484565/000119312514231812/d711637dex102.htm" TargetMode="External"/><Relationship Id="rId94" Type="http://schemas.openxmlformats.org/officeDocument/2006/relationships/hyperlink" Target="http://www.sec.gov/Archives/edgar/data/1484565/000119312514231812/d711637dex103.htm" TargetMode="External"/><Relationship Id="rId95" Type="http://schemas.openxmlformats.org/officeDocument/2006/relationships/hyperlink" Target="http://www.sec.gov/Archives/edgar/data/1484565/000119312514256995/d711637dex104.htm" TargetMode="External"/><Relationship Id="rId96" Type="http://schemas.openxmlformats.org/officeDocument/2006/relationships/hyperlink" Target="http://www.sec.gov/Archives/edgar/data/1484565/000119312514256995/d711637dex105.htm" TargetMode="External"/><Relationship Id="rId97" Type="http://schemas.openxmlformats.org/officeDocument/2006/relationships/hyperlink" Target="http://www.sec.gov/Archives/edgar/data/1484565/000119312514231812/d711637dex106.htm" TargetMode="External"/><Relationship Id="rId98" Type="http://schemas.openxmlformats.org/officeDocument/2006/relationships/hyperlink" Target="http://www.sec.gov/Archives/edgar/data/1484565/000119312514231812/d711637dex107.htm" TargetMode="External"/><Relationship Id="rId99" Type="http://schemas.openxmlformats.org/officeDocument/2006/relationships/hyperlink" Target="http://www.sec.gov/Archives/edgar/data/1484565/000119312514231812/d711637dex108.htm" TargetMode="External"/><Relationship Id="rId100" Type="http://schemas.openxmlformats.org/officeDocument/2006/relationships/hyperlink" Target="http://www.sec.gov/Archives/edgar/data/1484565/000119312514231812/d711637dex109.htm" TargetMode="External"/><Relationship Id="rId101" Type="http://schemas.openxmlformats.org/officeDocument/2006/relationships/hyperlink" Target="http://www.sec.gov/Archives/edgar/data/1484565/000119312514231812/d711637dex1010.htm" TargetMode="External"/><Relationship Id="rId102" Type="http://schemas.openxmlformats.org/officeDocument/2006/relationships/hyperlink" Target="http://www.sec.gov/Archives/edgar/data/1484565/000119312514231812/d711637dex1011.htm" TargetMode="External"/><Relationship Id="rId104" Type="http://schemas.openxmlformats.org/officeDocument/2006/relationships/hyperlink" Target="http://www.sec.gov/Archives/edgar/data/1484565/000119312514231812/d711637dex1012.htm" TargetMode="External"/><Relationship Id="rId105" Type="http://schemas.openxmlformats.org/officeDocument/2006/relationships/hyperlink" Target="http://www.sec.gov/Archives/edgar/data/1484565/000119312514231812/d711637dex1013.htm" TargetMode="External"/><Relationship Id="rId106" Type="http://schemas.openxmlformats.org/officeDocument/2006/relationships/hyperlink" Target="http://www.sec.gov/Archives/edgar/data/1484565/000119312514231812/d711637dex1014.htm" TargetMode="External"/><Relationship Id="rId107" Type="http://schemas.openxmlformats.org/officeDocument/2006/relationships/hyperlink" Target="http://www.sec.gov/Archives/edgar/data/1484565/000119312514231812/d711637dex1015.htm" TargetMode="External"/><Relationship Id="rId108" Type="http://schemas.openxmlformats.org/officeDocument/2006/relationships/hyperlink" Target="http://www.sec.gov/Archives/edgar/data/1484565/000119312514231812/d711637dex1016.htm" TargetMode="External"/><Relationship Id="rId109" Type="http://schemas.openxmlformats.org/officeDocument/2006/relationships/hyperlink" Target="http://www.sec.gov/Archives/edgar/data/1484565/000119312514231812/d711637dex1017.htm" TargetMode="External"/><Relationship Id="rId110" Type="http://schemas.openxmlformats.org/officeDocument/2006/relationships/hyperlink" Target="http://www.sec.gov/Archives/edgar/data/1484565/000119312514231812/d711637dex1018.htm" TargetMode="External"/><Relationship Id="rId111" Type="http://schemas.openxmlformats.org/officeDocument/2006/relationships/hyperlink" Target="http://www.sec.gov/Archives/edgar/data/1484565/000119312514256995/d711637dex1019.htm" TargetMode="External"/><Relationship Id="rId112" Type="http://schemas.openxmlformats.org/officeDocument/2006/relationships/hyperlink" Target="http://www.sec.gov/Archives/edgar/data/1484565/000119312514274666/d711637dex1020.htm" TargetMode="External"/><Relationship Id="rId113" Type="http://schemas.openxmlformats.org/officeDocument/2006/relationships/hyperlink" Target="http://www.sec.gov/Archives/edgar/data/1484565/000119312514357384/d711637dex1021.htm" TargetMode="External"/><Relationship Id="rId114" Type="http://schemas.openxmlformats.org/officeDocument/2006/relationships/hyperlink" Target="http://www.sec.gov/Archives/edgar/data/1484565/000119312514396517/d711637dex1022.htm" TargetMode="External"/><Relationship Id="rId115" Type="http://schemas.openxmlformats.org/officeDocument/2006/relationships/hyperlink" Target="http://www.sec.gov/Archives/edgar/data/1484565/000119312514396517/d711637dex1023.htm" TargetMode="External"/><Relationship Id="rId116" Type="http://schemas.openxmlformats.org/officeDocument/2006/relationships/hyperlink" Target="http://www.sec.gov/Archives/edgar/data/1484565/000119312515078868/d886135dex101.htm" TargetMode="External"/><Relationship Id="rId117" Type="http://schemas.openxmlformats.org/officeDocument/2006/relationships/hyperlink" Target="http://www.sec.gov/Archives/edgar/data/1484565/000119312515114723/d893037dex1025.htm" TargetMode="External"/><Relationship Id="rId118" Type="http://schemas.openxmlformats.org/officeDocument/2006/relationships/hyperlink" Target="http://www.sec.gov/Archives/edgar/data/1484565/000119312515246752/d72536dex101.htm" TargetMode="External"/><Relationship Id="rId119" Type="http://schemas.openxmlformats.org/officeDocument/2006/relationships/hyperlink" Target="http://www.sec.gov/Archives/edgar/data/1484565/000119312515246752/d72536dex102.htm" TargetMode="External"/><Relationship Id="rId120" Type="http://schemas.openxmlformats.org/officeDocument/2006/relationships/hyperlink" Target="http://www.sec.gov/Archives/edgar/data/1484565/000119312515264172/d151899dex41.htm" TargetMode="External"/><Relationship Id="rId121" Type="http://schemas.openxmlformats.org/officeDocument/2006/relationships/hyperlink" Target="http://www.sec.gov/Archives/edgar/data/1484565/000119312515264172/d151899dex101.htm" TargetMode="External"/><Relationship Id="rId122" Type="http://schemas.openxmlformats.org/officeDocument/2006/relationships/hyperlink" Target="http://www.sec.gov/Archives/edgar/data/1484565/000119312515344002/d67111dex11.htm" TargetMode="External"/><Relationship Id="rId124" Type="http://schemas.openxmlformats.org/officeDocument/2006/relationships/hyperlink" Target="http://www.sec.gov/Archives/edgar/data/1484565/000119312515344002/d67111dex101.htm" TargetMode="External"/><Relationship Id="rId125" Type="http://schemas.openxmlformats.org/officeDocument/2006/relationships/hyperlink" Target="http://www.sec.gov/Archives/edgar/data/1484565/000119312515344002/d67111dex102.htm" TargetMode="External"/><Relationship Id="rId126" Type="http://schemas.openxmlformats.org/officeDocument/2006/relationships/hyperlink" Target="http://www.sec.gov/Archives/edgar/data/1484565/000119312515344002/d67111dex103.htm" TargetMode="External"/><Relationship Id="rId127" Type="http://schemas.openxmlformats.org/officeDocument/2006/relationships/hyperlink" Target="http://www.sec.gov/Archives/edgar/data/1484565/000119312515410913/d83264dex1033.htm" TargetMode="External"/><Relationship Id="rId128" Type="http://schemas.openxmlformats.org/officeDocument/2006/relationships/hyperlink" Target="http://www.sec.gov/Archives/edgar/data/1484565/000119312516441799/d77178dex101.htm" TargetMode="External"/><Relationship Id="rId129" Type="http://schemas.openxmlformats.org/officeDocument/2006/relationships/hyperlink" Target="http://www.sec.gov/Archives/edgar/data/1484565/000119312516642505/d221558dex11.htm" TargetMode="External"/><Relationship Id="rId130" Type="http://schemas.openxmlformats.org/officeDocument/2006/relationships/hyperlink" Target="http://www.sec.gov/Archives/edgar/data/1484565/000119312516642505/d221558dex101.htm" TargetMode="External"/><Relationship Id="rId131" Type="http://schemas.openxmlformats.org/officeDocument/2006/relationships/hyperlink" Target="http://www.sec.gov/Archives/edgar/data/1484565/000119312516642505/d221558dex102.htm" TargetMode="External"/><Relationship Id="rId132" Type="http://schemas.openxmlformats.org/officeDocument/2006/relationships/hyperlink" Target="http://www.sec.gov/Archives/edgar/data/1484565/000119312516714955/d217110dex1039.htm" TargetMode="External"/><Relationship Id="rId133" Type="http://schemas.openxmlformats.org/officeDocument/2006/relationships/hyperlink" Target="http://www.sec.gov/Archives/edgar/data/1484565/000119312516803934/d282262dex21.htm" TargetMode="External"/><Relationship Id="rId134" Type="http://schemas.openxmlformats.org/officeDocument/2006/relationships/hyperlink" Target="http://www.sec.gov/Archives/edgar/data/1484565/000119312517027623/d336318dex1051.htm" TargetMode="External"/><Relationship Id="rId135" Type="http://schemas.openxmlformats.org/officeDocument/2006/relationships/hyperlink" Target="http://www.sec.gov/Archives/edgar/data/1484565/000119312517027623/d336318dex1052.htm" TargetMode="External"/><Relationship Id="rId136" Type="http://schemas.openxmlformats.org/officeDocument/2006/relationships/hyperlink" Target="http://www.sec.gov/Archives/edgar/data/1484565/000148456517000004/ex101securities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2019-12-28T17:49:02Z</dcterms:created>
  <dcterms:modified xsi:type="dcterms:W3CDTF">2019-12-28T17:49:02Z</dcterms:modified>
</cp:coreProperties>
</file>