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39370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47625</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8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5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96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560" w:type="dxa"/>
            <w:vAlign w:val="bottom"/>
            <w:tcBorders>
              <w:bottom w:val="single" w:sz="8" w:color="auto"/>
            </w:tcBorders>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26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Commission File No.: 001-36593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23495</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351"/>
        </w:trPr>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gridSpan w:val="4"/>
          </w:tcPr>
          <w:p>
            <w:pPr>
              <w:ind w:left="40"/>
              <w:spacing w:after="0"/>
              <w:rPr>
                <w:sz w:val="20"/>
                <w:szCs w:val="20"/>
                <w:color w:val="auto"/>
              </w:rPr>
            </w:pPr>
            <w:r>
              <w:rPr>
                <w:rFonts w:ascii="Times New Roman" w:cs="Times New Roman" w:eastAsia="Times New Roman" w:hAnsi="Times New Roman"/>
                <w:sz w:val="29"/>
                <w:szCs w:val="29"/>
                <w:b w:val="1"/>
                <w:bCs w:val="1"/>
                <w:color w:val="auto"/>
              </w:rPr>
              <w:t>Soleno Therapeutics, Inc.</w:t>
            </w:r>
          </w:p>
        </w:tc>
      </w:tr>
      <w:tr>
        <w:trPr>
          <w:trHeight w:val="190"/>
        </w:trPr>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60" w:type="dxa"/>
            <w:vAlign w:val="bottom"/>
            <w:gridSpan w:val="4"/>
          </w:tcPr>
          <w:p>
            <w:pPr>
              <w:jc w:val="center"/>
              <w:ind w:right="393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51"/>
        </w:trPr>
        <w:tc>
          <w:tcPr>
            <w:tcW w:w="39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r>
      <w:tr>
        <w:trPr>
          <w:trHeight w:val="189"/>
        </w:trPr>
        <w:tc>
          <w:tcPr>
            <w:tcW w:w="398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700" w:type="dxa"/>
            <w:vAlign w:val="bottom"/>
            <w:gridSpan w:val="2"/>
          </w:tcPr>
          <w:p>
            <w:pPr>
              <w:jc w:val="right"/>
              <w:ind w:right="2377"/>
              <w:spacing w:after="0"/>
              <w:rPr>
                <w:sz w:val="20"/>
                <w:szCs w:val="20"/>
                <w:color w:val="auto"/>
              </w:rPr>
            </w:pPr>
            <w:r>
              <w:rPr>
                <w:rFonts w:ascii="Times New Roman" w:cs="Times New Roman" w:eastAsia="Times New Roman" w:hAnsi="Times New Roman"/>
                <w:sz w:val="13"/>
                <w:szCs w:val="13"/>
                <w:b w:val="1"/>
                <w:bCs w:val="1"/>
                <w:color w:val="auto"/>
              </w:rPr>
              <w:t>77-0523891</w:t>
            </w:r>
          </w:p>
        </w:tc>
      </w:tr>
      <w:tr>
        <w:trPr>
          <w:trHeight w:val="135"/>
        </w:trPr>
        <w:tc>
          <w:tcPr>
            <w:tcW w:w="3980" w:type="dxa"/>
            <w:vAlign w:val="bottom"/>
            <w:gridSpan w:val="2"/>
          </w:tcPr>
          <w:p>
            <w:pPr>
              <w:jc w:val="center"/>
              <w:ind w:left="14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60" w:type="dxa"/>
            <w:vAlign w:val="bottom"/>
          </w:tcPr>
          <w:p>
            <w:pPr>
              <w:jc w:val="center"/>
              <w:ind w:right="14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98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60" w:type="dxa"/>
            <w:vAlign w:val="bottom"/>
          </w:tcPr>
          <w:p>
            <w:pPr>
              <w:jc w:val="center"/>
              <w:ind w:right="147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79"/>
        </w:trPr>
        <w:tc>
          <w:tcPr>
            <w:tcW w:w="398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7"/>
              </w:rPr>
              <w:t>203 Redwood Shores Parkway, Suite 500</w:t>
            </w: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75"/>
        </w:trPr>
        <w:tc>
          <w:tcPr>
            <w:tcW w:w="3980" w:type="dxa"/>
            <w:vAlign w:val="bottom"/>
            <w:gridSpan w:val="2"/>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6"/>
              </w:rPr>
              <w:t>Redwood City, California</w:t>
            </w: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700" w:type="dxa"/>
            <w:vAlign w:val="bottom"/>
            <w:gridSpan w:val="2"/>
          </w:tcPr>
          <w:p>
            <w:pPr>
              <w:jc w:val="right"/>
              <w:ind w:right="2517"/>
              <w:spacing w:after="0"/>
              <w:rPr>
                <w:sz w:val="20"/>
                <w:szCs w:val="20"/>
                <w:color w:val="auto"/>
              </w:rPr>
            </w:pPr>
            <w:r>
              <w:rPr>
                <w:rFonts w:ascii="Times New Roman" w:cs="Times New Roman" w:eastAsia="Times New Roman" w:hAnsi="Times New Roman"/>
                <w:sz w:val="13"/>
                <w:szCs w:val="13"/>
                <w:b w:val="1"/>
                <w:bCs w:val="1"/>
                <w:color w:val="auto"/>
              </w:rPr>
              <w:t>94065</w:t>
            </w:r>
          </w:p>
        </w:tc>
      </w:tr>
      <w:tr>
        <w:trPr>
          <w:trHeight w:val="166"/>
        </w:trPr>
        <w:tc>
          <w:tcPr>
            <w:tcW w:w="398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60" w:type="dxa"/>
            <w:vAlign w:val="bottom"/>
          </w:tcPr>
          <w:p>
            <w:pPr>
              <w:jc w:val="center"/>
              <w:ind w:right="14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83"/>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(650) 213-8444</w:t>
            </w:r>
          </w:p>
        </w:tc>
      </w:tr>
      <w:tr>
        <w:trPr>
          <w:trHeight w:val="283"/>
        </w:trPr>
        <w:tc>
          <w:tcPr>
            <w:tcW w:w="39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97"/>
        </w:trPr>
        <w:tc>
          <w:tcPr>
            <w:tcW w:w="3980" w:type="dxa"/>
            <w:vAlign w:val="bottom"/>
            <w:tcBorders>
              <w:bottom w:val="single" w:sz="8" w:color="auto"/>
            </w:tcBorders>
            <w:gridSpan w:val="2"/>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r>
      <w:tr>
        <w:trPr>
          <w:trHeight w:val="156"/>
        </w:trPr>
        <w:tc>
          <w:tcPr>
            <w:tcW w:w="3980" w:type="dxa"/>
            <w:vAlign w:val="bottom"/>
            <w:tcBorders>
              <w:left w:val="single" w:sz="8" w:color="auto"/>
              <w:bottom w:val="single" w:sz="8" w:color="auto"/>
            </w:tcBorders>
            <w:gridSpan w:val="2"/>
          </w:tcPr>
          <w:p>
            <w:pPr>
              <w:jc w:val="center"/>
              <w:ind w:left="93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98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74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jc w:val="center"/>
              <w:ind w:right="71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5"/>
        </w:trPr>
        <w:tc>
          <w:tcPr>
            <w:tcW w:w="3980" w:type="dxa"/>
            <w:vAlign w:val="bottom"/>
            <w:tcBorders>
              <w:left w:val="single" w:sz="8" w:color="auto"/>
              <w:bottom w:val="single" w:sz="8" w:color="auto"/>
            </w:tcBorders>
            <w:gridSpan w:val="2"/>
          </w:tcPr>
          <w:p>
            <w:pPr>
              <w:jc w:val="center"/>
              <w:ind w:left="937"/>
              <w:spacing w:after="0"/>
              <w:rPr>
                <w:sz w:val="20"/>
                <w:szCs w:val="20"/>
                <w:color w:val="auto"/>
              </w:rPr>
            </w:pPr>
            <w:r>
              <w:rPr>
                <w:rFonts w:ascii="Times New Roman" w:cs="Times New Roman" w:eastAsia="Times New Roman" w:hAnsi="Times New Roman"/>
                <w:sz w:val="13"/>
                <w:szCs w:val="13"/>
                <w:color w:val="auto"/>
                <w:w w:val="97"/>
              </w:rPr>
              <w:t>Common Stock, $0.001 par value</w:t>
            </w:r>
          </w:p>
        </w:tc>
        <w:tc>
          <w:tcPr>
            <w:tcW w:w="98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SLNO</w:t>
            </w:r>
          </w:p>
        </w:tc>
        <w:tc>
          <w:tcPr>
            <w:tcW w:w="74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jc w:val="center"/>
              <w:ind w:right="697"/>
              <w:spacing w:after="0"/>
              <w:rPr>
                <w:sz w:val="20"/>
                <w:szCs w:val="20"/>
                <w:color w:val="auto"/>
              </w:rPr>
            </w:pPr>
            <w:r>
              <w:rPr>
                <w:rFonts w:ascii="Times New Roman" w:cs="Times New Roman" w:eastAsia="Times New Roman" w:hAnsi="Times New Roman"/>
                <w:sz w:val="13"/>
                <w:szCs w:val="13"/>
                <w:color w:val="auto"/>
                <w:w w:val="95"/>
              </w:rPr>
              <w:t>NASDAQ</w:t>
            </w:r>
          </w:p>
        </w:tc>
      </w:tr>
      <w:tr>
        <w:trPr>
          <w:trHeight w:val="288"/>
        </w:trPr>
        <w:tc>
          <w:tcPr>
            <w:tcW w:w="39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 None.</w:t>
            </w: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38"/>
        </w:trPr>
        <w:tc>
          <w:tcPr>
            <w:tcW w:w="3980" w:type="dxa"/>
            <w:vAlign w:val="bottom"/>
            <w:gridSpan w:val="2"/>
          </w:tcPr>
          <w:p>
            <w:pPr>
              <w:spacing w:after="0"/>
              <w:rPr>
                <w:sz w:val="11"/>
                <w:szCs w:val="11"/>
                <w:color w:val="auto"/>
              </w:rPr>
            </w:pPr>
          </w:p>
        </w:tc>
        <w:tc>
          <w:tcPr>
            <w:tcW w:w="2560" w:type="dxa"/>
            <w:vAlign w:val="bottom"/>
            <w:tcBorders>
              <w:bottom w:val="single" w:sz="8" w:color="auto"/>
            </w:tcBorders>
            <w:gridSpan w:val="2"/>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r>
      <w:tr>
        <w:trPr>
          <w:trHeight w:val="198"/>
        </w:trPr>
        <w:tc>
          <w:tcPr>
            <w:tcW w:w="6540" w:type="dxa"/>
            <w:vAlign w:val="bottom"/>
            <w:gridSpan w:val="4"/>
          </w:tcPr>
          <w:p>
            <w:pPr>
              <w:ind w:left="520"/>
              <w:spacing w:after="0"/>
              <w:rPr>
                <w:sz w:val="20"/>
                <w:szCs w:val="20"/>
                <w:color w:val="auto"/>
              </w:rPr>
            </w:pPr>
            <w:r>
              <w:rPr>
                <w:rFonts w:ascii="Times New Roman" w:cs="Times New Roman" w:eastAsia="Times New Roman" w:hAnsi="Times New Roman"/>
                <w:sz w:val="13"/>
                <w:szCs w:val="13"/>
                <w:color w:val="auto"/>
                <w:w w:val="97"/>
              </w:rPr>
              <w:t>Indicate by check mark if the registrant is a well-known seasoned issuer, as defined in Rule 405 of the Securities Act.</w:t>
            </w:r>
          </w:p>
        </w:tc>
        <w:tc>
          <w:tcPr>
            <w:tcW w:w="470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197"/>
        </w:trPr>
        <w:tc>
          <w:tcPr>
            <w:tcW w:w="6540" w:type="dxa"/>
            <w:vAlign w:val="bottom"/>
            <w:gridSpan w:val="4"/>
          </w:tcPr>
          <w:p>
            <w:pPr>
              <w:ind w:left="520"/>
              <w:spacing w:after="0"/>
              <w:rPr>
                <w:sz w:val="20"/>
                <w:szCs w:val="20"/>
                <w:color w:val="auto"/>
              </w:rPr>
            </w:pPr>
            <w:r>
              <w:rPr>
                <w:rFonts w:ascii="Times New Roman" w:cs="Times New Roman" w:eastAsia="Times New Roman" w:hAnsi="Times New Roman"/>
                <w:sz w:val="13"/>
                <w:szCs w:val="13"/>
                <w:color w:val="auto"/>
                <w:w w:val="96"/>
              </w:rPr>
              <w:t>Indicate by check mark if the registrant is not required to file reports pursuant to Section 13 or Section 15(d) of the Act.</w:t>
            </w:r>
          </w:p>
        </w:tc>
        <w:tc>
          <w:tcPr>
            <w:tcW w:w="470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ind w:right="80" w:firstLine="509"/>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left="52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 232.405 of this chapter) during the</w:t>
      </w:r>
    </w:p>
    <w:p>
      <w:pPr>
        <w:sectPr>
          <w:pgSz w:w="11900" w:h="16838" w:orient="portrait"/>
          <w:cols w:equalWidth="0" w:num="1">
            <w:col w:w="11240"/>
          </w:cols>
          <w:pgMar w:left="320" w:top="351" w:right="339" w:bottom="1440" w:gutter="0" w:footer="0" w:header="0"/>
        </w:sectPr>
      </w:pP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MS PGothic" w:cs="MS PGothic" w:eastAsia="MS PGothic" w:hAnsi="MS PGothic"/>
          <w:sz w:val="12"/>
          <w:szCs w:val="12"/>
          <w:color w:val="auto"/>
        </w:rPr>
        <w:t>☐</w:t>
      </w:r>
    </w:p>
    <w:p>
      <w:pPr>
        <w:spacing w:after="0" w:line="42" w:lineRule="exact"/>
        <w:rPr>
          <w:sz w:val="24"/>
          <w:szCs w:val="24"/>
          <w:color w:val="auto"/>
        </w:rPr>
      </w:pPr>
    </w:p>
    <w:p>
      <w:pPr>
        <w:sectPr>
          <w:pgSz w:w="11900" w:h="16838" w:orient="portrait"/>
          <w:cols w:equalWidth="0" w:num="5">
            <w:col w:w="5100" w:space="120"/>
            <w:col w:w="180" w:space="60"/>
            <w:col w:w="120" w:space="120"/>
            <w:col w:w="160" w:space="60"/>
            <w:col w:w="5320"/>
          </w:cols>
          <w:pgMar w:left="320" w:top="351" w:right="339" w:bottom="1440" w:gutter="0" w:footer="0" w:header="0"/>
          <w:type w:val="continuous"/>
        </w:sectPr>
      </w:pPr>
    </w:p>
    <w:p>
      <w:pPr>
        <w:ind w:right="260" w:firstLine="509"/>
        <w:spacing w:after="0" w:line="22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51" w:right="339" w:bottom="1440" w:gutter="0" w:footer="0" w:header="0"/>
          <w:type w:val="continuous"/>
        </w:sectPr>
      </w:pPr>
    </w:p>
    <w:p>
      <w:pPr>
        <w:spacing w:after="0" w:line="11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9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14" w:lineRule="exact"/>
        <w:rPr>
          <w:sz w:val="24"/>
          <w:szCs w:val="24"/>
          <w:color w:val="auto"/>
        </w:rPr>
      </w:pPr>
    </w:p>
    <w:p>
      <w:pPr>
        <w:sectPr>
          <w:pgSz w:w="11900" w:h="16838" w:orient="portrait"/>
          <w:cols w:equalWidth="0" w:num="4">
            <w:col w:w="1820" w:space="720"/>
            <w:col w:w="5200" w:space="720"/>
            <w:col w:w="1780" w:space="720"/>
            <w:col w:w="280"/>
          </w:cols>
          <w:pgMar w:left="320" w:top="351" w:right="339" w:bottom="1440" w:gutter="0" w:footer="0" w:header="0"/>
          <w:type w:val="continuous"/>
        </w:sectPr>
      </w:pPr>
    </w:p>
    <w:p>
      <w:pPr>
        <w:ind w:right="400" w:firstLine="509"/>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4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8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40" w:firstLine="537"/>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50" w:lineRule="exact"/>
        <w:tabs>
          <w:tab w:leader="none" w:pos="5820" w:val="left"/>
          <w:tab w:leader="none" w:pos="63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7" w:lineRule="exact"/>
        <w:rPr>
          <w:sz w:val="24"/>
          <w:szCs w:val="24"/>
          <w:color w:val="auto"/>
        </w:rPr>
      </w:pPr>
    </w:p>
    <w:p>
      <w:pPr>
        <w:ind w:right="180" w:firstLine="509"/>
        <w:spacing w:after="0" w:line="224" w:lineRule="auto"/>
        <w:rPr>
          <w:sz w:val="20"/>
          <w:szCs w:val="20"/>
          <w:color w:val="auto"/>
        </w:rPr>
      </w:pPr>
      <w:r>
        <w:rPr>
          <w:rFonts w:ascii="Times New Roman" w:cs="Times New Roman" w:eastAsia="Times New Roman" w:hAnsi="Times New Roman"/>
          <w:sz w:val="13"/>
          <w:szCs w:val="13"/>
          <w:color w:val="auto"/>
        </w:rPr>
        <w:t>The aggregate market value of stock held by non-affiliates of the registrant on June 30, 2022, based on the closing price of $2.78 for shares of the registrant’s common stock as reported by the Nasdaq Capital Market, was approximately $7.8 million. Shares of Common Stock held by each executive officer, director and beneficial holder of 5% or more of the outstanding Common Stock have been excluded in that such persons may be deemed affiliates.</w:t>
      </w:r>
    </w:p>
    <w:p>
      <w:pPr>
        <w:spacing w:after="0" w:line="1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March 9, 2023, there were 8,168,788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71120</wp:posOffset>
            </wp:positionV>
            <wp:extent cx="2108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ind w:right="40" w:firstLine="509"/>
        <w:spacing w:after="0" w:line="257" w:lineRule="auto"/>
        <w:rPr>
          <w:sz w:val="20"/>
          <w:szCs w:val="20"/>
          <w:color w:val="auto"/>
        </w:rPr>
      </w:pPr>
      <w:r>
        <w:rPr>
          <w:rFonts w:ascii="Times New Roman" w:cs="Times New Roman" w:eastAsia="Times New Roman" w:hAnsi="Times New Roman"/>
          <w:sz w:val="12"/>
          <w:szCs w:val="12"/>
          <w:color w:val="auto"/>
        </w:rPr>
        <w:t>Portions of the registrant’s Definitive Proxy Statement to be filed with the Commission pursuant to Regulation 14A in connection with the registrant’s 2023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2022. Except with respect to information specifically incorporated by reference in this Form 10-K, the Proxy Statement is not deemed to be filed as part of this Form 10-K.</w:t>
      </w:r>
    </w:p>
    <w:p>
      <w:pPr>
        <w:spacing w:after="0" w:line="97" w:lineRule="exact"/>
        <w:rPr>
          <w:sz w:val="24"/>
          <w:szCs w:val="24"/>
          <w:color w:val="auto"/>
        </w:rPr>
      </w:pPr>
    </w:p>
    <w:p>
      <w:pPr>
        <w:ind w:left="2460"/>
        <w:spacing w:after="0"/>
        <w:tabs>
          <w:tab w:leader="none" w:pos="3360" w:val="left"/>
          <w:tab w:leader="none" w:pos="4700" w:val="left"/>
          <w:tab w:leader="none" w:pos="5800" w:val="left"/>
          <w:tab w:leader="none" w:pos="7220" w:val="left"/>
          <w:tab w:leader="none" w:pos="8280" w:val="left"/>
        </w:tabs>
        <w:rPr>
          <w:sz w:val="20"/>
          <w:szCs w:val="20"/>
          <w:color w:val="auto"/>
        </w:rPr>
      </w:pPr>
      <w:r>
        <w:rPr>
          <w:rFonts w:ascii="Times New Roman" w:cs="Times New Roman" w:eastAsia="Times New Roman" w:hAnsi="Times New Roman"/>
          <w:sz w:val="13"/>
          <w:szCs w:val="13"/>
          <w:color w:val="auto"/>
        </w:rPr>
        <w:t>Auditor Name:</w:t>
        <w:tab/>
        <w:t>Marcum LLP</w:t>
      </w:r>
      <w:r>
        <w:rPr>
          <w:sz w:val="20"/>
          <w:szCs w:val="20"/>
          <w:color w:val="auto"/>
        </w:rPr>
        <w:tab/>
      </w:r>
      <w:r>
        <w:rPr>
          <w:rFonts w:ascii="Times New Roman" w:cs="Times New Roman" w:eastAsia="Times New Roman" w:hAnsi="Times New Roman"/>
          <w:sz w:val="13"/>
          <w:szCs w:val="13"/>
          <w:color w:val="auto"/>
        </w:rPr>
        <w:t>Auditor Location:</w:t>
        <w:tab/>
        <w:t>San Francisco, CA</w:t>
      </w:r>
      <w:r>
        <w:rPr>
          <w:sz w:val="20"/>
          <w:szCs w:val="20"/>
          <w:color w:val="auto"/>
        </w:rPr>
        <w:tab/>
      </w:r>
      <w:r>
        <w:rPr>
          <w:rFonts w:ascii="Times New Roman" w:cs="Times New Roman" w:eastAsia="Times New Roman" w:hAnsi="Times New Roman"/>
          <w:sz w:val="13"/>
          <w:szCs w:val="13"/>
          <w:color w:val="auto"/>
        </w:rPr>
        <w:t>Auditor Firm ID:</w:t>
        <w:tab/>
        <w:t>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40" w:type="dxa"/>
            <w:vAlign w:val="bottom"/>
            <w:gridSpan w:val="16"/>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Soleno Therapeutics, Inc.</w:t>
            </w: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80" w:type="dxa"/>
            <w:vAlign w:val="bottom"/>
            <w:gridSpan w:val="17"/>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80" w:type="dxa"/>
            <w:vAlign w:val="bottom"/>
            <w:gridSpan w:val="17"/>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2022</w:t>
            </w:r>
          </w:p>
        </w:tc>
        <w:tc>
          <w:tcPr>
            <w:tcW w:w="1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3"/>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200" w:type="dxa"/>
            <w:vAlign w:val="bottom"/>
            <w:gridSpan w:val="10"/>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64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2"/>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61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 w:type="dxa"/>
            <w:vAlign w:val="bottom"/>
            <w:tcBorders>
              <w:top w:val="single" w:sz="8" w:color="0000FF"/>
            </w:tcBorders>
          </w:tcPr>
          <w:p>
            <w:pPr>
              <w:spacing w:after="0"/>
              <w:rPr>
                <w:sz w:val="24"/>
                <w:szCs w:val="24"/>
                <w:color w:val="auto"/>
              </w:rPr>
            </w:pPr>
          </w:p>
        </w:tc>
        <w:tc>
          <w:tcPr>
            <w:tcW w:w="408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7"/>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7"/>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40" w:type="dxa"/>
            <w:vAlign w:val="bottom"/>
            <w:gridSpan w:val="14"/>
          </w:tcPr>
          <w:p>
            <w:pPr>
              <w:jc w:val="center"/>
              <w:ind w:right="41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100" w:type="dxa"/>
            <w:vAlign w:val="bottom"/>
          </w:tcPr>
          <w:p>
            <w:pPr>
              <w:spacing w:after="0"/>
              <w:rPr>
                <w:sz w:val="24"/>
                <w:szCs w:val="24"/>
                <w:color w:val="auto"/>
              </w:rPr>
            </w:pPr>
          </w:p>
        </w:tc>
      </w:tr>
      <w:tr>
        <w:trPr>
          <w:trHeight w:val="37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4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tcBorders>
              <w:top w:val="single" w:sz="8" w:color="0000FF"/>
            </w:tcBorders>
            <w:gridSpan w:val="5"/>
          </w:tcPr>
          <w:p>
            <w:pPr>
              <w:spacing w:after="0"/>
              <w:rPr>
                <w:sz w:val="24"/>
                <w:szCs w:val="24"/>
                <w:color w:val="auto"/>
              </w:rPr>
            </w:pPr>
          </w:p>
        </w:tc>
        <w:tc>
          <w:tcPr>
            <w:tcW w:w="412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71"/>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09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the regulatory regime for our products, expenses, liquidity, cash flow, market growth rates or enforceability of our intellectual property rights and related litigation expenses; the impact of the COVID-19 pandemic on our ongoing and planned clinical trials or operations;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60" w:firstLine="666"/>
        <w:spacing w:after="0" w:line="24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novel therapeutics for the treatment of rare diseases. Our lead drug, Diazoxide Choline Extended-Release tablets (DCCR), is a potent ATP-sensitive potassium (K</w:t>
      </w:r>
      <w:r>
        <w:rPr>
          <w:rFonts w:ascii="Times New Roman" w:cs="Times New Roman" w:eastAsia="Times New Roman" w:hAnsi="Times New Roman"/>
          <w:sz w:val="20"/>
          <w:szCs w:val="20"/>
          <w:color w:val="auto"/>
          <w:vertAlign w:val="subscript"/>
        </w:rPr>
        <w:t>ATP</w:t>
      </w:r>
      <w:r>
        <w:rPr>
          <w:rFonts w:ascii="Times New Roman" w:cs="Times New Roman" w:eastAsia="Times New Roman" w:hAnsi="Times New Roman"/>
          <w:sz w:val="18"/>
          <w:szCs w:val="18"/>
          <w:color w:val="auto"/>
        </w:rPr>
        <w:t>) channel activator. The K</w:t>
      </w:r>
      <w:r>
        <w:rPr>
          <w:rFonts w:ascii="Times New Roman" w:cs="Times New Roman" w:eastAsia="Times New Roman" w:hAnsi="Times New Roman"/>
          <w:sz w:val="20"/>
          <w:szCs w:val="20"/>
          <w:color w:val="auto"/>
          <w:vertAlign w:val="subscript"/>
        </w:rPr>
        <w:t>ATP</w:t>
      </w:r>
      <w:r>
        <w:rPr>
          <w:rFonts w:ascii="Times New Roman" w:cs="Times New Roman" w:eastAsia="Times New Roman" w:hAnsi="Times New Roman"/>
          <w:sz w:val="18"/>
          <w:szCs w:val="18"/>
          <w:color w:val="auto"/>
        </w:rPr>
        <w:t xml:space="preserve">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87" w:lineRule="exact"/>
        <w:rPr>
          <w:sz w:val="20"/>
          <w:szCs w:val="20"/>
          <w:color w:val="auto"/>
        </w:rPr>
      </w:pPr>
    </w:p>
    <w:p>
      <w:pPr>
        <w:ind w:firstLine="711"/>
        <w:spacing w:after="0" w:line="261" w:lineRule="auto"/>
        <w:rPr>
          <w:sz w:val="20"/>
          <w:szCs w:val="20"/>
          <w:color w:val="auto"/>
        </w:rPr>
      </w:pPr>
      <w:r>
        <w:rPr>
          <w:rFonts w:ascii="Times New Roman" w:cs="Times New Roman" w:eastAsia="Times New Roman" w:hAnsi="Times New Roman"/>
          <w:sz w:val="18"/>
          <w:szCs w:val="18"/>
          <w:color w:val="auto"/>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designation for the drug in the United States (U.S.) and European Union (E.U.).</w:t>
      </w:r>
    </w:p>
    <w:p>
      <w:pPr>
        <w:spacing w:after="0" w:line="72" w:lineRule="exact"/>
        <w:rPr>
          <w:sz w:val="20"/>
          <w:szCs w:val="20"/>
          <w:color w:val="auto"/>
        </w:rPr>
      </w:pPr>
    </w:p>
    <w:p>
      <w:pPr>
        <w:ind w:firstLine="674"/>
        <w:spacing w:after="0" w:line="253" w:lineRule="auto"/>
        <w:rPr>
          <w:sz w:val="20"/>
          <w:szCs w:val="20"/>
          <w:color w:val="auto"/>
        </w:rPr>
      </w:pPr>
      <w:r>
        <w:rPr>
          <w:rFonts w:ascii="Times New Roman" w:cs="Times New Roman" w:eastAsia="Times New Roman" w:hAnsi="Times New Roman"/>
          <w:sz w:val="18"/>
          <w:szCs w:val="18"/>
          <w:color w:val="auto"/>
        </w:rPr>
        <w:t>DCCR has been evaluated in a Phase 3 study (C601 or DESTINY PWS), a 13-week randomized, double-blind placebo-controlled study, which completed enrollment in January 2020, with 127 randomized participants at 29 sites in the U.S. and United Kingdom (U.K.). Participants who completed treatment in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top line results from the interim one year data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w:t>
      </w:r>
    </w:p>
    <w:p>
      <w:pPr>
        <w:spacing w:after="0" w:line="86" w:lineRule="exact"/>
        <w:rPr>
          <w:sz w:val="20"/>
          <w:szCs w:val="20"/>
          <w:color w:val="auto"/>
        </w:rPr>
      </w:pPr>
    </w:p>
    <w:p>
      <w:pPr>
        <w:ind w:firstLine="674"/>
        <w:spacing w:after="0" w:line="266" w:lineRule="auto"/>
        <w:rPr>
          <w:sz w:val="20"/>
          <w:szCs w:val="20"/>
          <w:color w:val="auto"/>
        </w:rPr>
      </w:pPr>
      <w:r>
        <w:rPr>
          <w:rFonts w:ascii="Times New Roman" w:cs="Times New Roman" w:eastAsia="Times New Roman" w:hAnsi="Times New Roman"/>
          <w:sz w:val="18"/>
          <w:szCs w:val="18"/>
          <w:color w:val="auto"/>
        </w:rPr>
        <w:t>The FDA provided official meeting minutes from a Type C meeting in January 2022 that recommended additional controlled data be included in a New Drug Approval (NDA) submission, and indicated they were receptive to a study design involving participants currently enrolled in Study C602, our ongoing open-label extension study to generate the data necessary to support an NDA.</w:t>
      </w:r>
    </w:p>
    <w:p>
      <w:pPr>
        <w:spacing w:after="0" w:line="68" w:lineRule="exact"/>
        <w:rPr>
          <w:sz w:val="20"/>
          <w:szCs w:val="20"/>
          <w:color w:val="auto"/>
        </w:rPr>
      </w:pPr>
    </w:p>
    <w:p>
      <w:pPr>
        <w:ind w:right="120" w:firstLine="674"/>
        <w:spacing w:after="0" w:line="258" w:lineRule="auto"/>
        <w:rPr>
          <w:sz w:val="20"/>
          <w:szCs w:val="20"/>
          <w:color w:val="auto"/>
        </w:rPr>
      </w:pPr>
      <w:r>
        <w:rPr>
          <w:rFonts w:ascii="Times New Roman" w:cs="Times New Roman" w:eastAsia="Times New Roman" w:hAnsi="Times New Roman"/>
          <w:sz w:val="18"/>
          <w:szCs w:val="18"/>
          <w:color w:val="auto"/>
        </w:rPr>
        <w:t>In March 2022, we submitted a proposal to add a randomized withdrawal period to Study C602 to obtain additional controlled data requested by the FDA to support a NDA submission for DCCR. The randomized withdrawal (RW) period of Study C602 is a multi-center, randomized, double-blind, placebo-controlled study of DCCR in approximately 80 patients with PWS at 17 sites in the U.S. and 5 sites in the U.K. This RW period consists only of patients currently enrolled in Study C602 and will not enroll any new patients. We announced the initiation of the RW period for Study C602 in October 2022. The FDA has acknowledged that data from the study has the potential to support an NDA submission for DCCR.</w:t>
      </w:r>
    </w:p>
    <w:p>
      <w:pPr>
        <w:spacing w:after="0" w:line="75" w:lineRule="exact"/>
        <w:rPr>
          <w:sz w:val="20"/>
          <w:szCs w:val="20"/>
          <w:color w:val="auto"/>
        </w:rPr>
      </w:pPr>
    </w:p>
    <w:p>
      <w:pPr>
        <w:ind w:right="20" w:firstLine="666"/>
        <w:spacing w:after="0" w:line="261" w:lineRule="auto"/>
        <w:rPr>
          <w:sz w:val="20"/>
          <w:szCs w:val="20"/>
          <w:color w:val="auto"/>
        </w:rPr>
      </w:pPr>
      <w:r>
        <w:rPr>
          <w:rFonts w:ascii="Times New Roman" w:cs="Times New Roman" w:eastAsia="Times New Roman" w:hAnsi="Times New Roman"/>
          <w:sz w:val="18"/>
          <w:szCs w:val="18"/>
          <w:color w:val="auto"/>
        </w:rPr>
        <w:t>Our current focus is the development of DCCR for PWS. However, other syndromes that may be similarly addressed include SH2B1 deficient obesity, more severely impacted forms of MC4R deficiency, Alström syndrome, and KSR2 deficient obesity. Another type of disease where DCCR may be efficacious is where hypoglycemia is a significant problem. Examples include hyperinsulinemic hypoglycemia and certain Glycogen Storage Diseases. We have orphan drug designation for the treatment of Glycogen Storage Disease Type 1a in the U.S.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Diazoxide Choline Extended-Release Tablets</w:t>
      </w:r>
    </w:p>
    <w:p>
      <w:pPr>
        <w:spacing w:after="0" w:line="121" w:lineRule="exact"/>
        <w:rPr>
          <w:sz w:val="20"/>
          <w:szCs w:val="20"/>
          <w:color w:val="auto"/>
        </w:rPr>
      </w:pPr>
    </w:p>
    <w:p>
      <w:pPr>
        <w:ind w:right="340" w:firstLine="509"/>
        <w:spacing w:after="0" w:line="217" w:lineRule="auto"/>
        <w:rPr>
          <w:sz w:val="20"/>
          <w:szCs w:val="20"/>
          <w:color w:val="auto"/>
        </w:rPr>
      </w:pPr>
      <w:r>
        <w:rPr>
          <w:rFonts w:ascii="Times New Roman" w:cs="Times New Roman" w:eastAsia="Times New Roman" w:hAnsi="Times New Roman"/>
          <w:sz w:val="18"/>
          <w:szCs w:val="18"/>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channels and appears to act on signs and symptoms of PWS in a variety of ways.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NPY/AgRP neurons in the hypothalamus may reduce secretion of neuropeptide Y (NPY), Agouti-related peptile (AgRP) and likely gamma-amino butyric acid (GABA) contributing to a reduction in hyperphagia.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the dorsal motor nucleus of vagus may potentiate the effects of leptin, insulin and -melanocortin stimulating hormone to reduce hyperinsulinemia and impact appetite and satiety.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adipocytes has the potential to decrease de-novo triglyceride synthesis and increase ß-oxidation of fat, reducing fat mass.</w:t>
      </w:r>
    </w:p>
    <w:p>
      <w:pPr>
        <w:spacing w:after="0" w:line="94" w:lineRule="exact"/>
        <w:rPr>
          <w:sz w:val="20"/>
          <w:szCs w:val="20"/>
          <w:color w:val="auto"/>
        </w:rPr>
      </w:pPr>
    </w:p>
    <w:p>
      <w:pPr>
        <w:ind w:right="520" w:firstLine="509"/>
        <w:spacing w:after="0" w:line="255" w:lineRule="auto"/>
        <w:rPr>
          <w:sz w:val="20"/>
          <w:szCs w:val="20"/>
          <w:color w:val="auto"/>
        </w:rPr>
      </w:pPr>
      <w:r>
        <w:rPr>
          <w:rFonts w:ascii="Times New Roman" w:cs="Times New Roman" w:eastAsia="Times New Roman" w:hAnsi="Times New Roman"/>
          <w:sz w:val="18"/>
          <w:szCs w:val="18"/>
          <w:color w:val="auto"/>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product in the approved ultra-rare indications related to hyperinsulinism. Both the capsule and IV formulations have been withdrawn from the U.S. market for reasons other than safety. There is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DCCR tablets were formulated with the goals of improving the safety and bioavailability of orally-administered diazoxide and reducing the frequency of dosing required by current diazoxide formulations. Diazoxide choline is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Prader-Willi Syndrome (PWS)</w:t>
      </w:r>
    </w:p>
    <w:p>
      <w:pPr>
        <w:spacing w:after="0" w:line="121"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PWS is a rare, complex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or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17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to hyperphagia, typical behavioral disturbances associated with PWS include skin picking, difficulty with change in routine, obsessive and compulsive behaviors, anxiety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PWS is typically thought of as a genetic obesity. However, many PWS patients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ind w:right="60"/>
        <w:spacing w:after="0" w:line="258" w:lineRule="auto"/>
        <w:rPr>
          <w:sz w:val="20"/>
          <w:szCs w:val="20"/>
          <w:color w:val="auto"/>
        </w:rPr>
      </w:pPr>
      <w:r>
        <w:rPr>
          <w:rFonts w:ascii="Times New Roman" w:cs="Times New Roman" w:eastAsia="Times New Roman" w:hAnsi="Times New Roman"/>
          <w:sz w:val="18"/>
          <w:szCs w:val="18"/>
          <w:color w:val="auto"/>
        </w:rPr>
        <w:t>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Unmet Medical Needs in PWS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 </w:t>
      </w:r>
      <w:r>
        <w:rPr>
          <w:rFonts w:ascii="Arial" w:cs="Arial" w:eastAsia="Arial" w:hAnsi="Arial"/>
          <w:sz w:val="16"/>
          <w:szCs w:val="16"/>
          <w:color w:val="auto"/>
        </w:rPr>
        <w:t>https://www.fpwr.org/pws-patient-voices</w:t>
      </w:r>
      <w:r>
        <w:rPr>
          <w:rFonts w:ascii="Times New Roman" w:cs="Times New Roman" w:eastAsia="Times New Roman" w:hAnsi="Times New Roman"/>
          <w:sz w:val="18"/>
          <w:szCs w:val="18"/>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9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DCCR for PWS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Phase 2 clinical trial was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w:t>
      </w:r>
    </w:p>
    <w:p>
      <w:pPr>
        <w:spacing w:after="0" w:line="18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As described above in the Company Overview, a Phase 3 clinical trial, DESTINY PWS, was subsequently conducted to evaluate the efficacy and safety of DCCR in patients with genetically-confirmed PWS. Top-line results were reported in June 2020. Although the trial did not meet its primary endpoint of change from baseline in hyperphagia, significant improvements were observed in two of three key secondary endpoints. Subjects who complete the DESTINY PWS study were allowed to enroll in a long-term, safety extension study (C602). In September 2021, we announced top-line results from the analysis of one-year data from C602 showing statistically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significant reduction in hyperphagia and all other PWS behavioral parameters and statistically significant improvements compared to the natural history of PWS from the PATH for PWS Study (PfPWS) over a one year treatment period. PfPWS is an ongoing study sponsored by the Foundation for Prader Willi Research (FPWR) evaluating the natural history of subjects with PWS in more than 700 families.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Safety of DCCR in the Treatment of PWS</w:t>
      </w:r>
    </w:p>
    <w:p>
      <w:pPr>
        <w:spacing w:after="0" w:line="22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In the DESTINY-PWS clinical trial (C601), treatment emergent adverse events (TEAEs) occurred in 83.3% of DCCR treated subjects and 73.8% of placebo treated subjects. The most common TEAEs in both groups included hypertrichosis, hirsutism, upper respiratory tract infections, peripheral edema, headache and hyperglycemia. Hypertrichosis, peripheral edema, and hyperglycemia occurring more frequently in the DCCR group, headache occurred more frequently in the placebo group, and hirsutism and upper respiratory tract infections occurring with almost equal frequency in the two groups.</w:t>
      </w:r>
    </w:p>
    <w:p>
      <w:pPr>
        <w:spacing w:after="0" w:line="16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safety profile of DCCR in C601 was generally consistent with the known safety profile of diazoxide and prior experience with DCCR. Most events were Grade 1 in severity with no Grade 4 or higher events. There were no reportable serious unexpected adverse events (SUSARs) related to DCCR in clinical study C601.</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Status of DCCR for the Treatment of PWS</w:t>
      </w:r>
    </w:p>
    <w:p>
      <w:pPr>
        <w:spacing w:after="0" w:line="229" w:lineRule="exact"/>
        <w:rPr>
          <w:sz w:val="20"/>
          <w:szCs w:val="20"/>
          <w:color w:val="auto"/>
        </w:rPr>
      </w:pPr>
    </w:p>
    <w:p>
      <w:pPr>
        <w:ind w:right="260" w:firstLine="464"/>
        <w:spacing w:after="0" w:line="258" w:lineRule="auto"/>
        <w:rPr>
          <w:sz w:val="20"/>
          <w:szCs w:val="20"/>
          <w:color w:val="auto"/>
        </w:rPr>
      </w:pPr>
      <w:r>
        <w:rPr>
          <w:rFonts w:ascii="Times New Roman" w:cs="Times New Roman" w:eastAsia="Times New Roman" w:hAnsi="Times New Roman"/>
          <w:sz w:val="18"/>
          <w:szCs w:val="18"/>
          <w:color w:val="auto"/>
        </w:rPr>
        <w:t>Diazoxide choline is being developed in the U.S. under a current Investigational New Drug Application (IND) and is designated as an Orphan Drug for the treatment of PWS in the U.S. and Europe and granted Fast Track designation in the U.S. If certain criteria are met, DCCR may be eligible for “Accelerated Approval” and “Priority Review” and also “Rolling Review”, which would allow us to submit to the FDA sections of our NDA as they are finished instead of waiting for all sections to be completed before submitting the marketing application. The current status of our Phase 3 clinical trial is described above in the Company Overview.</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 estimated 300,000 to 400,000 individuals worldwide have PWS with a birth incidence ranging from 1:15,000 to 1:25,000. In addition, according to an abstract published in the Journal of Endocrine Society, a 2020 review of medical claims provided by IQVIA Health Plan and CMS Medicare fee-for-service claim data, demonstrated a U.S. diagnosed PWS prevalence of approximately 9,000 patients in the United States in 2018.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Newly diagnosed PWS patients are typically treated by a multi-disciplinary team led by a pediatric endocrinologist. Many patients receive care at larger clinics devoted to PWS in university-associated hospitals or at children’s hospitals. This concentration of care may allow us to market DCCR without a partner by assembling a small, dedicated salesforce to target the limited number of major PWS treatment centers in the U.S. We believe similar dynamics exist in Europe. In contrast, we will likely need to identify a marketing partner for DCCR in Japan, and the rest of the world. The final decision on sales and marketing strategy will be made at a later date.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500"/>
        <w:spacing w:after="0" w:line="282" w:lineRule="auto"/>
        <w:rPr>
          <w:sz w:val="20"/>
          <w:szCs w:val="20"/>
          <w:color w:val="auto"/>
        </w:rPr>
      </w:pPr>
      <w:r>
        <w:rPr>
          <w:rFonts w:ascii="Times New Roman" w:cs="Times New Roman" w:eastAsia="Times New Roman" w:hAnsi="Times New Roman"/>
          <w:sz w:val="18"/>
          <w:szCs w:val="18"/>
          <w:color w:val="auto"/>
        </w:rPr>
        <w:t>there are a number of therapeutic products at various stages of clinical development for the treatment of PWS, including for hyperphagia, by Gedeon Richter, Aardvark Therapeutics, and Consynance.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manufacturing strategy is to contract with third parties to manufacture our clinical and commercial API and drug product supplies.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Pharmaceutical Manufacturing Processes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The manufacturing process for pharmaceutical products is highly regulated and regulators may shut down manufacturing facilities that they believe do not comply with regulations, legislations, and/or guidelines.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DCCR Patent Portfolio</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patent portfolio consists of issued U.S. patents and pending U.S. applications. Our issued U.S. patents expire in 2025 to 2035. We also have one or more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 Pharmaceuticals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 consuming.</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 country’s regulatory agency, such as the FDA in the U.S., or a region’s agency, such as the EMA for the E.U., must approve a drug before it can be sold in the respective country or countries. The general process for drug approval in the U.S. is summarized below. Many other countries, including countries in the E.U. and Japan, have very similar regulatory approval processes.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Nonclinical Testing</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Before a drug candidate can be tested in humans, it must be studied in laboratory experiments and in animals to generate data to support the drug candidate’s potential benefits and/or safety. Additional nonclinical testing may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be required during the clinical development process such as reproductive toxicology and juvenile toxicology studies. Carcinogenicity studies in two species are generally required for products intended for long-term use.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New Drug Exemption Application (IND)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60"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Phase 1 Studies</w:t>
      </w:r>
      <w:r>
        <w:rPr>
          <w:rFonts w:ascii="Times New Roman" w:cs="Times New Roman" w:eastAsia="Times New Roman" w:hAnsi="Times New Roman"/>
          <w:sz w:val="17"/>
          <w:szCs w:val="17"/>
          <w:color w:val="auto"/>
        </w:rPr>
        <w:t>. During Phase 1 studies, researchers test a new drug in healthy volunteers. In most cases, 20 to 80 healthy volunteers participate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168"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Phase 2 Studies</w:t>
      </w:r>
      <w:r>
        <w:rPr>
          <w:rFonts w:ascii="Times New Roman" w:cs="Times New Roman" w:eastAsia="Times New Roman" w:hAnsi="Times New Roman"/>
          <w:sz w:val="17"/>
          <w:szCs w:val="17"/>
          <w:color w:val="auto"/>
        </w:rPr>
        <w:t>. In Phase 2 studies, researchers administer the drug to a group of people with the disease or condition for which the drug is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w:t>
      </w:r>
    </w:p>
    <w:p>
      <w:pPr>
        <w:spacing w:after="0" w:line="16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Phase 3 Studies</w:t>
      </w:r>
      <w:r>
        <w:rPr>
          <w:rFonts w:ascii="Times New Roman" w:cs="Times New Roman" w:eastAsia="Times New Roman" w:hAnsi="Times New Roman"/>
          <w:sz w:val="18"/>
          <w:szCs w:val="18"/>
          <w:color w:val="auto"/>
        </w:rPr>
        <w:t>. Researchers design Phase 3 studies to demonstrate whether or not a product offers a treatment benefit to a specific population.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0" w:lineRule="exact"/>
        <w:rPr>
          <w:sz w:val="20"/>
          <w:szCs w:val="20"/>
          <w:color w:val="auto"/>
        </w:rPr>
      </w:pPr>
    </w:p>
    <w:p>
      <w:pPr>
        <w:ind w:right="320" w:firstLine="509"/>
        <w:spacing w:after="0" w:line="289" w:lineRule="auto"/>
        <w:rPr>
          <w:sz w:val="20"/>
          <w:szCs w:val="20"/>
          <w:color w:val="auto"/>
        </w:rPr>
      </w:pPr>
      <w:r>
        <w:rPr>
          <w:rFonts w:ascii="Times New Roman" w:cs="Times New Roman" w:eastAsia="Times New Roman" w:hAnsi="Times New Roman"/>
          <w:sz w:val="17"/>
          <w:szCs w:val="17"/>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that the patients are being exposed to an unacceptable health risk or if the drug candidate does not appear to have sufficient treatment benefit.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9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Drugs that are developed for rare diseases (i.e., in the U.S., the disease or condition has an prevalence of less than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authorization applications, inspections before authorization, applications for changes to marketing authorizations, and annual fees, access to the centralized authorization procedure, and 10 years of market exclusivity.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Regulation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83"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5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The Federal Trade Commission, or the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Drugs are also subject to extensive regulation outside of the U.S. In the E.U., there is a centralized approval procedure that authorizes marketing of a product in all countries of the E.U. through a single application and review process.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European regulatory authorities.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Additional Government Regulations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HIPAA and Other Privacy Laws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Billing and Fraud and Abuse Laws</w:t>
      </w:r>
    </w:p>
    <w:p>
      <w:pPr>
        <w:spacing w:after="0" w:line="119"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Antifraud Laws/Overpayments</w:t>
      </w:r>
      <w:r>
        <w:rPr>
          <w:rFonts w:ascii="Times New Roman" w:cs="Times New Roman" w:eastAsia="Times New Roman" w:hAnsi="Times New Roman"/>
          <w:sz w:val="18"/>
          <w:szCs w:val="18"/>
          <w:color w:val="auto"/>
        </w:rPr>
        <w:t>. As participants in federal and state healthcare programs, we are subject to numerous federal and state antifraud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abuse laws. Many of these antifraud laws are broad in scope, and neither the courts nor government agencies have extensively interpreted these laws. Prohibitions under some of these laws include:</w:t>
      </w:r>
    </w:p>
    <w:p>
      <w:pPr>
        <w:spacing w:after="0" w:line="6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or causing the submission of, false claims or false information to government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deceptive or fraudulent conduct;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medically unnecessary procedures;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in defrauding private sector health insurers.</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$13,507 to $27,018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on laboratories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other providers under this statute may be disproportionate to the relatively small dollar amounts of the claims made by these providers for reimbursement.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even the threat of being excluded from participation in federal healthcare programs can have significant financial consequences on a provider.</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“Self-Referral” and “Anti-Kickback” Restrictions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Self-Referral law</w:t>
      </w:r>
      <w:r>
        <w:rPr>
          <w:rFonts w:ascii="Times New Roman" w:cs="Times New Roman" w:eastAsia="Times New Roman" w:hAnsi="Times New Roman"/>
          <w:sz w:val="18"/>
          <w:szCs w:val="18"/>
          <w:color w:val="auto"/>
        </w:rPr>
        <w:t>. We are subject to a federal “self-referral” law, commonly referred to as the “Stark” law, which provides that physicians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8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$13,507 to $27,018 for each separate false claim. Similarly, sanctions for violations under the North Carolina self-referral laws include refunds and monetary penalties.</w:t>
      </w:r>
    </w:p>
    <w:p>
      <w:pPr>
        <w:spacing w:after="0" w:line="1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persons from knowingly and willfully soliciting, receiving, offering or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may include imprisonment and other criminal penalties, civil monetary penalties and exclusion from participation in federal healthcare programs.</w:t>
      </w:r>
    </w:p>
    <w:p>
      <w:pPr>
        <w:spacing w:after="0" w:line="22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183"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1" w:lineRule="exact"/>
        <w:rPr>
          <w:sz w:val="20"/>
          <w:szCs w:val="20"/>
          <w:color w:val="auto"/>
        </w:rPr>
      </w:pPr>
    </w:p>
    <w:p>
      <w:pPr>
        <w:jc w:val="both"/>
        <w:ind w:right="100" w:firstLine="509"/>
        <w:spacing w:after="0" w:line="277" w:lineRule="auto"/>
        <w:rPr>
          <w:sz w:val="20"/>
          <w:szCs w:val="20"/>
          <w:color w:val="auto"/>
        </w:rPr>
      </w:pPr>
      <w:r>
        <w:rPr>
          <w:rFonts w:ascii="Times New Roman" w:cs="Times New Roman" w:eastAsia="Times New Roman" w:hAnsi="Times New Roman"/>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Transactions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March 31, 2022, we sold 2,666,666 shares of our common stock at a public offering price of $3.75 per share and, for certain investors, in lieu of common stock, pre-funded warrants to purchase 1,333,333 shares of our common stock at a public offering price of $3.60 per pre-funded warrant, which represents the per share public offering price for the common stock less the $0.15 per share exercise price for each pre-funded warrant. Each share of common stock or pre-funded warrant was sold together with one, immediately exercisable, common warrant with a five year term to purchase one share of common stock at an exercise price of $4.50 per share. The net proceeds of the offering were $13.8 million, after deducting the underwriting discount and other offering expenses.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2022, we sold 104,773 shares of common stock and raised $0.3 million in net proceeds pursuant to a Controlled Equity Offering Sales Agreement under which we may sell shares of our common stock having an aggregate offering price of up to $25.0 million from time to time in any method permit by las deemed to be an “at the market” Rule 415 under the Securities Act of 1933, as amended.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On June 1, 2022, the stockholders of the Company approved a reverse stock split of our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we had 25 full-time employees and 7 full-time or part-time consultants providing services to us. None of our employees is represented by a labor union or covered by collective bargaining agreements. We consider our relationship with our employees to be good.</w:t>
      </w:r>
    </w:p>
    <w:p>
      <w:pPr>
        <w:spacing w:after="0" w:line="54"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principal corporate offices are located at 203 Redwood Shores Parkway, Suite 500,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5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company with no approved products, which makes assessment of our future viability difficult;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success of DCCR, our sole therapeutic product candidate;</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regulatory approval for DCCR in the U.S. and E.U., our business will be harmed;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commercializing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may prove to be an inadequate barrier to competition;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clinical-stage company with no approved products, which makes assessment of our future viability difficult.</w:t>
      </w:r>
    </w:p>
    <w:p>
      <w:pPr>
        <w:spacing w:after="0" w:line="9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success of DCCR, our sole therapeutic product candidate.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right="140"/>
        <w:spacing w:after="0" w:line="261" w:lineRule="auto"/>
        <w:rPr>
          <w:sz w:val="20"/>
          <w:szCs w:val="20"/>
          <w:color w:val="auto"/>
        </w:rPr>
      </w:pPr>
      <w:r>
        <w:rPr>
          <w:rFonts w:ascii="Times New Roman" w:cs="Times New Roman" w:eastAsia="Times New Roman" w:hAnsi="Times New Roman"/>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sufficiently broad label that would not unduly restrict patient access;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DCCR in the U.S. and E.U.;</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 infrastructure capable of supporting product sales, marketing, and distribution of DCCR in territories where we pursue commercialization directly;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third 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distribution agreements with third party distributors;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DCCR,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DCCR, if and when approved, by patients, the medical community, and third-party payers;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pathway that we pursue for DCCR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DCCR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commercially viable price for our products.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If we do not achieve one or more of these factors in a timely manner or at all, we could experience significant delays or an inability to successfully commercialize DCCR, which would materially harm our business. We have been in discussions with the FDA regarding the clinical data necessary to support the submission of a new drug application (NDA) seeking approval to market DCCR for the treatment of PWS, after our Phase 3 clinical trial, DESTINY PWS (C601) trial failed to demonstrate statistical significance on the primary efficacy endpoints. As part of the ongoing discussions with the FDA, we have provided the agency with the clinical study report for the C601 clinical trial and available data from our long-term, open-label extension study (C602) to allow FDA to further assess if those data may provide adequate evidence of safety and efficacy to permit us to submit a 505(b)(2) NDA for the product candidate. As we previously disclosed, the FDA has indicated that additional controlled data willl be necessary to support our planned NDA and we have commenced a randomized withdrawal period to Study C602 to obtain additional controlled data. </w:t>
      </w:r>
      <w:r>
        <w:rPr>
          <w:rFonts w:ascii="Times New Roman" w:cs="Times New Roman" w:eastAsia="Times New Roman" w:hAnsi="Times New Roman"/>
          <w:sz w:val="18"/>
          <w:szCs w:val="18"/>
          <w:color w:val="212121"/>
        </w:rPr>
        <w:t>Furthermore, w</w:t>
      </w:r>
      <w:r>
        <w:rPr>
          <w:rFonts w:ascii="Times New Roman" w:cs="Times New Roman" w:eastAsia="Times New Roman" w:hAnsi="Times New Roman"/>
          <w:sz w:val="18"/>
          <w:szCs w:val="18"/>
          <w:color w:val="auto"/>
        </w:rPr>
        <w:t>e cannot be certain that the FDA will agree that these additional data, once reviewed by FDA, are sufficient for the agency to determine that we have demonstrated substantial evidence that DCCR is safe and effective for the treatment of PWS.</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Complying with any additional requests for information from the FDA or MHRA will be time-consuming, expensive, and delay or prevent our ability to continue to study and develop DCCR, or may result in a change in our regulatory strategy such as pursuing a narrower indication of use. If we are unable to adequately address any previous or further recommendations, concerns, requests, or objections in a manner satisfactory to the FDA, as applicable, in a timely manner, or at all, we could be delayed or prevented from seeking approval of DCCR for any intended use.</w:t>
      </w:r>
    </w:p>
    <w:p>
      <w:pPr>
        <w:spacing w:after="0" w:line="1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ind w:right="80"/>
        <w:spacing w:after="0" w:line="258" w:lineRule="auto"/>
        <w:rPr>
          <w:sz w:val="20"/>
          <w:szCs w:val="20"/>
          <w:color w:val="auto"/>
        </w:rPr>
      </w:pPr>
      <w:r>
        <w:rPr>
          <w:rFonts w:ascii="Times New Roman" w:cs="Times New Roman" w:eastAsia="Times New Roman" w:hAnsi="Times New Roman"/>
          <w:sz w:val="18"/>
          <w:szCs w:val="18"/>
          <w:color w:val="auto"/>
        </w:rPr>
        <w:t>We have not commenced commercialization of DCCR, our current sole novel therapeutic product, and accordingly, through December 31, 2022, have generated no revenue from operations. We had a net loss of $24.1 million during the year ended December 31, 2022 and an accumulated deficit of $237.4 million at December 31, 2022 as a result of having incurred losses since our inception. We had $14.6 million in cash and cash equivalents and $8.3 million of working capital at December 31, 2022, used $20.8 million of cash in operating activities during the year ended December 31, 2022 and expect to continue incurring losses for the foreseeable future. These matters raise substantial doubt about our ability to continue as a going concern.</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intend to raise additional capital, either through debt or equity financings to achieve our business plan objectives, including ongoing expenses related to resources being deployed to manage participants in our current ongoing clinical trial of DCCR and other activities necessary to support the submission of an NDA to the FDA. In December 2022, we entered into a Securities Purchase Agreement providing for the sale of up to $60.0 million in warrants and the common stock issuable upon the exercise thereof. The receipt of these funds is contingent upon future performance of the Company.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studies, our ability to obtain FDA clearance for DCCR, the condition of the capital markets and the other risks described in these risk factors.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 or continue as a going concern.</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We maintain our operating account at Silicon Valley Bank (SVB) and therefore those amounts held in excess of the FDIC insurance limit were at risk during the recent uncertainty about the viability of SVB. However, with the FDIC taking control of SVB on March 10, 2023, and the Federal Reserve announcing that account holders would be made whole this recent uncertainty has been resolved and we do not view the ongoing risk as material to our financial condition. However, as the FDIC continues to address the situation with SVB, Signature Bank and other similarly situated banking institutions, the risk of loss in excess of insurance limitations has generally increased.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generated limited product revenue and may never become profitable.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72" w:lineRule="exact"/>
        <w:rPr>
          <w:sz w:val="20"/>
          <w:szCs w:val="20"/>
          <w:color w:val="auto"/>
        </w:rPr>
      </w:pPr>
    </w:p>
    <w:p>
      <w:pPr>
        <w:ind w:left="1020" w:right="2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capable of sales, marketing and distribution of any products for which we obtain marketing approval in markets where we intend to commercialize independently;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current and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our current and future products, if any;</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reliable third parties, and ensure adequate and legally compliant manufacturing to maintain that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third-party payors, including government and private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global and U.S. distribution partners to help us market, sell and distribute our products in other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development activities successfully and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and protect our intellectual property rights and avoid third-party patent interference or patent infringement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ind w:right="420"/>
        <w:spacing w:after="0" w:line="289" w:lineRule="auto"/>
        <w:rPr>
          <w:sz w:val="20"/>
          <w:szCs w:val="20"/>
          <w:color w:val="auto"/>
        </w:rPr>
      </w:pPr>
      <w:r>
        <w:rPr>
          <w:rFonts w:ascii="Times New Roman" w:cs="Times New Roman" w:eastAsia="Times New Roman" w:hAnsi="Times New Roman"/>
          <w:sz w:val="17"/>
          <w:szCs w:val="17"/>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0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8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timing and outcomes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in the U.S. or globally, of any of our planned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risk of initiating sales and marketing activities;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planned products, which will change from time to time;</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may vary depending on FDA and other regulatory requirements,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planned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of our industry, including consolidation among our competitors or potential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future products, if approved, and existing and potential future drugs that compete with our planned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offerings that compete with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inside and outside of the U.S., either independently or working with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ind w:right="80"/>
        <w:spacing w:after="0" w:line="274"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7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and contingent liabilities;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payment of milestones or royalties;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expenditures, including additional research, development and sales and marketing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18"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right="40"/>
        <w:spacing w:after="0" w:line="282" w:lineRule="auto"/>
        <w:rPr>
          <w:sz w:val="20"/>
          <w:szCs w:val="20"/>
          <w:color w:val="auto"/>
        </w:rPr>
      </w:pPr>
      <w:r>
        <w:rPr>
          <w:rFonts w:ascii="Times New Roman" w:cs="Times New Roman" w:eastAsia="Times New Roman" w:hAnsi="Times New Roman"/>
          <w:sz w:val="18"/>
          <w:szCs w:val="18"/>
          <w:color w:val="auto"/>
        </w:rPr>
        <w:t>we may not be able to further develop our products or bring them to market and generate product revenue. Furthermore, there is no assurance that any such transaction will be successful or that we will derive an economic benefit as a result.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commercializing our approved products.</w:t>
      </w:r>
    </w:p>
    <w:p>
      <w:pPr>
        <w:spacing w:after="0" w:line="12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81" w:lineRule="exact"/>
        <w:rPr>
          <w:sz w:val="20"/>
          <w:szCs w:val="20"/>
          <w:color w:val="auto"/>
        </w:rPr>
      </w:pPr>
    </w:p>
    <w:p>
      <w:pPr>
        <w:ind w:left="1020" w:right="4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distribution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healthcare providers believe such tests provide clinical utility;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medical community accepts that such tests are sufficiently sensitive and specific to be meaningful in-patient care and treatment decisions;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hospital administrators, health insurers, government health programs and other payers will cover and pay for such tests and, if so, whether they will adequately reimburse us.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5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5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DCCR on our own include:</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DCCR or any future products;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our competitors to commercialize products at or about the time when our product candidates would be coming to market.</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physicians decide not to order our products in significant numbers, we may be unable to generate sufficient revenue to sustain our 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do not continue to perform as expected, our operating results, reputation and business will suffer.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1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54" w:lineRule="exact"/>
        <w:rPr>
          <w:sz w:val="20"/>
          <w:szCs w:val="20"/>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 may produce negative or inconclusive results, and we may decide, or regulators may require us, to conduct additional clinical studies or abandon product development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studies or the manufacturing of our planned products may be greater than we anticipate; including due to inflationary pressures outside of our control;</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not approve our proposed clinical development plans;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independent institutional review boards (IRBs), may not authorize us or our investigators to commence a clinical study or conduct a clinical study at a prospective study site;</w:t>
      </w:r>
    </w:p>
    <w:p>
      <w:pPr>
        <w:spacing w:after="0" w:line="53"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research for various reasons, including noncompliance with regulatory requirements; and</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planned products or other materials necessary to conduct clinical studies of our planned products may be insufficient or inadequate.</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planned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that are not as broad as intended;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restrictions on how the product is distributed or used.</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regulatory approval for DCCR in the U.S. and E.U., our business would be harmed.</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68" w:lineRule="exact"/>
        <w:rPr>
          <w:sz w:val="20"/>
          <w:szCs w:val="20"/>
          <w:color w:val="auto"/>
        </w:rPr>
      </w:pPr>
    </w:p>
    <w:p>
      <w:pPr>
        <w:ind w:left="1020" w:right="1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nonclinical, toxicology, or other in vivo or in vitro data, or clinical safety data to support the initiation or continuation of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or feedback on trial design, to commence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train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(CROs), and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IRB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enroll suitable patients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sufficient number of patients complete a trial and/or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clinical investigators observe trial protocol or continue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or compliance with new or existing laws, rule, regulations or guidelines;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sufficient number of clinical trial sites to conduct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manufacture sufficient quantities of product candidate suitable for use at the stage of clinical development;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sufficient capital to fund a trial.</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7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satisfactorily demonstrate that the product candidates are safe and effective for the requested 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disagreement with our trial protocol or the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assess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clinical or other benefits of our product candidates outweigh any safety or other perceived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determination that additional preclinical or clinical trials are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non-approval of the formulation, labeling or the specifications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failure to accept the manufacturing processes or facilities of third-party manufacturers with which we contract; or</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significantly change in a manner rendering our clinical data insufficient for approval.</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acceptance of our planned products, if approved for commercial sale, will depend on a number of factors, including the following:</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effectiveness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charge for our planned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change their current treatment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or effectiveness of marketing and distribution support or partners;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or reimbursement.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opportunity for DCCR is smaller than we believe it is, then our revenues may be adversely affected, and our business may suffer.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2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may form strategic alliances, create joint ventures or collaborations, or enter into licensing agreements with third parties that we believe will more effectively provide resources to develop and commercialize our programs.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7" w:name="page28"/>
    <w:bookmarkEnd w:id="27"/>
    <w:p>
      <w:pPr>
        <w:ind w:right="260"/>
        <w:spacing w:after="0" w:line="266" w:lineRule="auto"/>
        <w:rPr>
          <w:sz w:val="20"/>
          <w:szCs w:val="20"/>
          <w:color w:val="auto"/>
        </w:rPr>
      </w:pPr>
      <w:r>
        <w:rPr>
          <w:rFonts w:ascii="Times New Roman" w:cs="Times New Roman" w:eastAsia="Times New Roman" w:hAnsi="Times New Roman"/>
          <w:sz w:val="18"/>
          <w:szCs w:val="18"/>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such products;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bodies may issue safety alerts, Dear Healthcare Provider letters, press releases or other communications containing warnings about such product;</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planned product, if approved.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which may result in others discovering, developing or commercializing products before we do, or more successfully than we do.</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Alternatives exist for our product candidates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8" w:name="page29"/>
    <w:bookmarkEnd w:id="28"/>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has recently been increased activity in the development of drugs to treat PWS. We are aware of seven other current or proposed clinical trials evaluating PWS therapies.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 rights may prove to be an inadequate barrier to competition.</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3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engage partners in commercializing our products, they may become subject to unfavorable pricing regulations, third-party reimbursement practices or healthcare reform initiatives, thereby harming our business.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7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t>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planned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clinical studies or cancellation of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members of our executive management team could adversely affect our business.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54" w:lineRule="exact"/>
        <w:rPr>
          <w:sz w:val="20"/>
          <w:szCs w:val="20"/>
          <w:color w:val="auto"/>
        </w:rPr>
      </w:pPr>
    </w:p>
    <w:p>
      <w:pPr>
        <w:ind w:left="1020" w:right="5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by us or our distributors to obtain regulatory approvals for the sale or use of our current products and our planned future products in various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payer systems, multiple payer-reimbursement regimes or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products, including infrastructure conditions and transportation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our distributors do not execute successfully;</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foreign currency exchange rate fluctuations;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1" w:name="page32"/>
    <w:bookmarkEnd w:id="31"/>
    <w:p>
      <w:pPr>
        <w:ind w:left="1020" w:right="5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or lack of them in certain jurisdictions, forcing more reliance on our trade secrets, if available;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including the outbreak of hostilities in the Ukraine, outbreak of disease, boycotts, curtailment of trade and other business restrictions; and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any such collaborations;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2022, we had 25 employees and 7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8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 which we anticipate being conducted at numerous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 with the expertise and experience we will require;</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contractors and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additional relationships with various strategic partners, suppliers and other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reporting systems and procedures;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facilities.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intend to commercialize our products outside the U.S., we will be subject to additional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including the outbreak of hostilities in the Ukraine, or natural disasters including earthquakes, typhoons, floods and fires.</w:t>
      </w:r>
    </w:p>
    <w:p>
      <w:pPr>
        <w:spacing w:after="0" w:line="1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t>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(GCPs),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biological and hazardous materials in a manner that causes injury, we could be liable for damages.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Patent and other intellectual property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ind w:right="140"/>
        <w:spacing w:after="0" w:line="255" w:lineRule="auto"/>
        <w:rPr>
          <w:sz w:val="20"/>
          <w:szCs w:val="20"/>
          <w:color w:val="auto"/>
        </w:rPr>
      </w:pPr>
      <w:r>
        <w:rPr>
          <w:rFonts w:ascii="Times New Roman" w:cs="Times New Roman" w:eastAsia="Times New Roman" w:hAnsi="Times New Roman"/>
          <w:sz w:val="18"/>
          <w:szCs w:val="18"/>
          <w:color w:val="auto"/>
        </w:rPr>
        <w:t>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3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scope, validity, enforceability, and commercial value of trademark rights are also uncertain. Pending and future trademark applications may not be successful.</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5" w:name="page36"/>
    <w:bookmarkEnd w:id="35"/>
    <w:p>
      <w:pPr>
        <w:ind w:right="100"/>
        <w:spacing w:after="0" w:line="25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the U.S. Patent and Trademark Office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throughout the world.</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ind w:right="460"/>
        <w:spacing w:after="0" w:line="282" w:lineRule="auto"/>
        <w:rPr>
          <w:sz w:val="20"/>
          <w:szCs w:val="20"/>
          <w:color w:val="auto"/>
        </w:rPr>
      </w:pPr>
      <w:r>
        <w:rPr>
          <w:rFonts w:ascii="Times New Roman" w:cs="Times New Roman" w:eastAsia="Times New Roman" w:hAnsi="Times New Roman"/>
          <w:sz w:val="18"/>
          <w:szCs w:val="18"/>
          <w:color w:val="auto"/>
        </w:rPr>
        <w:t>proprietary rights generally. Proceedings to enforce our patent rights in foreign jurisdictions could result in substantial cost and divert our efforts and attention from other aspects of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ongoing conflict in Ukraine and related sanctions could significantly devalue our Russian, Belarusian, and Eurasian patents and/or patent applications.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Russian decrees may also significantly limit our ability to enforce Russian patents. We cannot predict when or how this situation will change.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planned products, but that are not covered by claims in our patents;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filers of our patents that we developed or purchased might not have been the first to make the inventions covered by the claims contained in such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may not lead to issued patents;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6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7" w:name="page38"/>
    <w:bookmarkEnd w:id="37"/>
    <w:p>
      <w:pPr>
        <w:ind w:right="60"/>
        <w:spacing w:after="0" w:line="258" w:lineRule="auto"/>
        <w:rPr>
          <w:sz w:val="20"/>
          <w:szCs w:val="20"/>
          <w:color w:val="auto"/>
        </w:rPr>
      </w:pPr>
      <w:r>
        <w:rPr>
          <w:rFonts w:ascii="Times New Roman" w:cs="Times New Roman" w:eastAsia="Times New Roman" w:hAnsi="Times New Roman"/>
          <w:sz w:val="18"/>
          <w:szCs w:val="18"/>
          <w:color w:val="auto"/>
        </w:rPr>
        <w:t>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8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may prevent us from obtaining approvals for our planned products.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7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 or biologics or supplements to approved applications filed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our products or import bans.</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ind w:right="60"/>
        <w:spacing w:after="0" w:line="261" w:lineRule="auto"/>
        <w:rPr>
          <w:sz w:val="20"/>
          <w:szCs w:val="20"/>
          <w:color w:val="auto"/>
        </w:rPr>
      </w:pPr>
      <w:r>
        <w:rPr>
          <w:rFonts w:ascii="Times New Roman" w:cs="Times New Roman" w:eastAsia="Times New Roman" w:hAnsi="Times New Roman"/>
          <w:sz w:val="18"/>
          <w:szCs w:val="18"/>
          <w:color w:val="auto"/>
        </w:rPr>
        <w:t>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7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planned product may not be deemed safe or effective;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officials may not find the data from preclinical studies and clinical studies sufficient;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might not approve our or our third-party manufacturer’s processes or facilities;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1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Testing</w:t>
      </w:r>
    </w:p>
    <w:p>
      <w:pPr>
        <w:spacing w:after="0" w:line="121"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New Drug Exemption Application (IND)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These clinical trials involve three separate phases that often overlap, can take many years and are very expensive. These three phases, which are subject to considerable regulation, are as follows:</w:t>
      </w:r>
    </w:p>
    <w:p>
      <w:pPr>
        <w:spacing w:after="0" w:line="54" w:lineRule="exact"/>
        <w:rPr>
          <w:sz w:val="20"/>
          <w:szCs w:val="20"/>
          <w:color w:val="auto"/>
        </w:rPr>
      </w:pPr>
    </w:p>
    <w:p>
      <w:pPr>
        <w:ind w:left="1020" w:right="1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53"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67"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ind w:left="1020" w:right="280"/>
        <w:spacing w:after="0" w:line="266" w:lineRule="auto"/>
        <w:rPr>
          <w:sz w:val="20"/>
          <w:szCs w:val="20"/>
          <w:color w:val="auto"/>
        </w:rPr>
      </w:pPr>
      <w:r>
        <w:rPr>
          <w:rFonts w:ascii="Times New Roman" w:cs="Times New Roman" w:eastAsia="Times New Roman" w:hAnsi="Times New Roman"/>
          <w:sz w:val="18"/>
          <w:szCs w:val="18"/>
          <w:color w:val="auto"/>
        </w:rPr>
        <w:t>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U.S. and these facilities are subject to periodic regulatory inspection.</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ind w:right="100"/>
        <w:spacing w:after="0" w:line="258" w:lineRule="auto"/>
        <w:rPr>
          <w:sz w:val="20"/>
          <w:szCs w:val="20"/>
          <w:color w:val="auto"/>
        </w:rPr>
      </w:pPr>
      <w:r>
        <w:rPr>
          <w:rFonts w:ascii="Times New Roman" w:cs="Times New Roman" w:eastAsia="Times New Roman" w:hAnsi="Times New Roman"/>
          <w:sz w:val="18"/>
          <w:szCs w:val="18"/>
          <w:color w:val="auto"/>
        </w:rPr>
        <w:t>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5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approvals in foreign jurisdictions will prevent us from marketing our products internationally.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seek distribution and marketing partners for our current products outside the U.S. and may market planned products in international markets.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our planned products’ commercial success.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8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result in the imposition of 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2" w:name="page43"/>
    <w:bookmarkEnd w:id="42"/>
    <w:p>
      <w:pPr>
        <w:ind w:left="1020" w:right="14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2" w:lineRule="exact"/>
        <w:rPr>
          <w:sz w:val="20"/>
          <w:szCs w:val="20"/>
          <w:color w:val="auto"/>
        </w:rPr>
      </w:pPr>
    </w:p>
    <w:p>
      <w:pPr>
        <w:ind w:left="102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7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securities could incur substantial losses.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As a result of this volatility, investors may not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4" w:name="page45"/>
    <w:bookmarkEnd w:id="44"/>
    <w:p>
      <w:pPr>
        <w:ind w:right="60"/>
        <w:spacing w:after="0" w:line="282" w:lineRule="auto"/>
        <w:rPr>
          <w:sz w:val="20"/>
          <w:szCs w:val="20"/>
          <w:color w:val="auto"/>
        </w:rPr>
      </w:pPr>
      <w:r>
        <w:rPr>
          <w:rFonts w:ascii="Times New Roman" w:cs="Times New Roman" w:eastAsia="Times New Roman" w:hAnsi="Times New Roman"/>
          <w:sz w:val="18"/>
          <w:szCs w:val="18"/>
          <w:color w:val="auto"/>
        </w:rPr>
        <w:t>able to sell their common stock at or above the purchase price. The market price for our common stock may be influenced by many factors, including the following: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our ability to obtain regulatory approval of DCCR in Prader Willi Syndrome;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and our ability to obtain regulatory approval for DCCR;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realize significant revenues from sales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other clinical studies of our products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products or planned products;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ability to bring our manufacturing processes to scale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those due to inflation;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this “Risk Factors” section.</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45" w:name="page46"/>
    <w:bookmarkEnd w:id="4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6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1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51"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will be limited.</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In addition, we also raised capital in October 2019, June 2020 and March 2022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our warrant holders exercise their warrants into shares of our common stock, our stockholders will be diluted.</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w:t>
      </w:r>
    </w:p>
    <w:p>
      <w:pPr>
        <w:spacing w:after="0" w:line="10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that a number of market participants are taking a position that will be profitable only if the price of the common stock declines.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certain circumstances we may be required to settle the value of the 2018 PIPE Warrants in cash.</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at any time while the 2018 PIPE Warrants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maintain the listing of our securities on The Nasdaq Capital Market.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listed our common stock on The Nasdaq Capital Market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13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speculative nature of warrants, there is no guarantee that it will ever be profitable for holders of our pre-funded warrants or common warrants to exercise the warrants.</w:t>
      </w:r>
    </w:p>
    <w:p>
      <w:pPr>
        <w:spacing w:after="0" w:line="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market price of the common stock will ever equal or exceed the exercise price of our pre-funded warrants or common warrants, and, consequently, whether it will ever be profitable for holders of the warrants to exercise the warrants.</w:t>
      </w:r>
    </w:p>
    <w:p>
      <w:pPr>
        <w:spacing w:after="0" w:line="10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attempt by our stockholders to replace current members of our management team. Among others, these provisions include the following:</w:t>
      </w:r>
    </w:p>
    <w:p>
      <w:pPr>
        <w:spacing w:after="0" w:line="117" w:lineRule="exact"/>
        <w:rPr>
          <w:sz w:val="20"/>
          <w:szCs w:val="20"/>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divided into three classes with staggered three-year terms which may delay or prevent a change of our management or a change in control;</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our certificate of incorporation and bylaws require the approval of 66 2/3% of our outstanding voting securities;</w:t>
      </w:r>
    </w:p>
    <w:p>
      <w:pPr>
        <w:spacing w:after="0" w:line="117" w:lineRule="exact"/>
        <w:rPr>
          <w:rFonts w:ascii="Times New Roman" w:cs="Times New Roman" w:eastAsia="Times New Roman" w:hAnsi="Times New Roman"/>
          <w:sz w:val="18"/>
          <w:szCs w:val="18"/>
          <w:color w:val="auto"/>
        </w:rPr>
      </w:pPr>
    </w:p>
    <w:p>
      <w:pPr>
        <w:jc w:val="both"/>
        <w:ind w:left="1020" w:right="40" w:hanging="503"/>
        <w:spacing w:after="0" w:line="289"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49"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2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Intrusions into our computer systems could result in compromise of confidential information.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software we develop or use for any of our products may be potentially subject to malfunction or vulnerable to physical break-ins, hackers, improper employee or contractor access, computer viruses, programming errors, or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48" w:name="page49"/>
    <w:bookmarkEnd w:id="48"/>
    <w:p>
      <w:pPr>
        <w:ind w:right="520"/>
        <w:spacing w:after="0" w:line="282" w:lineRule="auto"/>
        <w:rPr>
          <w:sz w:val="20"/>
          <w:szCs w:val="20"/>
          <w:color w:val="auto"/>
        </w:rPr>
      </w:pPr>
      <w:r>
        <w:rPr>
          <w:rFonts w:ascii="Times New Roman" w:cs="Times New Roman" w:eastAsia="Times New Roman" w:hAnsi="Times New Roman"/>
          <w:sz w:val="18"/>
          <w:szCs w:val="18"/>
          <w:color w:val="auto"/>
        </w:rPr>
        <w:t>similar problems. Any of these might result in confidential medical, business or other information of other persons or of ourselves being revealed to unauthorized persons.</w:t>
      </w:r>
    </w:p>
    <w:p>
      <w:pPr>
        <w:spacing w:after="0" w:line="5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3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international conflict, or otherwise, could adversely affect our ability to raise capital and our business, results of operations and financial condition.</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While the potential economic impact brought by the hostilities in the Ukraine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3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9" w:name="page50"/>
    <w:bookmarkEnd w:id="49"/>
    <w:p>
      <w:pPr>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(Section 404). We currently do not have an internal audit group, and we will need to hire additional accounting and financial staff with appropriate public company experience and technical accounting knowledge.</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principal facilities consist of office space in Redwood City, California. We currently occupy 6,368 square feet of office space under a non-cancelable operating lease that expires in May 2023.</w:t>
      </w:r>
    </w:p>
    <w:p>
      <w:pPr>
        <w:spacing w:after="0" w:line="27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facilities that we currently lease are adequate for our needs for the immediate future and that, should it be needed, additional space can be leased on commercially reasonable terms to accommodate any future needs.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“SLNO”. Our 2018 PIPE Warrants and our 2022 pre-funded warrants and 2022 common warrants are not traded on a national securities exchange.</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March 9, 2023, there were 40 shareholders of record for our common stock. A substantially greater number of stockholders may be “street name” or beneficial holders, whose shares are held of record by banks, brokers and other financial institutions.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novel therapeutics for the treatment of rare diseases. Our lead candidate is Diazoxide Choline Extended-Release tablets (DCCR), a once-daily oral tablet for the treatment of Prader-Willi Syndrome (PWS). DCCR has orphan designation for the treatment of PWS in the United States (U.S.) as well as in the European Union (E.U.). DCCR has been evaluated in a Phase 3 study (C601 or DESTINY PWS), a 3-month randomized, double-blind placebo-controlled study, which completed enrollment in January 2020, with 127 patients at 29 sites in the U.S. and U.K. Patients who completed treatment in DESTINY PWS are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w:t>
      </w:r>
    </w:p>
    <w:p>
      <w:pPr>
        <w:spacing w:after="0" w:line="189" w:lineRule="exact"/>
        <w:rPr>
          <w:sz w:val="20"/>
          <w:szCs w:val="20"/>
          <w:color w:val="auto"/>
        </w:rPr>
      </w:pPr>
    </w:p>
    <w:p>
      <w:pPr>
        <w:ind w:right="220" w:firstLine="578"/>
        <w:spacing w:after="0" w:line="256" w:lineRule="auto"/>
        <w:rPr>
          <w:sz w:val="20"/>
          <w:szCs w:val="20"/>
          <w:color w:val="auto"/>
        </w:rPr>
      </w:pPr>
      <w:r>
        <w:rPr>
          <w:rFonts w:ascii="Times New Roman" w:cs="Times New Roman" w:eastAsia="Times New Roman" w:hAnsi="Times New Roman"/>
          <w:sz w:val="18"/>
          <w:szCs w:val="18"/>
          <w:color w:val="auto"/>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in the fourth quarter 2021.</w:t>
      </w:r>
    </w:p>
    <w:p>
      <w:pPr>
        <w:spacing w:after="0" w:line="187" w:lineRule="exact"/>
        <w:rPr>
          <w:sz w:val="20"/>
          <w:szCs w:val="20"/>
          <w:color w:val="auto"/>
        </w:rPr>
      </w:pPr>
    </w:p>
    <w:p>
      <w:pPr>
        <w:ind w:right="100" w:firstLine="578"/>
        <w:spacing w:after="0" w:line="256" w:lineRule="auto"/>
        <w:rPr>
          <w:sz w:val="20"/>
          <w:szCs w:val="20"/>
          <w:color w:val="auto"/>
        </w:rPr>
      </w:pPr>
      <w:r>
        <w:rPr>
          <w:rFonts w:ascii="Times New Roman" w:cs="Times New Roman" w:eastAsia="Times New Roman" w:hAnsi="Times New Roman"/>
          <w:sz w:val="18"/>
          <w:szCs w:val="18"/>
          <w:color w:val="auto"/>
        </w:rPr>
        <w:t>In January 2022, we submitted a proposal to add a randomized withdrawal period to Study C602 in order to obtain additional controlled data requested by the FDA to support a New Drug Application (NDA) submission for DCCR. The randomized withdrawal (RW) period of Study C602 is a multi-center, randomized, double-blind, placebo-controlled study of DCCR in approximately 80 patients with PWS at 17 sites in the U.S. and 5 sites in the U.K. This RW period consists only of patients currently enrolled in Study C602 and will not enroll any new patients. In October 2022, we announced the initiation of the RW period for Study C602. The FDA has acknowledged that data from the study has the potential to support an NDA submission for DCCR.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we had an accumulated deficit of $237.4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December 31, 2022, we had cash and cash equivalents of $14.6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net income from operations to date, and at December 31, 2022 we had an accumulated deficit of $237.4 million, primarily as a result of research and development and general and administrative expenses. We may never be successful in commercializing our novel therapeutics products for the treatment of rare diseases. Accordingly, we expect to incur significant losses from operations for the foreseeable future, and there can be no assurance that we will ever generate significant revenue or profits.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earned no revenue from the commercial development and sale of novel therapeutic products.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expenses incurred by contract research organizations (CROs) associated with our clinical trials, contract manufacturing organizations (CMOs) associated with the manufacture of our drug product, employee related expenses, including salaries and benefits, and professional consultant costs. These expenses will vary with the cadence and success of our product candidate progressing from clinical to commercial stage.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benefits, professional fees for legal, consulting, audit and tax services, insurance, rent, pre-commercial activities, and other general operating expenses not otherwise included in research and development. We anticipate general and administrative expenses will increase in future periods, reflecting an expanding infrastructure, an increase in pre-commercial activities, other administrative expenses, and increased professional fees associated with being a public reporting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Change in fair value of contingent consideration represents the change in the fair value of the additional consideration that we expect to pay to the former Essentialis stockholders based on our assessment of the expected likelihood of achieving two commercial sales milestones of $100.0 million in revenue and $200.0 million in revenue in future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is comprised of the change in the fair value of the 2018 PIPE common stock warrant liabilities, and interest income.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PIPE Warrants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2018 PIPE Warrants in accordance with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2018 PIPE Warrants contain standard anti-dilution provisions for stock dividends, stock splits, subdivisions, combinations and similar types of recapitalization events. The 2018 PIPE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2018 PIPE Warrants are considered to have a cash settlement feature that precludes their classification as equity instruments. Settlement at fair value upon the occurrence of a fundamental transaction would be computed using the Black-Scholes option-pricing model, which approximates the binomial lattice model.</w:t>
      </w:r>
    </w:p>
    <w:p>
      <w:pPr>
        <w:spacing w:after="0" w:line="18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classified the 2018 PIPE Warrants at their fair value and re-measure them at each balance sheet date until they are exercised or expire. Any changes in the fair value are recognized as Other income (expense) in the consolidated statements of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Research and development expenses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We accrue the costs incurred for clinical trial activities as measured by patient progression and the timing of various aspects of the trial. For other services, we accrue the costs in connection with third-party contractor activities based on our estimate of fees and costs associate with the contract that were rendered during the period and they are expensed as incurred.</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restricted stock units granted to employees, nonemployees and directors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8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66" w:lineRule="exact"/>
        <w:rPr>
          <w:sz w:val="20"/>
          <w:szCs w:val="20"/>
          <w:color w:val="auto"/>
        </w:rPr>
      </w:pPr>
    </w:p>
    <w:p>
      <w:pPr>
        <w:ind w:left="900" w:right="440" w:hanging="383"/>
        <w:spacing w:after="0" w:line="284"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We calculated the estimated volatility rate for stock options granted based on the volatility of our common stock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period equal to the expected life of the stock options.</w:t>
      </w:r>
    </w:p>
    <w:p>
      <w:pPr>
        <w:spacing w:after="0" w:line="50"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Due to the lack of historical exercise history, the expected life of our service-based stock options is determined utilizing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spacing w:after="0" w:line="71" w:lineRule="exact"/>
        <w:rPr>
          <w:rFonts w:ascii="Times New Roman" w:cs="Times New Roman" w:eastAsia="Times New Roman" w:hAnsi="Times New Roman"/>
          <w:sz w:val="18"/>
          <w:szCs w:val="18"/>
          <w:color w:val="auto"/>
        </w:rPr>
      </w:pPr>
    </w:p>
    <w:p>
      <w:pPr>
        <w:ind w:left="900" w:right="540" w:hanging="383"/>
        <w:spacing w:after="0" w:line="284"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w:t>
      </w:r>
    </w:p>
    <w:p>
      <w:pPr>
        <w:spacing w:after="0" w:line="50" w:lineRule="exact"/>
        <w:rPr>
          <w:rFonts w:ascii="Times New Roman" w:cs="Times New Roman" w:eastAsia="Times New Roman" w:hAnsi="Times New Roman"/>
          <w:sz w:val="18"/>
          <w:szCs w:val="18"/>
          <w:color w:val="auto"/>
        </w:rPr>
      </w:pPr>
    </w:p>
    <w:p>
      <w:pPr>
        <w:ind w:left="900" w:right="60" w:hanging="383"/>
        <w:spacing w:after="0" w:line="284"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We have never declared or paid any cash dividends and do not presently plan to pay cash dividends in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Consequently, we used an expected dividend yield of zero.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consolidated statements of operations.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agreement to pay the former Essentialis stockholders for achieving certain commercial milestones resulted in the recognition of contingent consideration, which was recorded at the inception of the transaction, and subsequent changes to estimate the amount of contingent consideration to be paid is recognized as expenses or income in the consolidated statements of operations. The fair value of the contingent consideration is based on our analysis of the likelihood of the drug indication moving from Phase 3 through approval by the FDA and then reaching the cumulative revenue milestones.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Warrants and Other Derivative Financial Instruments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account for warrants in accordance with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 classify common stock purchase warrants and other free standing derivative financial instruments as equity if the contracts (i) require physical settlement or net-share settlement or (ii) give us a choice of net-cash settlement or settlement in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the 2018 PIPE Warrants, do not satisfy the criteria for classification as equity instruments due to the existence of certain cash settlement features that are not within our sole control or variable settlement provision that cause them to not be indexed to our stock.</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account for uncertainty in income taxes as required by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6" w:name="page57"/>
    <w:bookmarkEnd w:id="56"/>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8"/>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(712 )</w:t>
            </w:r>
          </w:p>
        </w:tc>
        <w:tc>
          <w:tcPr>
            <w:tcW w:w="3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7"/>
        </w:trPr>
        <w:tc>
          <w:tcPr>
            <w:tcW w:w="5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31,528</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3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(24,397 )</w:t>
            </w:r>
          </w:p>
        </w:tc>
        <w:tc>
          <w:tcPr>
            <w:tcW w:w="3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(31,528 )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41"/>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8"/>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-1456690</wp:posOffset>
            </wp:positionV>
            <wp:extent cx="641223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-1139190</wp:posOffset>
            </wp:positionV>
            <wp:extent cx="641223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2230" cy="3257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-505460</wp:posOffset>
            </wp:positionV>
            <wp:extent cx="6412230" cy="506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50609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have not commenced commercialization of DCCR, our current sole novel therapeutic product, and accordingly, through December 31, 2022, have generated no revenue.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$15.3 million for the year ended December 31, 2022, a decrease of $6.2 million from $21.5 million in 2021. The decrease is primarily due to decreased spending in clinical trials and manufacturing efforts as we awaited FDA guidance on a path forward to obtaining additional controlled clinical data that might support an NDA submission.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$9.8 million for the year ended December 31, 2022, a decrease of $1.0 million from $10.8 million in 2021. The decrease was primarily related to higher stock-based compensation expense and higher professional and consulting expenses in 2021, and these costs did not recur in 2022. These decreases were partially offset by salary and benefits increase associated with increase in headcount.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$8.8 million as of December 31, 2022, a $0.7 million decrease from the estimate as of December 31, 2021.</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2021, in connection with the dissolution of two of the former Essentialis stockholders, we signed an agreement which assigned the right, title and interest to all future earnout payments to the Company. As a result of the assignment, the maximum cash earnout payments decreased from the original $30.0 million to $21.2 million, which resulted in a $4.0 million decrease to the fair value of the contingent consideration liability. This decrease was largely offset by a $3.2 million increase in the fair value of the contingent consideration attributable to an increase in the probability and an acceleration of the expected timeline of achieving the commercial sales milestones based on recent interactions with the FDA.</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had other income, net of $0.3 million, a decrease of $0.3 million from $0.6 million in 2021. The change in fair value of the 2018 Pipe Warrants during 2022 was $0.5 million less than in 2021, partially offset by $0.2 million higher interest income during 2022 compared to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had a net loss of $24.1 million during 2022 and an accumulated deficit of $237.4 million at December 31, 2022 as a result of having incurred losses since our inception. We had $14.6 million in cash and cash equivalents and $8.3 million of working capital at December 31, 2022, and used $20.8 million of cash in operating activities during 2022. We have financed our operations principally through issuances of equity securities. As of December 31, 2022, we had lease obligations totaling $0.2 million to be paid through 2023, consisting of an operating lease for office space in Redwood City, California. In July 2021, we announced that we were implementing an “at-the-market” (ATM) offering for up to $25.0 million. As of December 31, 2022, we have sold 104,793 shares of common stock through the ATM, totaling $0.3 million in net proceeds. In March 2022, we completed a public offering of shares of our common stock and pre-funded warrants and raised $13.8 million in net proceeds. Each share of common stock or pre-funded warrant was sold together with one immediately exercisable common warrant to purchase one share of common stock. In December 2022, we entered into a Securities Purchase Agreement providing for the sale of up to $60.0 million in warrants and the common stock issuable upon the exercise thereof. The receipt of these funds is contingent upon future performance of the Company.</w:t>
      </w:r>
    </w:p>
    <w:p>
      <w:pPr>
        <w:spacing w:after="0" w:line="194" w:lineRule="exact"/>
        <w:rPr>
          <w:sz w:val="20"/>
          <w:szCs w:val="20"/>
          <w:color w:val="auto"/>
        </w:rPr>
      </w:pPr>
    </w:p>
    <w:p>
      <w:pPr>
        <w:ind w:right="80" w:firstLine="666"/>
        <w:spacing w:after="0" w:line="254" w:lineRule="auto"/>
        <w:rPr>
          <w:sz w:val="20"/>
          <w:szCs w:val="20"/>
          <w:color w:val="auto"/>
        </w:rPr>
      </w:pPr>
      <w:r>
        <w:rPr>
          <w:rFonts w:ascii="Times New Roman" w:cs="Times New Roman" w:eastAsia="Times New Roman" w:hAnsi="Times New Roman"/>
          <w:sz w:val="18"/>
          <w:szCs w:val="18"/>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annual report.</w:t>
      </w:r>
    </w:p>
    <w:p>
      <w:pPr>
        <w:spacing w:after="0" w:line="192" w:lineRule="exact"/>
        <w:rPr>
          <w:sz w:val="20"/>
          <w:szCs w:val="20"/>
          <w:color w:val="auto"/>
        </w:rPr>
      </w:pPr>
    </w:p>
    <w:p>
      <w:pPr>
        <w:ind w:right="120" w:firstLine="66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under the assumption we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w:t>
      </w:r>
    </w:p>
    <w:p>
      <w:pPr>
        <w:spacing w:after="0" w:line="259"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5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(in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2"/>
              </w:rPr>
              <w:t>thousands)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(20,781 )</w:t>
            </w: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0"/>
                <w:szCs w:val="20"/>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(13 )</w:t>
            </w:r>
          </w:p>
        </w:tc>
        <w:tc>
          <w:tcPr>
            <w:tcW w:w="3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(6,702 )</w:t>
            </w: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(27,920 )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-187960</wp:posOffset>
            </wp:positionV>
            <wp:extent cx="5143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2022, operating activities used net cash of $20.8 million, which was primarily due to the loss of $24.1 million which included non-cash income of $0.7 million for the change in fair value of contingent consideration, adjusted for non-cash expense of $2.5 million of stock-based compensation expense, $2.0 million of depreciation and amortization, and $0.3 million of non-cash lease expense. Additionally, there was a $0.8 million net increase usage of cash during 2022 due to changes in operating assets and liabilities.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2021, operating activities used net cash of $27.8 million, which was primarily due to the loss of $30.9 million which included non-cash income of $1.2 million for the change in fair value of common stock warrants and contingent consideration, adjusted for non-cash expense of $2.0 million for depreciation and amortization, $3.3 million of stock-based compensation expense, and $0.3 million for non-cash lease expense. Additionally, there was a $1.2 million net increase usage of cash during 2021 due to changes in operating assets and liabilities.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minimal cash used during 2022 and 2021 for the costs of acquiring property and equipment.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During 2022, we received $13.8 million of net cash proceeds from the sale of 2,666,666 shares of our common stock, and for certain investors, in lieu of common stock, pre-funded warrants to purchase 1,333,333 shares of common stock. Each share of common stock or pre-funded warrant was sold together with one, immediately exercisable common warrant with an exercise price of $4.50 per share. As of December 31, 2022, all offering costs have been paid. We also received $0.3 million of net cash proceeds from the sale of 104,793 shares of common stock through the ATM. The net proceeds amount was slightly offset by payments for the taxes from net share-settled vesting of restricted stock.</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had cash and cash equivalents of $14.6 million.</w:t>
      </w:r>
    </w:p>
    <w:p>
      <w:pPr>
        <w:spacing w:after="0" w:line="11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Although the Company entered into a Securities Purchase Agreement in December 2022 for up to $60.0 million in potential gross proceeds to the Company, the funds are contingent upon future performance and therefore may not materialize. Consequently, we believe that we do not have sufficient capital resources to sustain operations through at least the next twelve months from the date of this filing. We expect to continue incurring losses for the foreseeable future and will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210"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We are obligated to make cash earnout payments of up to a maximum of $21.2 million to the former Essentialis stockholders upon the achievement of certain commercial milestones associated with the sale of Essentialis’ product in accordance with the terms of our merger agreement with Essentialis.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color w:val="auto"/>
        </w:rPr>
        <w:t>As of December 31, 2022, we had no off-balance sheet arrangements as defined in Item 303(a)(4) of Regulation S-K as promulgated by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Update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us as of the specified effective date (see Note 3).</w:t>
      </w: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had unrestricted cash and cash equivalents totaling $14.6 million at December 31, 2022.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20" w:type="dxa"/>
            <w:vAlign w:val="bottom"/>
          </w:tcPr>
          <w:p>
            <w:pPr>
              <w:spacing w:after="0"/>
              <w:rPr>
                <w:sz w:val="17"/>
                <w:szCs w:val="17"/>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72"/>
        </w:trPr>
        <w:tc>
          <w:tcPr>
            <w:tcW w:w="4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371"/>
        </w:trPr>
        <w:tc>
          <w:tcPr>
            <w:tcW w:w="28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24"/>
                <w:szCs w:val="24"/>
                <w:color w:val="auto"/>
              </w:rPr>
            </w:pPr>
          </w:p>
        </w:tc>
        <w:tc>
          <w:tcPr>
            <w:tcW w:w="2020" w:type="dxa"/>
            <w:vAlign w:val="bottom"/>
            <w:gridSpan w:val="5"/>
          </w:tcPr>
          <w:p>
            <w:pPr>
              <w:spacing w:after="0"/>
              <w:rPr>
                <w:sz w:val="24"/>
                <w:szCs w:val="24"/>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72"/>
        </w:trPr>
        <w:tc>
          <w:tcPr>
            <w:tcW w:w="42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640" w:type="dxa"/>
            <w:vAlign w:val="bottom"/>
            <w:gridSpan w:val="2"/>
          </w:tcPr>
          <w:p>
            <w:pPr>
              <w:spacing w:after="0"/>
              <w:rPr>
                <w:sz w:val="24"/>
                <w:szCs w:val="24"/>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72"/>
        </w:trPr>
        <w:tc>
          <w:tcPr>
            <w:tcW w:w="29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980" w:type="dxa"/>
            <w:vAlign w:val="bottom"/>
            <w:gridSpan w:val="4"/>
          </w:tcPr>
          <w:p>
            <w:pPr>
              <w:spacing w:after="0"/>
              <w:rPr>
                <w:sz w:val="24"/>
                <w:szCs w:val="24"/>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72"/>
        </w:trPr>
        <w:tc>
          <w:tcPr>
            <w:tcW w:w="4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925"/>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59</w:t>
            </w:r>
          </w:p>
        </w:tc>
      </w:tr>
      <w:tr>
        <w:trPr>
          <w:trHeight w:val="115"/>
        </w:trPr>
        <w:tc>
          <w:tcPr>
            <w:tcW w:w="2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Soleno Therapeutics, Inc. (the “Company”) as of December 31, 2022 and 2021, the related consolidated statements of operations,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Explanatory Paragraph – Going Concern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Accrual of Clinical Trial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records research and development costs associated with clinical trial activities based upon estimates of costs incurred through the balance sheet date that have yet to be invoiced by the contract research organizations (“CRO”) and other vendors.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these expenses according to the progress of the trial as measured by patient progression and the timing of various aspects of the trial. Estimated accruals are determined based on reviewing contractual terms and through communications with internal clinical personnel and external service providers including CRO’s as to the progress or state of its trials. The principal consideration for our determination that performing procedures related to the clinical trial expenses, specifically related to the year-end accrual for clinical trial costs, is a critical audit matter is that there was judgment by management in determining the progress of the activities included in the individual clinical trial agreements based on internal and external information, and involves a high volume of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evaluate the accrual for clinical expenses, our audit procedures included, among others, testing the completeness and accuracy of the underlying data used in the estimates and evaluating the significant assumptions including, but not limited to, subject visit dates and costs per subject visit, that are used by management to estimate the recorded accruals. To assess the reasonableness of the significant assumptions, we obtained an understanding the Company’s estimation process relating to accrual for clinical trial costs, corroborated the progress of clinical trials with the Company’s clinical team and obtained invoices directly from third parties related to active patient sites, currently enrolled patients, and subject visit dates. We also tested a sample of subsequent payments to assess the impact to the accrual through the balance sheet date and compared that to the Company’s estimates.</w:t>
      </w:r>
    </w:p>
    <w:p>
      <w:pPr>
        <w:spacing w:after="0" w:line="75"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Contingent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and is remeasured to its estimated fair value each reporting period, with changes in fair value recorded in the statements of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and future industry, market or economic conditions.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evaluate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Our valuation specialists recalculated the work performed by the Company to ensure that recorded amount was accurate. We also compared the significant assumptions to current industry, market and economic trends.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0"/>
                <w:szCs w:val="20"/>
                <w:color w:val="auto"/>
              </w:rPr>
            </w:pPr>
          </w:p>
        </w:tc>
      </w:tr>
      <w:tr>
        <w:trPr>
          <w:trHeight w:val="241"/>
        </w:trPr>
        <w:tc>
          <w:tcPr>
            <w:tcW w:w="7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shd w:val="clear" w:color="auto" w:fill="CFF0FC"/>
          </w:tcPr>
          <w:p>
            <w:pPr>
              <w:spacing w:after="0"/>
              <w:rPr>
                <w:sz w:val="20"/>
                <w:szCs w:val="20"/>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r>
        <w:trPr>
          <w:trHeight w:val="277"/>
        </w:trPr>
        <w:tc>
          <w:tcPr>
            <w:tcW w:w="7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r>
      <w:tr>
        <w:trPr>
          <w:trHeight w:val="241"/>
        </w:trPr>
        <w:tc>
          <w:tcPr>
            <w:tcW w:w="7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shd w:val="clear" w:color="auto" w:fill="CFF0FC"/>
          </w:tcPr>
          <w:p>
            <w:pPr>
              <w:spacing w:after="0"/>
              <w:rPr>
                <w:sz w:val="20"/>
                <w:szCs w:val="20"/>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20"/>
                <w:szCs w:val="20"/>
                <w:color w:val="auto"/>
              </w:rPr>
            </w:pPr>
          </w:p>
        </w:tc>
      </w:tr>
      <w:tr>
        <w:trPr>
          <w:trHeight w:val="243"/>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21"/>
                <w:szCs w:val="21"/>
                <w:color w:val="auto"/>
              </w:rPr>
            </w:pPr>
          </w:p>
        </w:tc>
      </w:tr>
      <w:tr>
        <w:trPr>
          <w:trHeight w:val="236"/>
        </w:trPr>
        <w:tc>
          <w:tcPr>
            <w:tcW w:w="782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16,149</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100" w:type="dxa"/>
            <w:vAlign w:val="bottom"/>
            <w:tcBorders>
              <w:top w:val="single" w:sz="8" w:color="CFF0FC"/>
            </w:tcBorders>
          </w:tcPr>
          <w:p>
            <w:pPr>
              <w:spacing w:after="0"/>
              <w:rPr>
                <w:sz w:val="20"/>
                <w:szCs w:val="20"/>
                <w:color w:val="auto"/>
              </w:rPr>
            </w:pPr>
          </w:p>
        </w:tc>
      </w:tr>
      <w:tr>
        <w:trPr>
          <w:trHeight w:val="241"/>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w:t>
            </w: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8,159,382 and 5,324,287 shares issued and outstanding at</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r>
      <w:tr>
        <w:trPr>
          <w:trHeight w:val="25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247,762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231,068</w:t>
            </w:r>
          </w:p>
        </w:tc>
        <w:tc>
          <w:tcPr>
            <w:tcW w:w="100" w:type="dxa"/>
            <w:vAlign w:val="bottom"/>
            <w:shd w:val="clear" w:color="auto" w:fill="CFF0FC"/>
          </w:tcPr>
          <w:p>
            <w:pPr>
              <w:spacing w:after="0"/>
              <w:rPr>
                <w:sz w:val="21"/>
                <w:szCs w:val="2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(237,422 )</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(213,355 )</w:t>
            </w:r>
          </w:p>
        </w:tc>
      </w:tr>
      <w:tr>
        <w:trPr>
          <w:trHeight w:val="237"/>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-3608070</wp:posOffset>
            </wp:positionV>
            <wp:extent cx="119126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91260"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-1722120</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4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(712 )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(24,397 )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(31,528 )</w:t>
            </w:r>
          </w:p>
        </w:tc>
        <w:tc>
          <w:tcPr>
            <w:tcW w:w="0" w:type="dxa"/>
            <w:vAlign w:val="bottom"/>
          </w:tcPr>
          <w:p>
            <w:pPr>
              <w:spacing w:after="0"/>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and</w:t>
            </w:r>
          </w:p>
        </w:tc>
        <w:tc>
          <w:tcPr>
            <w:tcW w:w="38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8,397,088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5,318,022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-1456690</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-822325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123444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20574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40" w:type="dxa"/>
            <w:vAlign w:val="bottom"/>
            <w:gridSpan w:val="3"/>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12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5,307,713</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227,987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(182,445</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45,547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20,513</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withholding payments for net share-settled equity awards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(3,938 )</w:t>
            </w: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(30,910 )</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(30,910 )</w:t>
            </w:r>
          </w:p>
        </w:tc>
        <w:tc>
          <w:tcPr>
            <w:tcW w:w="0" w:type="dxa"/>
            <w:vAlign w:val="bottom"/>
          </w:tcPr>
          <w:p>
            <w:pPr>
              <w:spacing w:after="0"/>
              <w:rPr>
                <w:sz w:val="1"/>
                <w:szCs w:val="1"/>
                <w:color w:val="auto"/>
              </w:rPr>
            </w:pPr>
          </w:p>
        </w:tc>
      </w:tr>
      <w:tr>
        <w:trPr>
          <w:trHeight w:val="23"/>
        </w:trPr>
        <w:tc>
          <w:tcPr>
            <w:tcW w:w="43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December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5,324,287</w:t>
            </w:r>
          </w:p>
        </w:tc>
        <w:tc>
          <w:tcPr>
            <w:tcW w:w="240" w:type="dxa"/>
            <w:vAlign w:val="bottom"/>
          </w:tcPr>
          <w:p>
            <w:pPr>
              <w:spacing w:after="0"/>
              <w:rPr>
                <w:sz w:val="19"/>
                <w:szCs w:val="19"/>
                <w:color w:val="auto"/>
              </w:rPr>
            </w:pP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231,143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xml:space="preserve">(213,355 </w:t>
            </w:r>
            <w:r>
              <w:rPr>
                <w:rFonts w:ascii="Times New Roman" w:cs="Times New Roman" w:eastAsia="Times New Roman" w:hAnsi="Times New Roman"/>
                <w:sz w:val="16"/>
                <w:szCs w:val="16"/>
                <w:color w:val="auto"/>
                <w:highlight w:val="white"/>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Tax withholding payments for net share-settled equity awards</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(3,683 )</w:t>
            </w: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2"/>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common stock in public offering, net of issuance costs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$701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2,666,667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Sale of pre-funded warrants in public offering, net of issuance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costs of $333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common stock, net of issuance costs of $10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104,773</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 of common stock warrants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48,688</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(24,067 )</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(24,067 )</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8,159,382</w:t>
            </w:r>
          </w:p>
        </w:tc>
        <w:tc>
          <w:tcPr>
            <w:tcW w:w="2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top w:val="single" w:sz="8" w:color="auto"/>
              <w:bottom w:val="single" w:sz="8" w:color="auto"/>
            </w:tcBorders>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247,762</w:t>
            </w:r>
          </w:p>
        </w:tc>
        <w:tc>
          <w:tcPr>
            <w:tcW w:w="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(237,422</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-2373630</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-2373630</wp:posOffset>
            </wp:positionV>
            <wp:extent cx="685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-2373630</wp:posOffset>
            </wp:positionV>
            <wp:extent cx="6032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-2373630</wp:posOffset>
            </wp:positionV>
            <wp:extent cx="6032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-2373630</wp:posOffset>
            </wp:positionV>
            <wp:extent cx="5969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-1782445</wp:posOffset>
            </wp:positionV>
            <wp:extent cx="685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-1782445</wp:posOffset>
            </wp:positionV>
            <wp:extent cx="685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-1782445</wp:posOffset>
            </wp:positionV>
            <wp:extent cx="60325"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-1782445</wp:posOffset>
            </wp:positionV>
            <wp:extent cx="5969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-24765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-24765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-24765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-7620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17" w:right="7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2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(24,067 )</w:t>
            </w: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(30,910 )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Noncash lease expense</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3,276</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Change in fair value of common stock warrants</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(30 )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(508 )</w:t>
            </w: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10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(712 )</w:t>
            </w: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(731 )</w:t>
            </w: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Prepaid expenses, other current assets and other assets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(139 )</w:t>
            </w: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(1,477 )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(235 )</w:t>
            </w: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Accrued compensation</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(277 )</w:t>
            </w: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Accrued clinical trial site costs</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(198 )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(369 )</w:t>
            </w: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(302 )</w:t>
            </w: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(263 )</w:t>
            </w:r>
          </w:p>
        </w:tc>
      </w:tr>
      <w:tr>
        <w:trPr>
          <w:trHeight w:val="17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Other liabilities</w:t>
            </w: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0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(20,781 )</w:t>
            </w:r>
          </w:p>
        </w:tc>
        <w:tc>
          <w:tcPr>
            <w:tcW w:w="10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(27,770 )</w:t>
            </w: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0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(13 )</w:t>
            </w: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(22 )</w:t>
            </w:r>
          </w:p>
        </w:tc>
      </w:tr>
      <w:tr>
        <w:trPr>
          <w:trHeight w:val="20"/>
        </w:trPr>
        <w:tc>
          <w:tcPr>
            <w:tcW w:w="7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0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(13 )</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(22 )</w:t>
            </w:r>
          </w:p>
        </w:tc>
      </w:tr>
      <w:tr>
        <w:trPr>
          <w:trHeight w:val="16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Gross proceeds from sale of common stock and common stock warrants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15,152</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issuance costs</w:t>
            </w:r>
          </w:p>
        </w:tc>
        <w:tc>
          <w:tcPr>
            <w:tcW w:w="10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(1,044 )</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withholding payments for net share-settled equity awards</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(16 )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(120 )</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paid on finance lease liabilities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(8 )</w:t>
            </w:r>
          </w:p>
        </w:tc>
      </w:tr>
      <w:tr>
        <w:trPr>
          <w:trHeight w:val="20"/>
        </w:trPr>
        <w:tc>
          <w:tcPr>
            <w:tcW w:w="7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14,092</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(128 )</w:t>
            </w:r>
          </w:p>
        </w:tc>
      </w:tr>
      <w:tr>
        <w:trPr>
          <w:trHeight w:val="20"/>
        </w:trPr>
        <w:tc>
          <w:tcPr>
            <w:tcW w:w="77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10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(6,702 )</w:t>
            </w:r>
          </w:p>
        </w:tc>
        <w:tc>
          <w:tcPr>
            <w:tcW w:w="10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(27,920 )</w:t>
            </w:r>
          </w:p>
        </w:tc>
      </w:tr>
      <w:tr>
        <w:trPr>
          <w:trHeight w:val="1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21,304</w:t>
            </w:r>
          </w:p>
        </w:tc>
        <w:tc>
          <w:tcPr>
            <w:tcW w:w="2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10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14,602</w:t>
            </w: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21,304</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information</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 use assets obtained in exchange for operating lease obligations</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-1893570</wp:posOffset>
            </wp:positionV>
            <wp:extent cx="7683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76835"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7683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-505460</wp:posOffset>
            </wp:positionV>
            <wp:extent cx="76835" cy="257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229" w:lineRule="exact"/>
        <w:rPr>
          <w:sz w:val="20"/>
          <w:szCs w:val="20"/>
          <w:color w:val="auto"/>
        </w:rPr>
      </w:pPr>
    </w:p>
    <w:p>
      <w:pPr>
        <w:ind w:right="20" w:firstLine="756"/>
        <w:spacing w:after="0" w:line="266" w:lineRule="auto"/>
        <w:rPr>
          <w:sz w:val="20"/>
          <w:szCs w:val="20"/>
          <w:color w:val="auto"/>
        </w:rPr>
      </w:pPr>
      <w:r>
        <w:rPr>
          <w:rFonts w:ascii="Times New Roman" w:cs="Times New Roman" w:eastAsia="Times New Roman" w:hAnsi="Times New Roman"/>
          <w:sz w:val="18"/>
          <w:szCs w:val="18"/>
          <w:color w:val="auto"/>
        </w:rPr>
        <w:t>Soleno Therapeutics, Inc. (the Company or Soleno) is focused on the development and commercialization of novel therapeutics for the treatment of rare diseases. Its lead candidate is Diazoxide Choline Extended-Release tablets (DCCR), a once-daily oral tablet for the treatment of Prader-Willi Syndrome (PWS). DCCR has received orphan designation for the treatment of PWS in the United States (U.S.) as well as in the European Union (E.U.).</w:t>
      </w:r>
    </w:p>
    <w:p>
      <w:pPr>
        <w:spacing w:after="0" w:line="176" w:lineRule="exact"/>
        <w:rPr>
          <w:sz w:val="20"/>
          <w:szCs w:val="20"/>
          <w:color w:val="auto"/>
        </w:rPr>
      </w:pPr>
    </w:p>
    <w:p>
      <w:pPr>
        <w:ind w:firstLine="756"/>
        <w:spacing w:after="0" w:line="255" w:lineRule="auto"/>
        <w:rPr>
          <w:sz w:val="20"/>
          <w:szCs w:val="20"/>
          <w:color w:val="auto"/>
        </w:rPr>
      </w:pPr>
      <w:r>
        <w:rPr>
          <w:rFonts w:ascii="Times New Roman" w:cs="Times New Roman" w:eastAsia="Times New Roman" w:hAnsi="Times New Roman"/>
          <w:sz w:val="18"/>
          <w:szCs w:val="18"/>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Going Concern and Management’s Plans</w:t>
      </w:r>
    </w:p>
    <w:p>
      <w:pPr>
        <w:spacing w:after="0" w:line="22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had a net loss of $24.1 million during 2022 and has an accumulated deficit of $237.4 million at December 31, 2022 resulting from having incurred losses since its inception. The Company had $14.6 million of cash and cash equivalents on hand at December 31, 2022 and used $20.8 million of cash in its operating activities during 2022.</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under the assumption the Company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7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In March 2022, the Company completed a public offering of its securities and raised $13.8 million in net proceeds. Management believes that the Company will continue to have access to capital resources through possible public or private equity offerings, debt financings, corporate collaborations or other means. However, access to such capital resources is uncertain and not assured. In December 2022, the Company entered into a Securities Purchase Agreement for up to $60.0 million in additional funding if certain conditions are met. Due to the contingent nature of these funds, accounting principles generally accepted in the United States of America (GAAP) requires the Company to exclude them from its going concern analysis.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in accordance with GAAP, and the applicable rules and regulations of the Securities and Exchange Commission (SEC).</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On June 1, 2022, the stockholders of the Company approved a reverse stock split of its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 the financial statements include the valuation of deferred income tax assets, the valuation of financial instruments, stock-based compensation, accrued costs for services rendered in connection with third-party contactor clinical trial activities, and the valuation of contingent liabilities for the purchase price of assets obtained through acquisition.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at U.S. banking institutions, the majority of which are not covered by FDIC insurance. The Company maintains $1 million in its operating account at Silicon Valley Bank and subsequent to the year-end those amounts held in excess of the FDIC insurance limit were at risk as a result of SVB’s closure. On March 10, 2023, the FDIC took control of SVB, and the Federal Reserve announced that account holders would not suffer any loss on deposit balances above the FDIC insurance limit.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Management uses one measurement of profitability and does not segregate its business for internal reporting, making operating decisions, and assessing financial performance. All long-lived assets are maintained in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its money market fund, purchased with an original maturity of three months or less to be cash equivalents. The Company’s cash and cash equivalents are held primarily in institutions in the U.S. and include deposits in a money market fund which was unrestricted as to withdrawal or use.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 of payments primarily related to clinical trials, insurance and short-term deposits. Prepaid expenses are initially recorded upon payment and are expensed as goods or services are received.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 completed the acquisition of Essentialis in accordance with the merger agreement by and between the Company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expires in June 2028.</w:t>
      </w:r>
    </w:p>
    <w:p>
      <w:pPr>
        <w:spacing w:after="0" w:line="72"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2018 PIPE Warrants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2018 PIPE Warrants in accordance with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2018 PIPE Warrants contain standard anti-dilution provisions for stock dividends, stock splits, subdivisions, combinations and similar types of recapitalization events. The 2018 PIPE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2018 PIPE Warrants are considered to have a cash settlement feature that precludes their classification as equity instruments. Settlement at fair value upon the occurrence of a fundamental transaction would be computed using the Black-Scholes option-pricing model, which approximates the binomial lattice model.</w:t>
      </w:r>
    </w:p>
    <w:p>
      <w:pPr>
        <w:spacing w:after="0" w:line="18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classified the 2018 PIPE Warrants as liabilities at their fair value and re-measures them at each balance sheet date until they are exercised or expire. Any changes in the fair value are recognized as Other income (expense)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 with the contract that were rendered during the period and they are expensed as incurred.</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Warrants and Other Derivative Financial Instruments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costs related to stock options and restricted stock units granted to employees, nonemployees and directors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8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w:t>
      </w:r>
    </w:p>
    <w:p>
      <w:pPr>
        <w:spacing w:after="0" w:line="66" w:lineRule="exact"/>
        <w:rPr>
          <w:sz w:val="20"/>
          <w:szCs w:val="20"/>
          <w:color w:val="auto"/>
        </w:rPr>
      </w:pPr>
    </w:p>
    <w:p>
      <w:pPr>
        <w:ind w:left="900" w:right="440" w:hanging="383"/>
        <w:spacing w:after="0" w:line="284"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We calculated the estimated volatility rate for stock options granted based on the volatility of our common stock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period equal to the expected life of the stock options.</w:t>
      </w:r>
    </w:p>
    <w:p>
      <w:pPr>
        <w:spacing w:after="0" w:line="50" w:lineRule="exact"/>
        <w:rPr>
          <w:rFonts w:ascii="Times New Roman" w:cs="Times New Roman" w:eastAsia="Times New Roman" w:hAnsi="Times New Roman"/>
          <w:sz w:val="18"/>
          <w:szCs w:val="18"/>
          <w:color w:val="auto"/>
        </w:rPr>
      </w:pPr>
    </w:p>
    <w:p>
      <w:pPr>
        <w:ind w:left="900" w:right="220" w:hanging="383"/>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Due to the lack of historical exercise history, the expected life of the Company’s service-based stock options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ind w:left="900" w:right="540" w:hanging="383"/>
        <w:spacing w:after="0" w:line="284"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w:t>
      </w:r>
    </w:p>
    <w:p>
      <w:pPr>
        <w:spacing w:after="0" w:line="50"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divided yield: </w:t>
      </w:r>
      <w:r>
        <w:rPr>
          <w:rFonts w:ascii="Times New Roman" w:cs="Times New Roman" w:eastAsia="Times New Roman" w:hAnsi="Times New Roman"/>
          <w:sz w:val="18"/>
          <w:szCs w:val="18"/>
          <w:color w:val="auto"/>
        </w:rPr>
        <w:t>The Company has never declared or paid any cash dividends and do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it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accounts for forfeitures as they occur.</w:t>
      </w: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all of the recently issued, but not yet effective, accounting standards that have been issued or proposed by the Financial Accounting Standards Board (FASB) or other standard-setting bodies through the filing date of these financial statements and does not believe the future adoption of any such pronouncements will have a material effect on the Company’s financial position,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cash, cash equivalents and accounts payable, approximate fair value due to the short-term nature of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1040" w:hanging="502"/>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40" w:right="20" w:hanging="502"/>
        <w:spacing w:after="0" w:line="266"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1040" w:hanging="502"/>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196"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603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-187960</wp:posOffset>
            </wp:positionV>
            <wp:extent cx="5969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9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-685165</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-685165</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-685165</wp:posOffset>
            </wp:positionV>
            <wp:extent cx="6032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73" w:name="page74"/>
    <w:bookmarkEnd w:id="73"/>
    <w:p>
      <w:pPr>
        <w:ind w:right="140" w:firstLine="578"/>
        <w:spacing w:after="0" w:line="266" w:lineRule="auto"/>
        <w:rPr>
          <w:sz w:val="20"/>
          <w:szCs w:val="20"/>
          <w:color w:val="auto"/>
        </w:rPr>
      </w:pPr>
      <w:r>
        <w:rPr>
          <w:rFonts w:ascii="Times New Roman" w:cs="Times New Roman" w:eastAsia="Times New Roman" w:hAnsi="Times New Roman"/>
          <w:sz w:val="18"/>
          <w:szCs w:val="18"/>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p>
    <w:p>
      <w:pPr>
        <w:spacing w:after="0" w:line="243"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Based on the terms of the completed merger with Essentialis on March 7, 2017, the Company is obligated to make cash earnout payments of up to a maximum of $30.0 million to the former Essentialis stockholders. On December 28, 2021, in connection with the dissolution of two of the former Essentialis stockholders, the two former stockholders entered into an agreement with the Company which assigned the right, title and interest to all their future earnout payments to the Company. As a result of the assignment, as of December 31, 2021, and going forward, the maximum cash earnout payments are $21.2 million.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The Level 3 estimates are based, in part, on subjective assumptions. In determining the likelihood of this occurring, the analysis relied on published research relating to clinical development success rates. Based on management’s assessment, a 72% probability of achieving each milestone was determined to be reasonable for each of December 31, 2022 and December 31, 2021. During the periods presented, the Company has not changed the manner in which it values its Essentialis purchase price contingent liability.</w:t>
      </w:r>
    </w:p>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of the fair value hierarchy as of the end of the reporting period. There were no transfers within the hierarchy during the periods presented.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assets and liabilities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2018 PIPE Warrants</w:t>
            </w:r>
          </w:p>
        </w:tc>
        <w:tc>
          <w:tcPr>
            <w:tcW w:w="1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3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700" w:type="dxa"/>
            <w:vAlign w:val="bottom"/>
            <w:tcBorders>
              <w:top w:val="single" w:sz="8" w:color="auto"/>
            </w:tcBorders>
            <w:shd w:val="clear" w:color="auto" w:fill="CFF0FC"/>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2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FF0FC"/>
          </w:tcPr>
          <w:p>
            <w:pPr>
              <w:spacing w:after="0"/>
              <w:rPr>
                <w:sz w:val="20"/>
                <w:szCs w:val="20"/>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1700" w:type="dxa"/>
            <w:vAlign w:val="bottom"/>
          </w:tcPr>
          <w:p>
            <w:pPr>
              <w:spacing w:after="0"/>
              <w:rPr>
                <w:sz w:val="20"/>
                <w:szCs w:val="20"/>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 due to</w:t>
            </w:r>
          </w:p>
        </w:tc>
        <w:tc>
          <w:tcPr>
            <w:tcW w:w="17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future revenue milestones</w:t>
            </w:r>
          </w:p>
        </w:tc>
        <w:tc>
          <w:tcPr>
            <w:tcW w:w="170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 due to</w:t>
            </w:r>
          </w:p>
        </w:tc>
        <w:tc>
          <w:tcPr>
            <w:tcW w:w="1700" w:type="dxa"/>
            <w:vAlign w:val="bottom"/>
          </w:tcPr>
          <w:p>
            <w:pPr>
              <w:spacing w:after="0"/>
              <w:rPr>
                <w:sz w:val="18"/>
                <w:szCs w:val="18"/>
                <w:color w:val="auto"/>
              </w:rPr>
            </w:pPr>
          </w:p>
        </w:tc>
        <w:tc>
          <w:tcPr>
            <w:tcW w:w="166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(3,980 )</w:t>
            </w:r>
          </w:p>
        </w:tc>
        <w:tc>
          <w:tcPr>
            <w:tcW w:w="0" w:type="dxa"/>
            <w:vAlign w:val="bottom"/>
          </w:tcPr>
          <w:p>
            <w:pPr>
              <w:spacing w:after="0"/>
              <w:rPr>
                <w:sz w:val="1"/>
                <w:szCs w:val="1"/>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 of rights to Soleno</w:t>
            </w:r>
          </w:p>
        </w:tc>
        <w:tc>
          <w:tcPr>
            <w:tcW w:w="1700" w:type="dxa"/>
            <w:vAlign w:val="bottom"/>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2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7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2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0"/>
                <w:szCs w:val="20"/>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1700" w:type="dxa"/>
            <w:vAlign w:val="bottom"/>
          </w:tcPr>
          <w:p>
            <w:pPr>
              <w:spacing w:after="0"/>
              <w:rPr>
                <w:sz w:val="20"/>
                <w:szCs w:val="20"/>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 due to</w:t>
            </w:r>
          </w:p>
        </w:tc>
        <w:tc>
          <w:tcPr>
            <w:tcW w:w="17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future revenue milestones</w:t>
            </w:r>
          </w:p>
        </w:tc>
        <w:tc>
          <w:tcPr>
            <w:tcW w:w="170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 due to</w:t>
            </w:r>
          </w:p>
        </w:tc>
        <w:tc>
          <w:tcPr>
            <w:tcW w:w="1700" w:type="dxa"/>
            <w:vAlign w:val="bottom"/>
          </w:tcPr>
          <w:p>
            <w:pPr>
              <w:spacing w:after="0"/>
              <w:rPr>
                <w:sz w:val="18"/>
                <w:szCs w:val="18"/>
                <w:color w:val="auto"/>
              </w:rPr>
            </w:pPr>
          </w:p>
        </w:tc>
        <w:tc>
          <w:tcPr>
            <w:tcW w:w="166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 of rights to Soleno</w:t>
            </w:r>
          </w:p>
        </w:tc>
        <w:tc>
          <w:tcPr>
            <w:tcW w:w="1700" w:type="dxa"/>
            <w:vAlign w:val="bottom"/>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2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700" w:type="dxa"/>
            <w:vAlign w:val="bottom"/>
            <w:tcBorders>
              <w:top w:val="single" w:sz="8" w:color="auto"/>
              <w:bottom w:val="single" w:sz="8" w:color="auto"/>
            </w:tcBorders>
            <w:shd w:val="clear" w:color="auto" w:fill="CFF0FC"/>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2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top w:val="single" w:sz="8" w:color="auto"/>
              <w:bottom w:val="single" w:sz="8" w:color="auto"/>
            </w:tcBorders>
            <w:shd w:val="clear" w:color="auto" w:fill="CFF0FC"/>
          </w:tcPr>
          <w:p>
            <w:pPr>
              <w:spacing w:after="0"/>
              <w:rPr>
                <w:sz w:val="23"/>
                <w:szCs w:val="23"/>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3"/>
                <w:szCs w:val="23"/>
                <w:color w:val="auto"/>
              </w:rPr>
            </w:pP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633"/>
        </w:trPr>
        <w:tc>
          <w:tcPr>
            <w:tcW w:w="3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-521970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-504825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-521970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-504825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Note 5. Other Financial Statement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are summarized in the following table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20"/>
                <w:szCs w:val="20"/>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r>
      <w:tr>
        <w:trPr>
          <w:trHeight w:val="241"/>
        </w:trPr>
        <w:tc>
          <w:tcPr>
            <w:tcW w:w="5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20"/>
                <w:szCs w:val="20"/>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(75 )</w:t>
            </w: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77"/>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Depreciation expense was approximately $20,000 and $19,000 for the years ended December 31, 2022 and December 31, 2021, respectively.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1600" w:type="dxa"/>
            <w:vAlign w:val="bottom"/>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Patents and merger costs</w:t>
            </w:r>
          </w:p>
        </w:tc>
        <w:tc>
          <w:tcPr>
            <w:tcW w:w="7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22,003</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(11,310</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10,693</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22,003</w:t>
            </w:r>
          </w:p>
        </w:tc>
        <w:tc>
          <w:tcPr>
            <w:tcW w:w="200" w:type="dxa"/>
            <w:vAlign w:val="bottom"/>
            <w:shd w:val="clear" w:color="auto" w:fill="CFF0FC"/>
          </w:tcPr>
          <w:p>
            <w:pPr>
              <w:spacing w:after="0"/>
              <w:rPr>
                <w:sz w:val="14"/>
                <w:szCs w:val="14"/>
                <w:color w:val="auto"/>
              </w:rPr>
            </w:pPr>
          </w:p>
        </w:tc>
        <w:tc>
          <w:tcPr>
            <w:tcW w:w="860" w:type="dxa"/>
            <w:vAlign w:val="bottom"/>
            <w:tcBorders>
              <w:top w:val="single" w:sz="8" w:color="auto"/>
              <w:right w:val="single" w:sz="8" w:color="CFF0FC"/>
            </w:tcBorders>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(9,366</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8480" w:type="dxa"/>
            <w:vAlign w:val="bottom"/>
            <w:gridSpan w:val="18"/>
          </w:tcPr>
          <w:p>
            <w:pPr>
              <w:jc w:val="right"/>
              <w:ind w:right="428"/>
              <w:spacing w:after="0"/>
              <w:rPr>
                <w:sz w:val="20"/>
                <w:szCs w:val="20"/>
                <w:color w:val="auto"/>
              </w:rPr>
            </w:pPr>
            <w:r>
              <w:rPr>
                <w:rFonts w:ascii="Times New Roman" w:cs="Times New Roman" w:eastAsia="Times New Roman" w:hAnsi="Times New Roman"/>
                <w:sz w:val="18"/>
                <w:szCs w:val="18"/>
                <w:color w:val="auto"/>
                <w:w w:val="99"/>
              </w:rPr>
              <w:t>Future amortization expense for intangible assets over their remaining useful lives is as follows (in thousands):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right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right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2,917</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10,693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$1.9 million for the year ended December 31, 2022 and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Warrants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18"/>
          <w:szCs w:val="18"/>
          <w:i w:val="1"/>
          <w:iCs w:val="1"/>
          <w:color w:val="auto"/>
        </w:rPr>
        <w:t>ASC 815 Derivatives and Hedging.</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76" w:right="8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2018 PIPE Offering</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2018 PIPE Warrants were issued on December 19, 2018 in the 2018 PIPE Offering, pursuant to a Warrant Agreement with each of the investors in the 2018 PIPE Offering, and entitle the holders to purchase 34,231 shares of the Company’s common stock at an exercise price equal to $30.00 per share, subject to adjustment as discussed below, at any time commencing upon issuance of the 2018 PIPE Warrants and terminating on December 21, 2023.</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2018 PIPE Warrants may be adjusted in certain circumstances, including in the event of a stock split, stock dividend, extraordinary dividend, or recapitalization, reorganization, merger or consolidation. However, the exercise price of the 2018 PIPE Warrants will not be reduced below $30.00.</w:t>
      </w:r>
    </w:p>
    <w:p>
      <w:pPr>
        <w:spacing w:after="0" w:line="176"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Black-Scholes methodology.</w:t>
      </w:r>
    </w:p>
    <w:p>
      <w:pPr>
        <w:spacing w:after="0" w:line="14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consolidated statements of operations and comprehensive loss.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fair value of the 2018 PIPE Warrants was estimated at approximately $1,000 and $31,000, respectively. The $30,000 and $0.5 million decrease in the fair value of the liability for the 2018 PIPE Warrants during the years ended December 31, 2022 and 2021, respectively, was recorded as Other income in the consolidated statements of operations.</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 has calculated the fair value of the 2018 PIPE Warrants using a Black-Scholes option-pricing model. The following summarizes certain key assumptions used in estimating the fair values: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700" w:type="dxa"/>
            <w:vAlign w:val="bottom"/>
            <w:gridSpan w:val="2"/>
          </w:tcPr>
          <w:p>
            <w:pPr>
              <w:ind w:left="80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r>
      <w:tr>
        <w:trPr>
          <w:trHeight w:val="22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Contractual term (years)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480" w:hanging="383"/>
        <w:spacing w:after="0" w:line="284"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Company calculated the estimated volatility rate for stock options granted based on the volatility of its common stock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period equal to the expected life of the stock options.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Contractual term: </w:t>
      </w:r>
      <w:r>
        <w:rPr>
          <w:rFonts w:ascii="Times New Roman" w:cs="Times New Roman" w:eastAsia="Times New Roman" w:hAnsi="Times New Roman"/>
          <w:sz w:val="18"/>
          <w:szCs w:val="18"/>
          <w:color w:val="auto"/>
        </w:rPr>
        <w:t>The expected life of the warrants, which is based on the contractual term of the warrants.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4"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never declared or paid any cash dividends and does not currently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U.S. Treasury rate for similar periods as the expected life of the warrants.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July 2019, the Company executed a non-cancellable lease agreement for 6,368 square feet of new space in Redwood City, California, which began in September 2019 and expired in May 2021. In April 2021, the Company</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8" w:right="279" w:bottom="1440" w:gutter="0" w:footer="0" w:header="0"/>
        </w:sectPr>
      </w:pPr>
    </w:p>
    <w:bookmarkStart w:id="76" w:name="page77"/>
    <w:bookmarkEnd w:id="76"/>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executed a non-cancellable operating lease agreement for the same 6,368 square feet of space, which began in June 2021 and expires in May 2023. The lease that expired in May 2021 also provided the Company with the right to use office furniture in the space and allowed the purchase of this furniture at the end of the lease term for $1. The Company has accounted for both leases of office space as operating leases. The office furniture included in the lease that expired in May 2021 was accounted for as a finance lease based on its relative standalone price as compared to the office space.</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operating lease ROU assets, current operating lease liabilities and long-term operating lease liabilities each appear as a separate line within the Company’s consolidated balance sheet. There were no current and long-term finance lease liabilities as of December 31, 2022 and December 31, 2021. As of December 31, 2022 and December 31, 2021, the Company’s short-term liabilities were equal to $0.2 million and $0.3 million, respectively, and the long-term operating lease liabilities were equal to $0.2 million as of December 31, 2021.</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7360" w:type="dxa"/>
            <w:vAlign w:val="bottom"/>
          </w:tcPr>
          <w:p>
            <w:pPr>
              <w:spacing w:after="0"/>
              <w:rPr>
                <w:sz w:val="11"/>
                <w:szCs w:val="11"/>
                <w:color w:val="auto"/>
              </w:rPr>
            </w:pPr>
          </w:p>
        </w:tc>
        <w:tc>
          <w:tcPr>
            <w:tcW w:w="13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7360" w:type="dxa"/>
            <w:vAlign w:val="bottom"/>
          </w:tcPr>
          <w:p>
            <w:pPr>
              <w:spacing w:after="0"/>
              <w:rPr>
                <w:sz w:val="16"/>
                <w:szCs w:val="16"/>
                <w:color w:val="auto"/>
              </w:rPr>
            </w:pPr>
          </w:p>
        </w:tc>
        <w:tc>
          <w:tcPr>
            <w:tcW w:w="13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340" w:type="dxa"/>
            <w:vAlign w:val="bottom"/>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3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1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7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340" w:type="dxa"/>
            <w:vAlign w:val="bottom"/>
            <w:tcBorders>
              <w:bottom w:val="single" w:sz="8" w:color="auto"/>
            </w:tcBorders>
            <w:shd w:val="clear" w:color="auto" w:fill="CFF0FC"/>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340" w:type="dxa"/>
            <w:vAlign w:val="bottom"/>
            <w:shd w:val="clear" w:color="auto" w:fill="CFF0FC"/>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340" w:type="dxa"/>
            <w:vAlign w:val="bottom"/>
            <w:tcBorders>
              <w:bottom w:val="single" w:sz="8" w:color="auto"/>
            </w:tcBorders>
            <w:shd w:val="clear" w:color="auto" w:fill="CFF0FC"/>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-831215</wp:posOffset>
            </wp:positionV>
            <wp:extent cx="1379855" cy="3346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9855" cy="3346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00"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r>
      <w:tr>
        <w:trPr>
          <w:trHeight w:val="247"/>
        </w:trPr>
        <w:tc>
          <w:tcPr>
            <w:tcW w:w="8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future maturities of the Company’s operating lease liabilities as of December 31, 2022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5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5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3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180" w:type="dxa"/>
            <w:vAlign w:val="bottom"/>
            <w:tcBorders>
              <w:top w:val="single" w:sz="8" w:color="CFF0FC"/>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180" w:type="dxa"/>
            <w:vAlign w:val="bottom"/>
            <w:vMerge w:val="restart"/>
          </w:tcPr>
          <w:p>
            <w:pPr>
              <w:jc w:val="right"/>
              <w:ind w:right="2990"/>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7" w:name="page78"/>
    <w:bookmarkEnd w:id="77"/>
    <w:p>
      <w:pPr>
        <w:ind w:right="40" w:firstLine="509"/>
        <w:spacing w:after="0" w:line="285" w:lineRule="auto"/>
        <w:rPr>
          <w:sz w:val="20"/>
          <w:szCs w:val="20"/>
          <w:color w:val="auto"/>
        </w:rPr>
      </w:pPr>
      <w:r>
        <w:rPr>
          <w:rFonts w:ascii="Times New Roman" w:cs="Times New Roman" w:eastAsia="Times New Roman" w:hAnsi="Times New Roman"/>
          <w:sz w:val="17"/>
          <w:szCs w:val="17"/>
          <w:color w:val="auto"/>
        </w:rPr>
        <w:t>The weighted-average remaining lease term was 0.4 as of December 31, 2022 for the operating leases, and 1.4 years as of December 31, 2021 for both the operating and finance leases. The weighted average discount rate related to the Company’s operating lease liabilities was 9% as of December 31, 2022 for the operating leases, and 9% as of December 31, 2021 for both the operating and financing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is expected to occur in the second quarter of 2023 (“Issue Date”), subject to the satisfaction of certain closing conditions, including the completion of enrollment in the randomized withdrawal period of Study C602, an ongoing open-label extension study of DCCR for the treatment of PWS.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warrants are separated into two tranches with 8,598,870 Tranche A Warrants and 14,000,000 Tranche B Warrants. The Tranche A warrants are exercisable for $1.75 per share, with an aggregate exercise price of up to approximately $15.0 million, and the Tranche B warrants are exercisable for $2.50 per share, with an aggregate exercise price of up to $35.0 million. The Tranche A warrants are immediately exercisable and must be exercised within 30 days of announcement of positive top-line data from the randomized withdrawal period of Study C602 and will expire if positive top-line data is not announced prior to the 3.5 year anniversary of the date of issuance. The Tranche B warrants are also immediately exercisable and expire upon the earlier of 3.5 years from the date of issuance or 30 days following receipt of U.S. Food and Drug Administration approval of DCCR for the treatment of PWS.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229"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On March 31, 2022, the Company sold 2,666,666 shares of its common stock at a public offering price of $3.75,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2022 pre-funded warrants are immediately exercisable and may be exercised at any time until all of the 2022 pre-funded warrants are exercised in full. Each share of common stock or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July 2021, the Company entered into a Controlled Equity Offering Sales Agreement under which the Company may sell shares of its common stock having an aggregate offering price of up to $25.0 million from time to time in any method permitted by law deemed to be an “at the market” Rule 415 under the Securities Act of 1933, as amended. As of December 31, 2022, we have sold 104,773 shares of common stock through the at the market program, totaling $0.3 million in net proceeds.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Common Stock Warrants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6,804 common stock warrants outstanding from the 2010/2012 convertible notes, with an exercise price of $365.25 and a term of 10 years expiring in November 2024. The Company also had outstanding 1,100 common stock warrants issued to the underwriter in the Company’s IPO, with an exercise price of $535.50 and a term of 10 years, expiring in November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Plan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has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 total of 16,930 shares were available for future grant under the 2014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4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Company’s 2014 Equity Incentive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 total of 85,668 shares were available for future grant under the Inducement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options and restricted stock units granted to employees, directors and consultants for the years ended December 31, 2022 and 2021 of $2.5 million and $3.3 million, respectively. The compensation expense is allocated on a departmental basis, based on the classification of the option holder. No income tax benefits have been recognized in the statements of operations for stock-based compensation arrangements during the year ended December 31, 2022 and December 31, 2021.</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compensation expense was allocated between departments as follows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FF0FC"/>
          </w:tcPr>
          <w:p>
            <w:pPr>
              <w:spacing w:after="0"/>
              <w:rPr>
                <w:sz w:val="20"/>
                <w:szCs w:val="20"/>
                <w:color w:val="auto"/>
              </w:rPr>
            </w:pP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20"/>
                <w:szCs w:val="20"/>
                <w:color w:val="auto"/>
              </w:rPr>
            </w:pPr>
          </w:p>
        </w:tc>
      </w:tr>
      <w:tr>
        <w:trPr>
          <w:trHeight w:val="276"/>
        </w:trPr>
        <w:tc>
          <w:tcPr>
            <w:tcW w:w="6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8"/>
          <w:szCs w:val="18"/>
          <w:color w:val="auto"/>
        </w:rPr>
        <w:t>The Company granted options to purchase 283,919 and 230,854 of the Company’s common stock during the years ended December 31, 2022 and 2021, respectively. Of the total options granted during the year ended December 31, 2021, 47,250 were performance-based options, and no performance options were granted in 2022. The fair value of each award granted was estimated on the date of grant using the Black-Scholes option pricing model with the following assumptions: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31"/>
        </w:trPr>
        <w:tc>
          <w:tcPr>
            <w:tcW w:w="5400" w:type="dxa"/>
            <w:vAlign w:val="bottom"/>
          </w:tcPr>
          <w:p>
            <w:pPr>
              <w:spacing w:after="0"/>
              <w:rPr>
                <w:sz w:val="11"/>
                <w:szCs w:val="11"/>
                <w:color w:val="auto"/>
              </w:rPr>
            </w:pPr>
          </w:p>
        </w:tc>
        <w:tc>
          <w:tcPr>
            <w:tcW w:w="118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16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5.5-6.0</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5.5-6.0</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1.7%-3.1%</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rPr>
              <w:t>0.6%-1.4%</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88%-95%</w:t>
            </w:r>
          </w:p>
        </w:tc>
        <w:tc>
          <w:tcPr>
            <w:tcW w:w="1280" w:type="dxa"/>
            <w:vAlign w:val="bottom"/>
            <w:gridSpan w:val="2"/>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89%-108%</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23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180" w:hanging="383"/>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5" w:lineRule="exact"/>
        <w:rPr>
          <w:rFonts w:ascii="Times New Roman" w:cs="Times New Roman" w:eastAsia="Times New Roman" w:hAnsi="Times New Roman"/>
          <w:sz w:val="18"/>
          <w:szCs w:val="18"/>
          <w:color w:val="auto"/>
        </w:rPr>
      </w:pPr>
    </w:p>
    <w:p>
      <w:pPr>
        <w:ind w:left="900" w:right="140" w:hanging="383"/>
        <w:spacing w:after="0" w:line="284"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liquidity.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ind w:left="900" w:right="60" w:hanging="383"/>
        <w:spacing w:after="0" w:line="284"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00" w:hanging="383"/>
        <w:spacing w:after="0" w:line="284"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16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and restricted stock unit transactions for the years ended December 31, 2022 and 2021 as issued under the 2014 Plan and the Inducement Plan:</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189,142</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(11,667 )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408,329</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283,919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(5,674 )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686,574</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663,616</w:t>
            </w:r>
          </w:p>
        </w:tc>
        <w:tc>
          <w:tcPr>
            <w:tcW w:w="12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vMerge w:val="restart"/>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-1130935</wp:posOffset>
            </wp:positionV>
            <wp:extent cx="6858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-1130935</wp:posOffset>
            </wp:positionV>
            <wp:extent cx="68580"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-1130935</wp:posOffset>
            </wp:positionV>
            <wp:extent cx="60325"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-496570</wp:posOffset>
            </wp:positionV>
            <wp:extent cx="2451735"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51735" cy="20574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employee options granted was $2.62 and $25.5 per share for the years ended December 31, 2022 and December 31, 2021, respectively. At December 31, 2022 total unrecognized employee stock-based compensation for options that are expected to vest was $3.2 million, which is expected to be recognized over the weighted-average remaining vesting period of 1.8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There were 8,965 and 11,863 restricted stock units granted by the Company during the years ended December 31, 2022 and December 31, 2021,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years ended December 31, 2022 and 2021 as issued under the 2014 Plan: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2"/>
                <w:szCs w:val="12"/>
                <w:color w:val="auto"/>
              </w:rPr>
            </w:pPr>
          </w:p>
        </w:tc>
        <w:tc>
          <w:tcPr>
            <w:tcW w:w="11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1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398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38,733</w:t>
            </w: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39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(21,546 )</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980" w:type="dxa"/>
            <w:vAlign w:val="bottom"/>
            <w:tcBorders>
              <w:top w:val="single" w:sz="8" w:color="CFF0FC"/>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5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5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(18,646 )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 cancelled/forfeited</w:t>
            </w:r>
          </w:p>
        </w:tc>
        <w:tc>
          <w:tcPr>
            <w:tcW w:w="39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3980" w:type="dxa"/>
            <w:vAlign w:val="bottom"/>
            <w:tcBorders>
              <w:top w:val="single" w:sz="8" w:color="CFF0FC"/>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98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-1310640</wp:posOffset>
            </wp:positionV>
            <wp:extent cx="6858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-685165</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81" w:name="page82"/>
    <w:bookmarkEnd w:id="81"/>
    <w:p>
      <w:pPr>
        <w:ind w:left="520"/>
        <w:spacing w:after="0"/>
        <w:rPr>
          <w:sz w:val="20"/>
          <w:szCs w:val="20"/>
          <w:color w:val="auto"/>
        </w:rPr>
      </w:pPr>
      <w:r>
        <w:rPr>
          <w:rFonts w:ascii="Times New Roman" w:cs="Times New Roman" w:eastAsia="Times New Roman" w:hAnsi="Times New Roman"/>
          <w:sz w:val="18"/>
          <w:szCs w:val="18"/>
          <w:color w:val="auto"/>
        </w:rPr>
        <w:t>The weighted-average grant-date fair value of all restricted stock units granted was $5.33 and $15.68 per share during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respectively. The fair value of all restricted stock units vested during the year ended December 31, 2022 and 2021 was $0.1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respectively. At December 31, 2022 total unrecognized employee stock-based compensation related to restricted stock units was $0.6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expected to be recognized over the weighted-average remaining vesting period of 1.1 years.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5"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3,729 shares;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there were no purchases by employees under this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geographical distribution of loss before income taxes are summarized below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(24,173</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(457 )</w:t>
            </w:r>
          </w:p>
        </w:tc>
      </w:tr>
      <w:tr>
        <w:trPr>
          <w:trHeight w:val="27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provision for income tax benefit differs from the amount estimated by applying the statutory federal income tax rate to the operating loss due to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5"/>
        </w:trPr>
        <w:tc>
          <w:tcPr>
            <w:tcW w:w="1700" w:type="dxa"/>
            <w:vAlign w:val="bottom"/>
          </w:tcPr>
          <w:p>
            <w:pPr>
              <w:spacing w:after="0"/>
              <w:rPr>
                <w:sz w:val="17"/>
                <w:szCs w:val="17"/>
                <w:color w:val="auto"/>
              </w:rPr>
            </w:pPr>
          </w:p>
        </w:tc>
        <w:tc>
          <w:tcPr>
            <w:tcW w:w="37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Tax (benefit) on the loss before income tax expense</w:t>
            </w:r>
          </w:p>
        </w:tc>
        <w:tc>
          <w:tcPr>
            <w:tcW w:w="1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48"/>
        </w:trPr>
        <w:tc>
          <w:tcPr>
            <w:tcW w:w="1700" w:type="dxa"/>
            <w:vAlign w:val="bottom"/>
          </w:tcPr>
          <w:p>
            <w:pPr>
              <w:spacing w:after="0"/>
              <w:rPr>
                <w:sz w:val="21"/>
                <w:szCs w:val="21"/>
                <w:color w:val="auto"/>
              </w:rPr>
            </w:pPr>
          </w:p>
        </w:tc>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computed at the federal statutory rate</w:t>
            </w:r>
          </w:p>
        </w:tc>
        <w:tc>
          <w:tcPr>
            <w:tcW w:w="17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(5,055 )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(6,501 )</w:t>
            </w:r>
          </w:p>
        </w:tc>
        <w:tc>
          <w:tcPr>
            <w:tcW w:w="1680" w:type="dxa"/>
            <w:vAlign w:val="bottom"/>
          </w:tcPr>
          <w:p>
            <w:pPr>
              <w:spacing w:after="0"/>
              <w:rPr>
                <w:sz w:val="21"/>
                <w:szCs w:val="21"/>
                <w:color w:val="auto"/>
              </w:rPr>
            </w:pPr>
          </w:p>
        </w:tc>
      </w:tr>
      <w:tr>
        <w:trPr>
          <w:trHeight w:val="211"/>
        </w:trPr>
        <w:tc>
          <w:tcPr>
            <w:tcW w:w="1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at statutory rate, net of federal</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1"/>
        </w:trPr>
        <w:tc>
          <w:tcPr>
            <w:tcW w:w="170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(527 )</w:t>
            </w:r>
          </w:p>
        </w:tc>
        <w:tc>
          <w:tcPr>
            <w:tcW w:w="360" w:type="dxa"/>
            <w:vAlign w:val="bottom"/>
          </w:tcPr>
          <w:p>
            <w:pPr>
              <w:spacing w:after="0"/>
              <w:rPr>
                <w:sz w:val="20"/>
                <w:szCs w:val="20"/>
                <w:color w:val="auto"/>
              </w:rPr>
            </w:pPr>
          </w:p>
        </w:tc>
        <w:tc>
          <w:tcPr>
            <w:tcW w:w="2540" w:type="dxa"/>
            <w:vAlign w:val="bottom"/>
            <w:gridSpan w:val="3"/>
          </w:tcPr>
          <w:p>
            <w:pPr>
              <w:jc w:val="right"/>
              <w:ind w:right="1680"/>
              <w:spacing w:after="0"/>
              <w:rPr>
                <w:sz w:val="20"/>
                <w:szCs w:val="20"/>
                <w:color w:val="auto"/>
              </w:rPr>
            </w:pPr>
            <w:r>
              <w:rPr>
                <w:rFonts w:ascii="Times New Roman" w:cs="Times New Roman" w:eastAsia="Times New Roman" w:hAnsi="Times New Roman"/>
                <w:sz w:val="18"/>
                <w:szCs w:val="18"/>
                <w:color w:val="auto"/>
              </w:rPr>
              <w:t>(2,342 )</w:t>
            </w:r>
          </w:p>
        </w:tc>
      </w:tr>
      <w:tr>
        <w:trPr>
          <w:trHeight w:val="250"/>
        </w:trPr>
        <w:tc>
          <w:tcPr>
            <w:tcW w:w="170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research and development credits</w:t>
            </w: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(652 )</w:t>
            </w:r>
          </w:p>
        </w:tc>
        <w:tc>
          <w:tcPr>
            <w:tcW w:w="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net operating loss true up</w:t>
            </w: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capital losses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state rates</w:t>
            </w:r>
          </w:p>
        </w:tc>
        <w:tc>
          <w:tcPr>
            <w:tcW w:w="1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5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3"/>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-521970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-504825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2" w:name="page83"/>
    <w:bookmarkEnd w:id="82"/>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2022 and 2021 (in thousands):</w:t>
      </w:r>
    </w:p>
    <w:p>
      <w:pPr>
        <w:spacing w:after="0" w:line="21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49,024</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Reserves and accruals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loss carryover</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Gross non-current deferred tax assets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54,969</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(2,888 )</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(35 )</w:t>
            </w:r>
          </w:p>
        </w:tc>
        <w:tc>
          <w:tcPr>
            <w:tcW w:w="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non-current deferred tax liabilities</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(2,923 )</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(3,654 )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57,017</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51,315</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(57,017 )</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(51,315 )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-668020</wp:posOffset>
            </wp:positionV>
            <wp:extent cx="51435"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-350520</wp:posOffset>
            </wp:positionV>
            <wp:extent cx="5143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3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recorded a full valuation allowance against its net deferred tax assets due to the uncertainty as to whether such assets will be realized. The valuation allowance increased by $5.7 million from December 31, 2021 to December 31, 2022 primarily due to the generation of current year net operating losses, research and development credits claimed, capitalized research and developments costs, and stock-based compensation.</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$195.0 million of federal, $110.4 million of state and $2.5 million of foreign net operating losses available to offset future taxable income. The Federal net operating loss carryforwards arising from years prior to 2018 began to expire in 2023, however post 2017 federal net operating loss carryforwards of $90.1 million may be carried forward indefinitely. The state net operating loss carryforwards will begin to expire in 2028 and the foreign net operating loss carryforward can be carried forward indefinitely, if not utilized. As of December 31, 2022, the Company also had $3.9 million of federal and $2.5 million of state research and development credit carryforwards. The federal research and development credit carryforward begin to expire in 2024 and the state research and development credit can be carried forward indefinitely. Beginning in fiscal year 2023, the Tax Cuts and Jobs Act of 2017 eliminates the option to deduct research and development expenditures currently and requires taxpayers to amortize such costs over a period of five or fifteen years. While it is possible that Congress may modify, defer, or repeal such provision, we have no assurance that the provision will be modified, deferred or repealed.</w:t>
      </w:r>
    </w:p>
    <w:p>
      <w:pPr>
        <w:spacing w:after="0" w:line="188"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is currently in the process of analyzing whether there was an ownership change, as defined under Section 382 of the Internal Revenue Code, resulting from the issuance of new shares during 2018 through 2021 and expects that analysis to completed during 2022. As such, as of the date of these consolidated financial statements the Company is not able to determine the impact on the net operating loss (NOL) carryforwards, if 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3" w:name="page84"/>
    <w:bookmarkEnd w:id="83"/>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U.S. taxes and foreign withholding taxes have not been provided on undistributed earnings for certain non-U.S. subsidiaries as of December 31, 2022, as the earnings, if any, are intended to be indefinitely reinvested.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activities of gross unrecognized tax benefits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2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1,557</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7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1,936</w:t>
            </w: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-187960</wp:posOffset>
            </wp:positionV>
            <wp:extent cx="5143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1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uses the “more likely than not” criterion for recognizing the tax benefit of uncertain tax positions and to establish measurement criteria for income tax benefits. The Company has determined it has $1.9 million of unrecognized assets and liabilities related to uncertain tax positions as of December 31, 2022.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unrecognized tax benefits that would impact the effective tax rate as of December 31, 2022 and December 31, 2021. As of December 31, 2022, unrecognized tax benefits of $1.9 million would be offset by a change in valuation allowance.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certain state jurisdictions, United Kingdom and Ireland. In the normal course of business, the Company is subject to examination by federal, state, local and foreign jurisdictions, where applicable. In the U.S federal jurisdiction, tax years 2003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Basic net loss per share is computed by dividing net loss by the weighted-average number of common shares outstanding during the period. Diluted net loss per share is computed by dividing net loss by the weighted-average number of common shares outstanding and dilutive potential common shares that would be issued upon the exercise or vesting of common stock awards and exercise of common stock warrants that are not pre-funded. Potential common shares that are issuable for little or no cash consideration at issuance, such as the Company’s pre-funded warrants issued in March 2022, are considered outstanding common shares and are included in the calculation of basic and diluted net loss per share in accordance with </w:t>
      </w:r>
      <w:r>
        <w:rPr>
          <w:rFonts w:ascii="Times New Roman" w:cs="Times New Roman" w:eastAsia="Times New Roman" w:hAnsi="Times New Roman"/>
          <w:sz w:val="18"/>
          <w:szCs w:val="18"/>
          <w:i w:val="1"/>
          <w:iCs w:val="1"/>
          <w:color w:val="auto"/>
        </w:rPr>
        <w:t>ASC 260 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The Company applies the two-class method to calculate basic and diluted net loss per share as the 2022 common warrants issued in March 2022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securities. However, the two-class method does not impact the net loss per share of common stock as the 2022 common warrants issued in March 2022 do not participate in losses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For the years ended December 31, 2022 and 2021, the effect of issuing the potential common stock is anti-dilutive due to the net losses in those periods and therefore the number of shares used to compute basic and diluted net loss per share are the same in each of those periods.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4" w:name="page85"/>
    <w:bookmarkEnd w:id="84"/>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5"/>
        </w:trPr>
        <w:tc>
          <w:tcPr>
            <w:tcW w:w="53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Warrants issued to 2010/2012 convertible note</w:t>
            </w:r>
          </w:p>
        </w:tc>
        <w:tc>
          <w:tcPr>
            <w:tcW w:w="11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 to purchase common stock</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408,370</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80" w:type="dxa"/>
            <w:vAlign w:val="bottom"/>
            <w:shd w:val="clear" w:color="auto" w:fill="CFF0FC"/>
          </w:tcPr>
          <w:p>
            <w:pPr>
              <w:spacing w:after="0"/>
              <w:rPr>
                <w:sz w:val="21"/>
                <w:szCs w:val="21"/>
                <w:color w:val="auto"/>
              </w:rPr>
            </w:pP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to underwriter to purchase common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20"/>
                <w:szCs w:val="20"/>
                <w:color w:val="auto"/>
              </w:rPr>
            </w:pPr>
          </w:p>
        </w:tc>
      </w:tr>
      <w:tr>
        <w:trPr>
          <w:trHeight w:val="25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2022 common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77"/>
        </w:trPr>
        <w:tc>
          <w:tcPr>
            <w:tcW w:w="5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4,747,787</w:t>
            </w:r>
          </w:p>
        </w:tc>
        <w:tc>
          <w:tcPr>
            <w:tcW w:w="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479,565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Defined Contribution Plan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The Company made no matching contributions during the year ended December 31,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December 31, 2022 through the date these consolidated financial statements were issued and has determined that there are no subsequent events requiring disclosure in these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ind w:left="520" w:right="460" w:hanging="41"/>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reports filed under the Securities Exchange Act of 1934, as amended (the Exchange Act), is recorded, processed, summarized and reported within the time periods specified in U.S. Securities and Exchange Commission,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74"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our control over financial reporting based on the 2013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Based on this evaluation,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our internal control over financial reporting was effective as of December 31,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our last fiscal quarter ended December 31, 2022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ind w:left="368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684" w:right="1440"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left="360"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TRANSACTIONS,AND DIRECTOR INDEPENDENCE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Financial Statements” in Part II, Item 8 of this Annual Report on Form 10-K</w:t>
      </w:r>
    </w:p>
    <w:p>
      <w:pPr>
        <w:spacing w:after="0" w:line="11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Schedules: All schedules have been omitted because the information called for is not required or is shown either in the financial statements or in the notes thereto.</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 on Form 10-K.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60" w:type="dxa"/>
            <w:vAlign w:val="bottom"/>
            <w:gridSpan w:val="21"/>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2"/>
                <w:szCs w:val="12"/>
                <w:b w:val="1"/>
                <w:bCs w:val="1"/>
                <w:color w:val="auto"/>
              </w:rPr>
              <w:t>Registrant’s</w:t>
            </w:r>
          </w:p>
        </w:tc>
        <w:tc>
          <w:tcPr>
            <w:tcW w:w="120" w:type="dxa"/>
            <w:vAlign w:val="bottom"/>
          </w:tcPr>
          <w:p>
            <w:pPr>
              <w:spacing w:after="0"/>
              <w:rPr>
                <w:sz w:val="9"/>
                <w:szCs w:val="9"/>
                <w:color w:val="auto"/>
              </w:rPr>
            </w:pPr>
          </w:p>
        </w:tc>
        <w:tc>
          <w:tcPr>
            <w:tcW w:w="2000" w:type="dxa"/>
            <w:vAlign w:val="bottom"/>
          </w:tcPr>
          <w:p>
            <w:pPr>
              <w:ind w:left="680"/>
              <w:spacing w:after="0" w:line="111" w:lineRule="exact"/>
              <w:rPr>
                <w:sz w:val="20"/>
                <w:szCs w:val="20"/>
                <w:color w:val="auto"/>
              </w:rPr>
            </w:pPr>
            <w:r>
              <w:rPr>
                <w:rFonts w:ascii="Times New Roman" w:cs="Times New Roman" w:eastAsia="Times New Roman" w:hAnsi="Times New Roman"/>
                <w:sz w:val="12"/>
                <w:szCs w:val="12"/>
                <w:b w:val="1"/>
                <w:bCs w:val="1"/>
                <w:color w:val="auto"/>
              </w:rPr>
              <w:t>Date Filed</w:t>
            </w:r>
          </w:p>
        </w:tc>
        <w:tc>
          <w:tcPr>
            <w:tcW w:w="12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Exhibit</w:t>
            </w:r>
          </w:p>
        </w:tc>
        <w:tc>
          <w:tcPr>
            <w:tcW w:w="10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1"/>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24"/>
                <w:szCs w:val="24"/>
                <w:color w:val="auto"/>
              </w:rPr>
            </w:pPr>
          </w:p>
        </w:tc>
        <w:tc>
          <w:tcPr>
            <w:tcW w:w="4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Stock Purchase Agreement, dated as of July 18, 2017, and</w:t>
              </w:r>
            </w:hyperlink>
          </w:p>
        </w:tc>
        <w:tc>
          <w:tcPr>
            <w:tcW w:w="42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between Soleno Therapeutics, Inc., a Delaware corporation, and</w:t>
              </w:r>
            </w:hyperlink>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NeoForce Holdings, Inc. a Delaware corporation</w:t>
              </w:r>
            </w:hyperlink>
          </w:p>
        </w:tc>
        <w:tc>
          <w:tcPr>
            <w:tcW w:w="114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July 24, 2017</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Pr>
          <w:p>
            <w:pPr>
              <w:spacing w:after="0"/>
              <w:rPr>
                <w:sz w:val="24"/>
                <w:szCs w:val="24"/>
                <w:color w:val="auto"/>
              </w:rPr>
            </w:pPr>
          </w:p>
        </w:tc>
        <w:tc>
          <w:tcPr>
            <w:tcW w:w="4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Joint Venture Agreement, dated as of December 4, 2017, by and</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among Soleno Therapeutics, Inc., Capnia, Inc., and OptAsia</w:t>
              </w:r>
            </w:hyperlink>
          </w:p>
        </w:tc>
        <w:tc>
          <w:tcPr>
            <w:tcW w:w="32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Healthcare Limited</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December 8, 2017</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40" w:type="dxa"/>
            <w:vAlign w:val="bottom"/>
          </w:tcPr>
          <w:p>
            <w:pPr>
              <w:spacing w:after="0"/>
              <w:rPr>
                <w:sz w:val="24"/>
                <w:szCs w:val="24"/>
                <w:color w:val="auto"/>
              </w:rPr>
            </w:pPr>
          </w:p>
        </w:tc>
        <w:tc>
          <w:tcPr>
            <w:tcW w:w="4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PRC IP Purchase Agreement, dated as of December 4, 2017, by</w:t>
              </w:r>
            </w:hyperlink>
          </w:p>
        </w:tc>
        <w:tc>
          <w:tcPr>
            <w:tcW w:w="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and between OptAsia Healthcare Limited and Capnia, Inc.</w:t>
              </w:r>
            </w:hyperlink>
          </w:p>
        </w:tc>
        <w:tc>
          <w:tcPr>
            <w:tcW w:w="44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December 8, 2017</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40" w:type="dxa"/>
            <w:vAlign w:val="bottom"/>
          </w:tcPr>
          <w:p>
            <w:pPr>
              <w:spacing w:after="0"/>
              <w:rPr>
                <w:sz w:val="24"/>
                <w:szCs w:val="24"/>
                <w:color w:val="auto"/>
              </w:rPr>
            </w:pPr>
          </w:p>
        </w:tc>
        <w:tc>
          <w:tcPr>
            <w:tcW w:w="46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Transition Services Agreement, dated as of December 4, 2017,</w:t>
              </w:r>
            </w:hyperlink>
          </w:p>
        </w:tc>
        <w:tc>
          <w:tcPr>
            <w:tcW w:w="1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by and among Soleno Therapeutics, Inc., a Delaware</w:t>
              </w:r>
            </w:hyperlink>
          </w:p>
        </w:tc>
        <w:tc>
          <w:tcPr>
            <w:tcW w:w="86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corporation, Capnia, Inc. and OptAsia Healthcare, Ltd., a Hong</w:t>
              </w:r>
            </w:hyperlink>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Kong company</w:t>
              </w:r>
            </w:hyperlink>
          </w:p>
        </w:tc>
        <w:tc>
          <w:tcPr>
            <w:tcW w:w="356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December 8, 2017</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44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Amended and Restated Certificate of Incorporation of Soleno</w:t>
              </w:r>
            </w:hyperlink>
          </w:p>
        </w:tc>
        <w:tc>
          <w:tcPr>
            <w:tcW w:w="2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Therapeutics, Inc.</w:t>
              </w:r>
            </w:hyperlink>
          </w:p>
        </w:tc>
        <w:tc>
          <w:tcPr>
            <w:tcW w:w="326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August 7, 2014</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438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Bylaws of Soleno Therapeutics, Inc.</w:t>
              </w:r>
            </w:hyperlink>
          </w:p>
        </w:tc>
        <w:tc>
          <w:tcPr>
            <w:tcW w:w="32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4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Certificate of Designation of Preferences, Rights and Limitations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of Series A Convertible Preferred Stock.</w:t>
              </w:r>
            </w:hyperlink>
          </w:p>
        </w:tc>
        <w:tc>
          <w:tcPr>
            <w:tcW w:w="40" w:type="dxa"/>
            <w:vAlign w:val="bottom"/>
            <w:tcBorders>
              <w:bottom w:val="single" w:sz="8" w:color="0000EE"/>
            </w:tcBorders>
          </w:tcPr>
          <w:p>
            <w:pPr>
              <w:spacing w:after="0"/>
              <w:rPr>
                <w:sz w:val="17"/>
                <w:szCs w:val="17"/>
                <w:color w:val="auto"/>
              </w:rPr>
            </w:pPr>
          </w:p>
        </w:tc>
        <w:tc>
          <w:tcPr>
            <w:tcW w:w="174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24"/>
                <w:szCs w:val="24"/>
                <w:color w:val="auto"/>
              </w:rPr>
            </w:pPr>
          </w:p>
        </w:tc>
        <w:tc>
          <w:tcPr>
            <w:tcW w:w="4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Certificate of Designation of Preferences, Rights and Limitations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of Series B Convertible Preferred Stock</w:t>
              </w:r>
            </w:hyperlink>
          </w:p>
        </w:tc>
        <w:tc>
          <w:tcPr>
            <w:tcW w:w="40" w:type="dxa"/>
            <w:vAlign w:val="bottom"/>
            <w:tcBorders>
              <w:bottom w:val="single" w:sz="8" w:color="0000EE"/>
            </w:tcBorders>
          </w:tcPr>
          <w:p>
            <w:pPr>
              <w:spacing w:after="0"/>
              <w:rPr>
                <w:sz w:val="17"/>
                <w:szCs w:val="17"/>
                <w:color w:val="auto"/>
              </w:rPr>
            </w:pPr>
          </w:p>
        </w:tc>
        <w:tc>
          <w:tcPr>
            <w:tcW w:w="180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July 6, 2016</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24"/>
                <w:szCs w:val="24"/>
                <w:color w:val="auto"/>
              </w:rPr>
            </w:pPr>
          </w:p>
        </w:tc>
        <w:tc>
          <w:tcPr>
            <w:tcW w:w="4700" w:type="dxa"/>
            <w:vAlign w:val="bottom"/>
            <w:gridSpan w:val="25"/>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Certificate of Amendment</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May 11, 2017</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24"/>
                <w:szCs w:val="24"/>
                <w:color w:val="auto"/>
              </w:rPr>
            </w:pPr>
          </w:p>
        </w:tc>
        <w:tc>
          <w:tcPr>
            <w:tcW w:w="440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Certificate of Amendment to the Certificate of Incorporation</w:t>
              </w:r>
            </w:hyperlink>
          </w:p>
        </w:tc>
        <w:tc>
          <w:tcPr>
            <w:tcW w:w="30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6, 2017</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24"/>
                <w:szCs w:val="24"/>
                <w:color w:val="auto"/>
              </w:rPr>
            </w:pPr>
          </w:p>
        </w:tc>
        <w:tc>
          <w:tcPr>
            <w:tcW w:w="43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Certificate of Amendment to the Certificate of Incorporation</w:t>
              </w:r>
            </w:hyperlink>
          </w:p>
        </w:tc>
        <w:tc>
          <w:tcPr>
            <w:tcW w:w="34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August 25, 2022</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368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the Registrant's common stock certificate.</w:t>
              </w:r>
            </w:hyperlink>
          </w:p>
        </w:tc>
        <w:tc>
          <w:tcPr>
            <w:tcW w:w="102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43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Amended and Restated Investors’ Rights Agreement, dated</w:t>
              </w:r>
            </w:hyperlink>
          </w:p>
        </w:tc>
        <w:tc>
          <w:tcPr>
            <w:tcW w:w="38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March 20, 2008, by and among Soleno Therapeutics, Inc. and</w:t>
              </w:r>
            </w:hyperlink>
          </w:p>
        </w:tc>
        <w:tc>
          <w:tcPr>
            <w:tcW w:w="16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certain holders of the Soleno Therapeutics, Inc.’s capital stock</w:t>
              </w:r>
            </w:hyperlink>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named therein.</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July 1, 2014</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500" w:type="dxa"/>
            <w:vAlign w:val="bottom"/>
            <w:gridSpan w:val="20"/>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80" w:type="dxa"/>
            <w:vAlign w:val="bottom"/>
            <w:gridSpan w:val="2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0" w:type="dxa"/>
            <w:vAlign w:val="bottom"/>
            <w:tcBorders>
              <w:bottom w:val="single" w:sz="8" w:color="0000EE"/>
            </w:tcBorders>
            <w:gridSpan w:val="6"/>
          </w:tcPr>
          <w:p>
            <w:pPr>
              <w:spacing w:after="0" w:line="182"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Series A Warrant Agreement.</w:t>
              </w:r>
            </w:hyperlink>
          </w:p>
        </w:tc>
        <w:tc>
          <w:tcPr>
            <w:tcW w:w="190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9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Form of the Series A Warrant certificate.</w:t>
              </w:r>
            </w:hyperlink>
          </w:p>
        </w:tc>
        <w:tc>
          <w:tcPr>
            <w:tcW w:w="40" w:type="dxa"/>
            <w:vAlign w:val="bottom"/>
            <w:tcBorders>
              <w:bottom w:val="single" w:sz="8" w:color="0000EE"/>
            </w:tcBorders>
            <w:gridSpan w:val="2"/>
          </w:tcPr>
          <w:p>
            <w:pPr>
              <w:spacing w:after="0"/>
              <w:rPr>
                <w:sz w:val="24"/>
                <w:szCs w:val="24"/>
                <w:color w:val="auto"/>
              </w:rPr>
            </w:pPr>
          </w:p>
        </w:tc>
        <w:tc>
          <w:tcPr>
            <w:tcW w:w="17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342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Form of Underwriters’ Compensation Warrant.</w:t>
              </w:r>
            </w:hyperlink>
          </w:p>
        </w:tc>
        <w:tc>
          <w:tcPr>
            <w:tcW w:w="12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Convertible Promissory Note issued in February 2010</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4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and March 2010 in connection with the 2010 convertible note</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financing.</w:t>
              </w:r>
            </w:hyperlink>
          </w:p>
        </w:tc>
        <w:tc>
          <w:tcPr>
            <w:tcW w:w="3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Form of Warrant to Purchase Shares issued in February 2010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1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March 2010 in connection with the 2010 convertible note</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financing.</w:t>
              </w:r>
            </w:hyperlink>
          </w:p>
        </w:tc>
        <w:tc>
          <w:tcPr>
            <w:tcW w:w="3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Convertible Promissory Note issued in November 2010</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0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 connection with the 2010 convertible note financing.</w:t>
              </w:r>
            </w:hyperlink>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47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Form of Warrant to Purchase Shares issued in November 2010 in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3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connection with the 2010 convertible note financing.</w:t>
              </w:r>
            </w:hyperlink>
          </w:p>
        </w:tc>
        <w:tc>
          <w:tcPr>
            <w:tcW w:w="8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Form of Convertible Promissory Note issued in January 2012 in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3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connection with the 2012 convertible note financing.</w:t>
              </w:r>
            </w:hyperlink>
          </w:p>
        </w:tc>
        <w:tc>
          <w:tcPr>
            <w:tcW w:w="8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Warrant to Purchase Shares issued in January 2012 in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connection with Soleno Therapeutics, Inc.’s 2012 convertible</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note financing.</w:t>
              </w:r>
            </w:hyperlink>
          </w:p>
        </w:tc>
        <w:tc>
          <w:tcPr>
            <w:tcW w:w="35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Convertible Promissory Note issued in July 2012 and</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August 2012 in connection with the 2012 convertible note</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financing.</w:t>
              </w:r>
            </w:hyperlink>
          </w:p>
        </w:tc>
        <w:tc>
          <w:tcPr>
            <w:tcW w:w="3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Warrant to Purchase Shares issued in July 2012 and</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August 2012 in connection with the 2012 convertible note</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financing.</w:t>
              </w:r>
            </w:hyperlink>
          </w:p>
        </w:tc>
        <w:tc>
          <w:tcPr>
            <w:tcW w:w="3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Convertible Promissory Note issued in April, August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6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and October 2014 in connection with the 2014 convertible note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financing.</w:t>
              </w:r>
            </w:hyperlink>
          </w:p>
        </w:tc>
        <w:tc>
          <w:tcPr>
            <w:tcW w:w="3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Form of Warrant to Purchase Shares issued in April, August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42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October 2014 in connection with the 2014 convertible note</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financing.</w:t>
              </w:r>
            </w:hyperlink>
          </w:p>
        </w:tc>
        <w:tc>
          <w:tcPr>
            <w:tcW w:w="3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17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256">
              <w:r>
                <w:rPr>
                  <w:rFonts w:ascii="Times New Roman" w:cs="Times New Roman" w:eastAsia="Times New Roman" w:hAnsi="Times New Roman"/>
                  <w:sz w:val="18"/>
                  <w:szCs w:val="18"/>
                  <w:color w:val="0000FF"/>
                  <w:w w:val="98"/>
                </w:rPr>
                <w:t>Form of unit certificate.</w:t>
              </w:r>
            </w:hyperlink>
          </w:p>
        </w:tc>
        <w:tc>
          <w:tcPr>
            <w:tcW w:w="40" w:type="dxa"/>
            <w:vAlign w:val="bottom"/>
            <w:tcBorders>
              <w:bottom w:val="single" w:sz="8" w:color="0000EE"/>
            </w:tcBorders>
          </w:tcPr>
          <w:p>
            <w:pPr>
              <w:spacing w:after="0"/>
              <w:rPr>
                <w:sz w:val="24"/>
                <w:szCs w:val="24"/>
                <w:color w:val="auto"/>
              </w:rPr>
            </w:pPr>
          </w:p>
        </w:tc>
        <w:tc>
          <w:tcPr>
            <w:tcW w:w="29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278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Series B Warrant Agreement.</w:t>
              </w:r>
            </w:hyperlink>
          </w:p>
        </w:tc>
        <w:tc>
          <w:tcPr>
            <w:tcW w:w="19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2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the Series B Warrant certificate.</w:t>
              </w:r>
            </w:hyperlink>
          </w:p>
        </w:tc>
        <w:tc>
          <w:tcPr>
            <w:tcW w:w="0" w:type="dxa"/>
            <w:vAlign w:val="bottom"/>
          </w:tcPr>
          <w:p>
            <w:pPr>
              <w:spacing w:after="0"/>
              <w:rPr>
                <w:sz w:val="1"/>
                <w:szCs w:val="1"/>
                <w:color w:val="auto"/>
              </w:rPr>
            </w:pPr>
          </w:p>
        </w:tc>
      </w:tr>
      <w:tr>
        <w:trPr>
          <w:trHeight w:val="709"/>
        </w:trPr>
        <w:tc>
          <w:tcPr>
            <w:tcW w:w="10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920" w:type="dxa"/>
            <w:vAlign w:val="bottom"/>
            <w:tcBorders>
              <w:top w:val="single" w:sz="8" w:color="0000FF"/>
            </w:tcBorders>
            <w:gridSpan w:val="7"/>
          </w:tcPr>
          <w:p>
            <w:pPr>
              <w:spacing w:after="0"/>
              <w:rPr>
                <w:sz w:val="24"/>
                <w:szCs w:val="24"/>
                <w:color w:val="auto"/>
              </w:rPr>
            </w:pPr>
          </w:p>
        </w:tc>
        <w:tc>
          <w:tcPr>
            <w:tcW w:w="40" w:type="dxa"/>
            <w:vAlign w:val="bottom"/>
            <w:tcBorders>
              <w:top w:val="single" w:sz="8" w:color="0000EE"/>
            </w:tcBorders>
            <w:gridSpan w:val="2"/>
          </w:tcPr>
          <w:p>
            <w:pPr>
              <w:spacing w:after="0"/>
              <w:rPr>
                <w:sz w:val="24"/>
                <w:szCs w:val="24"/>
                <w:color w:val="auto"/>
              </w:rPr>
            </w:pPr>
          </w:p>
        </w:tc>
        <w:tc>
          <w:tcPr>
            <w:tcW w:w="160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110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b w:val="1"/>
                <w:bCs w:val="1"/>
                <w:color w:val="auto"/>
              </w:rPr>
              <w:t>Registrant’s</w:t>
            </w:r>
          </w:p>
        </w:tc>
        <w:tc>
          <w:tcPr>
            <w:tcW w:w="120" w:type="dxa"/>
            <w:vAlign w:val="bottom"/>
          </w:tcPr>
          <w:p>
            <w:pPr>
              <w:spacing w:after="0"/>
              <w:rPr>
                <w:sz w:val="7"/>
                <w:szCs w:val="7"/>
                <w:color w:val="auto"/>
              </w:rPr>
            </w:pPr>
          </w:p>
        </w:tc>
        <w:tc>
          <w:tcPr>
            <w:tcW w:w="2000" w:type="dxa"/>
            <w:vAlign w:val="bottom"/>
          </w:tcPr>
          <w:p>
            <w:pPr>
              <w:ind w:left="680"/>
              <w:spacing w:after="0" w:line="91" w:lineRule="exact"/>
              <w:rPr>
                <w:sz w:val="20"/>
                <w:szCs w:val="20"/>
                <w:color w:val="auto"/>
              </w:rPr>
            </w:pPr>
            <w:r>
              <w:rPr>
                <w:rFonts w:ascii="Times New Roman" w:cs="Times New Roman" w:eastAsia="Times New Roman" w:hAnsi="Times New Roman"/>
                <w:sz w:val="10"/>
                <w:szCs w:val="10"/>
                <w:b w:val="1"/>
                <w:bCs w:val="1"/>
                <w:color w:val="auto"/>
              </w:rPr>
              <w:t>Date Filed</w:t>
            </w:r>
          </w:p>
        </w:tc>
        <w:tc>
          <w:tcPr>
            <w:tcW w:w="12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Filed</w:t>
            </w:r>
          </w:p>
        </w:tc>
      </w:tr>
      <w:tr>
        <w:trPr>
          <w:trHeight w:val="187"/>
        </w:trPr>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228"/>
        </w:trPr>
        <w:tc>
          <w:tcPr>
            <w:tcW w:w="1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81"/>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5860" w:space="120"/>
            <w:col w:w="5260"/>
          </w:cols>
          <w:pgMar w:left="320" w:top="371" w:right="339" w:bottom="1440" w:gutter="0" w:footer="0" w:header="0"/>
        </w:sectPr>
      </w:pPr>
    </w:p>
    <w:bookmarkStart w:id="91" w:name="page92"/>
    <w:bookmarkEnd w:id="91"/>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700" w:type="dxa"/>
            <w:vAlign w:val="bottom"/>
            <w:gridSpan w:val="23"/>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70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5"/>
                <w:szCs w:val="15"/>
                <w:color w:val="auto"/>
              </w:rPr>
            </w:pPr>
          </w:p>
        </w:tc>
        <w:tc>
          <w:tcPr>
            <w:tcW w:w="304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Form of the Series C Warrant Agreement.</w:t>
              </w:r>
            </w:hyperlink>
          </w:p>
        </w:tc>
        <w:tc>
          <w:tcPr>
            <w:tcW w:w="16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of the Series C Warrant certificate.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Series D Common Stock Purchase Warrant.</w:t>
              </w:r>
            </w:hyperlink>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24"/>
                <w:szCs w:val="24"/>
                <w:color w:val="auto"/>
              </w:rPr>
            </w:pPr>
          </w:p>
        </w:tc>
        <w:tc>
          <w:tcPr>
            <w:tcW w:w="2560" w:type="dxa"/>
            <w:vAlign w:val="bottom"/>
            <w:tcBorders>
              <w:top w:val="single" w:sz="8" w:color="0000FF"/>
              <w:bottom w:val="single" w:sz="8" w:color="0000EE"/>
            </w:tcBorders>
            <w:gridSpan w:val="2"/>
          </w:tcPr>
          <w:p>
            <w:pPr>
              <w:spacing w:after="0"/>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Form of Placement Agent Warrant.</w:t>
              </w:r>
            </w:hyperlink>
          </w:p>
        </w:tc>
        <w:tc>
          <w:tcPr>
            <w:tcW w:w="1200" w:type="dxa"/>
            <w:vAlign w:val="bottom"/>
            <w:tcBorders>
              <w:top w:val="single" w:sz="8" w:color="0000FF"/>
            </w:tcBorders>
            <w:gridSpan w:val="6"/>
          </w:tcPr>
          <w:p>
            <w:pPr>
              <w:spacing w:after="0"/>
              <w:rPr>
                <w:sz w:val="24"/>
                <w:szCs w:val="24"/>
                <w:color w:val="auto"/>
              </w:rPr>
            </w:pPr>
          </w:p>
        </w:tc>
        <w:tc>
          <w:tcPr>
            <w:tcW w:w="60" w:type="dxa"/>
            <w:vAlign w:val="bottom"/>
            <w:tcBorders>
              <w:top w:val="single" w:sz="8" w:color="0000EE"/>
            </w:tcBorders>
            <w:gridSpan w:val="2"/>
          </w:tcPr>
          <w:p>
            <w:pPr>
              <w:spacing w:after="0"/>
              <w:rPr>
                <w:sz w:val="24"/>
                <w:szCs w:val="24"/>
                <w:color w:val="auto"/>
              </w:rPr>
            </w:pPr>
          </w:p>
        </w:tc>
        <w:tc>
          <w:tcPr>
            <w:tcW w:w="8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Form of Series D common stock Warrant Certificate.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24"/>
                <w:szCs w:val="24"/>
                <w:color w:val="auto"/>
              </w:rPr>
            </w:pPr>
          </w:p>
        </w:tc>
        <w:tc>
          <w:tcPr>
            <w:tcW w:w="41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Form of Series A Convertible Preferred Stock Certificate.</w:t>
              </w:r>
            </w:hyperlink>
          </w:p>
        </w:tc>
        <w:tc>
          <w:tcPr>
            <w:tcW w:w="40" w:type="dxa"/>
            <w:vAlign w:val="bottom"/>
            <w:tcBorders>
              <w:bottom w:val="single" w:sz="8" w:color="0000EE"/>
            </w:tcBorders>
            <w:gridSpan w:val="2"/>
          </w:tcPr>
          <w:p>
            <w:pPr>
              <w:spacing w:after="0"/>
              <w:rPr>
                <w:sz w:val="24"/>
                <w:szCs w:val="24"/>
                <w:color w:val="auto"/>
              </w:rPr>
            </w:pP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24"/>
                <w:szCs w:val="24"/>
                <w:color w:val="auto"/>
              </w:rPr>
            </w:pPr>
          </w:p>
        </w:tc>
        <w:tc>
          <w:tcPr>
            <w:tcW w:w="256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Form of Placement Agent Warrant.</w:t>
              </w:r>
            </w:hyperlink>
          </w:p>
        </w:tc>
        <w:tc>
          <w:tcPr>
            <w:tcW w:w="21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Series B Convertible Preferred Stock Certificate.</w:t>
              </w:r>
            </w:hyperlink>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24"/>
                <w:szCs w:val="24"/>
                <w:color w:val="auto"/>
              </w:rPr>
            </w:pPr>
          </w:p>
        </w:tc>
        <w:tc>
          <w:tcPr>
            <w:tcW w:w="414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of Common Stock Purchase Warrant</w:t>
              </w:r>
            </w:hyperlink>
          </w:p>
        </w:tc>
        <w:tc>
          <w:tcPr>
            <w:tcW w:w="40" w:type="dxa"/>
            <w:vAlign w:val="bottom"/>
            <w:tcBorders>
              <w:top w:val="single" w:sz="8" w:color="0000EE"/>
            </w:tcBorders>
            <w:gridSpan w:val="2"/>
          </w:tcPr>
          <w:p>
            <w:pPr>
              <w:spacing w:after="0"/>
              <w:rPr>
                <w:sz w:val="24"/>
                <w:szCs w:val="24"/>
                <w:color w:val="auto"/>
              </w:rPr>
            </w:pPr>
          </w:p>
        </w:tc>
        <w:tc>
          <w:tcPr>
            <w:tcW w:w="5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of Common Stock Purchase Warrant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24"/>
                <w:szCs w:val="24"/>
                <w:color w:val="auto"/>
              </w:rPr>
            </w:pPr>
          </w:p>
        </w:tc>
        <w:tc>
          <w:tcPr>
            <w:tcW w:w="46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Description of the Registrant’s Securities Registered Pursuant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Section 12 of the Securities Exchange Act of 1934</w:t>
              </w:r>
            </w:hyperlink>
          </w:p>
        </w:tc>
        <w:tc>
          <w:tcPr>
            <w:tcW w:w="20" w:type="dxa"/>
            <w:vAlign w:val="bottom"/>
            <w:tcBorders>
              <w:bottom w:val="single" w:sz="8" w:color="0000EE"/>
            </w:tcBorders>
          </w:tcPr>
          <w:p>
            <w:pPr>
              <w:spacing w:after="0"/>
              <w:rPr>
                <w:sz w:val="17"/>
                <w:szCs w:val="17"/>
                <w:color w:val="auto"/>
              </w:rPr>
            </w:pPr>
          </w:p>
        </w:tc>
        <w:tc>
          <w:tcPr>
            <w:tcW w:w="10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Form of Pre-Funded Warrant To Purchase Common Stock.</w:t>
              </w:r>
            </w:hyperlink>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4"/>
                <w:szCs w:val="24"/>
                <w:color w:val="auto"/>
              </w:rPr>
            </w:pPr>
          </w:p>
        </w:tc>
        <w:tc>
          <w:tcPr>
            <w:tcW w:w="408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Form of Common Warrant To Purchase Common Stock.</w:t>
              </w:r>
            </w:hyperlink>
          </w:p>
        </w:tc>
        <w:tc>
          <w:tcPr>
            <w:tcW w:w="140" w:type="dxa"/>
            <w:vAlign w:val="bottom"/>
            <w:tcBorders>
              <w:top w:val="single" w:sz="8" w:color="0000FF"/>
            </w:tcBorders>
            <w:gridSpan w:val="5"/>
          </w:tcPr>
          <w:p>
            <w:pPr>
              <w:spacing w:after="0"/>
              <w:rPr>
                <w:sz w:val="24"/>
                <w:szCs w:val="24"/>
                <w:color w:val="auto"/>
              </w:rPr>
            </w:pPr>
          </w:p>
        </w:tc>
        <w:tc>
          <w:tcPr>
            <w:tcW w:w="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24"/>
                <w:szCs w:val="24"/>
                <w:color w:val="auto"/>
              </w:rPr>
            </w:pPr>
          </w:p>
        </w:tc>
        <w:tc>
          <w:tcPr>
            <w:tcW w:w="40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Form of Tranche A Warrant to Purchase Common Stock</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Form of Tranche B Warrant to Purchase Common Stock</w:t>
              </w:r>
            </w:hyperlink>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Pr>
          <w:p>
            <w:pPr>
              <w:spacing w:after="0"/>
              <w:rPr>
                <w:sz w:val="24"/>
                <w:szCs w:val="24"/>
                <w:color w:val="auto"/>
              </w:rPr>
            </w:pPr>
          </w:p>
        </w:tc>
        <w:tc>
          <w:tcPr>
            <w:tcW w:w="2040" w:type="dxa"/>
            <w:vAlign w:val="bottom"/>
            <w:tcBorders>
              <w:top w:val="single" w:sz="8" w:color="0000FF"/>
              <w:bottom w:val="single" w:sz="8" w:color="0000EE"/>
            </w:tcBorders>
          </w:tcPr>
          <w:p>
            <w:pPr>
              <w:spacing w:after="0"/>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Form of Voting Agreement.</w:t>
              </w:r>
            </w:hyperlink>
          </w:p>
        </w:tc>
        <w:tc>
          <w:tcPr>
            <w:tcW w:w="2000" w:type="dxa"/>
            <w:vAlign w:val="bottom"/>
            <w:tcBorders>
              <w:top w:val="single" w:sz="8" w:color="0000FF"/>
            </w:tcBorders>
            <w:gridSpan w:val="11"/>
          </w:tcPr>
          <w:p>
            <w:pPr>
              <w:spacing w:after="0"/>
              <w:rPr>
                <w:sz w:val="24"/>
                <w:szCs w:val="24"/>
                <w:color w:val="auto"/>
              </w:rPr>
            </w:pPr>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Pr>
          <w:p>
            <w:pPr>
              <w:spacing w:after="0"/>
              <w:rPr>
                <w:sz w:val="24"/>
                <w:szCs w:val="24"/>
                <w:color w:val="auto"/>
              </w:rPr>
            </w:pPr>
          </w:p>
        </w:tc>
        <w:tc>
          <w:tcPr>
            <w:tcW w:w="2040" w:type="dxa"/>
            <w:vAlign w:val="bottom"/>
            <w:tcBorders>
              <w:bottom w:val="single" w:sz="8" w:color="0000EE"/>
            </w:tcBorders>
          </w:tcPr>
          <w:p>
            <w:pPr>
              <w:spacing w:after="0"/>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Form of Voting Agreement.</w:t>
              </w:r>
            </w:hyperlink>
          </w:p>
        </w:tc>
        <w:tc>
          <w:tcPr>
            <w:tcW w:w="26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tcPr>
          <w:p>
            <w:pPr>
              <w:spacing w:after="0"/>
              <w:rPr>
                <w:sz w:val="24"/>
                <w:szCs w:val="24"/>
                <w:color w:val="auto"/>
              </w:rPr>
            </w:pPr>
          </w:p>
        </w:tc>
        <w:tc>
          <w:tcPr>
            <w:tcW w:w="2040" w:type="dxa"/>
            <w:vAlign w:val="bottom"/>
            <w:tcBorders>
              <w:bottom w:val="single" w:sz="8" w:color="0000EE"/>
            </w:tcBorders>
          </w:tcPr>
          <w:p>
            <w:pPr>
              <w:spacing w:after="0"/>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Form of Voting Agreement.</w:t>
              </w:r>
            </w:hyperlink>
          </w:p>
        </w:tc>
        <w:tc>
          <w:tcPr>
            <w:tcW w:w="26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46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Form of Indemnification Agreement between the Registrant and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each of its directors and executive officers.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00" w:type="dxa"/>
            <w:vAlign w:val="bottom"/>
            <w:tcBorders>
              <w:right w:val="single" w:sz="8" w:color="0000EE"/>
            </w:tcBorders>
            <w:gridSpan w:val="5"/>
            <w:shd w:val="clear" w:color="auto" w:fill="0000FF"/>
          </w:tcPr>
          <w:p>
            <w:pPr>
              <w:spacing w:after="0" w:line="20" w:lineRule="exact"/>
              <w:rPr>
                <w:sz w:val="1"/>
                <w:szCs w:val="1"/>
                <w:color w:val="auto"/>
              </w:rPr>
            </w:pPr>
          </w:p>
        </w:tc>
        <w:tc>
          <w:tcPr>
            <w:tcW w:w="1520" w:type="dxa"/>
            <w:vAlign w:val="bottom"/>
            <w:tcBorders>
              <w:left w:val="single" w:sz="8" w:color="0000EE"/>
            </w:tcBorders>
            <w:gridSpan w:val="1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462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1999 Incentive Stock Plan and forms of agreements thereunder.</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1020" w:type="dxa"/>
            <w:vAlign w:val="bottom"/>
          </w:tcPr>
          <w:p>
            <w:pPr>
              <w:spacing w:after="0"/>
              <w:rPr>
                <w:sz w:val="24"/>
                <w:szCs w:val="24"/>
                <w:color w:val="auto"/>
              </w:rPr>
            </w:pPr>
          </w:p>
        </w:tc>
        <w:tc>
          <w:tcPr>
            <w:tcW w:w="4760" w:type="dxa"/>
            <w:vAlign w:val="bottom"/>
            <w:gridSpan w:val="21"/>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110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b w:val="1"/>
                <w:bCs w:val="1"/>
                <w:color w:val="auto"/>
              </w:rPr>
              <w:t>Registrant’s</w:t>
            </w:r>
          </w:p>
        </w:tc>
        <w:tc>
          <w:tcPr>
            <w:tcW w:w="120" w:type="dxa"/>
            <w:vAlign w:val="bottom"/>
          </w:tcPr>
          <w:p>
            <w:pPr>
              <w:spacing w:after="0"/>
              <w:rPr>
                <w:sz w:val="7"/>
                <w:szCs w:val="7"/>
                <w:color w:val="auto"/>
              </w:rPr>
            </w:pPr>
          </w:p>
        </w:tc>
        <w:tc>
          <w:tcPr>
            <w:tcW w:w="2000" w:type="dxa"/>
            <w:vAlign w:val="bottom"/>
          </w:tcPr>
          <w:p>
            <w:pPr>
              <w:ind w:left="680"/>
              <w:spacing w:after="0" w:line="91" w:lineRule="exact"/>
              <w:rPr>
                <w:sz w:val="20"/>
                <w:szCs w:val="20"/>
                <w:color w:val="auto"/>
              </w:rPr>
            </w:pPr>
            <w:r>
              <w:rPr>
                <w:rFonts w:ascii="Times New Roman" w:cs="Times New Roman" w:eastAsia="Times New Roman" w:hAnsi="Times New Roman"/>
                <w:sz w:val="10"/>
                <w:szCs w:val="10"/>
                <w:b w:val="1"/>
                <w:bCs w:val="1"/>
                <w:color w:val="auto"/>
              </w:rPr>
              <w:t>Date Filed</w:t>
            </w:r>
          </w:p>
        </w:tc>
        <w:tc>
          <w:tcPr>
            <w:tcW w:w="12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Filed</w:t>
            </w:r>
          </w:p>
        </w:tc>
      </w:tr>
      <w:tr>
        <w:trPr>
          <w:trHeight w:val="187"/>
        </w:trPr>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228"/>
        </w:trPr>
        <w:tc>
          <w:tcPr>
            <w:tcW w:w="1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81"/>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2017</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2018</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March 4, 2020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March 30, 2022</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March 30, 2022</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2022</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9.1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9.1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December 27, 2016</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5860" w:space="120"/>
            <w:col w:w="5260"/>
          </w:cols>
          <w:pgMar w:left="320" w:top="371" w:right="339" w:bottom="1440" w:gutter="0" w:footer="0" w:header="0"/>
        </w:sectPr>
      </w:pPr>
    </w:p>
    <w:bookmarkStart w:id="92" w:name="page93"/>
    <w:bookmarkEnd w:id="92"/>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60" w:type="dxa"/>
            <w:vAlign w:val="bottom"/>
            <w:gridSpan w:val="19"/>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5"/>
                <w:szCs w:val="15"/>
                <w:color w:val="auto"/>
              </w:rPr>
            </w:pPr>
          </w:p>
        </w:tc>
        <w:tc>
          <w:tcPr>
            <w:tcW w:w="4700" w:type="dxa"/>
            <w:vAlign w:val="bottom"/>
            <w:tcBorders>
              <w:bottom w:val="single" w:sz="8" w:color="0000EE"/>
            </w:tcBorders>
            <w:gridSpan w:val="23"/>
          </w:tcPr>
          <w:p>
            <w:pPr>
              <w:spacing w:after="0" w:line="182"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2010 Equity Incentive Plan and forms of agreements thereunder.</w:t>
              </w:r>
            </w:hyperlink>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4700" w:type="dxa"/>
            <w:vAlign w:val="bottom"/>
            <w:tcBorders>
              <w:bottom w:val="single" w:sz="8" w:color="0000EE"/>
            </w:tcBorders>
            <w:gridSpan w:val="23"/>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2014 Equity Incentive Plan and forms of agreements thereunder.</w:t>
              </w:r>
            </w:hyperlink>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45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2014 Employee Stock Purchase Plan and forms of agreements</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5"/>
              </w:rPr>
            </w:pPr>
            <w:hyperlink r:id="rId282">
              <w:r>
                <w:rPr>
                  <w:rFonts w:ascii="Times New Roman" w:cs="Times New Roman" w:eastAsia="Times New Roman" w:hAnsi="Times New Roman"/>
                  <w:sz w:val="18"/>
                  <w:szCs w:val="18"/>
                  <w:color w:val="0000FF"/>
                  <w:w w:val="95"/>
                </w:rPr>
                <w:t>thereunder.</w:t>
              </w:r>
            </w:hyperlink>
          </w:p>
        </w:tc>
        <w:tc>
          <w:tcPr>
            <w:tcW w:w="40" w:type="dxa"/>
            <w:vAlign w:val="bottom"/>
            <w:tcBorders>
              <w:bottom w:val="single" w:sz="8" w:color="0000EE"/>
            </w:tcBorders>
          </w:tcPr>
          <w:p>
            <w:pPr>
              <w:spacing w:after="0"/>
              <w:rPr>
                <w:sz w:val="17"/>
                <w:szCs w:val="17"/>
                <w:color w:val="auto"/>
              </w:rPr>
            </w:pPr>
          </w:p>
        </w:tc>
        <w:tc>
          <w:tcPr>
            <w:tcW w:w="3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41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Offer Letter, dated June 22, 2007, by and between Soleno</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Therapeutics, Inc. and Ernest Mario, Ph.D.</w:t>
              </w:r>
            </w:hyperlink>
          </w:p>
        </w:tc>
        <w:tc>
          <w:tcPr>
            <w:tcW w:w="1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45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Employment Agreement, dated April 6, 2010, by and between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Soleno Therapeutics, Inc. and Anish Bhatnagar.</w:t>
              </w:r>
            </w:hyperlink>
          </w:p>
        </w:tc>
        <w:tc>
          <w:tcPr>
            <w:tcW w:w="12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4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Offer Letter, dated May 29, 2013, between Soleno Therapeutics,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Inc. and Anthony Wondka.</w:t>
              </w:r>
            </w:hyperlink>
          </w:p>
        </w:tc>
        <w:tc>
          <w:tcPr>
            <w:tcW w:w="27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4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Offer Letter, dated April 17, 2014, by and between Soleno</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Therapeutics, Inc. and Antoun Nabhan.</w:t>
              </w:r>
            </w:hyperlink>
          </w:p>
        </w:tc>
        <w:tc>
          <w:tcPr>
            <w:tcW w:w="18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0" w:type="dxa"/>
            <w:vAlign w:val="bottom"/>
          </w:tcPr>
          <w:p>
            <w:pPr>
              <w:spacing w:after="0"/>
              <w:rPr>
                <w:sz w:val="24"/>
                <w:szCs w:val="24"/>
                <w:color w:val="auto"/>
              </w:rPr>
            </w:pPr>
          </w:p>
        </w:tc>
        <w:tc>
          <w:tcPr>
            <w:tcW w:w="46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Asset Purchase Agreement dated May 11, 2010, by and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Soleno Therapeutics, Inc. and BioMedical Drug Development</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87">
              <w:r>
                <w:rPr>
                  <w:rFonts w:ascii="Times New Roman" w:cs="Times New Roman" w:eastAsia="Times New Roman" w:hAnsi="Times New Roman"/>
                  <w:sz w:val="18"/>
                  <w:szCs w:val="18"/>
                  <w:color w:val="0000FF"/>
                  <w:w w:val="94"/>
                </w:rPr>
                <w:t>Inc.</w:t>
              </w:r>
            </w:hyperlink>
          </w:p>
        </w:tc>
        <w:tc>
          <w:tcPr>
            <w:tcW w:w="40" w:type="dxa"/>
            <w:vAlign w:val="bottom"/>
            <w:tcBorders>
              <w:bottom w:val="single" w:sz="8" w:color="0000EE"/>
            </w:tcBorders>
          </w:tcPr>
          <w:p>
            <w:pPr>
              <w:spacing w:after="0"/>
              <w:rPr>
                <w:sz w:val="17"/>
                <w:szCs w:val="17"/>
                <w:color w:val="auto"/>
              </w:rPr>
            </w:pPr>
          </w:p>
        </w:tc>
        <w:tc>
          <w:tcPr>
            <w:tcW w:w="43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40" w:type="dxa"/>
            <w:vAlign w:val="bottom"/>
          </w:tcPr>
          <w:p>
            <w:pPr>
              <w:spacing w:after="0"/>
              <w:rPr>
                <w:sz w:val="24"/>
                <w:szCs w:val="24"/>
                <w:color w:val="auto"/>
              </w:rPr>
            </w:pPr>
          </w:p>
        </w:tc>
        <w:tc>
          <w:tcPr>
            <w:tcW w:w="42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Convertible Note and Warrant Purchase Agreement, dated</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February 10, 2010, by and among Soleno Therapeutics, Inc.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the investors named therein.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6"/>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24"/>
                <w:szCs w:val="24"/>
                <w:color w:val="auto"/>
              </w:rPr>
            </w:pPr>
          </w:p>
        </w:tc>
        <w:tc>
          <w:tcPr>
            <w:tcW w:w="45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Amendment No. 1 to Convertible Note and Warrant Purchase</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Agreement, Convertible Promissory Notes and Warrants to</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Purchase Shares, dated November 10, 2010, by and among</w:t>
              </w:r>
            </w:hyperlink>
          </w:p>
        </w:tc>
        <w:tc>
          <w:tcPr>
            <w:tcW w:w="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Soleno Therapeutics, Inc. and the investors named therein.</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40" w:type="dxa"/>
            <w:vAlign w:val="bottom"/>
          </w:tcPr>
          <w:p>
            <w:pPr>
              <w:spacing w:after="0"/>
              <w:rPr>
                <w:sz w:val="24"/>
                <w:szCs w:val="24"/>
                <w:color w:val="auto"/>
              </w:rPr>
            </w:pPr>
          </w:p>
        </w:tc>
        <w:tc>
          <w:tcPr>
            <w:tcW w:w="45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Amendment No. 2 to Convertible Note and Warrant Purchase</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Agreement, Convertible Promissory Notes and Warrants to</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Purchase Shares, dated January 17, 2012, by and among Soleno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Therapeutics, Inc. and the investors named therein.</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40" w:type="dxa"/>
            <w:vAlign w:val="bottom"/>
          </w:tcPr>
          <w:p>
            <w:pPr>
              <w:spacing w:after="0"/>
              <w:rPr>
                <w:sz w:val="24"/>
                <w:szCs w:val="24"/>
                <w:color w:val="auto"/>
              </w:rPr>
            </w:pPr>
          </w:p>
        </w:tc>
        <w:tc>
          <w:tcPr>
            <w:tcW w:w="42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91">
              <w:r>
                <w:rPr>
                  <w:rFonts w:ascii="Times New Roman" w:cs="Times New Roman" w:eastAsia="Times New Roman" w:hAnsi="Times New Roman"/>
                  <w:sz w:val="18"/>
                  <w:szCs w:val="18"/>
                  <w:color w:val="0000FF"/>
                  <w:w w:val="99"/>
                </w:rPr>
                <w:t>Convertible Note and Warrant Purchase Agreement, dated</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January 16, 2012, by and among Soleno Therapeutics, Inc. and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the investors named therein.</w:t>
              </w:r>
            </w:hyperlink>
          </w:p>
        </w:tc>
        <w:tc>
          <w:tcPr>
            <w:tcW w:w="0" w:type="dxa"/>
            <w:vAlign w:val="bottom"/>
          </w:tcPr>
          <w:p>
            <w:pPr>
              <w:spacing w:after="0"/>
              <w:rPr>
                <w:sz w:val="1"/>
                <w:szCs w:val="1"/>
                <w:color w:val="auto"/>
              </w:rPr>
            </w:pPr>
          </w:p>
        </w:tc>
      </w:tr>
      <w:tr>
        <w:trPr>
          <w:trHeight w:val="7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top w:val="single" w:sz="8" w:color="0000FF"/>
            </w:tcBorders>
            <w:gridSpan w:val="6"/>
          </w:tcPr>
          <w:p>
            <w:pPr>
              <w:spacing w:after="0"/>
              <w:rPr>
                <w:sz w:val="24"/>
                <w:szCs w:val="24"/>
                <w:color w:val="auto"/>
              </w:rPr>
            </w:pPr>
          </w:p>
        </w:tc>
        <w:tc>
          <w:tcPr>
            <w:tcW w:w="2560" w:type="dxa"/>
            <w:vAlign w:val="bottom"/>
            <w:gridSpan w:val="14"/>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110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b w:val="1"/>
                <w:bCs w:val="1"/>
                <w:color w:val="auto"/>
              </w:rPr>
              <w:t>Registrant’s</w:t>
            </w:r>
          </w:p>
        </w:tc>
        <w:tc>
          <w:tcPr>
            <w:tcW w:w="120" w:type="dxa"/>
            <w:vAlign w:val="bottom"/>
          </w:tcPr>
          <w:p>
            <w:pPr>
              <w:spacing w:after="0"/>
              <w:rPr>
                <w:sz w:val="7"/>
                <w:szCs w:val="7"/>
                <w:color w:val="auto"/>
              </w:rPr>
            </w:pPr>
          </w:p>
        </w:tc>
        <w:tc>
          <w:tcPr>
            <w:tcW w:w="2000" w:type="dxa"/>
            <w:vAlign w:val="bottom"/>
          </w:tcPr>
          <w:p>
            <w:pPr>
              <w:ind w:left="680"/>
              <w:spacing w:after="0" w:line="91" w:lineRule="exact"/>
              <w:rPr>
                <w:sz w:val="20"/>
                <w:szCs w:val="20"/>
                <w:color w:val="auto"/>
              </w:rPr>
            </w:pPr>
            <w:r>
              <w:rPr>
                <w:rFonts w:ascii="Times New Roman" w:cs="Times New Roman" w:eastAsia="Times New Roman" w:hAnsi="Times New Roman"/>
                <w:sz w:val="10"/>
                <w:szCs w:val="10"/>
                <w:b w:val="1"/>
                <w:bCs w:val="1"/>
                <w:color w:val="auto"/>
              </w:rPr>
              <w:t>Date Filed</w:t>
            </w:r>
          </w:p>
        </w:tc>
        <w:tc>
          <w:tcPr>
            <w:tcW w:w="12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Filed</w:t>
            </w:r>
          </w:p>
        </w:tc>
      </w:tr>
      <w:tr>
        <w:trPr>
          <w:trHeight w:val="187"/>
        </w:trPr>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228"/>
        </w:trPr>
        <w:tc>
          <w:tcPr>
            <w:tcW w:w="1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81"/>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34"/>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34"/>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5860" w:space="120"/>
            <w:col w:w="5260"/>
          </w:cols>
          <w:pgMar w:left="320" w:top="371" w:right="339" w:bottom="1440" w:gutter="0" w:footer="0" w:header="0"/>
        </w:sectPr>
      </w:pPr>
    </w:p>
    <w:bookmarkStart w:id="93" w:name="page94"/>
    <w:bookmarkEnd w:id="93"/>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20" w:type="dxa"/>
            <w:vAlign w:val="bottom"/>
            <w:gridSpan w:val="21"/>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10.15</w:t>
            </w:r>
          </w:p>
        </w:tc>
        <w:tc>
          <w:tcPr>
            <w:tcW w:w="140" w:type="dxa"/>
            <w:vAlign w:val="bottom"/>
          </w:tcPr>
          <w:p>
            <w:pPr>
              <w:spacing w:after="0"/>
              <w:rPr>
                <w:sz w:val="15"/>
                <w:szCs w:val="15"/>
                <w:color w:val="auto"/>
              </w:rPr>
            </w:pPr>
          </w:p>
        </w:tc>
        <w:tc>
          <w:tcPr>
            <w:tcW w:w="4700" w:type="dxa"/>
            <w:vAlign w:val="bottom"/>
            <w:tcBorders>
              <w:bottom w:val="single" w:sz="8" w:color="0000FF"/>
            </w:tcBorders>
            <w:gridSpan w:val="24"/>
          </w:tcPr>
          <w:p>
            <w:pPr>
              <w:spacing w:after="0" w:line="182"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Omnibus Amendment to Convertible Note and Warrant Purchase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Agreement, Convertible Promissory Notes and Warrants to</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Purchase Shares, dated July 31, 2012, by and among Soleno</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Therapeutics, Inc. and the investors named therein.</w:t>
              </w:r>
            </w:hyperlink>
          </w:p>
        </w:tc>
        <w:tc>
          <w:tcPr>
            <w:tcW w:w="9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40" w:type="dxa"/>
            <w:vAlign w:val="bottom"/>
          </w:tcPr>
          <w:p>
            <w:pPr>
              <w:spacing w:after="0"/>
              <w:rPr>
                <w:sz w:val="24"/>
                <w:szCs w:val="24"/>
                <w:color w:val="auto"/>
              </w:rPr>
            </w:pPr>
          </w:p>
        </w:tc>
        <w:tc>
          <w:tcPr>
            <w:tcW w:w="43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Omnibus Amendment to Convertible Promissory Notes and</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Warrants to Purchase Shares, dated April 28, 2014, by and</w:t>
              </w:r>
            </w:hyperlink>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among Soleno Therapeutics, Inc. and the investors named</w:t>
              </w:r>
            </w:hyperlink>
          </w:p>
        </w:tc>
        <w:tc>
          <w:tcPr>
            <w:tcW w:w="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294">
              <w:r>
                <w:rPr>
                  <w:rFonts w:ascii="Times New Roman" w:cs="Times New Roman" w:eastAsia="Times New Roman" w:hAnsi="Times New Roman"/>
                  <w:sz w:val="18"/>
                  <w:szCs w:val="18"/>
                  <w:color w:val="0000FF"/>
                  <w:w w:val="95"/>
                </w:rPr>
                <w:t>therein.</w:t>
              </w:r>
            </w:hyperlink>
          </w:p>
        </w:tc>
        <w:tc>
          <w:tcPr>
            <w:tcW w:w="40" w:type="dxa"/>
            <w:vAlign w:val="bottom"/>
            <w:tcBorders>
              <w:bottom w:val="single" w:sz="8" w:color="0000EE"/>
            </w:tcBorders>
          </w:tcPr>
          <w:p>
            <w:pPr>
              <w:spacing w:after="0"/>
              <w:rPr>
                <w:sz w:val="17"/>
                <w:szCs w:val="17"/>
                <w:color w:val="auto"/>
              </w:rPr>
            </w:pPr>
          </w:p>
        </w:tc>
        <w:tc>
          <w:tcPr>
            <w:tcW w:w="4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40" w:type="dxa"/>
            <w:vAlign w:val="bottom"/>
          </w:tcPr>
          <w:p>
            <w:pPr>
              <w:spacing w:after="0"/>
              <w:rPr>
                <w:sz w:val="24"/>
                <w:szCs w:val="24"/>
                <w:color w:val="auto"/>
              </w:rPr>
            </w:pPr>
          </w:p>
        </w:tc>
        <w:tc>
          <w:tcPr>
            <w:tcW w:w="47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Convertible Note and Warrant Purchase Agreement, dated April</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28, 2014, by and among Soleno Therapeutics, Inc. and the</w:t>
              </w:r>
            </w:hyperlink>
          </w:p>
        </w:tc>
        <w:tc>
          <w:tcPr>
            <w:tcW w:w="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investors named therein.</w:t>
              </w:r>
            </w:hyperlink>
          </w:p>
        </w:tc>
        <w:tc>
          <w:tcPr>
            <w:tcW w:w="2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40" w:type="dxa"/>
            <w:vAlign w:val="bottom"/>
          </w:tcPr>
          <w:p>
            <w:pPr>
              <w:spacing w:after="0"/>
              <w:rPr>
                <w:sz w:val="24"/>
                <w:szCs w:val="24"/>
                <w:color w:val="auto"/>
              </w:rPr>
            </w:pPr>
          </w:p>
        </w:tc>
        <w:tc>
          <w:tcPr>
            <w:tcW w:w="47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Omnibus Amendment to Convertible Note and Warrant Purchase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Agreement, Convertible Promissory Notes and Warrants to</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Purchase Shares, dated May 5, 2014, by and among Soleno</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Therapeutics, Inc. and the investors named therein.</w:t>
              </w:r>
            </w:hyperlink>
          </w:p>
        </w:tc>
        <w:tc>
          <w:tcPr>
            <w:tcW w:w="9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40" w:type="dxa"/>
            <w:vAlign w:val="bottom"/>
          </w:tcPr>
          <w:p>
            <w:pPr>
              <w:spacing w:after="0"/>
              <w:rPr>
                <w:sz w:val="24"/>
                <w:szCs w:val="24"/>
                <w:color w:val="auto"/>
              </w:rPr>
            </w:pPr>
          </w:p>
        </w:tc>
        <w:tc>
          <w:tcPr>
            <w:tcW w:w="3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Sublease, dated May 20, 2014, by and among Soleno</w:t>
              </w:r>
            </w:hyperlink>
          </w:p>
        </w:tc>
        <w:tc>
          <w:tcPr>
            <w:tcW w:w="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Therapeutics, Inc. and Silicon Valley Finance Group.</w:t>
              </w:r>
            </w:hyperlink>
          </w:p>
        </w:tc>
        <w:tc>
          <w:tcPr>
            <w:tcW w:w="8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40" w:type="dxa"/>
            <w:vAlign w:val="bottom"/>
          </w:tcPr>
          <w:p>
            <w:pPr>
              <w:spacing w:after="0"/>
              <w:rPr>
                <w:sz w:val="24"/>
                <w:szCs w:val="24"/>
                <w:color w:val="auto"/>
              </w:rPr>
            </w:pPr>
          </w:p>
        </w:tc>
        <w:tc>
          <w:tcPr>
            <w:tcW w:w="41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Offer Letter, dated June 24, 2014, by and between Soleno</w:t>
              </w:r>
            </w:hyperlink>
          </w:p>
        </w:tc>
        <w:tc>
          <w:tcPr>
            <w:tcW w:w="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Therapeutics, Inc. and David D. O’Toole.</w:t>
              </w:r>
            </w:hyperlink>
          </w:p>
        </w:tc>
        <w:tc>
          <w:tcPr>
            <w:tcW w:w="1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40" w:type="dxa"/>
            <w:vAlign w:val="bottom"/>
          </w:tcPr>
          <w:p>
            <w:pPr>
              <w:spacing w:after="0"/>
              <w:rPr>
                <w:sz w:val="24"/>
                <w:szCs w:val="24"/>
                <w:color w:val="auto"/>
              </w:rPr>
            </w:pPr>
          </w:p>
        </w:tc>
        <w:tc>
          <w:tcPr>
            <w:tcW w:w="46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Loan Agreement by and between Soleno Therapeutics, Inc. and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the investors named therein, dated September 29, 2014.</w:t>
              </w:r>
            </w:hyperlink>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40" w:type="dxa"/>
            <w:vAlign w:val="bottom"/>
          </w:tcPr>
          <w:p>
            <w:pPr>
              <w:spacing w:after="0"/>
              <w:rPr>
                <w:sz w:val="24"/>
                <w:szCs w:val="24"/>
                <w:color w:val="auto"/>
              </w:rPr>
            </w:pPr>
          </w:p>
        </w:tc>
        <w:tc>
          <w:tcPr>
            <w:tcW w:w="46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Revised Second Tranche Closing Notice and Letter Amendment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dated August 18, 2014 relating to the August 2014 Notes.</w:t>
              </w:r>
            </w:hyperlink>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40" w:type="dxa"/>
            <w:vAlign w:val="bottom"/>
          </w:tcPr>
          <w:p>
            <w:pPr>
              <w:spacing w:after="0"/>
              <w:rPr>
                <w:sz w:val="24"/>
                <w:szCs w:val="24"/>
                <w:color w:val="auto"/>
              </w:rPr>
            </w:pPr>
          </w:p>
        </w:tc>
        <w:tc>
          <w:tcPr>
            <w:tcW w:w="39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Second Tranche Subsequent Closing Notice and Letter</w:t>
              </w:r>
            </w:hyperlink>
          </w:p>
        </w:tc>
        <w:tc>
          <w:tcPr>
            <w:tcW w:w="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Amendment dated October 22, 2014 relating to the October 2014</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4"/>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Notes.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40" w:type="dxa"/>
            <w:vAlign w:val="bottom"/>
          </w:tcPr>
          <w:p>
            <w:pPr>
              <w:spacing w:after="0"/>
              <w:rPr>
                <w:sz w:val="24"/>
                <w:szCs w:val="24"/>
                <w:color w:val="auto"/>
              </w:rPr>
            </w:pPr>
          </w:p>
        </w:tc>
        <w:tc>
          <w:tcPr>
            <w:tcW w:w="280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Form of Warrant Exercise Agreement.</w:t>
              </w:r>
            </w:hyperlink>
          </w:p>
        </w:tc>
        <w:tc>
          <w:tcPr>
            <w:tcW w:w="19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40" w:type="dxa"/>
            <w:vAlign w:val="bottom"/>
          </w:tcPr>
          <w:p>
            <w:pPr>
              <w:spacing w:after="0"/>
              <w:rPr>
                <w:sz w:val="24"/>
                <w:szCs w:val="24"/>
                <w:color w:val="auto"/>
              </w:rPr>
            </w:pPr>
          </w:p>
        </w:tc>
        <w:tc>
          <w:tcPr>
            <w:tcW w:w="46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Advisory Agreement by and between Soleno Therapeutics, Inc.</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and Maxim Group LLC, dated March 4, 2015.</w:t>
              </w:r>
            </w:hyperlink>
          </w:p>
        </w:tc>
        <w:tc>
          <w:tcPr>
            <w:tcW w:w="13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020" w:type="dxa"/>
            <w:vAlign w:val="bottom"/>
          </w:tcPr>
          <w:p>
            <w:pPr>
              <w:spacing w:after="0"/>
              <w:rPr>
                <w:sz w:val="24"/>
                <w:szCs w:val="24"/>
                <w:color w:val="auto"/>
              </w:rPr>
            </w:pPr>
          </w:p>
        </w:tc>
        <w:tc>
          <w:tcPr>
            <w:tcW w:w="4760" w:type="dxa"/>
            <w:vAlign w:val="bottom"/>
            <w:gridSpan w:val="2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1100" w:type="dxa"/>
            <w:vAlign w:val="bottom"/>
            <w:gridSpan w:val="2"/>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Registrant’s</w:t>
            </w:r>
          </w:p>
        </w:tc>
        <w:tc>
          <w:tcPr>
            <w:tcW w:w="120" w:type="dxa"/>
            <w:vAlign w:val="bottom"/>
          </w:tcPr>
          <w:p>
            <w:pPr>
              <w:spacing w:after="0"/>
              <w:rPr>
                <w:sz w:val="7"/>
                <w:szCs w:val="7"/>
                <w:color w:val="auto"/>
              </w:rPr>
            </w:pPr>
          </w:p>
        </w:tc>
        <w:tc>
          <w:tcPr>
            <w:tcW w:w="20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Date Filed</w:t>
            </w:r>
          </w:p>
        </w:tc>
        <w:tc>
          <w:tcPr>
            <w:tcW w:w="12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Filed</w:t>
            </w:r>
          </w:p>
        </w:tc>
      </w:tr>
      <w:tr>
        <w:trPr>
          <w:trHeight w:val="187"/>
        </w:trPr>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tabs>
          <w:tab w:leader="none" w:pos="1320" w:val="left"/>
          <w:tab w:leader="none" w:pos="362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June 10, 2014</w:t>
      </w:r>
      <w:r>
        <w:rPr>
          <w:sz w:val="20"/>
          <w:szCs w:val="20"/>
          <w:color w:val="auto"/>
        </w:rPr>
        <w:tab/>
      </w:r>
      <w:r>
        <w:rPr>
          <w:rFonts w:ascii="Times New Roman" w:cs="Times New Roman" w:eastAsia="Times New Roman" w:hAnsi="Times New Roman"/>
          <w:sz w:val="17"/>
          <w:szCs w:val="17"/>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10,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9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10,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11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10,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1,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22,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10.20</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September 29,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4,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10.22</w:t>
            </w:r>
          </w:p>
        </w:tc>
      </w:tr>
      <w:tr>
        <w:trPr>
          <w:trHeight w:val="9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4, 2014</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10.23</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5, 2015</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1, 2015</w:t>
            </w: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10.25</w:t>
            </w:r>
          </w:p>
        </w:tc>
      </w:tr>
    </w:tbl>
    <w:p>
      <w:pPr>
        <w:sectPr>
          <w:pgSz w:w="11900" w:h="16838" w:orient="portrait"/>
          <w:cols w:equalWidth="0" w:num="2">
            <w:col w:w="5860" w:space="120"/>
            <w:col w:w="5260"/>
          </w:cols>
          <w:pgMar w:left="320" w:top="371" w:right="339" w:bottom="1440" w:gutter="0" w:footer="0" w:header="0"/>
        </w:sectPr>
      </w:pPr>
    </w:p>
    <w:bookmarkStart w:id="94" w:name="page95"/>
    <w:bookmarkEnd w:id="94"/>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gridSpan w:val="1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15"/>
                <w:szCs w:val="15"/>
                <w:color w:val="auto"/>
              </w:rPr>
            </w:pPr>
          </w:p>
        </w:tc>
        <w:tc>
          <w:tcPr>
            <w:tcW w:w="4620" w:type="dxa"/>
            <w:vAlign w:val="bottom"/>
            <w:tcBorders>
              <w:bottom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Agreement and First Amendment to Asset Purchase Agreement</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between the Company, BDDI and affiliate of BDDI, dated June</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30, 2015.</w:t>
              </w:r>
            </w:hyperlink>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40" w:type="dxa"/>
            <w:vAlign w:val="bottom"/>
          </w:tcPr>
          <w:p>
            <w:pPr>
              <w:spacing w:after="0"/>
              <w:rPr>
                <w:sz w:val="24"/>
                <w:szCs w:val="24"/>
                <w:color w:val="auto"/>
              </w:rPr>
            </w:pPr>
          </w:p>
        </w:tc>
        <w:tc>
          <w:tcPr>
            <w:tcW w:w="46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Common Stock Purchase Agreement between the Company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an affiliate of BDDI, dated June 30, 2015.</w:t>
              </w:r>
            </w:hyperlink>
          </w:p>
        </w:tc>
        <w:tc>
          <w:tcPr>
            <w:tcW w:w="1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40" w:type="dxa"/>
            <w:vAlign w:val="bottom"/>
          </w:tcPr>
          <w:p>
            <w:pPr>
              <w:spacing w:after="0"/>
              <w:rPr>
                <w:sz w:val="24"/>
                <w:szCs w:val="24"/>
                <w:color w:val="auto"/>
              </w:rPr>
            </w:pPr>
          </w:p>
        </w:tc>
        <w:tc>
          <w:tcPr>
            <w:tcW w:w="4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Registration Rights Agreement between the Company and</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Aspire Capital Fund, LLC, dated July 24, 2015.</w:t>
              </w:r>
            </w:hyperlink>
          </w:p>
        </w:tc>
        <w:tc>
          <w:tcPr>
            <w:tcW w:w="12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40" w:type="dxa"/>
            <w:vAlign w:val="bottom"/>
          </w:tcPr>
          <w:p>
            <w:pPr>
              <w:spacing w:after="0"/>
              <w:rPr>
                <w:sz w:val="24"/>
                <w:szCs w:val="24"/>
                <w:color w:val="auto"/>
              </w:rPr>
            </w:pPr>
          </w:p>
        </w:tc>
        <w:tc>
          <w:tcPr>
            <w:tcW w:w="46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Common Stock Purchase Agreement between the Company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Aspire Capital Fund, LLC, dated July 24, 2015.</w:t>
              </w:r>
            </w:hyperlink>
          </w:p>
        </w:tc>
        <w:tc>
          <w:tcPr>
            <w:tcW w:w="12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40" w:type="dxa"/>
            <w:vAlign w:val="bottom"/>
          </w:tcPr>
          <w:p>
            <w:pPr>
              <w:spacing w:after="0"/>
              <w:rPr>
                <w:sz w:val="24"/>
                <w:szCs w:val="24"/>
                <w:color w:val="auto"/>
              </w:rPr>
            </w:pPr>
          </w:p>
        </w:tc>
        <w:tc>
          <w:tcPr>
            <w:tcW w:w="45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Engagement Letter dated September 17, 2015, between Soleno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Therapeutics, Inc. and Maxim Group, LLC.</w:t>
              </w:r>
            </w:hyperlink>
          </w:p>
        </w:tc>
        <w:tc>
          <w:tcPr>
            <w:tcW w:w="1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40" w:type="dxa"/>
            <w:vAlign w:val="bottom"/>
          </w:tcPr>
          <w:p>
            <w:pPr>
              <w:spacing w:after="0"/>
              <w:rPr>
                <w:sz w:val="24"/>
                <w:szCs w:val="24"/>
                <w:color w:val="auto"/>
              </w:rPr>
            </w:pPr>
          </w:p>
        </w:tc>
        <w:tc>
          <w:tcPr>
            <w:tcW w:w="406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Securities Purchase Agreement dated October 12, 2015.</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40" w:type="dxa"/>
            <w:vAlign w:val="bottom"/>
          </w:tcPr>
          <w:p>
            <w:pPr>
              <w:spacing w:after="0"/>
              <w:rPr>
                <w:sz w:val="24"/>
                <w:szCs w:val="24"/>
                <w:color w:val="auto"/>
              </w:rPr>
            </w:pPr>
          </w:p>
        </w:tc>
        <w:tc>
          <w:tcPr>
            <w:tcW w:w="296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Form of Registration Rights Agreement.</w:t>
              </w:r>
            </w:hyperlink>
          </w:p>
        </w:tc>
        <w:tc>
          <w:tcPr>
            <w:tcW w:w="17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40" w:type="dxa"/>
            <w:vAlign w:val="bottom"/>
          </w:tcPr>
          <w:p>
            <w:pPr>
              <w:spacing w:after="0"/>
              <w:rPr>
                <w:sz w:val="24"/>
                <w:szCs w:val="24"/>
                <w:color w:val="auto"/>
              </w:rPr>
            </w:pPr>
          </w:p>
        </w:tc>
        <w:tc>
          <w:tcPr>
            <w:tcW w:w="220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Form of Lock-Up Agreement.</w:t>
              </w:r>
            </w:hyperlink>
          </w:p>
        </w:tc>
        <w:tc>
          <w:tcPr>
            <w:tcW w:w="25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40" w:type="dxa"/>
            <w:vAlign w:val="bottom"/>
          </w:tcPr>
          <w:p>
            <w:pPr>
              <w:spacing w:after="0"/>
              <w:rPr>
                <w:sz w:val="24"/>
                <w:szCs w:val="24"/>
                <w:color w:val="auto"/>
              </w:rPr>
            </w:pPr>
          </w:p>
        </w:tc>
        <w:tc>
          <w:tcPr>
            <w:tcW w:w="4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Amendment No. 1 to Securities Purchase Agreement dated</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October 29, 2015.</w:t>
              </w:r>
            </w:hyperlink>
          </w:p>
        </w:tc>
        <w:tc>
          <w:tcPr>
            <w:tcW w:w="33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40" w:type="dxa"/>
            <w:vAlign w:val="bottom"/>
          </w:tcPr>
          <w:p>
            <w:pPr>
              <w:spacing w:after="0"/>
              <w:rPr>
                <w:sz w:val="24"/>
                <w:szCs w:val="24"/>
                <w:color w:val="auto"/>
              </w:rPr>
            </w:pPr>
          </w:p>
        </w:tc>
        <w:tc>
          <w:tcPr>
            <w:tcW w:w="4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Transfer and Distribution Agreement: United States: by and</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between Soleno Therapeutics, Inc. and Bemes, Inc. signed</w:t>
              </w:r>
            </w:hyperlink>
          </w:p>
        </w:tc>
        <w:tc>
          <w:tcPr>
            <w:tcW w:w="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January 26, 2016.</w:t>
              </w:r>
            </w:hyperlink>
          </w:p>
        </w:tc>
        <w:tc>
          <w:tcPr>
            <w:tcW w:w="3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4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Engagement Letter dated June 26, 2016, between Soleno</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Therapeutics, Inc. and Maxim Group, LLC.</w:t>
              </w:r>
            </w:hyperlink>
          </w:p>
        </w:tc>
        <w:tc>
          <w:tcPr>
            <w:tcW w:w="1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40" w:type="dxa"/>
            <w:vAlign w:val="bottom"/>
          </w:tcPr>
          <w:p>
            <w:pPr>
              <w:spacing w:after="0"/>
              <w:rPr>
                <w:sz w:val="24"/>
                <w:szCs w:val="24"/>
                <w:color w:val="auto"/>
              </w:rPr>
            </w:pPr>
          </w:p>
        </w:tc>
        <w:tc>
          <w:tcPr>
            <w:tcW w:w="382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Securities Purchase Agreement dated June 29, 2016.</w:t>
              </w:r>
            </w:hyperlink>
          </w:p>
        </w:tc>
        <w:tc>
          <w:tcPr>
            <w:tcW w:w="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40" w:type="dxa"/>
            <w:vAlign w:val="bottom"/>
          </w:tcPr>
          <w:p>
            <w:pPr>
              <w:spacing w:after="0"/>
              <w:rPr>
                <w:sz w:val="24"/>
                <w:szCs w:val="24"/>
                <w:color w:val="auto"/>
              </w:rPr>
            </w:pPr>
          </w:p>
        </w:tc>
        <w:tc>
          <w:tcPr>
            <w:tcW w:w="444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Registration Rights Agreement dated June 29, 2016.</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40" w:type="dxa"/>
            <w:vAlign w:val="bottom"/>
          </w:tcPr>
          <w:p>
            <w:pPr>
              <w:spacing w:after="0"/>
              <w:rPr>
                <w:sz w:val="24"/>
                <w:szCs w:val="24"/>
                <w:color w:val="auto"/>
              </w:rPr>
            </w:pPr>
          </w:p>
        </w:tc>
        <w:tc>
          <w:tcPr>
            <w:tcW w:w="4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Amendment No. 1 to Securities Purchase Agreement dated</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September 20, 2016.</w:t>
              </w:r>
            </w:hyperlink>
          </w:p>
        </w:tc>
        <w:tc>
          <w:tcPr>
            <w:tcW w:w="31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020" w:type="dxa"/>
            <w:vAlign w:val="bottom"/>
          </w:tcPr>
          <w:p>
            <w:pPr>
              <w:spacing w:after="0"/>
              <w:rPr>
                <w:sz w:val="24"/>
                <w:szCs w:val="24"/>
                <w:color w:val="auto"/>
              </w:rPr>
            </w:pPr>
          </w:p>
        </w:tc>
        <w:tc>
          <w:tcPr>
            <w:tcW w:w="4720" w:type="dxa"/>
            <w:vAlign w:val="bottom"/>
            <w:gridSpan w:val="18"/>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110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b w:val="1"/>
                <w:bCs w:val="1"/>
                <w:color w:val="auto"/>
              </w:rPr>
              <w:t>Registrant’s</w:t>
            </w:r>
          </w:p>
        </w:tc>
        <w:tc>
          <w:tcPr>
            <w:tcW w:w="120" w:type="dxa"/>
            <w:vAlign w:val="bottom"/>
          </w:tcPr>
          <w:p>
            <w:pPr>
              <w:spacing w:after="0"/>
              <w:rPr>
                <w:sz w:val="7"/>
                <w:szCs w:val="7"/>
                <w:color w:val="auto"/>
              </w:rPr>
            </w:pPr>
          </w:p>
        </w:tc>
        <w:tc>
          <w:tcPr>
            <w:tcW w:w="2000" w:type="dxa"/>
            <w:vAlign w:val="bottom"/>
          </w:tcPr>
          <w:p>
            <w:pPr>
              <w:ind w:left="680"/>
              <w:spacing w:after="0" w:line="91" w:lineRule="exact"/>
              <w:rPr>
                <w:sz w:val="20"/>
                <w:szCs w:val="20"/>
                <w:color w:val="auto"/>
              </w:rPr>
            </w:pPr>
            <w:r>
              <w:rPr>
                <w:rFonts w:ascii="Times New Roman" w:cs="Times New Roman" w:eastAsia="Times New Roman" w:hAnsi="Times New Roman"/>
                <w:sz w:val="10"/>
                <w:szCs w:val="10"/>
                <w:b w:val="1"/>
                <w:bCs w:val="1"/>
                <w:color w:val="auto"/>
              </w:rPr>
              <w:t>Date Filed</w:t>
            </w:r>
          </w:p>
        </w:tc>
        <w:tc>
          <w:tcPr>
            <w:tcW w:w="12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Filed</w:t>
            </w:r>
          </w:p>
        </w:tc>
      </w:tr>
      <w:tr>
        <w:trPr>
          <w:trHeight w:val="187"/>
        </w:trPr>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655"/>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7,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7,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27, 2015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27,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December 22, 2015</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8"/>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January 28, 2016</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2"/>
        </w:trPr>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 2016</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5860" w:space="120"/>
            <w:col w:w="5260"/>
          </w:cols>
          <w:pgMar w:left="320" w:top="371" w:right="339" w:bottom="1440" w:gutter="0" w:footer="0" w:header="0"/>
        </w:sectPr>
      </w:pPr>
    </w:p>
    <w:bookmarkStart w:id="95" w:name="page96"/>
    <w:bookmarkEnd w:id="95"/>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60" w:type="dxa"/>
            <w:vAlign w:val="bottom"/>
            <w:gridSpan w:val="19"/>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10.40</w:t>
            </w:r>
          </w:p>
        </w:tc>
        <w:tc>
          <w:tcPr>
            <w:tcW w:w="140" w:type="dxa"/>
            <w:vAlign w:val="bottom"/>
          </w:tcPr>
          <w:p>
            <w:pPr>
              <w:spacing w:after="0"/>
              <w:rPr>
                <w:sz w:val="15"/>
                <w:szCs w:val="15"/>
                <w:color w:val="auto"/>
              </w:rPr>
            </w:pPr>
          </w:p>
        </w:tc>
        <w:tc>
          <w:tcPr>
            <w:tcW w:w="4600" w:type="dxa"/>
            <w:vAlign w:val="bottom"/>
            <w:tcBorders>
              <w:bottom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Agreement and Plan of Merger and Reorganization, dated as of</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December 22, 2016, by and among Soleno Therapeutics, Inc., a</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Delaware corporation, Essentialis, Inc., a Delaware corporation,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Company E Merger Sub, Inc., a Delaware corporation and a</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wholly-owned subsidiary of Soleno Therapeutics, and Neil</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Cowen as the stockholders’ representative.</w:t>
              </w:r>
            </w:hyperlink>
          </w:p>
        </w:tc>
        <w:tc>
          <w:tcPr>
            <w:tcW w:w="1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40" w:type="dxa"/>
            <w:vAlign w:val="bottom"/>
          </w:tcPr>
          <w:p>
            <w:pPr>
              <w:spacing w:after="0"/>
              <w:rPr>
                <w:sz w:val="24"/>
                <w:szCs w:val="24"/>
                <w:color w:val="auto"/>
              </w:rPr>
            </w:pPr>
          </w:p>
        </w:tc>
        <w:tc>
          <w:tcPr>
            <w:tcW w:w="42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Registration Rights Agreement between the Company and</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Aspire Capital Fund, LLC, dated January 27, 2017.</w:t>
              </w:r>
            </w:hyperlink>
          </w:p>
        </w:tc>
        <w:tc>
          <w:tcPr>
            <w:tcW w:w="9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40" w:type="dxa"/>
            <w:vAlign w:val="bottom"/>
          </w:tcPr>
          <w:p>
            <w:pPr>
              <w:spacing w:after="0"/>
              <w:rPr>
                <w:sz w:val="24"/>
                <w:szCs w:val="24"/>
                <w:color w:val="auto"/>
              </w:rPr>
            </w:pPr>
          </w:p>
        </w:tc>
        <w:tc>
          <w:tcPr>
            <w:tcW w:w="46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Common Stock Purchase Agreement between the Company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Aspire Capital Fund, LLC, dated January 27, 2017.</w:t>
              </w:r>
            </w:hyperlink>
          </w:p>
        </w:tc>
        <w:tc>
          <w:tcPr>
            <w:tcW w:w="9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40" w:type="dxa"/>
            <w:vAlign w:val="bottom"/>
          </w:tcPr>
          <w:p>
            <w:pPr>
              <w:spacing w:after="0"/>
              <w:rPr>
                <w:sz w:val="24"/>
                <w:szCs w:val="24"/>
                <w:color w:val="auto"/>
              </w:rPr>
            </w:pPr>
          </w:p>
        </w:tc>
        <w:tc>
          <w:tcPr>
            <w:tcW w:w="46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Stock Purchase Agreement made by and between the Company</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and NeoForce Holdings, Inc. a Delaware corporation dated July</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18, 2017</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140" w:type="dxa"/>
            <w:vAlign w:val="bottom"/>
          </w:tcPr>
          <w:p>
            <w:pPr>
              <w:spacing w:after="0"/>
              <w:rPr>
                <w:sz w:val="24"/>
                <w:szCs w:val="24"/>
                <w:color w:val="auto"/>
              </w:rPr>
            </w:pPr>
          </w:p>
        </w:tc>
        <w:tc>
          <w:tcPr>
            <w:tcW w:w="46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Joint Venture Agreement dated as of December 4, 2017 by and</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among Soleno Therapeutics, Inc., Capnia, Inc., and OptAsia</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Healthcare Limited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140" w:type="dxa"/>
            <w:vAlign w:val="bottom"/>
          </w:tcPr>
          <w:p>
            <w:pPr>
              <w:spacing w:after="0"/>
              <w:rPr>
                <w:sz w:val="24"/>
                <w:szCs w:val="24"/>
                <w:color w:val="auto"/>
              </w:rPr>
            </w:pPr>
          </w:p>
        </w:tc>
        <w:tc>
          <w:tcPr>
            <w:tcW w:w="462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Securities Purchase Agreement, dated as of December 11, 2017</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140" w:type="dxa"/>
            <w:vAlign w:val="bottom"/>
          </w:tcPr>
          <w:p>
            <w:pPr>
              <w:spacing w:after="0"/>
              <w:rPr>
                <w:sz w:val="24"/>
                <w:szCs w:val="24"/>
                <w:color w:val="auto"/>
              </w:rPr>
            </w:pPr>
          </w:p>
        </w:tc>
        <w:tc>
          <w:tcPr>
            <w:tcW w:w="4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Confidential Consulting Agreement, dated September 5, 2017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and between FLG Partners, LLC and the Company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40" w:type="dxa"/>
            <w:vAlign w:val="bottom"/>
          </w:tcPr>
          <w:p>
            <w:pPr>
              <w:spacing w:after="0"/>
              <w:rPr>
                <w:sz w:val="24"/>
                <w:szCs w:val="24"/>
                <w:color w:val="auto"/>
              </w:rPr>
            </w:pPr>
          </w:p>
        </w:tc>
        <w:tc>
          <w:tcPr>
            <w:tcW w:w="45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Securities Purchase Agreement, dated as of December 19, 2018</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140" w:type="dxa"/>
            <w:vAlign w:val="bottom"/>
          </w:tcPr>
          <w:p>
            <w:pPr>
              <w:spacing w:after="0"/>
              <w:rPr>
                <w:sz w:val="24"/>
                <w:szCs w:val="24"/>
                <w:color w:val="auto"/>
              </w:rPr>
            </w:pPr>
          </w:p>
        </w:tc>
        <w:tc>
          <w:tcPr>
            <w:tcW w:w="30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326">
              <w:r>
                <w:rPr>
                  <w:rFonts w:ascii="Times New Roman" w:cs="Times New Roman" w:eastAsia="Times New Roman" w:hAnsi="Times New Roman"/>
                  <w:sz w:val="18"/>
                  <w:szCs w:val="18"/>
                  <w:color w:val="0000FF"/>
                  <w:w w:val="98"/>
                </w:rPr>
                <w:t>Employment Agreement with Kristen Yen</w:t>
              </w:r>
            </w:hyperlink>
          </w:p>
        </w:tc>
        <w:tc>
          <w:tcPr>
            <w:tcW w:w="20" w:type="dxa"/>
            <w:vAlign w:val="bottom"/>
            <w:tcBorders>
              <w:bottom w:val="single" w:sz="8" w:color="0000EE"/>
            </w:tcBorders>
          </w:tcPr>
          <w:p>
            <w:pPr>
              <w:spacing w:after="0"/>
              <w:rPr>
                <w:sz w:val="24"/>
                <w:szCs w:val="24"/>
                <w:color w:val="auto"/>
              </w:rPr>
            </w:pPr>
          </w:p>
        </w:tc>
        <w:tc>
          <w:tcPr>
            <w:tcW w:w="16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40" w:type="dxa"/>
            <w:vAlign w:val="bottom"/>
          </w:tcPr>
          <w:p>
            <w:pPr>
              <w:spacing w:after="0"/>
              <w:rPr>
                <w:sz w:val="24"/>
                <w:szCs w:val="24"/>
                <w:color w:val="auto"/>
              </w:rPr>
            </w:pPr>
          </w:p>
        </w:tc>
        <w:tc>
          <w:tcPr>
            <w:tcW w:w="43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Underwriting Agreement, dated as of June 24, 2020, by and</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between the Company and Guggenheim Securities, LLC dated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327">
              <w:r>
                <w:rPr>
                  <w:rFonts w:ascii="Times New Roman" w:cs="Times New Roman" w:eastAsia="Times New Roman" w:hAnsi="Times New Roman"/>
                  <w:sz w:val="18"/>
                  <w:szCs w:val="18"/>
                  <w:color w:val="0000FF"/>
                  <w:w w:val="97"/>
                </w:rPr>
                <w:t>June 24, 2020</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140" w:type="dxa"/>
            <w:vAlign w:val="bottom"/>
          </w:tcPr>
          <w:p>
            <w:pPr>
              <w:spacing w:after="0"/>
              <w:rPr>
                <w:sz w:val="24"/>
                <w:szCs w:val="24"/>
                <w:color w:val="auto"/>
              </w:rPr>
            </w:pPr>
          </w:p>
        </w:tc>
        <w:tc>
          <w:tcPr>
            <w:tcW w:w="45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2020 Inducement Equity Incentive Plan, as amended, and form</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of option agreement thereunuder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5"/>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40" w:type="dxa"/>
            <w:vAlign w:val="bottom"/>
          </w:tcPr>
          <w:p>
            <w:pPr>
              <w:spacing w:after="0"/>
              <w:rPr>
                <w:sz w:val="24"/>
                <w:szCs w:val="24"/>
                <w:color w:val="auto"/>
              </w:rPr>
            </w:pPr>
          </w:p>
        </w:tc>
        <w:tc>
          <w:tcPr>
            <w:tcW w:w="43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Employment Agreement by and between the Company and</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James Mackaness, dated as of November 11,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40" w:type="dxa"/>
            <w:vAlign w:val="bottom"/>
            <w:tcBorders>
              <w:right w:val="single" w:sz="8" w:color="0000EE"/>
            </w:tcBorders>
            <w:gridSpan w:val="9"/>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40" w:type="dxa"/>
            <w:vAlign w:val="bottom"/>
          </w:tcPr>
          <w:p>
            <w:pPr>
              <w:spacing w:after="0"/>
              <w:rPr>
                <w:sz w:val="24"/>
                <w:szCs w:val="24"/>
                <w:color w:val="auto"/>
              </w:rPr>
            </w:pPr>
          </w:p>
        </w:tc>
        <w:tc>
          <w:tcPr>
            <w:tcW w:w="44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Amendment to Employment Agreement by and between the</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Company and James Mackaness, dated as of January 8,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tcBorders>
              <w:right w:val="single" w:sz="8" w:color="0000EE"/>
            </w:tcBorders>
            <w:gridSpan w:val="15"/>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18"/>
          </w:tcPr>
          <w:p>
            <w:pPr>
              <w:ind w:left="4380"/>
              <w:spacing w:after="0"/>
              <w:rPr>
                <w:sz w:val="20"/>
                <w:szCs w:val="20"/>
                <w:color w:val="auto"/>
              </w:rPr>
            </w:pPr>
            <w:r>
              <w:rPr>
                <w:rFonts w:ascii="Times New Roman" w:cs="Times New Roman" w:eastAsia="Times New Roman" w:hAnsi="Times New Roman"/>
                <w:sz w:val="18"/>
                <w:szCs w:val="18"/>
                <w:color w:val="auto"/>
                <w:w w:val="99"/>
              </w:rPr>
              <w:t>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91"/>
        </w:trPr>
        <w:tc>
          <w:tcPr>
            <w:tcW w:w="120" w:type="dxa"/>
            <w:vAlign w:val="bottom"/>
          </w:tcPr>
          <w:p>
            <w:pPr>
              <w:spacing w:after="0"/>
              <w:rPr>
                <w:sz w:val="7"/>
                <w:szCs w:val="7"/>
                <w:color w:val="auto"/>
              </w:rPr>
            </w:pPr>
          </w:p>
        </w:tc>
        <w:tc>
          <w:tcPr>
            <w:tcW w:w="1100" w:type="dxa"/>
            <w:vAlign w:val="bottom"/>
            <w:gridSpan w:val="2"/>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Registrant’s</w:t>
            </w:r>
          </w:p>
        </w:tc>
        <w:tc>
          <w:tcPr>
            <w:tcW w:w="120" w:type="dxa"/>
            <w:vAlign w:val="bottom"/>
          </w:tcPr>
          <w:p>
            <w:pPr>
              <w:spacing w:after="0"/>
              <w:rPr>
                <w:sz w:val="7"/>
                <w:szCs w:val="7"/>
                <w:color w:val="auto"/>
              </w:rPr>
            </w:pPr>
          </w:p>
        </w:tc>
        <w:tc>
          <w:tcPr>
            <w:tcW w:w="20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Date Filed</w:t>
            </w:r>
          </w:p>
        </w:tc>
        <w:tc>
          <w:tcPr>
            <w:tcW w:w="12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Filed</w:t>
            </w:r>
          </w:p>
        </w:tc>
      </w:tr>
      <w:tr>
        <w:trPr>
          <w:trHeight w:val="187"/>
        </w:trPr>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27, 2016</w:t>
            </w:r>
          </w:p>
        </w:tc>
        <w:tc>
          <w:tcPr>
            <w:tcW w:w="8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2.1</w:t>
            </w: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1, 2017</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10.51</w:t>
            </w: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1, 2017</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10.52</w:t>
            </w:r>
          </w:p>
        </w:tc>
      </w:tr>
      <w:tr>
        <w:trPr>
          <w:trHeight w:val="9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July 24, 2017</w:t>
            </w:r>
          </w:p>
        </w:tc>
        <w:tc>
          <w:tcPr>
            <w:tcW w:w="8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2.1</w:t>
            </w:r>
          </w:p>
        </w:tc>
      </w:tr>
      <w:tr>
        <w:trPr>
          <w:trHeight w:val="9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8, 2017</w:t>
            </w:r>
          </w:p>
        </w:tc>
        <w:tc>
          <w:tcPr>
            <w:tcW w:w="8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2.1</w:t>
            </w:r>
          </w:p>
        </w:tc>
      </w:tr>
      <w:tr>
        <w:trPr>
          <w:trHeight w:val="48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13, 2017</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4, 2018</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19, 2018</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29, 2019</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10.48</w:t>
            </w:r>
          </w:p>
        </w:tc>
      </w:tr>
      <w:tr>
        <w:trPr>
          <w:trHeight w:val="9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26, 2020</w:t>
            </w:r>
          </w:p>
        </w:tc>
        <w:tc>
          <w:tcPr>
            <w:tcW w:w="8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1.1</w:t>
            </w: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October 2, 2020</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November 13, 2020</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January 13, 2021</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bl>
    <w:p>
      <w:pPr>
        <w:sectPr>
          <w:pgSz w:w="11900" w:h="16838" w:orient="portrait"/>
          <w:cols w:equalWidth="0" w:num="2">
            <w:col w:w="5860" w:space="120"/>
            <w:col w:w="5260"/>
          </w:cols>
          <w:pgMar w:left="320" w:top="371"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7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Registrant’s</w:t>
            </w:r>
          </w:p>
        </w:tc>
        <w:tc>
          <w:tcPr>
            <w:tcW w:w="120" w:type="dxa"/>
            <w:vAlign w:val="bottom"/>
          </w:tcPr>
          <w:p>
            <w:pPr>
              <w:spacing w:after="0"/>
              <w:rPr>
                <w:sz w:val="9"/>
                <w:szCs w:val="9"/>
                <w:color w:val="auto"/>
              </w:rPr>
            </w:pPr>
          </w:p>
        </w:tc>
        <w:tc>
          <w:tcPr>
            <w:tcW w:w="2000" w:type="dxa"/>
            <w:vAlign w:val="bottom"/>
          </w:tcPr>
          <w:p>
            <w:pPr>
              <w:ind w:left="680"/>
              <w:spacing w:after="0" w:line="111" w:lineRule="exact"/>
              <w:rPr>
                <w:sz w:val="20"/>
                <w:szCs w:val="20"/>
                <w:color w:val="auto"/>
              </w:rPr>
            </w:pPr>
            <w:r>
              <w:rPr>
                <w:rFonts w:ascii="Times New Roman" w:cs="Times New Roman" w:eastAsia="Times New Roman" w:hAnsi="Times New Roman"/>
                <w:sz w:val="12"/>
                <w:szCs w:val="12"/>
                <w:b w:val="1"/>
                <w:bCs w:val="1"/>
                <w:color w:val="auto"/>
              </w:rPr>
              <w:t>Date Filed</w:t>
            </w:r>
          </w:p>
        </w:tc>
        <w:tc>
          <w:tcPr>
            <w:tcW w:w="12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Exhibit</w:t>
            </w:r>
          </w:p>
        </w:tc>
        <w:tc>
          <w:tcPr>
            <w:tcW w:w="10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1" w:right="339" w:bottom="1440" w:gutter="0" w:footer="0" w:header="0"/>
        </w:sectPr>
      </w:pPr>
    </w:p>
    <w:p>
      <w:pPr>
        <w:spacing w:after="0" w:line="2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10.53</w:t>
            </w:r>
          </w:p>
        </w:tc>
        <w:tc>
          <w:tcPr>
            <w:tcW w:w="4680" w:type="dxa"/>
            <w:vAlign w:val="bottom"/>
            <w:gridSpan w:val="16"/>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Amendment to Employment Agreement by and between the</w:t>
              </w:r>
            </w:hyperlink>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Company and Kristen Yen, dated as of January 8, 2021</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10.54</w:t>
            </w:r>
          </w:p>
        </w:tc>
        <w:tc>
          <w:tcPr>
            <w:tcW w:w="4680" w:type="dxa"/>
            <w:vAlign w:val="bottom"/>
            <w:gridSpan w:val="16"/>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Amendment to Employment Agreement by and between the</w:t>
              </w:r>
            </w:hyperlink>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Company and Patricia Hirano, dated as of January 8, 2021</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10.55</w:t>
            </w:r>
          </w:p>
        </w:tc>
        <w:tc>
          <w:tcPr>
            <w:tcW w:w="4680" w:type="dxa"/>
            <w:vAlign w:val="bottom"/>
            <w:gridSpan w:val="16"/>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Lease agreement between the Company and Hudson Towers at</w:t>
              </w:r>
            </w:hyperlink>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Shore Center, LLC dated April 16, 2021</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10.56</w:t>
            </w:r>
          </w:p>
        </w:tc>
        <w:tc>
          <w:tcPr>
            <w:tcW w:w="4680" w:type="dxa"/>
            <w:vAlign w:val="bottom"/>
            <w:gridSpan w:val="16"/>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Securities Purchase Agreement dated December 16, 2022</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21.1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Subsidiaries</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23.1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Marcum LLP</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w:t>
            </w: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Rule 13a-14(a) and 15d-14(a) of the Securities Exchange Act of</w:t>
            </w: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1934, as amended</w:t>
            </w: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31.2</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w:t>
            </w:r>
          </w:p>
        </w:tc>
      </w:tr>
      <w:tr>
        <w:trPr>
          <w:trHeight w:val="20"/>
        </w:trPr>
        <w:tc>
          <w:tcPr>
            <w:tcW w:w="10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Required Under Rule 13a-14(a) and 15d-14(a) of the Securities</w:t>
            </w:r>
          </w:p>
        </w:tc>
      </w:tr>
      <w:tr>
        <w:trPr>
          <w:trHeight w:val="20"/>
        </w:trPr>
        <w:tc>
          <w:tcPr>
            <w:tcW w:w="10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w:t>
            </w: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w:t>
            </w:r>
          </w:p>
        </w:tc>
      </w:tr>
      <w:tr>
        <w:trPr>
          <w:trHeight w:val="20"/>
        </w:trPr>
        <w:tc>
          <w:tcPr>
            <w:tcW w:w="10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Rule 13a-14(b) of the Securities Exchange Act of 1934, as</w:t>
            </w:r>
          </w:p>
        </w:tc>
      </w:tr>
      <w:tr>
        <w:trPr>
          <w:trHeight w:val="20"/>
        </w:trPr>
        <w:tc>
          <w:tcPr>
            <w:tcW w:w="10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amended, and 18 U.S.C. §1350</w:t>
            </w: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32.2</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w:t>
            </w:r>
          </w:p>
        </w:tc>
      </w:tr>
      <w:tr>
        <w:trPr>
          <w:trHeight w:val="20"/>
        </w:trPr>
        <w:tc>
          <w:tcPr>
            <w:tcW w:w="1000" w:type="dxa"/>
            <w:vAlign w:val="bottom"/>
          </w:tcPr>
          <w:p>
            <w:pPr>
              <w:spacing w:after="0" w:line="20" w:lineRule="exact"/>
              <w:rPr>
                <w:sz w:val="1"/>
                <w:szCs w:val="1"/>
                <w:color w:val="auto"/>
              </w:rPr>
            </w:pPr>
          </w:p>
        </w:tc>
        <w:tc>
          <w:tcPr>
            <w:tcW w:w="290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Required Under Rule 13a-14(b) of the Securities Exchange Act</w:t>
            </w:r>
          </w:p>
        </w:tc>
      </w:tr>
      <w:tr>
        <w:trPr>
          <w:trHeight w:val="20"/>
        </w:trPr>
        <w:tc>
          <w:tcPr>
            <w:tcW w:w="1000" w:type="dxa"/>
            <w:vAlign w:val="bottom"/>
          </w:tcPr>
          <w:p>
            <w:pPr>
              <w:spacing w:after="0" w:line="20" w:lineRule="exact"/>
              <w:rPr>
                <w:sz w:val="1"/>
                <w:szCs w:val="1"/>
                <w:color w:val="auto"/>
              </w:rPr>
            </w:pPr>
          </w:p>
        </w:tc>
        <w:tc>
          <w:tcPr>
            <w:tcW w:w="290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 and 18 U.S.C. §1350</w:t>
            </w: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290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r>
      <w:tr>
        <w:trPr>
          <w:trHeight w:val="48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101.INS</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r>
      <w:tr>
        <w:trPr>
          <w:trHeight w:val="216"/>
        </w:trPr>
        <w:tc>
          <w:tcPr>
            <w:tcW w:w="1000" w:type="dxa"/>
            <w:vAlign w:val="bottom"/>
          </w:tcPr>
          <w:p>
            <w:pPr>
              <w:spacing w:after="0"/>
              <w:rPr>
                <w:sz w:val="18"/>
                <w:szCs w:val="18"/>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r>
      <w:tr>
        <w:trPr>
          <w:trHeight w:val="234"/>
        </w:trPr>
        <w:tc>
          <w:tcPr>
            <w:tcW w:w="1000" w:type="dxa"/>
            <w:vAlign w:val="bottom"/>
          </w:tcPr>
          <w:p>
            <w:pPr>
              <w:spacing w:after="0"/>
              <w:rPr>
                <w:sz w:val="20"/>
                <w:szCs w:val="20"/>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86"/>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6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101.CAL</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1000" w:type="dxa"/>
            <w:vAlign w:val="bottom"/>
          </w:tcPr>
          <w:p>
            <w:pPr>
              <w:spacing w:after="0"/>
              <w:rPr>
                <w:sz w:val="20"/>
                <w:szCs w:val="20"/>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68"/>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1000" w:type="dxa"/>
            <w:vAlign w:val="bottom"/>
          </w:tcPr>
          <w:p>
            <w:pPr>
              <w:spacing w:after="0"/>
              <w:rPr>
                <w:sz w:val="20"/>
                <w:szCs w:val="20"/>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45"/>
        </w:trPr>
        <w:tc>
          <w:tcPr>
            <w:tcW w:w="1000" w:type="dxa"/>
            <w:vAlign w:val="bottom"/>
          </w:tcPr>
          <w:p>
            <w:pPr>
              <w:spacing w:after="0"/>
              <w:rPr>
                <w:sz w:val="24"/>
                <w:szCs w:val="24"/>
                <w:color w:val="auto"/>
              </w:rPr>
            </w:pPr>
          </w:p>
        </w:tc>
        <w:tc>
          <w:tcPr>
            <w:tcW w:w="45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13, 2021</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10.2</w:t>
            </w:r>
          </w:p>
        </w:tc>
      </w:tr>
      <w:tr>
        <w:trPr>
          <w:trHeight w:val="70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13, 2021</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10.3</w:t>
            </w:r>
          </w:p>
        </w:tc>
      </w:tr>
      <w:tr>
        <w:trPr>
          <w:trHeight w:val="70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2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5, 2021</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10.55</w:t>
            </w:r>
          </w:p>
        </w:tc>
      </w:tr>
      <w:tr>
        <w:trPr>
          <w:trHeight w:val="4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December 19, 2022</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3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3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5860" w:space="260"/>
            <w:col w:w="5120"/>
          </w:cols>
          <w:pgMar w:left="320" w:top="371"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7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Registrant’s</w:t>
            </w:r>
          </w:p>
        </w:tc>
        <w:tc>
          <w:tcPr>
            <w:tcW w:w="120" w:type="dxa"/>
            <w:vAlign w:val="bottom"/>
          </w:tcPr>
          <w:p>
            <w:pPr>
              <w:spacing w:after="0"/>
              <w:rPr>
                <w:sz w:val="9"/>
                <w:szCs w:val="9"/>
                <w:color w:val="auto"/>
              </w:rPr>
            </w:pPr>
          </w:p>
        </w:tc>
        <w:tc>
          <w:tcPr>
            <w:tcW w:w="2000" w:type="dxa"/>
            <w:vAlign w:val="bottom"/>
          </w:tcPr>
          <w:p>
            <w:pPr>
              <w:ind w:left="680"/>
              <w:spacing w:after="0" w:line="111" w:lineRule="exact"/>
              <w:rPr>
                <w:sz w:val="20"/>
                <w:szCs w:val="20"/>
                <w:color w:val="auto"/>
              </w:rPr>
            </w:pPr>
            <w:r>
              <w:rPr>
                <w:rFonts w:ascii="Times New Roman" w:cs="Times New Roman" w:eastAsia="Times New Roman" w:hAnsi="Times New Roman"/>
                <w:sz w:val="12"/>
                <w:szCs w:val="12"/>
                <w:b w:val="1"/>
                <w:bCs w:val="1"/>
                <w:color w:val="auto"/>
              </w:rPr>
              <w:t>Date Filed</w:t>
            </w:r>
          </w:p>
        </w:tc>
        <w:tc>
          <w:tcPr>
            <w:tcW w:w="12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Exhibit</w:t>
            </w:r>
          </w:p>
        </w:tc>
        <w:tc>
          <w:tcPr>
            <w:tcW w:w="10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6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60" w:right="5640" w:hanging="781"/>
        <w:spacing w:after="0" w:line="282"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79" w:lineRule="exact"/>
        <w:rPr>
          <w:sz w:val="20"/>
          <w:szCs w:val="20"/>
          <w:color w:val="auto"/>
        </w:rPr>
      </w:pPr>
    </w:p>
    <w:p>
      <w:pPr>
        <w:ind w:left="20"/>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March 22,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829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7"/>
          <w:szCs w:val="17"/>
          <w:color w:val="auto"/>
        </w:rPr>
        <w:t>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7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12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ANISH BHATNAGAR</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22, 2023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Anish Bhatnagar</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4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MACKANESS</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22, 2023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James Mackaness</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Officer)</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4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ERNEST MARIO</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w:t>
            </w:r>
          </w:p>
        </w:tc>
        <w:tc>
          <w:tcPr>
            <w:tcW w:w="2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22, 2023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Ernest Mario</w:t>
            </w: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SINCLAIR</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22, 2023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Sinclair</w:t>
            </w: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G. HARRIS</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22, 2023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G. Harris</w:t>
            </w: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GWEN MELINCOFF</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22, 2023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Gwen Melincoff</w:t>
            </w: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BIRGITTE VOLCK</w:t>
            </w:r>
          </w:p>
        </w:tc>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22, 2023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Birgitte Volck</w:t>
            </w: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97</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Soleno Therapeutics, Inc.</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20" w:type="dxa"/>
            <w:vAlign w:val="bottom"/>
          </w:tcPr>
          <w:p>
            <w:pPr>
              <w:spacing w:after="0"/>
              <w:rPr>
                <w:sz w:val="16"/>
                <w:szCs w:val="16"/>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Soleno Therapeutics UK Ltd.</w:t>
            </w:r>
          </w:p>
        </w:tc>
        <w:tc>
          <w:tcPr>
            <w:tcW w:w="2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Soleno Therapeutics Europe Ltd.</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Essentialis, Inc.</w:t>
            </w:r>
          </w:p>
        </w:tc>
        <w:tc>
          <w:tcPr>
            <w:tcW w:w="2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58"/>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Soleno Therapeutics, Inc. on Form S-8 (File No.’s 333-200175, 333-210563, 333-220056, 333-224070, 333-230402, 333-235999, 333-239496, 333-252014, 333-252108 and 333-264035) and Form S-3 (File No. 333-232068) of our report dated March 22, 2023, which includes an explanatory paragraph as to the company’s ability to continue as a going concern, with respect to our audits of the consolidated financial statements of Soleno Therapeutics, Inc. as of December 31, 2022 and 2021 and for each of the two years in the period ended December 31, 2022, which report is included in this Annual Report on Form 10-K of Soleno Therapeutics, Inc. for the year ended December 31, 2022.</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Soleno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01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Anish Bhatnagar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James Mackaness,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Soleno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01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Soleno Therapeutics, Inc. (the “Company”) on Form 10-K for the fiscal year ended December 31, 2022, as filed with the Securities and Exchange Commission (the “Report”), Anish Bhatnagar, President, Chief Executive Officer of the Company, do hereby certify, pursuant to 18 U.S.C. Section 1350, as adopted pursuant to Section 906 of the Sarbanes-Oxley Act of 2002, that:</w:t>
      </w:r>
    </w:p>
    <w:p>
      <w:pPr>
        <w:spacing w:after="0" w:line="68" w:lineRule="exact"/>
        <w:rPr>
          <w:sz w:val="20"/>
          <w:szCs w:val="20"/>
          <w:color w:val="auto"/>
        </w:rPr>
      </w:pPr>
    </w:p>
    <w:p>
      <w:pPr>
        <w:ind w:left="1020" w:hanging="368"/>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01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Anish Bhatnagar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4" w:name="page105"/>
    <w:bookmarkEnd w:id="104"/>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Soleno Therapeutics, Inc. (the “Company”) on Form 10-K for the fiscal year ended December 31, 2022, as filed with the Securities and Exchange Commission (the “Report”), James Mackaness, Chief Financial Officer of the Company, do hereby certify, pursuant to 18 U.S.C. Section 1350, as adopted pursuant to Section 906 of the Sarbanes-Oxley Act of 2002, that:</w:t>
      </w:r>
    </w:p>
    <w:p>
      <w:pPr>
        <w:spacing w:after="0" w:line="68" w:lineRule="exact"/>
        <w:rPr>
          <w:sz w:val="20"/>
          <w:szCs w:val="20"/>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01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5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2"/>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04"/>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59" Type="http://schemas.openxmlformats.org/officeDocument/2006/relationships/image" Target="media/image223.png"/><Relationship Id="rId279" Type="http://schemas.openxmlformats.org/officeDocument/2006/relationships/image" Target="media/image224.png"/><Relationship Id="rId292" Type="http://schemas.openxmlformats.org/officeDocument/2006/relationships/image" Target="media/image225.png"/><Relationship Id="rId304" Type="http://schemas.openxmlformats.org/officeDocument/2006/relationships/image" Target="media/image226.png"/><Relationship Id="rId319" Type="http://schemas.openxmlformats.org/officeDocument/2006/relationships/image" Target="media/image227.png"/><Relationship Id="rId331" Type="http://schemas.openxmlformats.org/officeDocument/2006/relationships/image" Target="media/image228.png"/><Relationship Id="rId336" Type="http://schemas.openxmlformats.org/officeDocument/2006/relationships/image" Target="media/image229.png"/><Relationship Id="rId337" Type="http://schemas.openxmlformats.org/officeDocument/2006/relationships/image" Target="media/image230.png"/><Relationship Id="rId338" Type="http://schemas.openxmlformats.org/officeDocument/2006/relationships/image" Target="media/image231.png"/><Relationship Id="rId339" Type="http://schemas.openxmlformats.org/officeDocument/2006/relationships/image" Target="media/image232.png"/><Relationship Id="rId340" Type="http://schemas.openxmlformats.org/officeDocument/2006/relationships/image" Target="media/image233.png"/><Relationship Id="rId341" Type="http://schemas.openxmlformats.org/officeDocument/2006/relationships/image" Target="media/image234.png"/><Relationship Id="rId342" Type="http://schemas.openxmlformats.org/officeDocument/2006/relationships/image" Target="media/image235.png"/><Relationship Id="rId343" Type="http://schemas.openxmlformats.org/officeDocument/2006/relationships/image" Target="media/image236.png"/><Relationship Id="rId344" Type="http://schemas.openxmlformats.org/officeDocument/2006/relationships/image" Target="media/image237.png"/><Relationship Id="rId345" Type="http://schemas.openxmlformats.org/officeDocument/2006/relationships/image" Target="media/image238.png"/><Relationship Id="rId346" Type="http://schemas.openxmlformats.org/officeDocument/2006/relationships/image" Target="media/image239.png"/><Relationship Id="rId347" Type="http://schemas.openxmlformats.org/officeDocument/2006/relationships/image" Target="media/image240.png"/><Relationship Id="rId348" Type="http://schemas.openxmlformats.org/officeDocument/2006/relationships/image" Target="media/image241.png"/><Relationship Id="rId349" Type="http://schemas.openxmlformats.org/officeDocument/2006/relationships/image" Target="media/image242.png"/><Relationship Id="rId350" Type="http://schemas.openxmlformats.org/officeDocument/2006/relationships/image" Target="media/image243.png"/><Relationship Id="rId351" Type="http://schemas.openxmlformats.org/officeDocument/2006/relationships/image" Target="media/image244.png"/><Relationship Id="rId352" Type="http://schemas.openxmlformats.org/officeDocument/2006/relationships/image" Target="media/image245.png"/><Relationship Id="rId228" Type="http://schemas.openxmlformats.org/officeDocument/2006/relationships/hyperlink" Target="https://www.sec.gov/Archives/edgar/data/1484565/000162828017007221/ehx21.htm" TargetMode="External"/><Relationship Id="rId229" Type="http://schemas.openxmlformats.org/officeDocument/2006/relationships/hyperlink" Target="https://www.sec.gov/Archives/edgar/data/1484565/000162828017012274/ex21soleno-captainjvagreem.htm" TargetMode="External"/><Relationship Id="rId230" Type="http://schemas.openxmlformats.org/officeDocument/2006/relationships/hyperlink" Target="https://www.sec.gov/Archives/edgar/data/1484565/000162828017012274/ex22ippurchaseagreement.htm" TargetMode="External"/><Relationship Id="rId231" Type="http://schemas.openxmlformats.org/officeDocument/2006/relationships/hyperlink" Target="https://www.sec.gov/Archives/edgar/data/1484565/000162828017012274/ex23soleno-transitionservi.htm" TargetMode="External"/><Relationship Id="rId232" Type="http://schemas.openxmlformats.org/officeDocument/2006/relationships/hyperlink" Target="https://www.sec.gov/Archives/edgar/data/1484565/000119312514300848/d711637dex32.htm" TargetMode="External"/><Relationship Id="rId233" Type="http://schemas.openxmlformats.org/officeDocument/2006/relationships/hyperlink" Target="https://www.sec.gov/Archives/edgar/data/1484565/000119312514256995/d711637dex34.htm" TargetMode="External"/><Relationship Id="rId234" Type="http://schemas.openxmlformats.org/officeDocument/2006/relationships/hyperlink" Target="https://www.sec.gov/Archives/edgar/data/1484565/000119312515344002/d67111dex31.htm" TargetMode="External"/><Relationship Id="rId235" Type="http://schemas.openxmlformats.org/officeDocument/2006/relationships/hyperlink" Target="https://www.sec.gov/Archives/edgar/data/1484565/000119312516642505/d221558dex31.htm" TargetMode="External"/><Relationship Id="rId236" Type="http://schemas.openxmlformats.org/officeDocument/2006/relationships/hyperlink" Target="https://www.sec.gov/Archives/edgar/data/1484565/000162828017005427/exhibit31.htm" TargetMode="External"/><Relationship Id="rId237" Type="http://schemas.openxmlformats.org/officeDocument/2006/relationships/hyperlink" Target="https://www.sec.gov/Archives/edgar/data/1484565/000162828017009761/soleno-certificateofamendm.htm" TargetMode="External"/><Relationship Id="rId238" Type="http://schemas.openxmlformats.org/officeDocument/2006/relationships/hyperlink" Target="https://www.sec.gov/Archives/edgar/data/1484565/000119312522228929/d394864dex31.htm" TargetMode="External"/><Relationship Id="rId239" Type="http://schemas.openxmlformats.org/officeDocument/2006/relationships/hyperlink" Target="https://www.sec.gov/Archives/edgar/data/1484565/000119312514293949/d711637dex41.htm" TargetMode="External"/><Relationship Id="rId240" Type="http://schemas.openxmlformats.org/officeDocument/2006/relationships/hyperlink" Target="https://www.sec.gov/Archives/edgar/data/1484565/000119312514256995/d711637dex42.htm" TargetMode="External"/><Relationship Id="rId243" Type="http://schemas.openxmlformats.org/officeDocument/2006/relationships/hyperlink" Target="https://www.sec.gov/Archives/edgar/data/1484565/000119312514293949/d711637dex43.htm" TargetMode="External"/><Relationship Id="rId244" Type="http://schemas.openxmlformats.org/officeDocument/2006/relationships/hyperlink" Target="https://www.sec.gov/Archives/edgar/data/1484565/000119312514293949/d711637dex44.htm" TargetMode="External"/><Relationship Id="rId245" Type="http://schemas.openxmlformats.org/officeDocument/2006/relationships/hyperlink" Target="https://www.sec.gov/Archives/edgar/data/1484565/000119312514293949/d711637dex45.htm" TargetMode="External"/><Relationship Id="rId246" Type="http://schemas.openxmlformats.org/officeDocument/2006/relationships/hyperlink" Target="https://www.sec.gov/Archives/edgar/data/1484565/000119312514231812/d711637dex46.htm" TargetMode="External"/><Relationship Id="rId247" Type="http://schemas.openxmlformats.org/officeDocument/2006/relationships/hyperlink" Target="https://www.sec.gov/Archives/edgar/data/1484565/000119312514231812/d711637dex47.htm" TargetMode="External"/><Relationship Id="rId248" Type="http://schemas.openxmlformats.org/officeDocument/2006/relationships/hyperlink" Target="https://www.sec.gov/Archives/edgar/data/1484565/000119312514231812/d711637dex48.htm" TargetMode="External"/><Relationship Id="rId249" Type="http://schemas.openxmlformats.org/officeDocument/2006/relationships/hyperlink" Target="https://www.sec.gov/Archives/edgar/data/1484565/000119312514231812/d711637dex49.htm" TargetMode="External"/><Relationship Id="rId250" Type="http://schemas.openxmlformats.org/officeDocument/2006/relationships/hyperlink" Target="https://www.sec.gov/Archives/edgar/data/1484565/000119312514231812/d711637dex410.htm" TargetMode="External"/><Relationship Id="rId251" Type="http://schemas.openxmlformats.org/officeDocument/2006/relationships/hyperlink" Target="https://www.sec.gov/Archives/edgar/data/1484565/000119312514231812/d711637dex411.htm" TargetMode="External"/><Relationship Id="rId252" Type="http://schemas.openxmlformats.org/officeDocument/2006/relationships/hyperlink" Target="https://www.sec.gov/Archives/edgar/data/1484565/000119312514231812/d711637dex412.htm" TargetMode="External"/><Relationship Id="rId253" Type="http://schemas.openxmlformats.org/officeDocument/2006/relationships/hyperlink" Target="https://www.sec.gov/Archives/edgar/data/1484565/000119312514231812/d711637dex413.htm" TargetMode="External"/><Relationship Id="rId254" Type="http://schemas.openxmlformats.org/officeDocument/2006/relationships/hyperlink" Target="https://www.sec.gov/Archives/edgar/data/1484565/000119312514231812/d711637dex414.htm" TargetMode="External"/><Relationship Id="rId255" Type="http://schemas.openxmlformats.org/officeDocument/2006/relationships/hyperlink" Target="https://www.sec.gov/Archives/edgar/data/1484565/000119312514231812/d711637dex415.htm" TargetMode="External"/><Relationship Id="rId256" Type="http://schemas.openxmlformats.org/officeDocument/2006/relationships/hyperlink" Target="https://www.sec.gov/Archives/edgar/data/1484565/000119312514293949/d711637dex416.htm" TargetMode="External"/><Relationship Id="rId257" Type="http://schemas.openxmlformats.org/officeDocument/2006/relationships/hyperlink" Target="https://www.sec.gov/Archives/edgar/data/1484565/000119312514396517/d711637dex417.htm" TargetMode="External"/><Relationship Id="rId258" Type="http://schemas.openxmlformats.org/officeDocument/2006/relationships/hyperlink" Target="https://www.sec.gov/Archives/edgar/data/1484565/000119312514396517/d711637dex418.htm" TargetMode="External"/><Relationship Id="rId260" Type="http://schemas.openxmlformats.org/officeDocument/2006/relationships/hyperlink" Target="https://www.sec.gov/Archives/edgar/data/1484565/000119312515114723/d893037dex419.htm" TargetMode="External"/><Relationship Id="rId261" Type="http://schemas.openxmlformats.org/officeDocument/2006/relationships/hyperlink" Target="https://www.sec.gov/Archives/edgar/data/1484565/000119312515114723/d893037dex420.htm" TargetMode="External"/><Relationship Id="rId262" Type="http://schemas.openxmlformats.org/officeDocument/2006/relationships/hyperlink" Target="https://www.sec.gov/Archives/edgar/data/1484565/000119312515344002/d67111dex41.htm" TargetMode="External"/><Relationship Id="rId263" Type="http://schemas.openxmlformats.org/officeDocument/2006/relationships/hyperlink" Target="https://www.sec.gov/Archives/edgar/data/1484565/000119312515344002/d67111dex42.htm" TargetMode="External"/><Relationship Id="rId264" Type="http://schemas.openxmlformats.org/officeDocument/2006/relationships/hyperlink" Target="https://www.sec.gov/Archives/edgar/data/1484565/000119312515344002/d67111dex43.htm" TargetMode="External"/><Relationship Id="rId265" Type="http://schemas.openxmlformats.org/officeDocument/2006/relationships/hyperlink" Target="https://www.sec.gov/Archives/edgar/data/1484565/000119312515344002/d67111dex44.htm" TargetMode="External"/><Relationship Id="rId266" Type="http://schemas.openxmlformats.org/officeDocument/2006/relationships/hyperlink" Target="https://www.sec.gov/Archives/edgar/data/1484565/000119312516642505/d221558dex41.htm" TargetMode="External"/><Relationship Id="rId267" Type="http://schemas.openxmlformats.org/officeDocument/2006/relationships/hyperlink" Target="https://www.sec.gov/Archives/edgar/data/1484565/000119312516642505/d221558dex42.htm" TargetMode="External"/><Relationship Id="rId268" Type="http://schemas.openxmlformats.org/officeDocument/2006/relationships/hyperlink" Target="https://www.sec.gov/Archives/edgar/data/1484565/000148456517000004/ex41commonstockwarrant.htm" TargetMode="External"/><Relationship Id="rId269" Type="http://schemas.openxmlformats.org/officeDocument/2006/relationships/hyperlink" Target="https://www.sec.gov/Archives/edgar/data/1484565/000156459020008705/slno-ex429_382.htm" TargetMode="External"/><Relationship Id="rId270" Type="http://schemas.openxmlformats.org/officeDocument/2006/relationships/hyperlink" Target="https://www.sec.gov/Archives/edgar/data/1484565/000119312522090063/d334959dex41.htm" TargetMode="External"/><Relationship Id="rId271" Type="http://schemas.openxmlformats.org/officeDocument/2006/relationships/hyperlink" Target="https://www.sec.gov/Archives/edgar/data/1484565/000119312522090063/d334959dex42.htm" TargetMode="External"/><Relationship Id="rId272" Type="http://schemas.openxmlformats.org/officeDocument/2006/relationships/hyperlink" Target="https://www.sec.gov/Archives/edgar/data/1484565/000119312522308395/d393394dex102.htm" TargetMode="External"/><Relationship Id="rId273" Type="http://schemas.openxmlformats.org/officeDocument/2006/relationships/hyperlink" Target="https://www.sec.gov/Archives/edgar/data/1484565/000119312522308395/d393394dex103.htm" TargetMode="External"/><Relationship Id="rId274" Type="http://schemas.openxmlformats.org/officeDocument/2006/relationships/hyperlink" Target="https://www.sec.gov/Archives/edgar/data/1484565/000119312515344002/d67111dex91.htm" TargetMode="External"/><Relationship Id="rId275" Type="http://schemas.openxmlformats.org/officeDocument/2006/relationships/hyperlink" Target="https://www.sec.gov/Archives/edgar/data/1484565/000119312516642505/d221558dex91.htm" TargetMode="External"/><Relationship Id="rId276" Type="http://schemas.openxmlformats.org/officeDocument/2006/relationships/hyperlink" Target="https://www.sec.gov/Archives/edgar/data/1484565/000119312516803934/d282262dex101.htm" TargetMode="External"/><Relationship Id="rId277" Type="http://schemas.openxmlformats.org/officeDocument/2006/relationships/hyperlink" Target="https://www.sec.gov/Archives/edgar/data/1484565/000119312514231812/d711637dex101.htm" TargetMode="External"/><Relationship Id="rId278" Type="http://schemas.openxmlformats.org/officeDocument/2006/relationships/hyperlink" Target="https://www.sec.gov/Archives/edgar/data/1484565/000119312514231812/d711637dex102.htm" TargetMode="External"/><Relationship Id="rId280" Type="http://schemas.openxmlformats.org/officeDocument/2006/relationships/hyperlink" Target="https://www.sec.gov/Archives/edgar/data/1484565/000119312514231812/d711637dex103.htm" TargetMode="External"/><Relationship Id="rId281" Type="http://schemas.openxmlformats.org/officeDocument/2006/relationships/hyperlink" Target="https://www.sec.gov/Archives/edgar/data/1484565/000119312514256995/d711637dex104.htm" TargetMode="External"/><Relationship Id="rId282" Type="http://schemas.openxmlformats.org/officeDocument/2006/relationships/hyperlink" Target="https://www.sec.gov/Archives/edgar/data/1484565/000119312514256995/d711637dex105.htm" TargetMode="External"/><Relationship Id="rId283" Type="http://schemas.openxmlformats.org/officeDocument/2006/relationships/hyperlink" Target="https://www.sec.gov/Archives/edgar/data/1484565/000119312514231812/d711637dex106.htm" TargetMode="External"/><Relationship Id="rId284" Type="http://schemas.openxmlformats.org/officeDocument/2006/relationships/hyperlink" Target="https://www.sec.gov/Archives/edgar/data/1484565/000119312514231812/d711637dex107.htm" TargetMode="External"/><Relationship Id="rId285" Type="http://schemas.openxmlformats.org/officeDocument/2006/relationships/hyperlink" Target="https://www.sec.gov/Archives/edgar/data/1484565/000119312514231812/d711637dex108.htm" TargetMode="External"/><Relationship Id="rId286" Type="http://schemas.openxmlformats.org/officeDocument/2006/relationships/hyperlink" Target="https://www.sec.gov/Archives/edgar/data/1484565/000119312514231812/d711637dex109.htm" TargetMode="External"/><Relationship Id="rId287" Type="http://schemas.openxmlformats.org/officeDocument/2006/relationships/hyperlink" Target="https://www.sec.gov/Archives/edgar/data/1484565/000119312514231812/d711637dex1010.htm" TargetMode="External"/><Relationship Id="rId288" Type="http://schemas.openxmlformats.org/officeDocument/2006/relationships/hyperlink" Target="https://www.sec.gov/Archives/edgar/data/1484565/000119312514231812/d711637dex1011.htm" TargetMode="External"/><Relationship Id="rId289" Type="http://schemas.openxmlformats.org/officeDocument/2006/relationships/hyperlink" Target="https://www.sec.gov/Archives/edgar/data/1484565/000119312514231812/d711637dex1012.htm" TargetMode="External"/><Relationship Id="rId290" Type="http://schemas.openxmlformats.org/officeDocument/2006/relationships/hyperlink" Target="https://www.sec.gov/Archives/edgar/data/1484565/000119312514231812/d711637dex1013.htm" TargetMode="External"/><Relationship Id="rId291" Type="http://schemas.openxmlformats.org/officeDocument/2006/relationships/hyperlink" Target="https://www.sec.gov/Archives/edgar/data/1484565/000119312514231812/d711637dex1014.htm" TargetMode="External"/><Relationship Id="rId293" Type="http://schemas.openxmlformats.org/officeDocument/2006/relationships/hyperlink" Target="https://www.sec.gov/Archives/edgar/data/1484565/000119312514231812/d711637dex1015.htm" TargetMode="External"/><Relationship Id="rId294" Type="http://schemas.openxmlformats.org/officeDocument/2006/relationships/hyperlink" Target="https://www.sec.gov/Archives/edgar/data/1484565/000119312514231812/d711637dex1016.htm" TargetMode="External"/><Relationship Id="rId295" Type="http://schemas.openxmlformats.org/officeDocument/2006/relationships/hyperlink" Target="https://www.sec.gov/Archives/edgar/data/1484565/000119312514231812/d711637dex1017.htm" TargetMode="External"/><Relationship Id="rId296" Type="http://schemas.openxmlformats.org/officeDocument/2006/relationships/hyperlink" Target="https://www.sec.gov/Archives/edgar/data/1484565/000119312514231812/d711637dex1018.htm" TargetMode="External"/><Relationship Id="rId297" Type="http://schemas.openxmlformats.org/officeDocument/2006/relationships/hyperlink" Target="https://www.sec.gov/Archives/edgar/data/1484565/000119312514256995/d711637dex1019.htm" TargetMode="External"/><Relationship Id="rId298" Type="http://schemas.openxmlformats.org/officeDocument/2006/relationships/hyperlink" Target="https://www.sec.gov/Archives/edgar/data/1484565/000119312514274666/d711637dex1020.htm" TargetMode="External"/><Relationship Id="rId299" Type="http://schemas.openxmlformats.org/officeDocument/2006/relationships/hyperlink" Target="https://www.sec.gov/Archives/edgar/data/1484565/000119312514357384/d711637dex1021.htm" TargetMode="External"/><Relationship Id="rId300" Type="http://schemas.openxmlformats.org/officeDocument/2006/relationships/hyperlink" Target="https://www.sec.gov/Archives/edgar/data/1484565/000119312514396517/d711637dex1022.htm" TargetMode="External"/><Relationship Id="rId301" Type="http://schemas.openxmlformats.org/officeDocument/2006/relationships/hyperlink" Target="https://www.sec.gov/Archives/edgar/data/1484565/000119312514396517/d711637dex1023.htm" TargetMode="External"/><Relationship Id="rId302" Type="http://schemas.openxmlformats.org/officeDocument/2006/relationships/hyperlink" Target="https://www.sec.gov/Archives/edgar/data/1484565/000119312515078868/d886135dex101.htm" TargetMode="External"/><Relationship Id="rId303" Type="http://schemas.openxmlformats.org/officeDocument/2006/relationships/hyperlink" Target="https://www.sec.gov/Archives/edgar/data/1484565/000119312515114723/d893037dex1025.htm" TargetMode="External"/><Relationship Id="rId305" Type="http://schemas.openxmlformats.org/officeDocument/2006/relationships/hyperlink" Target="https://www.sec.gov/Archives/edgar/data/1484565/000119312515246752/d72536dex101.htm" TargetMode="External"/><Relationship Id="rId306" Type="http://schemas.openxmlformats.org/officeDocument/2006/relationships/hyperlink" Target="https://www.sec.gov/Archives/edgar/data/1484565/000119312515246752/d72536dex102.htm" TargetMode="External"/><Relationship Id="rId307" Type="http://schemas.openxmlformats.org/officeDocument/2006/relationships/hyperlink" Target="https://www.sec.gov/Archives/edgar/data/1484565/000119312515264172/d151899dex41.htm" TargetMode="External"/><Relationship Id="rId308" Type="http://schemas.openxmlformats.org/officeDocument/2006/relationships/hyperlink" Target="https://www.sec.gov/Archives/edgar/data/1484565/000119312515264172/d151899dex101.htm" TargetMode="External"/><Relationship Id="rId309" Type="http://schemas.openxmlformats.org/officeDocument/2006/relationships/hyperlink" Target="https://www.sec.gov/Archives/edgar/data/1484565/000119312515344002/d67111dex11.htm" TargetMode="External"/><Relationship Id="rId310" Type="http://schemas.openxmlformats.org/officeDocument/2006/relationships/hyperlink" Target="https://www.sec.gov/Archives/edgar/data/1484565/000119312515344002/d67111dex101.htm" TargetMode="External"/><Relationship Id="rId311" Type="http://schemas.openxmlformats.org/officeDocument/2006/relationships/hyperlink" Target="https://www.sec.gov/Archives/edgar/data/1484565/000119312515344002/d67111dex102.htm" TargetMode="External"/><Relationship Id="rId312" Type="http://schemas.openxmlformats.org/officeDocument/2006/relationships/hyperlink" Target="https://www.sec.gov/Archives/edgar/data/1484565/000119312515344002/d67111dex103.htm" TargetMode="External"/><Relationship Id="rId313" Type="http://schemas.openxmlformats.org/officeDocument/2006/relationships/hyperlink" Target="https://www.sec.gov/Archives/edgar/data/1484565/000119312515410913/d83264dex1033.htm" TargetMode="External"/><Relationship Id="rId314" Type="http://schemas.openxmlformats.org/officeDocument/2006/relationships/hyperlink" Target="https://www.sec.gov/Archives/edgar/data/1484565/000119312516441799/d77178dex101.htm" TargetMode="External"/><Relationship Id="rId315" Type="http://schemas.openxmlformats.org/officeDocument/2006/relationships/hyperlink" Target="https://www.sec.gov/Archives/edgar/data/1484565/000119312516642505/d221558dex11.htm" TargetMode="External"/><Relationship Id="rId316" Type="http://schemas.openxmlformats.org/officeDocument/2006/relationships/hyperlink" Target="https://www.sec.gov/Archives/edgar/data/1484565/000119312516642505/d221558dex101.htm" TargetMode="External"/><Relationship Id="rId317" Type="http://schemas.openxmlformats.org/officeDocument/2006/relationships/hyperlink" Target="https://www.sec.gov/Archives/edgar/data/1484565/000119312516642505/d221558dex102.htm" TargetMode="External"/><Relationship Id="rId318" Type="http://schemas.openxmlformats.org/officeDocument/2006/relationships/hyperlink" Target="https://www.sec.gov/Archives/edgar/data/1484565/000119312516714955/d217110dex1039.htm" TargetMode="External"/><Relationship Id="rId320" Type="http://schemas.openxmlformats.org/officeDocument/2006/relationships/hyperlink" Target="https://www.sec.gov/Archives/edgar/data/1484565/000119312516803934/d282262dex21.htm" TargetMode="External"/><Relationship Id="rId321" Type="http://schemas.openxmlformats.org/officeDocument/2006/relationships/hyperlink" Target="https://www.sec.gov/Archives/edgar/data/1484565/000119312517027623/d336318dex1051.htm" TargetMode="External"/><Relationship Id="rId322" Type="http://schemas.openxmlformats.org/officeDocument/2006/relationships/hyperlink" Target="https://www.sec.gov/Archives/edgar/data/1484565/000119312517027623/d336318dex1052.htm" TargetMode="External"/><Relationship Id="rId323" Type="http://schemas.openxmlformats.org/officeDocument/2006/relationships/hyperlink" Target="https://www.sec.gov/Archives/edgar/data/1484565/000148456517000004/ex101securitiespurchaseagr.htm" TargetMode="External"/><Relationship Id="rId324" Type="http://schemas.openxmlformats.org/officeDocument/2006/relationships/hyperlink" Target="https://www.sec.gov/Archives/edgar/data/1484565/000119312518182178/d781173dex101.htm" TargetMode="External"/><Relationship Id="rId325" Type="http://schemas.openxmlformats.org/officeDocument/2006/relationships/hyperlink" Target="https://www.sec.gov/Archives/edgar/data/0001484565/000119312518353226/d653435dex101.htm" TargetMode="External"/><Relationship Id="rId326" Type="http://schemas.openxmlformats.org/officeDocument/2006/relationships/hyperlink" Target="https://www.sec.gov/Archives/edgar/data/0001484565/000156459019010146/slno-ex1048_141.htm" TargetMode="External"/><Relationship Id="rId327" Type="http://schemas.openxmlformats.org/officeDocument/2006/relationships/hyperlink" Target="https://www.sec.gov/Archives/edgar/data/1484565/000119312520181008/d940565dex11.htm" TargetMode="External"/><Relationship Id="rId328" Type="http://schemas.openxmlformats.org/officeDocument/2006/relationships/hyperlink" Target="https://www.sec.gov/Archives/edgar/data/1484565/000119312523048745/d420661dex101.htm" TargetMode="External"/><Relationship Id="rId329" Type="http://schemas.openxmlformats.org/officeDocument/2006/relationships/hyperlink" Target="https://www.sec.gov/Archives/edgar/data/1484565/000119312520292974/d937820dex101.htm" TargetMode="External"/><Relationship Id="rId330" Type="http://schemas.openxmlformats.org/officeDocument/2006/relationships/hyperlink" Target="https://www.sec.gov/Archives/edgar/data/1484565/000119312521008129/d15884dex101.htm" TargetMode="External"/><Relationship Id="rId332" Type="http://schemas.openxmlformats.org/officeDocument/2006/relationships/hyperlink" Target="https://www.sec.gov/Archives/edgar/data/1484565/000119312521008129/d15884dex102.htm" TargetMode="External"/><Relationship Id="rId333" Type="http://schemas.openxmlformats.org/officeDocument/2006/relationships/hyperlink" Target="https://www.sec.gov/Archives/edgar/data/1484565/000119312521008129/d15884dex103.htm" TargetMode="External"/><Relationship Id="rId334" Type="http://schemas.openxmlformats.org/officeDocument/2006/relationships/hyperlink" Target="https://www.sec.gov/Archives/edgar/data/0001484565/000156459021024047/slno-ex1055_99.htm" TargetMode="External"/><Relationship Id="rId335" Type="http://schemas.openxmlformats.org/officeDocument/2006/relationships/hyperlink" Target="https://www.sec.gov/Archives/edgar/data/1484565/000119312522308395/d3933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2023-03-22T16:20:32Z</dcterms:created>
  <dcterms:modified xsi:type="dcterms:W3CDTF">2023-03-22T16:20:32Z</dcterms:modified>
</cp:coreProperties>
</file>