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60" w:right="460" w:hanging="452"/>
        <w:spacing w:after="0" w:line="25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60" w:right="460" w:hanging="452"/>
        <w:spacing w:after="0" w:line="248"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-8255</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2280" w:type="dxa"/>
            <w:vAlign w:val="bottom"/>
          </w:tcPr>
          <w:p>
            <w:pPr>
              <w:jc w:val="center"/>
              <w:ind w:right="342"/>
              <w:spacing w:after="0"/>
              <w:rPr>
                <w:sz w:val="20"/>
                <w:szCs w:val="20"/>
                <w:color w:val="auto"/>
              </w:rPr>
            </w:pPr>
            <w:r>
              <w:rPr>
                <w:rFonts w:ascii="Arial" w:cs="Arial" w:eastAsia="Arial" w:hAnsi="Arial"/>
                <w:sz w:val="18"/>
                <w:szCs w:val="18"/>
                <w:b w:val="1"/>
                <w:bCs w:val="1"/>
                <w:color w:val="auto"/>
                <w:w w:val="93"/>
              </w:rPr>
              <w:t>Delaware</w:t>
            </w:r>
          </w:p>
        </w:tc>
        <w:tc>
          <w:tcPr>
            <w:tcW w:w="4980" w:type="dxa"/>
            <w:vAlign w:val="bottom"/>
          </w:tcPr>
          <w:p>
            <w:pPr>
              <w:jc w:val="center"/>
              <w:ind w:left="3759"/>
              <w:spacing w:after="0"/>
              <w:rPr>
                <w:sz w:val="20"/>
                <w:szCs w:val="20"/>
                <w:color w:val="auto"/>
              </w:rPr>
            </w:pPr>
            <w:r>
              <w:rPr>
                <w:rFonts w:ascii="Arial" w:cs="Arial" w:eastAsia="Arial" w:hAnsi="Arial"/>
                <w:sz w:val="18"/>
                <w:szCs w:val="18"/>
                <w:b w:val="1"/>
                <w:bCs w:val="1"/>
                <w:color w:val="auto"/>
                <w:w w:val="89"/>
              </w:rPr>
              <w:t>77-0523891</w:t>
            </w:r>
          </w:p>
        </w:tc>
      </w:tr>
      <w:tr>
        <w:trPr>
          <w:trHeight w:val="149"/>
        </w:trPr>
        <w:tc>
          <w:tcPr>
            <w:tcW w:w="228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980" w:type="dxa"/>
            <w:vAlign w:val="bottom"/>
          </w:tcPr>
          <w:p>
            <w:pPr>
              <w:jc w:val="center"/>
              <w:ind w:left="377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6"/>
        </w:trPr>
        <w:tc>
          <w:tcPr>
            <w:tcW w:w="2280" w:type="dxa"/>
            <w:vAlign w:val="bottom"/>
          </w:tcPr>
          <w:p>
            <w:pPr>
              <w:jc w:val="center"/>
              <w:ind w:right="322"/>
              <w:spacing w:after="0"/>
              <w:rPr>
                <w:sz w:val="20"/>
                <w:szCs w:val="20"/>
                <w:color w:val="auto"/>
              </w:rPr>
            </w:pPr>
            <w:r>
              <w:rPr>
                <w:rFonts w:ascii="Arial" w:cs="Arial" w:eastAsia="Arial" w:hAnsi="Arial"/>
                <w:sz w:val="14"/>
                <w:szCs w:val="14"/>
                <w:b w:val="1"/>
                <w:bCs w:val="1"/>
                <w:color w:val="auto"/>
                <w:w w:val="94"/>
              </w:rPr>
              <w:t>incorporation or organization)</w:t>
            </w:r>
          </w:p>
        </w:tc>
        <w:tc>
          <w:tcPr>
            <w:tcW w:w="4980" w:type="dxa"/>
            <w:vAlign w:val="bottom"/>
          </w:tcPr>
          <w:p>
            <w:pPr>
              <w:jc w:val="center"/>
              <w:ind w:left="3759"/>
              <w:spacing w:after="0"/>
              <w:rPr>
                <w:sz w:val="20"/>
                <w:szCs w:val="20"/>
                <w:color w:val="auto"/>
              </w:rPr>
            </w:pPr>
            <w:r>
              <w:rPr>
                <w:rFonts w:ascii="Arial" w:cs="Arial" w:eastAsia="Arial" w:hAnsi="Arial"/>
                <w:sz w:val="14"/>
                <w:szCs w:val="14"/>
                <w:b w:val="1"/>
                <w:bCs w:val="1"/>
                <w:color w:val="auto"/>
                <w:w w:val="96"/>
              </w:rPr>
              <w:t>Identification No.)</w:t>
            </w:r>
          </w:p>
        </w:tc>
      </w:tr>
      <w:tr>
        <w:trPr>
          <w:trHeight w:val="234"/>
        </w:trPr>
        <w:tc>
          <w:tcPr>
            <w:tcW w:w="2280" w:type="dxa"/>
            <w:vAlign w:val="bottom"/>
          </w:tcPr>
          <w:p>
            <w:pPr>
              <w:spacing w:after="0"/>
              <w:rPr>
                <w:sz w:val="20"/>
                <w:szCs w:val="20"/>
                <w:color w:val="auto"/>
              </w:rPr>
            </w:pPr>
          </w:p>
        </w:tc>
        <w:tc>
          <w:tcPr>
            <w:tcW w:w="4980" w:type="dxa"/>
            <w:vAlign w:val="bottom"/>
          </w:tcPr>
          <w:p>
            <w:pPr>
              <w:ind w:left="400"/>
              <w:spacing w:after="0"/>
              <w:rPr>
                <w:sz w:val="20"/>
                <w:szCs w:val="20"/>
                <w:color w:val="auto"/>
              </w:rPr>
            </w:pPr>
            <w:r>
              <w:rPr>
                <w:rFonts w:ascii="Arial" w:cs="Arial" w:eastAsia="Arial" w:hAnsi="Arial"/>
                <w:sz w:val="18"/>
                <w:szCs w:val="18"/>
                <w:b w:val="1"/>
                <w:bCs w:val="1"/>
                <w:color w:val="auto"/>
              </w:rPr>
              <w:t>1235 Radio Road, Suite 110,</w:t>
            </w:r>
          </w:p>
        </w:tc>
      </w:tr>
    </w:tbl>
    <w:p>
      <w:pPr>
        <w:jc w:val="center"/>
        <w:spacing w:after="0"/>
        <w:rPr>
          <w:sz w:val="20"/>
          <w:szCs w:val="20"/>
          <w:color w:val="auto"/>
        </w:rPr>
      </w:pPr>
      <w:r>
        <w:rPr>
          <w:rFonts w:ascii="Arial" w:cs="Arial" w:eastAsia="Arial" w:hAnsi="Arial"/>
          <w:sz w:val="18"/>
          <w:szCs w:val="18"/>
          <w:b w:val="1"/>
          <w:bCs w:val="1"/>
          <w:color w:val="auto"/>
        </w:rPr>
        <w:t>Redwood City, California</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94065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(Zip Code)</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213-8444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 “smaller reporting company “,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right="144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 2018, there were 19,768,375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SOLENO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9240" w:type="dxa"/>
            <w:vAlign w:val="bottom"/>
            <w:gridSpan w:val="22"/>
            <w:vMerge w:val="continue"/>
          </w:tcPr>
          <w:p>
            <w:pPr>
              <w:spacing w:after="0"/>
              <w:rPr>
                <w:sz w:val="16"/>
                <w:szCs w:val="16"/>
                <w:color w:val="auto"/>
              </w:rPr>
            </w:pPr>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080" w:type="dxa"/>
            <w:vAlign w:val="bottom"/>
            <w:gridSpan w:val="9"/>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0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(unaudited)</w:t>
              </w:r>
            </w:hyperlink>
          </w:p>
        </w:tc>
        <w:tc>
          <w:tcPr>
            <w:tcW w:w="3920" w:type="dxa"/>
            <w:vAlign w:val="bottom"/>
            <w:gridSpan w:val="3"/>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0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88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3"/>
          </w:tcPr>
          <w:p>
            <w:pPr>
              <w:spacing w:after="0"/>
              <w:rPr>
                <w:sz w:val="17"/>
                <w:szCs w:val="17"/>
                <w:color w:val="auto"/>
              </w:rPr>
            </w:pPr>
          </w:p>
        </w:tc>
        <w:tc>
          <w:tcPr>
            <w:tcW w:w="1820" w:type="dxa"/>
            <w:vAlign w:val="bottom"/>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 Controls and Procedures</w:t>
              </w:r>
            </w:hyperlink>
          </w:p>
        </w:tc>
        <w:tc>
          <w:tcPr>
            <w:tcW w:w="6520" w:type="dxa"/>
            <w:vAlign w:val="bottom"/>
            <w:gridSpan w:val="11"/>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40" w:type="dxa"/>
            <w:vAlign w:val="bottom"/>
            <w:gridSpan w:val="22"/>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II—OTHER INFORMATION</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1. Legal Proceedings</w:t>
              </w:r>
            </w:hyperlink>
          </w:p>
        </w:tc>
        <w:tc>
          <w:tcPr>
            <w:tcW w:w="600" w:type="dxa"/>
            <w:vAlign w:val="bottom"/>
            <w:tcBorders>
              <w:top w:val="single" w:sz="8" w:color="0000EE"/>
            </w:tcBorders>
            <w:gridSpan w:val="4"/>
          </w:tcPr>
          <w:p>
            <w:pPr>
              <w:spacing w:after="0"/>
              <w:rPr>
                <w:sz w:val="17"/>
                <w:szCs w:val="17"/>
                <w:color w:val="auto"/>
              </w:rPr>
            </w:pPr>
          </w:p>
        </w:tc>
        <w:tc>
          <w:tcPr>
            <w:tcW w:w="6380" w:type="dxa"/>
            <w:vAlign w:val="bottom"/>
            <w:gridSpan w:val="10"/>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7280" w:type="dxa"/>
            <w:vAlign w:val="bottom"/>
            <w:gridSpan w:val="16"/>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3960" w:type="dxa"/>
            <w:vAlign w:val="bottom"/>
            <w:gridSpan w:val="5"/>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8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3. Defaults Upon Senior Securities</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4"/>
          </w:tcPr>
          <w:p>
            <w:pPr>
              <w:spacing w:after="0"/>
              <w:rPr>
                <w:sz w:val="17"/>
                <w:szCs w:val="17"/>
                <w:color w:val="auto"/>
              </w:rPr>
            </w:pPr>
          </w:p>
        </w:tc>
        <w:tc>
          <w:tcPr>
            <w:tcW w:w="6000" w:type="dxa"/>
            <w:vAlign w:val="bottom"/>
            <w:gridSpan w:val="8"/>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5. Other Information</w:t>
              </w:r>
            </w:hyperlink>
          </w:p>
        </w:tc>
        <w:tc>
          <w:tcPr>
            <w:tcW w:w="7000" w:type="dxa"/>
            <w:vAlign w:val="bottom"/>
            <w:gridSpan w:val="15"/>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8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40" w:type="dxa"/>
            <w:vAlign w:val="bottom"/>
            <w:gridSpan w:val="22"/>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40" w:type="dxa"/>
            <w:vAlign w:val="bottom"/>
            <w:gridSpan w:val="18"/>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40" w:type="dxa"/>
            <w:vAlign w:val="bottom"/>
            <w:gridSpan w:val="22"/>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EXHIBIT INDEX</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270" w:right="2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60" w:type="dxa"/>
            <w:vAlign w:val="bottom"/>
          </w:tcPr>
          <w:p>
            <w:pPr>
              <w:jc w:val="center"/>
              <w:ind w:left="2810"/>
              <w:spacing w:after="0"/>
              <w:rPr>
                <w:sz w:val="20"/>
                <w:szCs w:val="20"/>
                <w:color w:val="auto"/>
              </w:rPr>
            </w:pPr>
            <w:r>
              <w:rPr>
                <w:rFonts w:ascii="Arial" w:cs="Arial" w:eastAsia="Arial" w:hAnsi="Arial"/>
                <w:sz w:val="18"/>
                <w:szCs w:val="18"/>
                <w:b w:val="1"/>
                <w:bCs w:val="1"/>
                <w:color w:val="auto"/>
              </w:rPr>
              <w:t>PART I—FINANCIAL INFORMATION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6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60" w:type="dxa"/>
            <w:vAlign w:val="bottom"/>
          </w:tcPr>
          <w:p>
            <w:pPr>
              <w:jc w:val="center"/>
              <w:ind w:left="2790"/>
              <w:spacing w:after="0"/>
              <w:rPr>
                <w:sz w:val="20"/>
                <w:szCs w:val="20"/>
                <w:color w:val="auto"/>
              </w:rPr>
            </w:pPr>
            <w:r>
              <w:rPr>
                <w:rFonts w:ascii="Arial" w:cs="Arial" w:eastAsia="Arial" w:hAnsi="Arial"/>
                <w:sz w:val="18"/>
                <w:szCs w:val="18"/>
                <w:b w:val="1"/>
                <w:bCs w:val="1"/>
                <w:color w:val="auto"/>
                <w:w w:val="88"/>
              </w:rPr>
              <w:t>Soleno Therapeutics, Inc.</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60" w:type="dxa"/>
            <w:vAlign w:val="bottom"/>
          </w:tcPr>
          <w:p>
            <w:pPr>
              <w:jc w:val="center"/>
              <w:ind w:left="27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60" w:type="dxa"/>
            <w:vAlign w:val="bottom"/>
          </w:tcPr>
          <w:p>
            <w:pPr>
              <w:jc w:val="center"/>
              <w:ind w:left="279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7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March 31, 2018</w:t>
            </w:r>
          </w:p>
        </w:tc>
        <w:tc>
          <w:tcPr>
            <w:tcW w:w="38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142"/>
        </w:trPr>
        <w:tc>
          <w:tcPr>
            <w:tcW w:w="640" w:type="dxa"/>
            <w:vAlign w:val="bottom"/>
            <w:gridSpan w:val="2"/>
            <w:vMerge w:val="continue"/>
          </w:tcPr>
          <w:p>
            <w:pPr>
              <w:spacing w:after="0"/>
              <w:rPr>
                <w:sz w:val="12"/>
                <w:szCs w:val="12"/>
                <w:color w:val="auto"/>
              </w:rPr>
            </w:pPr>
          </w:p>
        </w:tc>
        <w:tc>
          <w:tcPr>
            <w:tcW w:w="7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14,866</w:t>
            </w:r>
          </w:p>
        </w:tc>
        <w:tc>
          <w:tcPr>
            <w:tcW w:w="6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423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assets held for sale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Intangible assets,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19,927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Long-term assets held for sale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Accrued compensation and other current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721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 held for sale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Series A warrant liability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291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Series C warrant liability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2017 PIPE warrant liability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4,927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Contingent liability for Essentialis purchase price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5,510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Long-term liabilities held for sale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13,312</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$.001 par value, 10,000,000 shares authorized: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60" w:type="dxa"/>
            <w:vAlign w:val="bottom"/>
          </w:tcPr>
          <w:p>
            <w:pPr>
              <w:ind w:left="80"/>
              <w:spacing w:after="0" w:line="201" w:lineRule="exact"/>
              <w:rPr>
                <w:sz w:val="20"/>
                <w:szCs w:val="20"/>
                <w:color w:val="auto"/>
              </w:rPr>
            </w:pPr>
            <w:r>
              <w:rPr>
                <w:rFonts w:ascii="Arial" w:cs="Arial" w:eastAsia="Arial" w:hAnsi="Arial"/>
                <w:sz w:val="18"/>
                <w:szCs w:val="18"/>
                <w:color w:val="auto"/>
              </w:rPr>
              <w:t>Series B convertible preferred stock, 13,780 are designated at March 31, 2018 and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60" w:type="dxa"/>
            <w:vAlign w:val="bottom"/>
          </w:tcPr>
          <w:p>
            <w:pPr>
              <w:ind w:left="260"/>
              <w:spacing w:after="0"/>
              <w:rPr>
                <w:sz w:val="20"/>
                <w:szCs w:val="20"/>
                <w:color w:val="auto"/>
              </w:rPr>
            </w:pPr>
            <w:r>
              <w:rPr>
                <w:rFonts w:ascii="Arial" w:cs="Arial" w:eastAsia="Arial" w:hAnsi="Arial"/>
                <w:sz w:val="18"/>
                <w:szCs w:val="18"/>
                <w:color w:val="auto"/>
                <w:w w:val="95"/>
              </w:rPr>
              <w:t>December 31, 2017; 3,571 and 4,571 shares issued and outstanding at March 31, 2018 and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60" w:type="dxa"/>
            <w:vAlign w:val="bottom"/>
          </w:tcPr>
          <w:p>
            <w:pPr>
              <w:ind w:left="260"/>
              <w:spacing w:after="0"/>
              <w:rPr>
                <w:sz w:val="20"/>
                <w:szCs w:val="20"/>
                <w:color w:val="auto"/>
              </w:rPr>
            </w:pPr>
            <w:r>
              <w:rPr>
                <w:rFonts w:ascii="Arial" w:cs="Arial" w:eastAsia="Arial" w:hAnsi="Arial"/>
                <w:sz w:val="18"/>
                <w:szCs w:val="18"/>
                <w:color w:val="auto"/>
              </w:rPr>
              <w:t>December 31, 2017, respectively. Liquidation value of zero.</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$0.001 par value, 100,000,000 shares authorized, 19,768,375 and 19,238,972 shares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issued and outstanding at March 31, 2018 and December 31, 2017, respectively.</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140,733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(117,734)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23,019</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36,331</w:t>
            </w:r>
          </w:p>
        </w:tc>
        <w:tc>
          <w:tcPr>
            <w:tcW w:w="6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1,180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1,867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Cease-use income (expense)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Change in fair value of warrants liabilities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 (expense)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(3,755)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Loss per common share from continuing operations,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from discontinued operations, basic and diluted</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used to calculate basic and diluted net loss per common share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19,530,311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5,090,581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(3,755)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4"/>
        </w:trPr>
        <w:tc>
          <w:tcPr>
            <w:tcW w:w="980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(3,241)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continuing operations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Board fees paid with common stock</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stock warrants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expense of issuing shares to Aspire Capital</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compensation and other current liabilities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1060"/>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(2,183)</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discontinued 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the issuance cost of common stock and common stock warrants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(used in) continuing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discontinued financing activities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cash equivalents and restricted cash from continuing operations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Net decrease in cash, cash equivalents and restricted cash from discontinued operations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(2,232)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Net increase in cash and cash equivalents included in current assets held for sale</w:t>
            </w:r>
          </w:p>
        </w:tc>
        <w:tc>
          <w:tcPr>
            <w:tcW w:w="1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17,135</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14,901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Issuance of common stock in Essentialis acquisition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Contingent cash consideration of Essentialis acquisition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Costs of issuing common stock and common stock warrants recorded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Soleno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Soleno Therapeutics, Inc. (the “Company” or “Soleno”) was incorporated in the State of Delaware on August 25, 1999, and is located in Redwood City, California. The Company initially developed and commercialized neonatology devices and diagnostics. Additionally, the Company had a therapeutics platform based on its proprietary technology for precision metering of gas flow. Upon the acquisition of Essentialis Inc., or “Essentialis” through a merger, or the Merger, on March 7, 2017, pursuant to an Agreement and Plan of Merger, or the Merger Agreement, the Company initiated actions to divest, sell or dispose its device and diagnostics business activities and focus its research and transitioning to the development and commercialization of novel therapeutics for the treatment of rare diseases and on advancing the lead drug candidate acquired with Essentialis. Essentialis was a privately held, clinical stage biotechnology company focused on the development of breakthrough medicines for the treatment of rare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United States, or U.S., as well as in the European Union, or E.U.</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Subsequent to the merger with Essentialis, the Company explored opportunities to divest, sell or dispose of the NeoForce, CoSense, and Serenz businesses. The Company’s current research and development efforts are primarily focused on advancing its lead candidate, DCCR tablets for the treatment of PWS into late-stage clinical development, with a secondary emphasis on its joint venture with OAHL for the CoSense technology. CoSense is 510(k) cleared for sale in the U.S. and received CE Mark certification for sale in the E.U. The Company continues to separately evaluate alternatives for its Serenz portfolio. The operations directly related to the NeoForce, CoSense, and Serenz business are reported herein as discontinued operations and the related assets are reported as assets held for sale in accordance with ASC 205-20-45-10.</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Company completed the sale of stock of its previously 100% wholly-owned subsidiaryNFI on July 18, 2017, pursuant to a Stock Purchase Agreement, or NFI Purchase Agreement, with NeoForce Holdings, Inc., or NFI Holdings, a 100% owned subsidiary of Flexicare Medical Limited, a privately held United Kingdom company, for $720,000 and adjustments for inventory and the current cash balances held at NFI.</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October 6, 2017, the Company effected a one-for-five (1:5) reverse stock split of its then outstanding Common Stock and, accordingly, all common share and per share data are retrospectively restated to give effect of the split for all periods presented herein.</w:t>
      </w:r>
    </w:p>
    <w:p>
      <w:pPr>
        <w:spacing w:after="0" w:line="170"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On December 4, 2017, Soleno, and its wholly-owned subsidiary, Capnia, Inc., a Delaware corporation, or Capnia, entered into a joint venture with OptAsia Healthcare Limited, a Hong Kong company limited by shares, or OAHL, with the purpose of developing and commercializing medical monitors, including the CoSense</w:t>
      </w:r>
      <w:r>
        <w:rPr>
          <w:rFonts w:ascii="Arial" w:cs="Arial" w:eastAsia="Arial" w:hAnsi="Arial"/>
          <w:sz w:val="13"/>
          <w:szCs w:val="13"/>
          <w:color w:val="auto"/>
        </w:rPr>
        <w:t>®</w:t>
      </w:r>
      <w:r>
        <w:rPr>
          <w:rFonts w:ascii="Arial" w:cs="Arial" w:eastAsia="Arial" w:hAnsi="Arial"/>
          <w:sz w:val="16"/>
          <w:szCs w:val="16"/>
          <w:color w:val="auto"/>
        </w:rPr>
        <w:t xml:space="preserve"> End-Tidal Carbon Monoxide (ETCO) Monitor, or CoSense, that measure end-tidal carbon monoxide in breath to assist in the detection of excessive hemolysis in neonates, a condition in which red blood cells degrade rapidly and which can lead to adverse neurological outcomes.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had a net loss of $3.8 million for the three months ended March 31, 2018 and has an accumulated deficit of $117.7 million at March 31, 2018 from having incurred losses since its inception. The Company has approximately $14.0 million of working capital at March 31, 2018 and used approximately $2.5 million of cash in its operating activities during the three months ended March 31, 2018. The Company has financed its operations principally through issuances of equity securities.</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has continued to focus on expense control, including reducing its workforce, eliminating outside consultants, reducing legal fees and implementing a plan to allow Board members to receive common stock, in lieu of cash payments.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ind w:right="10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11, 2017, the Company entered into the Unit Purchase Agreement with certain stockholders, pursuant to which the Company sold and issued 8,141,116 immediately separable units at a price per unit of $1.84, for aggregate gross proceeds of $15.0 million. Each unit consisted of one share of the Company’s common stock and a warrant to purchase 0.74 shares of the Company’s common stock at an exercise price of $2.00 a share, for an aggregate of 8,141,116 Shares and corresponding warrants to purchase an aggregate of 6,024,425 Warrant Shares, together referred to as the Resale Shares. The Company also granted certain registration rights to these stockholders, pursuant to which, among other things, the Company prepared and filed a registration statement with the SEC to register for resale the Resale Shares. The registration statement was declared effective in February 2018.</w:t>
      </w:r>
    </w:p>
    <w:p>
      <w:pPr>
        <w:spacing w:after="0" w:line="165"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costs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 These matters raise substantial doubt about the Company’s ability to continue as a going concern within one year from the date of filing this quarterly report. The condensed consolidated financial statements do not include any adjustments relating to the recoverability and classification of asset amounts or the classification of liabilities that might be necessary should it be unable to continue as a going concern.</w:t>
      </w:r>
    </w:p>
    <w:p>
      <w:pPr>
        <w:spacing w:after="0" w:line="17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There have been no material changes to the significant accounting policies during the three months ended March 31, 2018, as compared to the significant accounting policies described in Note 3 of the “Notes to Consolidated Financial Statements” in the Company’s Annual Report on Form 10-K for the year ended December 31, 2017. Below are those policies with current period updates: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accounting principles generally accepted in the United States of America (“GAAP”) and the applicable rules and regulations of the Securities and Exchange Commission (“SEC”) for interim financial information. Accordingly, they do not include all of the information and notes required by accounting principles generally accepted in the United States, or GAAP, for complete financial statements. The condensed consolidated balance sheet at December 31, 2017, has been derived from the audited consolidated financial statements at that date, but does not include all disclosures, including notes, required by GAAP for complete financial statements.</w:t>
      </w:r>
    </w:p>
    <w:p>
      <w:pPr>
        <w:spacing w:after="0" w:line="158" w:lineRule="exact"/>
        <w:rPr>
          <w:sz w:val="20"/>
          <w:szCs w:val="20"/>
          <w:color w:val="auto"/>
        </w:rPr>
      </w:pPr>
    </w:p>
    <w:p>
      <w:pPr>
        <w:ind w:right="420" w:firstLine="456"/>
        <w:spacing w:after="0" w:line="297"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March 31, 2018, and results of its operations for the three months ended March 31, 2018 and 2017. The interim results are not necessarily indicative of the results for any future interim period or for the entire year. Certain prior period amounts have been reclassified to conform to current period presentation. These classifications have no effect on the previously reported net loss of loss per share.</w:t>
      </w:r>
    </w:p>
    <w:p>
      <w:pPr>
        <w:spacing w:after="0" w:line="15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2017, included in the Company’s Annual Report on Form 10-K.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November 2016, the FASB issued ASU 2016-18, “</w:t>
      </w:r>
      <w:r>
        <w:rPr>
          <w:rFonts w:ascii="Arial" w:cs="Arial" w:eastAsia="Arial" w:hAnsi="Arial"/>
          <w:sz w:val="17"/>
          <w:szCs w:val="17"/>
          <w:i w:val="1"/>
          <w:iCs w:val="1"/>
          <w:color w:val="auto"/>
        </w:rPr>
        <w:t>Statement of Cash Flows: Restricted Cash</w:t>
      </w:r>
      <w:r>
        <w:rPr>
          <w:rFonts w:ascii="Arial" w:cs="Arial" w:eastAsia="Arial" w:hAnsi="Arial"/>
          <w:sz w:val="17"/>
          <w:szCs w:val="17"/>
          <w:color w:val="auto"/>
        </w:rPr>
        <w:t>”, which requires that a statement of cash flows explain the change during the period in the total of cash, cash equivalents and amounts generally described as restricted cash or restricted cash equivalents. These standards are effective for financial statements issued for fiscal years beginning after December 15, 2017, including interim periods within those fiscal years. The Company adopted these standards in the first quarter of 2018 utilizing the retrospective transition method. There was no material impact on the Company’s condensed consolidated financial statements resulting from the adoption of this guidance.</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which changes to the terms or conditions of a share-based payment award require an entity to apply modification accounting. The standard is effective beginning after December 15, 2017; early adoption is permitted. The Company adopted the standard in the first quarter of 2018. The adoption did not have a material impact on the Company’s consolidated financial position and results of operations.</w:t>
      </w:r>
    </w:p>
    <w:p>
      <w:pPr>
        <w:spacing w:after="0" w:line="18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In March 2018, the Financial Accounting Standards Board (“FASB”) issued Accounting Standards Update (“ASU”) No. 2018-05, </w:t>
      </w:r>
      <w:r>
        <w:rPr>
          <w:rFonts w:ascii="Arial" w:cs="Arial" w:eastAsia="Arial" w:hAnsi="Arial"/>
          <w:sz w:val="18"/>
          <w:szCs w:val="18"/>
          <w:i w:val="1"/>
          <w:iCs w:val="1"/>
          <w:color w:val="auto"/>
        </w:rPr>
        <w:t>“Amendments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SEC Paragraphs Pursuant to SEC Staff Accounting Bulletin No. 118”</w:t>
      </w:r>
      <w:r>
        <w:rPr>
          <w:rFonts w:ascii="Arial" w:cs="Arial" w:eastAsia="Arial" w:hAnsi="Arial"/>
          <w:sz w:val="18"/>
          <w:szCs w:val="18"/>
          <w:color w:val="auto"/>
        </w:rPr>
        <w:t>, (“ASU 2018-05”) to add various SEC paragraphs pursuant to the issuance of SEC</w:t>
      </w:r>
      <w:r>
        <w:rPr>
          <w:rFonts w:ascii="Arial" w:cs="Arial" w:eastAsia="Arial" w:hAnsi="Arial"/>
          <w:sz w:val="18"/>
          <w:szCs w:val="18"/>
          <w:i w:val="1"/>
          <w:iCs w:val="1"/>
          <w:color w:val="auto"/>
        </w:rPr>
        <w:t xml:space="preserve"> </w:t>
      </w:r>
      <w:r>
        <w:rPr>
          <w:rFonts w:ascii="Arial" w:cs="Arial" w:eastAsia="Arial" w:hAnsi="Arial"/>
          <w:sz w:val="18"/>
          <w:szCs w:val="18"/>
          <w:color w:val="auto"/>
        </w:rPr>
        <w:t>Staff Accounting Bulletin No. 118 (“SAB 118”), to ASC 740 “Income Taxes”. SAB 118 was issued by the SEC in December 2017 to provide immediate guidance for accounting implications of U.S. tax reform under the “</w:t>
      </w:r>
      <w:r>
        <w:rPr>
          <w:rFonts w:ascii="Arial" w:cs="Arial" w:eastAsia="Arial" w:hAnsi="Arial"/>
          <w:sz w:val="18"/>
          <w:szCs w:val="18"/>
          <w:i w:val="1"/>
          <w:iCs w:val="1"/>
          <w:color w:val="auto"/>
        </w:rPr>
        <w:t>Tax Cuts and Jobs Act</w:t>
      </w:r>
      <w:r>
        <w:rPr>
          <w:rFonts w:ascii="Arial" w:cs="Arial" w:eastAsia="Arial" w:hAnsi="Arial"/>
          <w:sz w:val="18"/>
          <w:szCs w:val="18"/>
          <w:color w:val="auto"/>
        </w:rPr>
        <w:t>” (the “Tax Act”), which became effective for the Company on January 1, 2018. The Company has adopted ASU 2018-09 and adoption of this ASU has no significant impact on its condensed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ASU 2014-09 supersedes the revenue recognition requirements in ASC Topic 605, “Revenue Recognition” and some cost guidance included in ASC Subtopic 605-35,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 Construction-Type and Production-Type Contracts</w:t>
      </w:r>
      <w:r>
        <w:rPr>
          <w:rFonts w:ascii="Arial" w:cs="Arial" w:eastAsia="Arial" w:hAnsi="Arial"/>
          <w:sz w:val="16"/>
          <w:szCs w:val="16"/>
          <w:color w:val="auto"/>
        </w:rPr>
        <w:t>.” The core principle of ASU 2014-09 is that revenue is recognized when the transfer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goods or services to customers occurs in an amount that reflects the consideration to which the Company expects to be entitled in exchange for those goods or services. ASU 2014-09 requires the disclosure of sufficient information to enable readers of the Company’s financial statements to understand the nature, amount, timing and uncertainty of revenue and cash flows arising from customer contracts. ASU 2014-09 also requires disclosure of information regarding significant judgments and changes in judgments, and assets recognized from costs incurred to obtain or fulfill a contract. ASU 2014-09 provides two methods of retrospective application. The first method would require the Company to apply ASU 2014-09 to each prior reporting period presented. The second method would require the Company to retrospectively apply ASU 2014-09 with the cumulative effect recognized at the date of initial application. Since the Company is an emerging growth company and elected to use the extended transition period for complying with any new or revised financial accounting standards provided pursuant to Section 13(a) of the Exchange Act, this ASU 2014-09 will be effective for the Company beginning in fiscal 2019 as a result of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was issued by the FASB in August 2015 and extended the original effective date by one year. The Company is currently evaluating the impact of adopting the available methodologies of ASU 2014-09 and 2015-14 upon its consolidated financial statements in future reporting periods. The Company is also in the process of evaluating the new standard against its existing revenue recognition accounting policies to determine the effect the guidance will have on its condensed consolidated financial statements and what changes to systems and controls may be warranted.</w:t>
      </w:r>
    </w:p>
    <w:p>
      <w:pPr>
        <w:spacing w:after="0" w:line="17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In January 2017, the FASB issued Accounting Standards Update (ASU) 2017-04: </w:t>
      </w:r>
      <w:r>
        <w:rPr>
          <w:rFonts w:ascii="Arial" w:cs="Arial" w:eastAsia="Arial" w:hAnsi="Arial"/>
          <w:sz w:val="17"/>
          <w:szCs w:val="17"/>
          <w:i w:val="1"/>
          <w:iCs w:val="1"/>
          <w:color w:val="auto"/>
        </w:rPr>
        <w:t>“Intangibles-Goodwill and Other (Topic 350): Simplifying the Test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Goodwill Impairment” </w:t>
      </w:r>
      <w:r>
        <w:rPr>
          <w:rFonts w:ascii="Arial" w:cs="Arial" w:eastAsia="Arial" w:hAnsi="Arial"/>
          <w:sz w:val="17"/>
          <w:szCs w:val="17"/>
          <w:color w:val="auto"/>
        </w:rPr>
        <w:t>(“ASU 2017-04”), which removes Step 2 from the goodwill impairment test. It is effective for annual and interim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after December 15, 2019. Early adoption is permitted for interim or annual goodwill impairment test performed with a measurement date after January 1, 2017. The adoption of this ASU has no material impact on the Company’s condensed consolidated financial statements.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July 2017, the FASB issued ASU 2017-11, “</w:t>
      </w:r>
      <w:r>
        <w:rPr>
          <w:rFonts w:ascii="Arial" w:cs="Arial" w:eastAsia="Arial" w:hAnsi="Arial"/>
          <w:sz w:val="18"/>
          <w:szCs w:val="18"/>
          <w:i w:val="1"/>
          <w:iCs w:val="1"/>
          <w:color w:val="auto"/>
        </w:rPr>
        <w:t>Earnings Per Share (Topic 260), Distinguishing Liabilities from Equity (Topic 480);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(ASU 2017-11). Part I of this update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8" w:name="page9"/>
    <w:bookmarkEnd w:id="8"/>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This ASU is effective for fiscal years, and interim periods within those years, beginning after December 15, 2018. The Company is currently assessing the potential impact of adopting ASU 2017-11 on its condensed consolidated financial statements and related disclosures.</w:t>
      </w:r>
    </w:p>
    <w:p>
      <w:pPr>
        <w:spacing w:after="0" w:line="18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February 2018, the FASB issued Accounting Standards Update No. 2018-02, </w:t>
      </w:r>
      <w:r>
        <w:rPr>
          <w:rFonts w:ascii="Arial" w:cs="Arial" w:eastAsia="Arial" w:hAnsi="Arial"/>
          <w:sz w:val="17"/>
          <w:szCs w:val="17"/>
          <w:i w:val="1"/>
          <w:iCs w:val="1"/>
          <w:color w:val="auto"/>
        </w:rPr>
        <w:t>“Income Statement - Reporting Comprehensive Income (Topic 220):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Reclassification of Certain Tax Effects from Accumulated Other Comprehensive Income” </w:t>
      </w:r>
      <w:r>
        <w:rPr>
          <w:rFonts w:ascii="Arial" w:cs="Arial" w:eastAsia="Arial" w:hAnsi="Arial"/>
          <w:sz w:val="17"/>
          <w:szCs w:val="17"/>
          <w:color w:val="auto"/>
        </w:rPr>
        <w:t>(“ASU 2018-02”), which allows a reclassification from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income to retained earnings for stranded tax effects resulting from the Tax Act, and requires certain disclosures about stranded tax effects. ASU 2018-02 is effective for us beginning December 1, 2019 (with early adoption permitted), and shall be applied either in the period of adoption or retrospectively to each period (or periods) in which the effect of the change in the corporate income tax rate in the Tax Act is recognized. The Company is currently evaluating the potential impact of adopting this guidance on its condensed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value of the Company’s cash, restricted cash and accounts payable approximate fair value due to the short-term nature of these items.</w:t>
      </w:r>
    </w:p>
    <w:p>
      <w:pPr>
        <w:spacing w:after="0" w:line="248"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3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recurring basis by level within the fair value hierarchy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11"/>
          </w:tcPr>
          <w:p>
            <w:pPr>
              <w:jc w:val="right"/>
              <w:ind w:right="420"/>
              <w:spacing w:after="0"/>
              <w:rPr>
                <w:sz w:val="20"/>
                <w:szCs w:val="20"/>
                <w:color w:val="auto"/>
              </w:rPr>
            </w:pPr>
            <w:r>
              <w:rPr>
                <w:rFonts w:ascii="Arial" w:cs="Arial" w:eastAsia="Arial" w:hAnsi="Arial"/>
                <w:sz w:val="14"/>
                <w:szCs w:val="14"/>
                <w:color w:val="auto"/>
              </w:rPr>
              <w:t>Fair Value Measurements at March 31, 2018</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rPr>
              <w:t>Total</w:t>
            </w:r>
          </w:p>
        </w:tc>
        <w:tc>
          <w:tcPr>
            <w:tcW w:w="9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rPr>
              <w:t>Level 1</w:t>
            </w: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Level 2</w:t>
            </w: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Money market fund</w:t>
            </w:r>
          </w:p>
        </w:tc>
        <w:tc>
          <w:tcPr>
            <w:tcW w:w="2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14,844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spacing w:after="0"/>
              <w:rPr>
                <w:sz w:val="20"/>
                <w:szCs w:val="20"/>
                <w:color w:val="auto"/>
              </w:rPr>
            </w:pPr>
            <w:r>
              <w:rPr>
                <w:rFonts w:ascii="Arial" w:cs="Arial" w:eastAsia="Arial" w:hAnsi="Arial"/>
                <w:sz w:val="18"/>
                <w:szCs w:val="18"/>
                <w:color w:val="auto"/>
              </w:rPr>
              <w:t>14,844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4,927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Essentialis purchase price contingency liability</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w w:val="92"/>
              </w:rPr>
              <w:t>Total common stock warrant and contingent consideration liability</w:t>
            </w: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10,732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291</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980" w:type="dxa"/>
            <w:vAlign w:val="bottom"/>
            <w:vMerge w:val="restart"/>
          </w:tcPr>
          <w:p>
            <w:pPr>
              <w:jc w:val="right"/>
              <w:ind w:right="1770"/>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7"/>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gridSpan w:val="13"/>
          </w:tcPr>
          <w:p>
            <w:pPr>
              <w:jc w:val="right"/>
              <w:ind w:right="360"/>
              <w:spacing w:after="0"/>
              <w:rPr>
                <w:sz w:val="20"/>
                <w:szCs w:val="20"/>
                <w:color w:val="auto"/>
              </w:rPr>
            </w:pPr>
            <w:r>
              <w:rPr>
                <w:rFonts w:ascii="Arial" w:cs="Arial" w:eastAsia="Arial" w:hAnsi="Arial"/>
                <w:sz w:val="14"/>
                <w:szCs w:val="14"/>
                <w:color w:val="auto"/>
                <w:w w:val="97"/>
              </w:rPr>
              <w:t>Fair Value Measurements at December 31, 2017</w:t>
            </w:r>
          </w:p>
        </w:tc>
      </w:tr>
      <w:tr>
        <w:trPr>
          <w:trHeight w:val="142"/>
        </w:trPr>
        <w:tc>
          <w:tcPr>
            <w:tcW w:w="7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Total</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Level 1</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7"/>
              </w:rPr>
              <w:t>Level 2</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97"/>
              </w:rPr>
              <w:t>Level 3</w:t>
            </w:r>
          </w:p>
        </w:tc>
        <w:tc>
          <w:tcPr>
            <w:tcW w:w="60" w:type="dxa"/>
            <w:vAlign w:val="bottom"/>
          </w:tcPr>
          <w:p>
            <w:pPr>
              <w:spacing w:after="0"/>
              <w:rPr>
                <w:sz w:val="12"/>
                <w:szCs w:val="12"/>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Money market fund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16,790</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16,790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352</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5,076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Essentialis purchase price contingency liability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5,082</w:t>
            </w: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Total common stock warrant and contingent consideration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10,516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352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10,164</w:t>
            </w:r>
          </w:p>
        </w:tc>
        <w:tc>
          <w:tcPr>
            <w:tcW w:w="6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Series A Warrant is a registered security that trades on the open market and the fair value of the Series A Warrant liability is based on the publicly quoted trading price of the warrants which is listed on and obtained from NASDAQ. Accordingly, the fair value of Series A Warrants is a Level 1 measurement. The fair value measurement of the Series C Warrants is based on significant inputs that are unobservable and thus represent Level 3 measurements.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The Company’s estimated fair value of the 2017 PIPE Warrants was calculated using a Monte Carlo simulation of a geometric Brownian motion model. The Monte Carlo simulation pricing model requires the input of highly subjective assumptions including the expected stock price volatility, the expected term, the expected dividend yield and the risk-free interest rate.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(see Note 10). The Level 3 estimates are based, in part, on subjective assumptions.</w:t>
      </w:r>
    </w:p>
    <w:p>
      <w:pPr>
        <w:spacing w:after="0" w:line="18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as follows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780" w:type="dxa"/>
            <w:vAlign w:val="bottom"/>
            <w:gridSpan w:val="6"/>
          </w:tcPr>
          <w:p>
            <w:pPr>
              <w:ind w:left="200"/>
              <w:spacing w:after="0"/>
              <w:rPr>
                <w:sz w:val="20"/>
                <w:szCs w:val="20"/>
                <w:color w:val="auto"/>
              </w:rPr>
            </w:pPr>
            <w:r>
              <w:rPr>
                <w:rFonts w:ascii="Arial" w:cs="Arial" w:eastAsia="Arial" w:hAnsi="Arial"/>
                <w:sz w:val="14"/>
                <w:szCs w:val="14"/>
                <w:b w:val="1"/>
                <w:bCs w:val="1"/>
                <w:color w:val="auto"/>
              </w:rPr>
              <w:t>Series A Warrant</w:t>
            </w:r>
          </w:p>
        </w:tc>
        <w:tc>
          <w:tcPr>
            <w:tcW w:w="1760" w:type="dxa"/>
            <w:vAlign w:val="bottom"/>
            <w:gridSpan w:val="6"/>
          </w:tcPr>
          <w:p>
            <w:pPr>
              <w:ind w:left="180"/>
              <w:spacing w:after="0"/>
              <w:rPr>
                <w:sz w:val="20"/>
                <w:szCs w:val="20"/>
                <w:color w:val="auto"/>
              </w:rPr>
            </w:pPr>
            <w:r>
              <w:rPr>
                <w:rFonts w:ascii="Arial" w:cs="Arial" w:eastAsia="Arial" w:hAnsi="Arial"/>
                <w:sz w:val="14"/>
                <w:szCs w:val="14"/>
                <w:b w:val="1"/>
                <w:bCs w:val="1"/>
                <w:color w:val="auto"/>
              </w:rPr>
              <w:t>Series C Warrant</w:t>
            </w:r>
          </w:p>
        </w:tc>
        <w:tc>
          <w:tcPr>
            <w:tcW w:w="1880" w:type="dxa"/>
            <w:vAlign w:val="bottom"/>
            <w:gridSpan w:val="4"/>
          </w:tcPr>
          <w:p>
            <w:pPr>
              <w:ind w:left="160"/>
              <w:spacing w:after="0"/>
              <w:rPr>
                <w:sz w:val="20"/>
                <w:szCs w:val="20"/>
                <w:color w:val="auto"/>
              </w:rPr>
            </w:pPr>
            <w:r>
              <w:rPr>
                <w:rFonts w:ascii="Arial" w:cs="Arial" w:eastAsia="Arial" w:hAnsi="Arial"/>
                <w:sz w:val="14"/>
                <w:szCs w:val="14"/>
                <w:b w:val="1"/>
                <w:bCs w:val="1"/>
                <w:color w:val="auto"/>
              </w:rPr>
              <w:t>2017 PIPE Warrants</w:t>
            </w: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06"/>
        </w:trPr>
        <w:tc>
          <w:tcPr>
            <w:tcW w:w="52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w:t>
            </w: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w:t>
            </w: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Liability</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4"/>
                <w:szCs w:val="14"/>
                <w:b w:val="1"/>
                <w:bCs w:val="1"/>
                <w:color w:val="auto"/>
              </w:rPr>
              <w:t>Warrants</w:t>
            </w: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485,121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352</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118,083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6,024,425</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$ 5,076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5,082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Change in value of Series A Warrants</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(61)</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Series C Warrants</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Change in value of 2017 PIPE Warrants</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contingent liability</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428</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485,121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291</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118,083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6,024,425</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$ 4,927</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5,510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 and Assets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Assets held for sale and discontinued operations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Subsequent to the Merger with Essentialis described in Note 1, the Company explored opportunities to divest, sell or dispose of the CoSense, Neo Force, Inc. and Serenz businesses.</w:t>
      </w:r>
    </w:p>
    <w:p>
      <w:pPr>
        <w:spacing w:after="0" w:line="170"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6"/>
          <w:szCs w:val="16"/>
          <w:color w:val="auto"/>
        </w:rPr>
        <w:t>Under ASC 205-20-45-10, during the period in which a component meets the assets held for sale and discontinued operations criteria, an entity must present the assets and liabilities of the discontinued operation separately in the asset and liability sections of the balance sheet for the comparative reporting periods. The prior period balance sheet should be reclassified for the held for sale items. For income statements, the current and prior periods should report the results of operations of the component in discontinued operations when comparative income statements are presented.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85"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components of the Balance Sheet accounts presented as assets and liabilities held for sale follow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720" w:type="dxa"/>
            <w:vAlign w:val="bottom"/>
            <w:gridSpan w:val="3"/>
          </w:tcPr>
          <w:p>
            <w:pPr>
              <w:ind w:left="760"/>
              <w:spacing w:after="0"/>
              <w:rPr>
                <w:sz w:val="20"/>
                <w:szCs w:val="20"/>
                <w:color w:val="auto"/>
              </w:rPr>
            </w:pPr>
            <w:r>
              <w:rPr>
                <w:rFonts w:ascii="Arial" w:cs="Arial" w:eastAsia="Arial" w:hAnsi="Arial"/>
                <w:sz w:val="14"/>
                <w:szCs w:val="14"/>
                <w:b w:val="1"/>
                <w:bCs w:val="1"/>
                <w:color w:val="auto"/>
                <w:w w:val="94"/>
              </w:rPr>
              <w:t>March 31, 2018</w:t>
            </w:r>
          </w:p>
        </w:tc>
        <w:tc>
          <w:tcPr>
            <w:tcW w:w="2200" w:type="dxa"/>
            <w:vAlign w:val="bottom"/>
            <w:gridSpan w:val="4"/>
          </w:tcPr>
          <w:p>
            <w:pPr>
              <w:ind w:left="980"/>
              <w:spacing w:after="0"/>
              <w:rPr>
                <w:sz w:val="20"/>
                <w:szCs w:val="20"/>
                <w:color w:val="auto"/>
              </w:rPr>
            </w:pPr>
            <w:r>
              <w:rPr>
                <w:rFonts w:ascii="Arial" w:cs="Arial" w:eastAsia="Arial" w:hAnsi="Arial"/>
                <w:sz w:val="14"/>
                <w:szCs w:val="14"/>
                <w:b w:val="1"/>
                <w:bCs w:val="1"/>
                <w:color w:val="auto"/>
                <w:w w:val="95"/>
              </w:rPr>
              <w:t>December 31, 2017</w:t>
            </w: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7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9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23"/>
        </w:trPr>
        <w:tc>
          <w:tcPr>
            <w:tcW w:w="4760" w:type="dxa"/>
            <w:vAlign w:val="bottom"/>
          </w:tcPr>
          <w:p>
            <w:pPr>
              <w:ind w:left="720"/>
              <w:spacing w:after="0"/>
              <w:rPr>
                <w:sz w:val="20"/>
                <w:szCs w:val="20"/>
                <w:color w:val="auto"/>
              </w:rPr>
            </w:pPr>
            <w:r>
              <w:rPr>
                <w:rFonts w:ascii="Arial" w:cs="Arial" w:eastAsia="Arial" w:hAnsi="Arial"/>
                <w:sz w:val="18"/>
                <w:szCs w:val="18"/>
                <w:color w:val="auto"/>
              </w:rPr>
              <w:t>Total current assets held for sale</w:t>
            </w:r>
          </w:p>
        </w:tc>
        <w:tc>
          <w:tcPr>
            <w:tcW w:w="76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98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w:t>
            </w:r>
          </w:p>
        </w:tc>
        <w:tc>
          <w:tcPr>
            <w:tcW w:w="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9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r>
      <w:tr>
        <w:trPr>
          <w:trHeight w:val="223"/>
        </w:trPr>
        <w:tc>
          <w:tcPr>
            <w:tcW w:w="4760" w:type="dxa"/>
            <w:vAlign w:val="bottom"/>
          </w:tcPr>
          <w:p>
            <w:pPr>
              <w:ind w:left="720"/>
              <w:spacing w:after="0"/>
              <w:rPr>
                <w:sz w:val="20"/>
                <w:szCs w:val="20"/>
                <w:color w:val="auto"/>
              </w:rPr>
            </w:pPr>
            <w:r>
              <w:rPr>
                <w:rFonts w:ascii="Arial" w:cs="Arial" w:eastAsia="Arial" w:hAnsi="Arial"/>
                <w:sz w:val="18"/>
                <w:szCs w:val="18"/>
                <w:color w:val="auto"/>
              </w:rPr>
              <w:t>Total long-term assets held for sale</w:t>
            </w:r>
          </w:p>
        </w:tc>
        <w:tc>
          <w:tcPr>
            <w:tcW w:w="76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98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other current liabilities</w:t>
            </w:r>
          </w:p>
        </w:tc>
        <w:tc>
          <w:tcPr>
            <w:tcW w:w="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23"/>
        </w:trPr>
        <w:tc>
          <w:tcPr>
            <w:tcW w:w="4760" w:type="dxa"/>
            <w:vAlign w:val="bottom"/>
          </w:tcPr>
          <w:p>
            <w:pPr>
              <w:ind w:left="720"/>
              <w:spacing w:after="0"/>
              <w:rPr>
                <w:sz w:val="20"/>
                <w:szCs w:val="20"/>
                <w:color w:val="auto"/>
              </w:rPr>
            </w:pPr>
            <w:r>
              <w:rPr>
                <w:rFonts w:ascii="Arial" w:cs="Arial" w:eastAsia="Arial" w:hAnsi="Arial"/>
                <w:sz w:val="18"/>
                <w:szCs w:val="18"/>
                <w:color w:val="auto"/>
              </w:rPr>
              <w:t>Total current liabilities for sale</w:t>
            </w:r>
          </w:p>
        </w:tc>
        <w:tc>
          <w:tcPr>
            <w:tcW w:w="76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98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7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625</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r>
      <w:tr>
        <w:trPr>
          <w:trHeight w:val="27"/>
        </w:trPr>
        <w:tc>
          <w:tcPr>
            <w:tcW w:w="4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long-term liabilities held for sale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 of Operations presented as Discontinued Operations follow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Expenses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Stock-based compensation expense of $19,000 and $45,000 was classified in discontinued operations for the three months ended March 31, 2018 and 2017,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NFI Sale</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September 2, 2015, the Company established NFI, a wholly owned subsidiary of the Company and through NFI, acquired substantially all of the assets of an unrelated privately held company NeoForce.</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July 18, 2017, the Company completed the sale of stock of its 100% wholly-owned subsidiary, NFI, primarily related to the Company’s portfolio of neonatology resuscitation business pursuant to the NFI Purchase Agreement, with NFI Holdings, a 100% owned subsidiary of Flexicare Medical Limited, a privately held United Kingdom company, for $720,000 and adjustments for inventory and the current cash balances held at NFI. The Company will also receive the total outstanding accounts receivable and inventory held by NFI at the date of sale, as it is collected or sold, respectively. The transactions contemplated by the NFI Purchase Agreement are a continuation of a process previously disclosed by the Company of evaluating strategic alternatives and focusing on the Company’s rare disease therapeutic business. The NFI Purchase Agreement includes customary terms and conditions, including an</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1" w:name="page12"/>
    <w:bookmarkEnd w:id="11"/>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 to the purchase price based on inventory and accounts receivables, and provisions that require the Company to indemnify NFI Holdings for certain losses that it incurs as a result of a breach by the Company of its representations and warranties in the NFI Purchase Agreement and certain other matters. Proceeds from the sale are payable to the Company as follows: (1) a $720,000 payment to the Company in cash on July 18, 2017, (2) the value of outstanding accounts receivable as it is collected by NFI following July 18, 2017, payable on a monthly basis, and (3) the value of inventory as it is sold following July 18, 2017, payable on a monthly basis. The NFI Purchase Agreement contains customary representations and warranties of each of the parties.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CoSense Joint Venture Agreement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December 2017, the Company entered into a joint venture with OAHL with respect to its CoSense product by agreeing to sell shares of Capnia, its wholly-owned subsidiary, to OAHL. CoSense was Soleno’s first Sensalyze Technology Platform product to receive 510(k) clearances from the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The Company’s entry into the joint venture results from a comprehensive review of strategic alternatives for its legacy products and product candidates following its transition to a primarily therapeutic drug product company. The terms of the Joint Venture Agreement provide that OAHL will invest up to a total of $2.2 million of Capnia’s common shares on an incremental quarterly basis commencing in December 2017. Going forward, OAHL will be responsible for funding a portion of the Capnia operations. As of March 31, 2018, the Company had issued no shares of Capnia to OAHL. The Company will report for its ownership position in Capnia pursuant to ASC 810.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The Company has issued multiple warrant series, of which the Series A Warrants, Series C Warrants and 2017 PIPE Warrants (the “Warrants”) are considered liabilities pursuant to the guidance established by </w:t>
      </w:r>
      <w:r>
        <w:rPr>
          <w:rFonts w:ascii="Arial" w:cs="Arial" w:eastAsia="Arial" w:hAnsi="Arial"/>
          <w:sz w:val="18"/>
          <w:szCs w:val="18"/>
          <w:i w:val="1"/>
          <w:iCs w:val="1"/>
          <w:color w:val="auto"/>
        </w:rPr>
        <w:t>ASC 815 Derivatives and Hedging.</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Company’s Warrants contain standard anti-dilution provisions for stock dividends, stock splits, subdivisions, combinations and similar types of recapitalization events. The Series A and Series C Warrants also contain a cashless exercise feature that provides for their net share settlement at the option of the holder in the event that there is no effective registration statement covering the continuous offer and sale of the Series A Warrants and shares underlying the Series A Warrants, or the shares underlying the Series C Warrants, respectively. The Company is required to comply with certain requirements to cause or maintain the effectiveness of a registration statement for the offer and sale of the shares underlying the Warrants and for the offer and sale of the Series C Warrants. The Series A and Series C Warrants contracts further provide for the payment of liquidated damages at an amount per month equal to 1% of the aggregate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is equivalent to fair value computed using the Binomial Lattice Option Model.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classified the Warrants, with a term greater than one year,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A Warrants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Upon the completion of the IPO, the Series A Warrants started trading on the NASDAQ under the symbol SLNOW. As the Series A Warrants are publicly traded, the Company uses the closing price on the measurement date to determine the fair value of these the Series A Warrants.</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their issuance, a total of 4,800 Series A Warrants have been exercised. As of March 31, 2018, the fair value of the 485,121 outstanding Series A Warrants was approximately $291,000, and the decrease of $61,000 in fair value during the three months ended March 31, 2018 was recorded as other income in the condensed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the previously issued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w:t>
      </w:r>
    </w:p>
    <w:p>
      <w:pPr>
        <w:spacing w:after="0" w:line="17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$5,882.</w:t>
      </w:r>
    </w:p>
    <w:p>
      <w:pPr>
        <w:spacing w:after="0" w:line="15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The Series C Warrants are exercisable into 118,083 shares of the Company’s Common Stock. As of March 31, 2018, the fair value of the Series C Warrants was determined to be approximately $4,000. The decline in the fair value of the liability for the Series C Warrants of $2,000 in the three months ended March 31, 2018 was recorded as other income in the condensed consolidated statements of operations.</w:t>
      </w:r>
    </w:p>
    <w:p>
      <w:pPr>
        <w:spacing w:after="0" w:line="166"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is equivalent to the fair value computed using the Binomial Lattice Option Model. The Black-Scholes pricing model requires the input of highly subjective assumptions including the expected stock price volatility. The Company used the following inputs.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 2018</w:t>
            </w:r>
          </w:p>
        </w:tc>
        <w:tc>
          <w:tcPr>
            <w:tcW w:w="1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17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w:t>
            </w:r>
          </w:p>
        </w:tc>
        <w:tc>
          <w:tcPr>
            <w:tcW w:w="4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Expected term (years)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6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Risk-free rate</w:t>
            </w:r>
          </w:p>
        </w:tc>
        <w:tc>
          <w:tcPr>
            <w:tcW w:w="3340" w:type="dxa"/>
            <w:vAlign w:val="bottom"/>
            <w:gridSpan w:val="3"/>
          </w:tcPr>
          <w:p>
            <w:pPr>
              <w:jc w:val="right"/>
              <w:ind w:right="480"/>
              <w:spacing w:after="0"/>
              <w:rPr>
                <w:sz w:val="20"/>
                <w:szCs w:val="20"/>
                <w:color w:val="auto"/>
              </w:rPr>
            </w:pPr>
            <w:r>
              <w:rPr>
                <w:rFonts w:ascii="Arial" w:cs="Arial" w:eastAsia="Arial" w:hAnsi="Arial"/>
                <w:sz w:val="18"/>
                <w:szCs w:val="18"/>
                <w:color w:val="auto"/>
              </w:rPr>
              <w:t>2.26%</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The 2017 PIPE Warrants were issued on December 15, 2017 in the 2017 PIPE Offering, pursuant to a Warrant Agreement with each of the investors in the 2017 PIPE Offering, and entitle the holder to purchase one share of the Company’s common stock at an exercise price equal to $2.00 per share, subject to adjustment as discussed below, at any time commencing upon issuance of the 2017 PIPE Warrants and terminating at the earlier of December 15, 2020 or 30 days following positive Phase III results for Diazoxide Choline Controlled-Release (DCCR) tablet in Prader-Willi syndrome (PWS).</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2017 PIPE Warrants may be adjusted in certain circumstances, including in the event of a stock split, stock dividend, extraordinary dividend, or recapitalization, reorganization, merger or consolidation. However, the exercise price of the 2017 PIPE Warrants will not be reduced below $1.72.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ind w:right="14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March 31, 2018, the fair value of the PIPE Warrants was determined to be approximately $4.9 million. The decline in the fair value of the liability for the PIPE Warrants of $149,000 in the three months ended March 31, 2018 was recorded as other income in the condensed consolidated statements of operations.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4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term (years)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5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Risk-free rate</w:t>
            </w:r>
          </w:p>
        </w:tc>
        <w:tc>
          <w:tcPr>
            <w:tcW w:w="3340" w:type="dxa"/>
            <w:vAlign w:val="bottom"/>
            <w:gridSpan w:val="3"/>
          </w:tcPr>
          <w:p>
            <w:pPr>
              <w:jc w:val="right"/>
              <w:ind w:right="360"/>
              <w:spacing w:after="0"/>
              <w:rPr>
                <w:sz w:val="20"/>
                <w:szCs w:val="20"/>
                <w:color w:val="auto"/>
              </w:rPr>
            </w:pPr>
            <w:r>
              <w:rPr>
                <w:rFonts w:ascii="Arial" w:cs="Arial" w:eastAsia="Arial" w:hAnsi="Arial"/>
                <w:sz w:val="18"/>
                <w:szCs w:val="18"/>
                <w:color w:val="auto"/>
              </w:rPr>
              <w:t>2.09%</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1.76%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July 1, 2015 the Company executed a new four 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 and in December 2017 the Company subleased this additional space to a third party through the end of the lease term.</w:t>
      </w:r>
    </w:p>
    <w:p>
      <w:pPr>
        <w:spacing w:after="0" w:line="18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Company also leases office space under a non-cancelable operating lease agreement that was set to expire in May 2015, and in February 2015 the Company signed an amendment to its lease agreement, extending the lease through June 2018. The amendment provides for monthly lease payments of $22,000 beginning in June 2015, with increases in the following two years. The Company subleased this facility in January 2016.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was $85,000 and $135,000 during the three months ended March 31, 2018 and 2017,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has issued a total of 13,780 Series B Convertible Preferred Stock under the 2016 Sabby Purchase Agreement, with a par value of $0.001 and a stated value of $1,000 per share. The Series B Convertible Preferred Stock is convertible to Common Stock of the Company at the rate of 200 shares of Common Stock for each converted share of Series B Convertible Preferred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D Warrants originally issued in conjunction with the 2015 Sabby Purchase Agreement was reduced from $12.30 to $8.75 per share on the effective date of the 2016 Sabby Purchase Agreement. Sabby converted 1,000 shares of Series B Convertible Preferred Stock into 200,000 shares of Common Stock during 2016.</w:t>
      </w:r>
    </w:p>
    <w:p>
      <w:pPr>
        <w:spacing w:after="0" w:line="18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During the three months ended March 31, 2018 and 2017 Sabby converted 1,000 and 120 shares of Series B Convertible Preferred stock into 200,000 and 120,200 shares of Common Stock, respectively. As of March 31, 2018, there were 3,571 shares of Series B Convertible Preferred Stock outstanding.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December 22, 2016, the Company entered into the Merger Agreement with Essentialis. Consummation of the Merger was subject to various closing conditions, including the Company’s consummation of a financing of at least $8 million at, or substantially contemporaneous with, the closing of the Merger, which occurred on March 7, 2017 and the receipt of stockholder approval of the Merger at a special meeting of stockholders, which the Company received on March 6, 2017.</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7, 2017, the Company completed the Merger with Essentialis and issued 3,783,388 shares of common stock to shareholders of Essentialis. Pursuant to the terms of the Merger Agreement, the Company held back shares of common stock as partial recourse to satisfy indemnification claims. Effective March 7, 2018, on the 1-year anniversary of the closing of the merger, the Company issued 180,667 shares for the previously held back amount. The Company is also obligated to issue an additional 913,389 shares of common stock to Essentialis stockholders upon the achievement of a development milestone. Assuming the development milestone is achieved, a total of 4,877,444 shares of common stock would be issued to Essentialis stockholders. Additionally, upon the achievement of certain commercial milestones associated with the sale of Essentialis’ product in accordance with the terms of the Merger Agreement, the Company is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6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purchase agreement. Further, on the date of the closing of the financing, as defined in the Merger Agreement, the Company shall sell to Aspire Capital, and Aspire Capital shall purchase from the Company an aggregate of $2.0 million of the Company’s common stock.</w:t>
      </w:r>
    </w:p>
    <w:p>
      <w:pPr>
        <w:spacing w:after="0" w:line="1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December 2017, the Company entered into a Securities Purchase Agreement, or the Unit Purchase Agreement, with purchasers of the Company’s securities pursuant to which the Company sold and issued 8,141,116 immediately separable units at a price per unit of $1.84 for aggregate gross proceeds of approximately $15,000,000 Each unit consisted of one share of the Company’s common stock and a warrant to purchase 0.74 of a share of the Company’s common stock at an exercise price of $2.00 per share, for an aggregate of 8,141,116 shares of common stock, and corresponding warrants, or the 2017 PIPE Warrants, to purchase 6,024,425 shares of common stock. Soleno refers to the Shares and the Warrant Shares collectively as the Resale Shares. The Company also granted certain registration rights to the investors pursuant to the Unit Purchase Agreement pursuant to which, among other things, the Company prepared and filed a registration statement with the SEC to register for resale the Resale Shares. The registration statement was declared effective in February 2018.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(“2014 Plan”), together the Plans. The 1999 Incentive Stock Plan expired in 2009, and the 2010 Equity Incentive Plan has been closed to new issuances.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The terms and conditions governing restricted stock units is at the sole discretion of the Board. There have been no grants of stock appreciation rights, performance units or performance shares as of March 31, 2018. As of March 31, 2018, a total of 1,266,804 shares are available for future grant under the 2014 Plan.</w:t>
      </w:r>
    </w:p>
    <w:p>
      <w:pPr>
        <w:spacing w:after="0" w:line="18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Company recognized stock-based compensation expense related to options and restricted stock units granted to employees, directors and consultants for the three months ended March 31, 2018 and 2017 of $360,000 and $185,000, respectively of which $19,000 and $45,000 was recorded in discontinued operations in the first quarter of 2018 and 2017, respectively. The compensation expense is allocated on a departmental basis, based on the classification of the option holder.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compensation expense was allocated between departments in continuing operations as follows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 March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8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w:t>
            </w:r>
          </w:p>
        </w:tc>
        <w:tc>
          <w:tcPr>
            <w:tcW w:w="60" w:type="dxa"/>
            <w:vAlign w:val="bottom"/>
          </w:tcPr>
          <w:p>
            <w:pPr>
              <w:spacing w:after="0"/>
              <w:rPr>
                <w:sz w:val="19"/>
                <w:szCs w:val="19"/>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2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w:t>
            </w:r>
          </w:p>
        </w:tc>
        <w:tc>
          <w:tcPr>
            <w:tcW w:w="60" w:type="dxa"/>
            <w:vAlign w:val="bottom"/>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granted options to purchase 616,500 and 12,000 shares of the Company’s common stock during the three months ended March 31, 2018 and 2017, respectively. The fair value of each award granted was estimated on the date of grant using the Black-Scholes option pricing model with the following assumptions.</w:t>
      </w:r>
    </w:p>
    <w:p>
      <w:pPr>
        <w:spacing w:after="0" w:line="7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9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7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60" w:type="dxa"/>
            <w:vAlign w:val="bottom"/>
            <w:gridSpan w:val="2"/>
          </w:tcPr>
          <w:p>
            <w:pPr>
              <w:jc w:val="right"/>
              <w:ind w:right="1120"/>
              <w:spacing w:after="0"/>
              <w:rPr>
                <w:sz w:val="20"/>
                <w:szCs w:val="20"/>
                <w:color w:val="auto"/>
              </w:rPr>
            </w:pPr>
            <w:r>
              <w:rPr>
                <w:rFonts w:ascii="Arial" w:cs="Arial" w:eastAsia="Arial" w:hAnsi="Arial"/>
                <w:sz w:val="18"/>
                <w:szCs w:val="18"/>
                <w:color w:val="auto"/>
              </w:rPr>
              <w:t>2.7%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Dividend rate</w:t>
            </w:r>
          </w:p>
        </w:tc>
        <w:tc>
          <w:tcPr>
            <w:tcW w:w="1960" w:type="dxa"/>
            <w:vAlign w:val="bottom"/>
            <w:gridSpan w:val="2"/>
          </w:tcPr>
          <w:p>
            <w:pPr>
              <w:jc w:val="right"/>
              <w:ind w:right="112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bl>
    <w:p>
      <w:pPr>
        <w:spacing w:after="0" w:line="7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7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estimated volatility rate based on a peer index of common stock of comparable companies in the Company’s industry.</w:t>
      </w:r>
    </w:p>
    <w:p>
      <w:pPr>
        <w:spacing w:after="0" w:line="153" w:lineRule="exact"/>
        <w:rPr>
          <w:rFonts w:ascii="Arial" w:cs="Arial" w:eastAsia="Arial" w:hAnsi="Arial"/>
          <w:sz w:val="16"/>
          <w:szCs w:val="16"/>
          <w:color w:val="auto"/>
        </w:rPr>
      </w:pPr>
    </w:p>
    <w:p>
      <w:pPr>
        <w:jc w:val="both"/>
        <w:ind w:left="900" w:right="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Risk-free rate: </w:t>
      </w:r>
      <w:r>
        <w:rPr>
          <w:rFonts w:ascii="Arial" w:cs="Arial" w:eastAsia="Arial" w:hAnsi="Arial"/>
          <w:sz w:val="16"/>
          <w:szCs w:val="16"/>
          <w:color w:val="auto"/>
        </w:rPr>
        <w:t>The risk-free interest rate is based on the yields of U.S. Treasury securities with maturities similar to the expected time to liquidity.</w:t>
      </w:r>
    </w:p>
    <w:p>
      <w:pPr>
        <w:spacing w:after="0" w:line="153"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transactions for the three months ended March 31, 2018 as issued under the Plans: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3"/>
                <w:szCs w:val="13"/>
                <w:color w:val="auto"/>
              </w:rPr>
            </w:pPr>
          </w:p>
        </w:tc>
        <w:tc>
          <w:tcPr>
            <w:tcW w:w="12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Weighted-Average</w:t>
            </w:r>
          </w:p>
        </w:tc>
        <w:tc>
          <w:tcPr>
            <w:tcW w:w="11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 per</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1,026,987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2740" w:type="dxa"/>
            <w:vAlign w:val="bottom"/>
            <w:gridSpan w:val="3"/>
          </w:tcPr>
          <w:p>
            <w:pPr>
              <w:jc w:val="right"/>
              <w:ind w:right="140"/>
              <w:spacing w:after="0"/>
              <w:rPr>
                <w:sz w:val="20"/>
                <w:szCs w:val="20"/>
                <w:color w:val="auto"/>
              </w:rPr>
            </w:pPr>
            <w:r>
              <w:rPr>
                <w:rFonts w:ascii="Arial" w:cs="Arial" w:eastAsia="Arial" w:hAnsi="Arial"/>
                <w:sz w:val="18"/>
                <w:szCs w:val="18"/>
                <w:color w:val="auto"/>
              </w:rPr>
              <w:t>616,500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8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Options canceled/forfeited</w:t>
            </w:r>
          </w:p>
        </w:tc>
        <w:tc>
          <w:tcPr>
            <w:tcW w:w="18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(92,177)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14.54</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1,551,310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Options vested at March 31, 2018</w:t>
            </w:r>
          </w:p>
        </w:tc>
        <w:tc>
          <w:tcPr>
            <w:tcW w:w="2740" w:type="dxa"/>
            <w:vAlign w:val="bottom"/>
            <w:gridSpan w:val="3"/>
          </w:tcPr>
          <w:p>
            <w:pPr>
              <w:jc w:val="right"/>
              <w:ind w:right="140"/>
              <w:spacing w:after="0"/>
              <w:rPr>
                <w:sz w:val="20"/>
                <w:szCs w:val="20"/>
                <w:color w:val="auto"/>
              </w:rPr>
            </w:pPr>
            <w:r>
              <w:rPr>
                <w:rFonts w:ascii="Arial" w:cs="Arial" w:eastAsia="Arial" w:hAnsi="Arial"/>
                <w:sz w:val="18"/>
                <w:szCs w:val="18"/>
                <w:color w:val="auto"/>
              </w:rPr>
              <w:t>509,830</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Options vested and expected to vest at March 31, 2018</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1,551,310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20" w:type="dxa"/>
            <w:vAlign w:val="bottom"/>
            <w:vMerge w:val="restart"/>
          </w:tcPr>
          <w:p>
            <w:pPr>
              <w:jc w:val="right"/>
              <w:ind w:right="1170"/>
              <w:spacing w:after="0"/>
              <w:rPr>
                <w:sz w:val="20"/>
                <w:szCs w:val="20"/>
                <w:color w:val="auto"/>
              </w:rPr>
            </w:pPr>
            <w:r>
              <w:rPr>
                <w:rFonts w:ascii="Arial" w:cs="Arial" w:eastAsia="Arial" w:hAnsi="Arial"/>
                <w:sz w:val="18"/>
                <w:szCs w:val="18"/>
                <w:color w:val="auto"/>
              </w:rPr>
              <w:t>16</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6" w:name="page17"/>
    <w:bookmarkEnd w:id="16"/>
    <w:p>
      <w:pPr>
        <w:jc w:val="both"/>
        <w:ind w:right="4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weighted-average grant date fair value of employee options granted was $1.03 and $1.90 per share for the three months ended March 31, 2018 and 2017, respectively. At March 31, 2018, total unrecognized employee stock-based compensation was $1.6 million, which is expected to be recognized over the weighted-average remaining vesting period of 3.2 years. As of March 31, 2018, the outstanding stock options had an intrinsic value of $131,000.</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There were 99,217 restricted stock units granted by the Company during the three months ended March 31, 2018 to employees and nonemployees. The shares were 100% vested on the grant date and were valued based on the Company’s common stock price on the grant date, with all of the related stock-based compensation expense recognized at that time.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Soleno’s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60" w:lineRule="exact"/>
        <w:rPr>
          <w:sz w:val="20"/>
          <w:szCs w:val="20"/>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 55,936 shares;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2018, there were no purchases by employees under this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Company issued 256,064 Series D Warrants in October 2015,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 As indicated above, the Company is not required under any circumstance to settle any Series D Warrant exercise for cash. The Company has therefore classified the value of the Series D Warrants as permanent equity.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As of March 31, 2018, the Company had 96,029 Common Stock warrants outstanding from the 2010/2012 convertible notes, with an exercise price of $24.35 and a term of 10 years expiring in November 2024. The Company also had outstanding 1,851 Common Stock warrants issued in 2009, with an exercise price of $108.00 and a term of 10 years, expiring in January 2019 and 16,500 Common Stock warrants issued to the underwriter in the Company’s IPO, with an exercise price of $35.70 and a term of 10 years, expiring in November 2024.</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9. Net loss per share</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three months ended March 31, 2018 and 2017, the effect of issuing the potential common stock is anti-dilutive due to the net losses in those periods and the number of shares used to compute basic and diluted earnings per share are the same in each of those periods.</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940" w:type="dxa"/>
            <w:vAlign w:val="bottom"/>
            <w:gridSpan w:val="4"/>
          </w:tcPr>
          <w:p>
            <w:pPr>
              <w:ind w:left="46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6740" w:type="dxa"/>
            <w:vAlign w:val="bottom"/>
          </w:tcPr>
          <w:p>
            <w:pPr>
              <w:spacing w:after="0"/>
              <w:rPr>
                <w:sz w:val="12"/>
                <w:szCs w:val="12"/>
                <w:color w:val="auto"/>
              </w:rPr>
            </w:pPr>
          </w:p>
        </w:tc>
        <w:tc>
          <w:tcPr>
            <w:tcW w:w="7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714,200</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2,435,800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102,070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102,070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1,551,310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586,971</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Warrants issued in 2009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1,851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1,851</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Series A warrants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485,121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485,121</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Series D warrants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586,182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586,162</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2017 PIPE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6,024,425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9,599,742</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4,332,558</w:t>
            </w:r>
          </w:p>
        </w:tc>
        <w:tc>
          <w:tcPr>
            <w:tcW w:w="6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Acquisition of Essentialis, Inc.</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(“Merger Sub”), whereby Merger Sub merged into Essentialis, with Essentialis surviving the merger as a wholly owned subsidiary of the Company.</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consideration, the Company issued 3,783,388 shares of common stock to stockholders of Essentialis on March 7, 2017. Pursuant to the terms of the Merger Agreement, the Company held back shares of common stock as partial recourse to satisfy indemnification claims. Effective on the 1-year anniversary of the closing of the merger the Company issued 180,667 shares for the previously held back amount. The Company is also obligated to issue an additional 913,389 shares of common stock to Essentialis stockholders upon the achievement of a development milestone. Additionally, upon the achievement of certain commercial milestones associated with the sale of Essentialis’ product in accordance with the terms of the Merger Agreement, the Company is obligated to make cash earnout payments of up to a maximum of $30 million to Essentialis stockholders.</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Since the acquisition was determined to be an asset acquisition, the total value of the purchase consideration will be allocated to the asset acquired. The fair value of the shares issued on the completion of the merger and of the contingent shares to be issued in the future was based on the stock price of the Company on the date of completion of the merger. In addition, the trading history of the Company was reviewed to assess the reliability of the implied consideration value. The Company trades on the NASDAQ, a major U.S. stock exchange, and has significant average daily trading volume with tight intraday bid-ask spreads. These characteristics indicate Soleno’s shares are actively traded and provide a reliable indication of value. On March 7, 2017, the date of the transaction close, the Company’s stock was trading at $3.85 per common share. Additionally, the average closing price of the stock in the 30 calendar days leading up to the close was also approximately $3.85. Accordingly, the fair value of the shares issued on March 7, 2017 and the estimated fair value of the contingent shares to be issued in the future are based on this stock price.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18" w:name="page19"/>
    <w:bookmarkEnd w:id="18"/>
    <w:p>
      <w:pPr>
        <w:ind w:right="2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agreement to pay cash upon the achievement of the commercial milestones results in the recognition of a contingent consideration. The fair value of the contingent cash consideration is based on the Company’s analysis of the likelihood of the drug indication moving from phase II through approval in the Federal Drug Administration approval process and then reaching the cumulative revenue milestones. In determining the likelihood of this occurring, the analysis relied on 2016 research published by BIO, Biomedtraker, &amp; Amplion titles “Clinical Development Success Rates 2006-2015.” Based on management’s assessment, a 56% probability of achieving each milestone was determined to be reasonable. Additionally, the Company anticipates that it could reach the commercial milestones of $100 million and $200 million in applicable revenue in 2023 and 2025, respectively.</w:t>
      </w:r>
    </w:p>
    <w:p>
      <w:pPr>
        <w:spacing w:after="0" w:line="1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recorded the acquisition pursuant to the guidance in ASC 805, which provides that not all of the relevant information needed to complete acquisition-date measurements may be obtainable or known at the time of closing the acquisition and in time for issuance of interim or annual financial statements. Therefore, ASC 805 provides for a “measurement period” during which adjustments to the provisional valuation amounts initially recorded can be made in order to reflect information, existing at the acquisition date, but of which management subsequently obtains or becomes aware. ASC 805 provides that the measurement period can extend for up to, but not exceed, one year. The Company completed and finalized its assessments of the fair value of consideration paid and of the net assets acquired as of December 31, 2017.</w:t>
      </w:r>
    </w:p>
    <w:p>
      <w:pPr>
        <w:spacing w:after="0" w:line="17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Management engaged independent professional assistance and advice in order to assess the fair value of the contingent stock and cash consideration as of March 7, 2017 and December 31, 2017. During the process of determining the fair value of the contingent consideration at December 31, 2017, the Company became aware that certain of the subjective assumptions made at the time of the initial valuation should be modified based upon management’s increased understanding of the commercial capabilities of the DCCR drug. Accordingly, the Company determined that it was appropriate to adjust the provisional valuation amounts recorded for the contingent stock and cash consideration made at the inception in March 2017. As a result, the value of the contingent cash consideration to be paid upon completing successive sales milestones increased and the value of the contingent stock consideration payable upon timing milestones was reduced; the resulting combined change to the total contingent consideration was not material. The initial valuation of the contingent consideration determined the fair value of the contingent stock consideration to be $4,220,000 and the fair value of the contingent cash consideration to be $1,090,000, for the combined value of $5,310,000. The revision of the initial valuation of the contingent consideration, made within the measurement period, determined the fair value of the contingent stock consideration to be $2,680,000 and the fair value of the contingent cash consideration to be $2,590,000, for the combined value of $5,270,000.</w:t>
      </w:r>
    </w:p>
    <w:p>
      <w:pPr>
        <w:spacing w:after="0" w:line="18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Also subsequent to March 7, 2017 and prior to December 31, 2017, the Company completed its assessment of the tax effect on the net assets acquired by obtaining the independent study and report regarding the change in control in the previously outstanding stock of Essentialis. As a result of completing the study, the Company determined that, pursuant to Section 382 of the Internal Revenue Code, the utilization of Essentialis’s federal and state operating loss carryforwards were limited, which required the Company to record a net deferred tax liability in the amount of $1.7 million, deferred to future periods, as an element of the assets acquired. As a consequence of recording the net deferred tax liability, the Company’s valuation allowance was reduced by $1.7 million, which resulted in the provision for income tax benefit and an increase in the value of the intangible asset acquired.</w:t>
      </w:r>
    </w:p>
    <w:p>
      <w:pPr>
        <w:spacing w:after="0" w:line="16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Accordingly, the initial purchase cost of the asset acquired was adjusted as of March 2017 and the net increase in amortization of the related intangible asset was recorded in the fourth quarter of 2017.</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probability weighted milestone payments were discounted to determine the present value of future cash payments. The analysis utilized the weighted average cost of capital (WACC) discount rate which was estimated to be 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purchase price consideration was as follows (in thousands).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consideration</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36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 consideration</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w w:val="95"/>
              </w:rPr>
              <w:t>The fair value of the asset acquired is as follows (in thousands).</w:t>
            </w:r>
          </w:p>
        </w:tc>
        <w:tc>
          <w:tcPr>
            <w:tcW w:w="3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80" w:type="dxa"/>
            <w:vAlign w:val="bottom"/>
            <w:gridSpan w:val="2"/>
            <w:vMerge w:val="continue"/>
          </w:tcPr>
          <w:p>
            <w:pPr>
              <w:spacing w:after="0"/>
              <w:rPr>
                <w:sz w:val="24"/>
                <w:szCs w:val="24"/>
                <w:color w:val="auto"/>
              </w:rPr>
            </w:pPr>
          </w:p>
        </w:tc>
        <w:tc>
          <w:tcPr>
            <w:tcW w:w="3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3500" w:type="dxa"/>
            <w:vAlign w:val="bottom"/>
          </w:tcPr>
          <w:p>
            <w:pPr>
              <w:spacing w:after="0"/>
              <w:rPr>
                <w:sz w:val="21"/>
                <w:szCs w:val="21"/>
                <w:color w:val="auto"/>
              </w:rPr>
            </w:pPr>
          </w:p>
        </w:tc>
        <w:tc>
          <w:tcPr>
            <w:tcW w:w="42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1380"/>
              <w:spacing w:after="0"/>
              <w:rPr>
                <w:sz w:val="20"/>
                <w:szCs w:val="20"/>
                <w:color w:val="auto"/>
              </w:rPr>
            </w:pPr>
            <w:r>
              <w:rPr>
                <w:rFonts w:ascii="Arial" w:cs="Arial" w:eastAsia="Arial" w:hAnsi="Arial"/>
                <w:sz w:val="18"/>
                <w:szCs w:val="18"/>
                <w:color w:val="auto"/>
              </w:rPr>
              <w:t>Net Assets Acquired</w:t>
            </w:r>
          </w:p>
        </w:tc>
        <w:tc>
          <w:tcPr>
            <w:tcW w:w="36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00" w:type="dxa"/>
            <w:vAlign w:val="bottom"/>
            <w:vMerge w:val="restart"/>
          </w:tcPr>
          <w:p>
            <w:pPr>
              <w:jc w:val="right"/>
              <w:ind w:right="3050"/>
              <w:spacing w:after="0"/>
              <w:rPr>
                <w:sz w:val="20"/>
                <w:szCs w:val="20"/>
                <w:color w:val="auto"/>
              </w:rPr>
            </w:pPr>
            <w:r>
              <w:rPr>
                <w:rFonts w:ascii="Arial" w:cs="Arial" w:eastAsia="Arial" w:hAnsi="Arial"/>
                <w:sz w:val="18"/>
                <w:szCs w:val="18"/>
                <w:color w:val="auto"/>
              </w:rPr>
              <w:t>19</w:t>
            </w: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9" w:name="page20"/>
    <w:bookmarkEnd w:id="19"/>
    <w:p>
      <w:pPr>
        <w:ind w:right="30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an asset acquisition, the Company also capitalized approximately $573,000 of total costs incurred to complete the acquisition consisting of legal fees of $469,000, printing fees of $75,000 and accounting and other fees of $29,000. Additionally, the Company recorded as part of the purchase price consideration the value equivalent to the deferred tax liability that resulted from acquiring the assets in the amount of approximately $1,651,000. The total intangible asset of $22.0 million was recorded on the balance sheet and is being amortized ratably over the life of the patents through June 30, 2028.</w:t>
      </w:r>
    </w:p>
    <w:p>
      <w:pPr>
        <w:spacing w:after="0" w:line="15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fair value of the liability for the contingent consideration payable by the Company achieving the commercial sales milestones of $100 million and $200 million was initially established as approximately $2,590,000 at the time of the merger and approximately $5,510,000 at March 31, 2018, based on the Company’s assessment that it could reach the commercial sales milestones of in 2023 and 2025,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Compensation Plan for Board Members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2017, the Compensation Committee of the Board of Directors recommended, and the Board approved a revised compensation plan pursuant to which all board fees are paid in Common Stock of the Company. Payment to the Board of Directors in shares of the Company’s Common Stock is made after the close of the quarter in which the compensation is earned. During the three months ended March 31, 2018 and 2017, the Company issued 47,757 and 9,997 shares, respectively, of Common Stock to its Board members for fees earned.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121"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On May 14, 2018, the Company announced that it has initiated its multi-center Phase III clinical trial of Diazoxide Choline Controlled-Release (“DCCR”) for the treatment of Prader-Willi Syndrome (“PWS”). Accordingly, the Company is also obligated to issue an additional 913,389 shares of common stock to Essentialis stockholders upon the achievement of this development milestone.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2017, and the related Management’s Discussion and Analysis of Financial Condition and Results of Operations, contained in the Company’s Form 10-K for the year ended December 31, 2017.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We were incorporated in the State of Delaware on August 25, 1999, and is located in Redwood City, California. On May 8, 2017, we received stockholder approval to amend our Amended and Restated Certificate of Incorporation to change our name of from “Capnia, Inc.” to “Soleno Therapeutics, Inc.” We were initially established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5"/>
          <w:szCs w:val="15"/>
          <w:color w:val="auto"/>
        </w:rPr>
        <w:t>®</w:t>
      </w:r>
      <w:r>
        <w:rPr>
          <w:rFonts w:ascii="Arial" w:cs="Arial" w:eastAsia="Arial" w:hAnsi="Arial"/>
          <w:sz w:val="18"/>
          <w:szCs w:val="18"/>
          <w:color w:val="auto"/>
        </w:rPr>
        <w:t xml:space="preserve"> Allergy Relief, or Serenz; CoSense </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previously wholly-owned subsidiary NFI also marketed innovative pulmonary resuscitation solutions for the inpatient and ambulatory neonatal markets.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December 22, 2016, we entered into the Merger Agreement with Essentialis, Inc.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U.S. as well as in the E.U.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was held on March 6, 2017.</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subsequently explored opportunities to divest, sell or otherwise dispose of the CoSense, NFI and Serenz businesses. Accordingly, and pursuant to ASC 205-20-45-10, the assets and liabilities related to the discontinued operations of CoSense, NFI and Serenz are presented separately in the Balance Sheet as held for sale items, and the related operations reported herein for the CoSense, NFI and Serenz businesses are reported as discontinued operations in the Statement of Operations.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determined to divest, sell or otherwise dispose of the CoSense, NFI and Serenz businesses in order to focus on the development and commercialization of novel therapeutics for the treatment of rare diseases. Our current research and development efforts are primarily focused on advancing our lead candidate, DCCR tablets for the treatment of PWS, into late-stage clinical development.</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sold NFI in a stock transaction that was completed on July 18, 2017, pursuant to the NFI Purchase Agreement with Neoforce Holdings, a wholly-owned subsidiary of Flexicare Medical Limited, a privately-held United Kingdom company, for $720,000 and adjustments for inventory and the current cash balances held at NFI (see Note 5).</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December 4, 2017, we, and our wholly-owned subsidiary, Capnia, entered into a joint venture with OAHL with the purpose of developing and commercializing CoSense.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continue to separately evaluate alternatives for our Serenz portfolio.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Significant Judgments and Estimates</w:t>
      </w:r>
    </w:p>
    <w:p>
      <w:pPr>
        <w:spacing w:after="0" w:line="12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the Company’s most recent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 from continuing operations</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84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40" w:type="dxa"/>
            <w:vAlign w:val="bottom"/>
            <w:gridSpan w:val="5"/>
          </w:tcPr>
          <w:p>
            <w:pPr>
              <w:jc w:val="center"/>
              <w:ind w:left="394"/>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04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Amount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62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$ 1,180</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853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848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06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rPr>
              <w:t>3,475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2,102</w:t>
            </w: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from operations</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(1,373)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(2,102)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Cease-use income (expense)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income (expense)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620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w:t>
            </w: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(3,241)</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(2,045)</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(1,196)</w:t>
            </w:r>
          </w:p>
        </w:tc>
        <w:tc>
          <w:tcPr>
            <w:tcW w:w="4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0"/>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(3,755</w:t>
            </w:r>
          </w:p>
        </w:tc>
        <w:tc>
          <w:tcPr>
            <w:tcW w:w="26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(2,887</w:t>
            </w:r>
          </w:p>
        </w:tc>
        <w:tc>
          <w:tcPr>
            <w:tcW w:w="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(868</w:t>
            </w:r>
          </w:p>
        </w:tc>
        <w:tc>
          <w:tcPr>
            <w:tcW w:w="4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yet not commenced commercialization of DCCR, its current sole novel therapeutic product, and accordingly, through March 31, 2018, have generated no revenue in continuing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Research and development expense of $1,180,000 for the three months ended March 31, 2018 increased by $853,000 over the three months ended March 31, 2017, resulting primarily from efforts directed toward development of DCCR which we acquired with the Essentialis acquisition on March 7,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Sales and marketing expense of $27,000 for the three months ended March 31, 2017 consisted of expense incurred to revise our website. We have not yet commenced commercialization of DCCR, its current sole novel therapeutic product, and accordingly, through March 31, 2018, have incurred no sales and marketing activities in continuing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General and administrative expense of $1,867,000 for the three months ended March 31, 2018 increased $848,000 over the three months ended March 31, 2017. The increase was primarily from a $360,000 increase in the amortization expense of the patent intangible acquired in the March 7, 2017 Essentialis acquisition, as 2017 only had a partial quarter of amortization compared to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0" w:right="29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quarter in 2018. In addition, during the three months ended March 31, 2017, $267,000 of legal fees that had been previously recorded as expense in an earlier quarter were reclassified as transaction costs to increase the cost of the intangible asset acquired with the Essentialis acquisition. Consulting and accounting expenses also increased by $211,000 between the two periods, primarily for additional valuation, accounting and audit work related to the Essentialis acquisition.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Net other income of $234,000 in the three months ended March 31, 2018, increased by $906,000 from net other expense of $672,000 million in the three months ended March 31, 2017, primarily due to the $600,000 value of the commitment shares issued to Aspire Capital in 2017 and to the $281,000 increase in the fair value adjustment of the liability for warrants between the two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Discontinued operations consist of our activities previously dedicated to the development and commercialization of innovative diagnostics, devices and therapeutics addressing unmet medical needs, which consisted of: precision metering of gas flow technology marketed as Serenz </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 </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we determined to divest, sell or otherwise dispose of the CoSense, NFI,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74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2018</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292"/>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(214)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goods sold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(158)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1060"/>
              <w:spacing w:after="0"/>
              <w:rPr>
                <w:sz w:val="20"/>
                <w:szCs w:val="20"/>
                <w:color w:val="auto"/>
              </w:rPr>
            </w:pPr>
            <w:r>
              <w:rPr>
                <w:rFonts w:ascii="Arial" w:cs="Arial" w:eastAsia="Arial" w:hAnsi="Arial"/>
                <w:sz w:val="18"/>
                <w:szCs w:val="18"/>
                <w:color w:val="auto"/>
              </w:rPr>
              <w:t>Total operating expenses</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514</w:t>
            </w: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893</w:t>
            </w:r>
          </w:p>
        </w:tc>
        <w:tc>
          <w:tcPr>
            <w:tcW w:w="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(379)</w:t>
            </w:r>
          </w:p>
        </w:tc>
        <w:tc>
          <w:tcPr>
            <w:tcW w:w="4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Revenue related to our discontinued operations was $51,000 during the three months ended march 31, 2018, a $214,000 decrease from the three months ended March 31, 2017, resulting primarily from the sale of the NFI business in July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Cost of product revenue related to our discontinued operations has declined in relation to the decrease in sales activity, resulting from the sale of the NFI business in July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Research and development expense related to our discontinued operations decreased by $266,000 from the three months ended March 31, 2018 to the same period of 2017. The decrease primarily resulted from the sale of NFI in July 2017, and the curtailment of spending towards the development of the Serenz product during 2017.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and marketing expense</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Sales and marketing expense during the three months ended March 31, 2018 was $11,000, representing a $76,000 decrease from the three months ended March 31, 2017. The decrease is largely attributed to our stopping its promotion and sales of the Serenz product in the second quarter of 2017. The sales and marketing expenses relating to our discontinued operations during the three months ended March 31, 2018 relate only to Capnia’s marketing of its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General and administrative expense associated with our discontinued operations was $102,000 during the three months ended March 31, 2018, a decrease of $37,000 from the three months ended March 31, 2017. The decrease was primarily due to the sale of NFI in July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and expense associated with discontinued operations has been nominal in the periods reported.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had a net loss of $3.8 million for the three months ended March 31, 2018 and an accumulated deficit of $117.7 million at March 31, 2018 from having incurred losses since our inception. We had approximately $14.0 million of working capital at March 31, 2018 and used approximately $2.5 million of cash in operating activities during the three months ended March 31, 2018. We have financed our operations principally through issuances of equity securities.</w:t>
      </w:r>
    </w:p>
    <w:p>
      <w:pPr>
        <w:spacing w:after="0" w:line="187"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We have continued to focus on expense control, including reducing our workforce, eliminating outside consultants, reducing legal fees and implementing a plan to allow Board members to receive common stock, in lieu of cash payments.</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December 11, 2017, we entered into the Unit Purchase Agreement with certain stockholders,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a share, for an aggregate of 8,141,116 Shares and corresponding warrants to purchase an aggregate of 6,024,425 Warrant Shares, together referred to as the Resale Shares. We also granted certain registration rights to these stockholders, pursuant to which, among other things, we prepared and filed a registration statement with the SEC to register for resale the Resale Shares. The registration statement was declared effective in February 2018.</w:t>
      </w:r>
    </w:p>
    <w:p>
      <w:pPr>
        <w:spacing w:after="0" w:line="17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to continue incurring losses for the foreseeable future and may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 The condensed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5"/>
          </w:tcPr>
          <w:p>
            <w:pPr>
              <w:jc w:val="right"/>
              <w:ind w:right="471"/>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continuing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(2,033)</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used in discontinued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discontinued investing activities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Net cash provided by (used in) continuing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discontinued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During the three months ended March 31, 2018, operating activities used net cash of $2.0 million, which was primarily due to the loss from continuing operations of $3.2 million, adjusted for non-cash expenses of $492,000 for depreciation and amortization, $423,000 of expenses paid with common stock or equity awards, and $216,000 for the change in fair value of stock warrants and contingent consideration. Additionally, an increase in prepaid expenses and other current assets and accounts payable and a decrease in accrued compensation and other current liabilities that offset the cash usage by $77,000.</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During the three months ended March 31, 2017, operating activities used net cash of $1.3 million, which was primarily due to the loss from continuing operations of $2.0 million, adjusted for non-cash expenses of $119,000 for depreciation and amortization, $787,000 of non-cash expenses paid with common stock or equity awards, and $74,000 for the change in fair value of stock warrants and contingent consideration. There was also an increase in prepaid expenses and other current assets and decreases in accounts payable, accrued compensation and other current liabilities and other long-term liabilities that contributed to the cash usage by $284,000.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investing activities related to continued operations during the three months ending March 31, 2018 or March 31,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2018 we paid $112,000 of additional costs relating to the 2017 PIPE common stock and warrant issuance.</w:t>
      </w:r>
    </w:p>
    <w:p>
      <w:pPr>
        <w:spacing w:after="0" w:line="248"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During the three months ended March 31, 2017, we received $10.0 million of proceeds from the issuance of the shares of common stock for the $8 million of concurrent financing and issuance of the shares of common Stock for the $2 million investment by Aspire Capital.</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2018, we had cash, cash equivalents and restricted cash of approximately $14.9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do not believe that we have sufficient capital resources to sustain operations through at least the next twelve months from the date of this filing. We expect to continue incurring losses for the foreseeable future and may be required to raise additional capital to pursue its therapeutic product development initiatives. These conditions raise substantial doubt about our ability to continue as a going concern for a period of twelve months from the date of this report.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0"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2018 we used net cash of $487,000 for discontinued operating activities, resulting primarily from the loss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discontinued operations of $514,000 partially offset by non-cash expenses associated with stock compensation.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31, 2017, we used net cash of $834,000 for discontinued operating activities, resulting primarily from the loss from discontinued operations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$842,000, partially offset by non-cash expenses associated with stock compensation and a change in working capital balances. The decrease from the three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March 31, 2017 to March 31, 2018 was primarily due to the lower comparative level of operating activities for the discontinued operating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There were no investing activities related to discontinued operations during the three months ended March 31, 2018. During the three months ended March 31, 2017, we used $4,000 of cash in investing activities related to discontinued operations for the purchase of property and equipment.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Net cash provided by financing activities related to discontinued operations was $400,000 during the three months ended March 31, 2018, representing the cash received during the period from our joint venture partner. There were no financing activities related to discontinued operations during the three months ended March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 xml:space="preserve">There have not been any material changes to our exposure to market risk during the three months ended March 31, 2018. For additional information regarding market risk, refer to the </w:t>
      </w:r>
      <w:r>
        <w:rPr>
          <w:rFonts w:ascii="Arial" w:cs="Arial" w:eastAsia="Arial" w:hAnsi="Arial"/>
          <w:sz w:val="17"/>
          <w:szCs w:val="17"/>
          <w:i w:val="1"/>
          <w:iCs w:val="1"/>
          <w:color w:val="auto"/>
        </w:rPr>
        <w:t>Qualitative and Quantitative Disclosures About Market Risk</w:t>
      </w:r>
      <w:r>
        <w:rPr>
          <w:rFonts w:ascii="Arial" w:cs="Arial" w:eastAsia="Arial" w:hAnsi="Arial"/>
          <w:sz w:val="17"/>
          <w:szCs w:val="17"/>
          <w:color w:val="auto"/>
        </w:rPr>
        <w:t xml:space="preserve"> section of the Form 10-K.</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management, under the supervision and with the participation of our Chief Executive Officer, who also currently serves as our principal financial and accounting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has concluded that, as of the end of the period covered by this Quarterly Report on Form 10-Q, our disclosure controls and procedures were effective.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first fiscal quarter ended March 31, 2018, that have materially affected, or are reasonably likely to materially affect, our internal control over financial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Inherent Limitations on Effectiveness of Controls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274" w:right="4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On February 16, 2017, a purported stockholder class action lawsuit captioned Garfield </w:t>
      </w:r>
      <w:r>
        <w:rPr>
          <w:rFonts w:ascii="Arial" w:cs="Arial" w:eastAsia="Arial" w:hAnsi="Arial"/>
          <w:sz w:val="18"/>
          <w:szCs w:val="18"/>
          <w:i w:val="1"/>
          <w:iCs w:val="1"/>
          <w:color w:val="auto"/>
        </w:rPr>
        <w:t>v. Capnia, Inc., et al</w:t>
      </w:r>
      <w:r>
        <w:rPr>
          <w:rFonts w:ascii="Arial" w:cs="Arial" w:eastAsia="Arial" w:hAnsi="Arial"/>
          <w:sz w:val="18"/>
          <w:szCs w:val="18"/>
          <w:color w:val="auto"/>
        </w:rPr>
        <w:t>, Case No. C17-00284 was filed in Superior Court of the State of California, County of Contra Costa against us and certain of our officers and directors, or the Lawsuit.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 We made certain supplemental disclosures in a Current Report on Form 8-K filed with the SEC on February 28, 2017 in connection with the plaintiff’s agreement to voluntarily dismiss plaintiff’s claims in the Lawsuit. The stipulation of dismissal was approved by the court on April 14, 2017.</w:t>
      </w:r>
    </w:p>
    <w:p>
      <w:pPr>
        <w:spacing w:after="0" w:line="19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A description of factors that could materially affect our business, financial condition, or operating results is included under “Risk Factors” in Item 1A of Part I of our 2017 Annual Report on Form 10-K and is incorporated herein by reference. There have been no material changes to the risk factor disclosure since our 2017 Annual Report on Form 10-K. The risk factors described in our Form 10-K are not the only risks facing our company.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28" w:name="page29"/>
    <w:bookmarkEnd w:id="28"/>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80" w:type="dxa"/>
            <w:vAlign w:val="bottom"/>
            <w:vMerge w:val="restart"/>
          </w:tcPr>
          <w:p>
            <w:pPr>
              <w:ind w:left="1360"/>
              <w:spacing w:after="0"/>
              <w:rPr>
                <w:sz w:val="20"/>
                <w:szCs w:val="20"/>
                <w:color w:val="auto"/>
              </w:rPr>
            </w:pPr>
            <w:r>
              <w:rPr>
                <w:rFonts w:ascii="Arial" w:cs="Arial" w:eastAsia="Arial" w:hAnsi="Arial"/>
                <w:sz w:val="14"/>
                <w:szCs w:val="14"/>
                <w:b w:val="1"/>
                <w:bCs w:val="1"/>
                <w:color w:val="auto"/>
                <w:w w:val="90"/>
              </w:rPr>
              <w:t>Description of Document</w:t>
            </w: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-8890</wp:posOffset>
            </wp:positionV>
            <wp:extent cx="42024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9" w:lineRule="exact"/>
        <w:rPr>
          <w:sz w:val="20"/>
          <w:szCs w:val="20"/>
          <w:color w:val="auto"/>
        </w:rPr>
      </w:pPr>
    </w:p>
    <w:p>
      <w:pPr>
        <w:ind w:left="660" w:right="100" w:hanging="661"/>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r:id="rId47">
        <w:r>
          <w:rPr>
            <w:rFonts w:ascii="Arial" w:cs="Arial" w:eastAsia="Arial" w:hAnsi="Arial"/>
            <w:sz w:val="16"/>
            <w:szCs w:val="16"/>
            <w:u w:val="single" w:color="auto"/>
            <w:color w:val="0000EE"/>
          </w:rPr>
          <w:t>Stock Purchase Agreement, dated as of July 18, 2017, and between Soleno Therapeutics,</w:t>
        </w:r>
      </w:hyperlink>
      <w:r>
        <w:rPr>
          <w:rFonts w:ascii="Arial" w:cs="Arial" w:eastAsia="Arial" w:hAnsi="Arial"/>
          <w:sz w:val="16"/>
          <w:szCs w:val="16"/>
          <w:u w:val="single" w:color="auto"/>
          <w:color w:val="0000EE"/>
        </w:rPr>
        <w:t xml:space="preserve"> </w:t>
      </w:r>
      <w:hyperlink r:id="rId47">
        <w:r>
          <w:rPr>
            <w:rFonts w:ascii="Arial" w:cs="Arial" w:eastAsia="Arial" w:hAnsi="Arial"/>
            <w:sz w:val="16"/>
            <w:szCs w:val="16"/>
            <w:u w:val="single" w:color="auto"/>
            <w:color w:val="0000EE"/>
          </w:rPr>
          <w:t>Inc., a Delaware corporation, and NeoForce Holdings, Inc. a Delaware corporation</w:t>
        </w:r>
      </w:hyperlink>
    </w:p>
    <w:p>
      <w:pPr>
        <w:spacing w:after="0" w:line="16" w:lineRule="exact"/>
        <w:rPr>
          <w:sz w:val="20"/>
          <w:szCs w:val="20"/>
          <w:color w:val="auto"/>
        </w:rPr>
      </w:pPr>
    </w:p>
    <w:p>
      <w:pPr>
        <w:ind w:left="660" w:right="820" w:hanging="661"/>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2.2</w:t>
      </w:r>
      <w:r>
        <w:rPr>
          <w:sz w:val="20"/>
          <w:szCs w:val="20"/>
          <w:color w:val="auto"/>
        </w:rPr>
        <w:tab/>
      </w:r>
      <w:hyperlink r:id="rId48">
        <w:r>
          <w:rPr>
            <w:rFonts w:ascii="Arial" w:cs="Arial" w:eastAsia="Arial" w:hAnsi="Arial"/>
            <w:sz w:val="17"/>
            <w:szCs w:val="17"/>
            <w:u w:val="single" w:color="auto"/>
            <w:color w:val="0000EE"/>
          </w:rPr>
          <w:t>Joint Venture Agreement, dated as of December 4, 2017, by and among Soleno</w:t>
        </w:r>
      </w:hyperlink>
      <w:r>
        <w:rPr>
          <w:rFonts w:ascii="Arial" w:cs="Arial" w:eastAsia="Arial" w:hAnsi="Arial"/>
          <w:sz w:val="17"/>
          <w:szCs w:val="17"/>
          <w:u w:val="single" w:color="auto"/>
          <w:color w:val="0000EE"/>
        </w:rPr>
        <w:t xml:space="preserve"> </w:t>
      </w:r>
      <w:hyperlink r:id="rId48">
        <w:r>
          <w:rPr>
            <w:rFonts w:ascii="Arial" w:cs="Arial" w:eastAsia="Arial" w:hAnsi="Arial"/>
            <w:sz w:val="17"/>
            <w:szCs w:val="17"/>
            <w:u w:val="single" w:color="auto"/>
            <w:color w:val="0000EE"/>
          </w:rPr>
          <w:t>Therapeutics, Inc., Capnia, Inc., and OptAsia Healthcare Limited</w:t>
        </w:r>
      </w:hyperlink>
    </w:p>
    <w:p>
      <w:pPr>
        <w:spacing w:after="0" w:line="38" w:lineRule="exact"/>
        <w:rPr>
          <w:sz w:val="20"/>
          <w:szCs w:val="20"/>
          <w:color w:val="auto"/>
        </w:rPr>
      </w:pPr>
    </w:p>
    <w:p>
      <w:pPr>
        <w:ind w:left="660" w:right="36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r:id="rId49">
        <w:r>
          <w:rPr>
            <w:rFonts w:ascii="Arial" w:cs="Arial" w:eastAsia="Arial" w:hAnsi="Arial"/>
            <w:sz w:val="18"/>
            <w:szCs w:val="18"/>
            <w:u w:val="single" w:color="auto"/>
            <w:color w:val="0000EE"/>
          </w:rPr>
          <w:t>PRC IP Purchase Agreement, dated as of December 4, 2017, by and between OptAsia</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Healthcare Limited and Capnia, Inc.</w:t>
        </w:r>
      </w:hyperlink>
    </w:p>
    <w:p>
      <w:pPr>
        <w:spacing w:after="0" w:line="62" w:lineRule="exact"/>
        <w:rPr>
          <w:sz w:val="20"/>
          <w:szCs w:val="20"/>
          <w:color w:val="auto"/>
        </w:rPr>
      </w:pPr>
    </w:p>
    <w:p>
      <w:pPr>
        <w:ind w:left="660" w:right="180" w:hanging="661"/>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2.4</w:t>
      </w:r>
      <w:r>
        <w:rPr>
          <w:sz w:val="20"/>
          <w:szCs w:val="20"/>
          <w:color w:val="auto"/>
        </w:rPr>
        <w:tab/>
      </w:r>
      <w:hyperlink r:id="rId50">
        <w:r>
          <w:rPr>
            <w:rFonts w:ascii="Arial" w:cs="Arial" w:eastAsia="Arial" w:hAnsi="Arial"/>
            <w:sz w:val="18"/>
            <w:szCs w:val="18"/>
            <w:u w:val="single" w:color="auto"/>
            <w:color w:val="0000EE"/>
          </w:rPr>
          <w:t>Transition Services Agreement, dated as of December 4, 2017, by and among Soleno</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Therapeutics, Inc., a Delaware corporation, Capnia, Inc. and OptAsia Healthcare, Ltd., a</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Hong Kong company</w:t>
        </w:r>
      </w:hyperlink>
    </w:p>
    <w:p>
      <w:pPr>
        <w:spacing w:after="0" w:line="73"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51">
        <w:r>
          <w:rPr>
            <w:rFonts w:ascii="Arial" w:cs="Arial" w:eastAsia="Arial" w:hAnsi="Arial"/>
            <w:sz w:val="16"/>
            <w:szCs w:val="16"/>
            <w:u w:val="single" w:color="auto"/>
            <w:color w:val="0000EE"/>
          </w:rPr>
          <w:t>Amended and Restated Certificate of Incorporation of Soleno Therapeutics, Inc.</w:t>
        </w:r>
      </w:hyperlink>
    </w:p>
    <w:p>
      <w:pPr>
        <w:spacing w:after="0" w:line="117"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52">
        <w:r>
          <w:rPr>
            <w:rFonts w:ascii="Arial" w:cs="Arial" w:eastAsia="Arial" w:hAnsi="Arial"/>
            <w:sz w:val="16"/>
            <w:szCs w:val="16"/>
            <w:u w:val="single" w:color="auto"/>
            <w:color w:val="0000EE"/>
          </w:rPr>
          <w:t>Amended and Restated Bylaws of Soleno Therapeutics, Inc.</w:t>
        </w:r>
      </w:hyperlink>
    </w:p>
    <w:p>
      <w:pPr>
        <w:spacing w:after="0" w:line="117" w:lineRule="exact"/>
        <w:rPr>
          <w:rFonts w:ascii="Arial" w:cs="Arial" w:eastAsia="Arial" w:hAnsi="Arial"/>
          <w:sz w:val="18"/>
          <w:szCs w:val="18"/>
          <w:u w:val="single" w:color="auto"/>
          <w:color w:val="0000EE"/>
        </w:rPr>
      </w:pPr>
    </w:p>
    <w:p>
      <w:pPr>
        <w:ind w:left="660" w:right="12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53">
        <w:r>
          <w:rPr>
            <w:rFonts w:ascii="Arial" w:cs="Arial" w:eastAsia="Arial" w:hAnsi="Arial"/>
            <w:sz w:val="18"/>
            <w:szCs w:val="18"/>
            <w:u w:val="single" w:color="auto"/>
            <w:color w:val="0000EE"/>
          </w:rPr>
          <w:t>Certificate of Designation of Preferences, Rights and Limitations of Series A Convertible</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Preferred Stock.</w:t>
        </w:r>
      </w:hyperlink>
    </w:p>
    <w:p>
      <w:pPr>
        <w:spacing w:after="0" w:line="62" w:lineRule="exact"/>
        <w:rPr>
          <w:sz w:val="20"/>
          <w:szCs w:val="20"/>
          <w:color w:val="auto"/>
        </w:rPr>
      </w:pPr>
    </w:p>
    <w:p>
      <w:pPr>
        <w:ind w:left="660" w:right="12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54">
        <w:r>
          <w:rPr>
            <w:rFonts w:ascii="Arial" w:cs="Arial" w:eastAsia="Arial" w:hAnsi="Arial"/>
            <w:sz w:val="18"/>
            <w:szCs w:val="18"/>
            <w:u w:val="single" w:color="auto"/>
            <w:color w:val="0000EE"/>
          </w:rPr>
          <w:t>Certificate of Designation of Preferences, Rights and Limitations of Series B Convertible</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Preferred Stock</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3.5</w:t>
      </w:r>
      <w:r>
        <w:rPr>
          <w:sz w:val="20"/>
          <w:szCs w:val="20"/>
          <w:color w:val="auto"/>
        </w:rPr>
        <w:tab/>
      </w:r>
      <w:hyperlink r:id="rId55">
        <w:r>
          <w:rPr>
            <w:rFonts w:ascii="Arial" w:cs="Arial" w:eastAsia="Arial" w:hAnsi="Arial"/>
            <w:sz w:val="16"/>
            <w:szCs w:val="16"/>
            <w:u w:val="single" w:color="auto"/>
            <w:color w:val="0000EE"/>
          </w:rPr>
          <w:t>Certificate of Amendment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3.6</w:t>
      </w:r>
      <w:r>
        <w:rPr>
          <w:sz w:val="20"/>
          <w:szCs w:val="20"/>
          <w:color w:val="auto"/>
        </w:rPr>
        <w:tab/>
      </w:r>
      <w:hyperlink r:id="rId56">
        <w:r>
          <w:rPr>
            <w:rFonts w:ascii="Arial" w:cs="Arial" w:eastAsia="Arial" w:hAnsi="Arial"/>
            <w:sz w:val="16"/>
            <w:szCs w:val="16"/>
            <w:u w:val="single" w:color="auto"/>
            <w:color w:val="0000EE"/>
          </w:rPr>
          <w:t>Certificate of Amendment to the Certificate of Incorporation</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57">
        <w:r>
          <w:rPr>
            <w:rFonts w:ascii="Arial" w:cs="Arial" w:eastAsia="Arial" w:hAnsi="Arial"/>
            <w:sz w:val="16"/>
            <w:szCs w:val="16"/>
            <w:u w:val="single" w:color="auto"/>
            <w:color w:val="0000EE"/>
          </w:rPr>
          <w:t>Form of the common stock certificate.</w:t>
        </w:r>
      </w:hyperlink>
    </w:p>
    <w:p>
      <w:pPr>
        <w:spacing w:after="0" w:line="117" w:lineRule="exact"/>
        <w:rPr>
          <w:sz w:val="20"/>
          <w:szCs w:val="20"/>
          <w:color w:val="auto"/>
        </w:rPr>
      </w:pPr>
    </w:p>
    <w:p>
      <w:pPr>
        <w:ind w:left="660" w:right="300" w:hanging="661"/>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58">
        <w:r>
          <w:rPr>
            <w:rFonts w:ascii="Arial" w:cs="Arial" w:eastAsia="Arial" w:hAnsi="Arial"/>
            <w:sz w:val="18"/>
            <w:szCs w:val="18"/>
            <w:u w:val="single" w:color="auto"/>
            <w:color w:val="0000EE"/>
          </w:rPr>
          <w:t>Amended And Restated Investors’ Rights Agreement, dated March 20, 2008, by and</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among Soleno Therapeutics, Inc. and certain holders of the Soleno Therapeutics, Inc.’s</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capital stock named therein.</w:t>
        </w:r>
      </w:hyperlink>
    </w:p>
    <w:p>
      <w:pPr>
        <w:spacing w:after="0" w:line="73"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59">
        <w:r>
          <w:rPr>
            <w:rFonts w:ascii="Arial" w:cs="Arial" w:eastAsia="Arial" w:hAnsi="Arial"/>
            <w:sz w:val="16"/>
            <w:szCs w:val="16"/>
            <w:u w:val="single" w:color="auto"/>
            <w:color w:val="0000EE"/>
          </w:rPr>
          <w:t>Form of Series A Warrant Agreement.</w:t>
        </w:r>
      </w:hyperlink>
    </w:p>
    <w:p>
      <w:pPr>
        <w:spacing w:after="0" w:line="117"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60">
        <w:r>
          <w:rPr>
            <w:rFonts w:ascii="Arial" w:cs="Arial" w:eastAsia="Arial" w:hAnsi="Arial"/>
            <w:sz w:val="16"/>
            <w:szCs w:val="16"/>
            <w:u w:val="single" w:color="auto"/>
            <w:color w:val="0000EE"/>
          </w:rPr>
          <w:t>Form of the Series A Warrant certificate.</w:t>
        </w:r>
      </w:hyperlink>
    </w:p>
    <w:p>
      <w:pPr>
        <w:spacing w:after="0" w:line="117"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61">
        <w:r>
          <w:rPr>
            <w:rFonts w:ascii="Arial" w:cs="Arial" w:eastAsia="Arial" w:hAnsi="Arial"/>
            <w:sz w:val="16"/>
            <w:szCs w:val="16"/>
            <w:u w:val="single" w:color="auto"/>
            <w:color w:val="0000EE"/>
          </w:rPr>
          <w:t>Form of Underwriters’ Compensation Warrant.</w:t>
        </w:r>
      </w:hyperlink>
    </w:p>
    <w:p>
      <w:pPr>
        <w:spacing w:after="0" w:line="117" w:lineRule="exact"/>
        <w:rPr>
          <w:rFonts w:ascii="Arial" w:cs="Arial" w:eastAsia="Arial" w:hAnsi="Arial"/>
          <w:sz w:val="18"/>
          <w:szCs w:val="18"/>
          <w:u w:val="single" w:color="auto"/>
          <w:color w:val="0000EE"/>
        </w:rPr>
      </w:pPr>
    </w:p>
    <w:p>
      <w:pPr>
        <w:ind w:left="660" w:right="62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62">
        <w:r>
          <w:rPr>
            <w:rFonts w:ascii="Arial" w:cs="Arial" w:eastAsia="Arial" w:hAnsi="Arial"/>
            <w:sz w:val="18"/>
            <w:szCs w:val="18"/>
            <w:u w:val="single" w:color="auto"/>
            <w:color w:val="0000EE"/>
          </w:rPr>
          <w:t>Form of Convertible Promissory Note issued in February 2010 and March 2010 in</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connection with the 2010 convertible note financing.</w:t>
        </w:r>
      </w:hyperlink>
    </w:p>
    <w:p>
      <w:pPr>
        <w:spacing w:after="0" w:line="62" w:lineRule="exact"/>
        <w:rPr>
          <w:sz w:val="20"/>
          <w:szCs w:val="20"/>
          <w:color w:val="auto"/>
        </w:rPr>
      </w:pPr>
    </w:p>
    <w:p>
      <w:pPr>
        <w:ind w:left="660" w:right="76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63">
        <w:r>
          <w:rPr>
            <w:rFonts w:ascii="Arial" w:cs="Arial" w:eastAsia="Arial" w:hAnsi="Arial"/>
            <w:sz w:val="18"/>
            <w:szCs w:val="18"/>
            <w:u w:val="single" w:color="auto"/>
            <w:color w:val="0000EE"/>
          </w:rPr>
          <w:t>Form of Warrant to Purchase Shares issued in February 2010 and March 2010 in</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connection with the 2010 convertible note financing.</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64">
        <w:r>
          <w:rPr>
            <w:rFonts w:ascii="Arial" w:cs="Arial" w:eastAsia="Arial" w:hAnsi="Arial"/>
            <w:sz w:val="16"/>
            <w:szCs w:val="16"/>
            <w:u w:val="single" w:color="auto"/>
            <w:color w:val="0000EE"/>
          </w:rPr>
          <w:t>Form of Convertible Promissory Note issued in November 2010 in connection with the</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2010 convertible note financing.</w:t>
        </w:r>
      </w:hyperlink>
    </w:p>
    <w:p>
      <w:pPr>
        <w:spacing w:after="0" w:line="103" w:lineRule="exact"/>
        <w:rPr>
          <w:sz w:val="20"/>
          <w:szCs w:val="20"/>
          <w:color w:val="auto"/>
        </w:rPr>
      </w:pPr>
    </w:p>
    <w:p>
      <w:pPr>
        <w:ind w:left="66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65">
        <w:r>
          <w:rPr>
            <w:rFonts w:ascii="Arial" w:cs="Arial" w:eastAsia="Arial" w:hAnsi="Arial"/>
            <w:sz w:val="18"/>
            <w:szCs w:val="18"/>
            <w:u w:val="single" w:color="auto"/>
            <w:color w:val="0000EE"/>
          </w:rPr>
          <w:t>Form of Warrant to Purchase Shares issued in November 2010 in connection with the 2010</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convertible note financing.</w:t>
        </w:r>
      </w:hyperlink>
    </w:p>
    <w:p>
      <w:pPr>
        <w:spacing w:after="0" w:line="62" w:lineRule="exact"/>
        <w:rPr>
          <w:sz w:val="20"/>
          <w:szCs w:val="20"/>
          <w:color w:val="auto"/>
        </w:rPr>
      </w:pPr>
    </w:p>
    <w:p>
      <w:pPr>
        <w:ind w:left="660" w:right="6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66">
        <w:r>
          <w:rPr>
            <w:rFonts w:ascii="Arial" w:cs="Arial" w:eastAsia="Arial" w:hAnsi="Arial"/>
            <w:sz w:val="18"/>
            <w:szCs w:val="18"/>
            <w:u w:val="single" w:color="auto"/>
            <w:color w:val="0000EE"/>
          </w:rPr>
          <w:t>Form of Convertible Promissory Note issued in January 2012 in connection with the 2012</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convertible note financing.</w:t>
        </w:r>
      </w:hyperlink>
    </w:p>
    <w:p>
      <w:pPr>
        <w:spacing w:after="0" w:line="62" w:lineRule="exact"/>
        <w:rPr>
          <w:sz w:val="20"/>
          <w:szCs w:val="20"/>
          <w:color w:val="auto"/>
        </w:rPr>
      </w:pPr>
    </w:p>
    <w:p>
      <w:pPr>
        <w:ind w:left="660" w:right="32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67">
        <w:r>
          <w:rPr>
            <w:rFonts w:ascii="Arial" w:cs="Arial" w:eastAsia="Arial" w:hAnsi="Arial"/>
            <w:sz w:val="18"/>
            <w:szCs w:val="18"/>
            <w:u w:val="single" w:color="auto"/>
            <w:color w:val="0000EE"/>
          </w:rPr>
          <w:t>Form of Warrant to Purchase Shares issued in January 2012 in connection with Soleno</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Therapeutics, Inc.’s 2012 convertible note financing.</w:t>
        </w:r>
      </w:hyperlink>
    </w:p>
    <w:p>
      <w:pPr>
        <w:spacing w:after="0" w:line="62" w:lineRule="exact"/>
        <w:rPr>
          <w:sz w:val="20"/>
          <w:szCs w:val="20"/>
          <w:color w:val="auto"/>
        </w:rPr>
      </w:pPr>
    </w:p>
    <w:p>
      <w:pPr>
        <w:ind w:left="660" w:right="8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68">
        <w:r>
          <w:rPr>
            <w:rFonts w:ascii="Arial" w:cs="Arial" w:eastAsia="Arial" w:hAnsi="Arial"/>
            <w:sz w:val="18"/>
            <w:szCs w:val="18"/>
            <w:u w:val="single" w:color="auto"/>
            <w:color w:val="0000EE"/>
          </w:rPr>
          <w:t>Form of Convertible Promissory Note issued in July 2012 and August 2012 in connection</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with the 2012 convertible note financing.</w:t>
        </w:r>
      </w:hyperlink>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Borders>
              <w:top w:val="single" w:sz="8" w:color="auto"/>
            </w:tcBorders>
          </w:tcPr>
          <w:p>
            <w:pPr>
              <w:ind w:left="540"/>
              <w:spacing w:after="0" w:line="119" w:lineRule="exact"/>
              <w:rPr>
                <w:sz w:val="20"/>
                <w:szCs w:val="20"/>
                <w:color w:val="auto"/>
              </w:rPr>
            </w:pPr>
            <w:r>
              <w:rPr>
                <w:rFonts w:ascii="Arial" w:cs="Arial" w:eastAsia="Arial" w:hAnsi="Arial"/>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85"/>
        </w:trPr>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52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24, 2017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8, 2017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8, 2017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56"/>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8, 2017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7,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May 11, 2017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6, 2017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56"/>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2">
            <w:col w:w="7220" w:space="180"/>
            <w:col w:w="4020"/>
          </w:cols>
          <w:pgMar w:left="240" w:top="270" w:right="239" w:bottom="1440" w:gutter="0" w:footer="0" w:header="0"/>
        </w:sectPr>
      </w:pPr>
    </w:p>
    <w:bookmarkStart w:id="29" w:name="page30"/>
    <w:bookmarkEnd w:id="29"/>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80" w:type="dxa"/>
            <w:vAlign w:val="bottom"/>
            <w:vMerge w:val="restart"/>
          </w:tcPr>
          <w:p>
            <w:pPr>
              <w:ind w:left="1360"/>
              <w:spacing w:after="0"/>
              <w:rPr>
                <w:sz w:val="20"/>
                <w:szCs w:val="20"/>
                <w:color w:val="auto"/>
              </w:rPr>
            </w:pPr>
            <w:r>
              <w:rPr>
                <w:rFonts w:ascii="Arial" w:cs="Arial" w:eastAsia="Arial" w:hAnsi="Arial"/>
                <w:sz w:val="14"/>
                <w:szCs w:val="14"/>
                <w:b w:val="1"/>
                <w:bCs w:val="1"/>
                <w:color w:val="auto"/>
                <w:w w:val="90"/>
              </w:rPr>
              <w:t>Description of Document</w:t>
            </w: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-8890</wp:posOffset>
            </wp:positionV>
            <wp:extent cx="42024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9" w:lineRule="exact"/>
        <w:rPr>
          <w:sz w:val="20"/>
          <w:szCs w:val="20"/>
          <w:color w:val="auto"/>
        </w:rPr>
      </w:pPr>
    </w:p>
    <w:p>
      <w:pPr>
        <w:ind w:left="660" w:right="20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71">
        <w:r>
          <w:rPr>
            <w:rFonts w:ascii="Arial" w:cs="Arial" w:eastAsia="Arial" w:hAnsi="Arial"/>
            <w:sz w:val="18"/>
            <w:szCs w:val="18"/>
            <w:u w:val="single" w:color="auto"/>
            <w:color w:val="0000EE"/>
          </w:rPr>
          <w:t>Form of Warrant to Purchase Shares issued in July 2012 and August 2012 in connection</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with the 2012 convertible note financing.</w:t>
        </w:r>
      </w:hyperlink>
    </w:p>
    <w:p>
      <w:pPr>
        <w:spacing w:after="0" w:line="62" w:lineRule="exact"/>
        <w:rPr>
          <w:sz w:val="20"/>
          <w:szCs w:val="20"/>
          <w:color w:val="auto"/>
        </w:rPr>
      </w:pPr>
    </w:p>
    <w:p>
      <w:pPr>
        <w:ind w:left="660" w:right="56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72">
        <w:r>
          <w:rPr>
            <w:rFonts w:ascii="Arial" w:cs="Arial" w:eastAsia="Arial" w:hAnsi="Arial"/>
            <w:sz w:val="18"/>
            <w:szCs w:val="18"/>
            <w:u w:val="single" w:color="auto"/>
            <w:color w:val="0000EE"/>
          </w:rPr>
          <w:t>Form of Convertible Promissory Note issued in April, August and October 2014 in</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connection with the 2014 convertible note financing.</w:t>
        </w:r>
      </w:hyperlink>
    </w:p>
    <w:p>
      <w:pPr>
        <w:spacing w:after="0" w:line="62" w:lineRule="exact"/>
        <w:rPr>
          <w:sz w:val="20"/>
          <w:szCs w:val="20"/>
          <w:color w:val="auto"/>
        </w:rPr>
      </w:pPr>
    </w:p>
    <w:p>
      <w:pPr>
        <w:ind w:left="660" w:right="68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73">
        <w:r>
          <w:rPr>
            <w:rFonts w:ascii="Arial" w:cs="Arial" w:eastAsia="Arial" w:hAnsi="Arial"/>
            <w:sz w:val="18"/>
            <w:szCs w:val="18"/>
            <w:u w:val="single" w:color="auto"/>
            <w:color w:val="0000EE"/>
          </w:rPr>
          <w:t>Form of Warrant to Purchase Shares issued in April, August and October 2014 in</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connection with the 2014 convertible note financing.</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4.16</w:t>
      </w:r>
      <w:r>
        <w:rPr>
          <w:sz w:val="20"/>
          <w:szCs w:val="20"/>
          <w:color w:val="auto"/>
        </w:rPr>
        <w:tab/>
      </w:r>
      <w:hyperlink r:id="rId74">
        <w:r>
          <w:rPr>
            <w:rFonts w:ascii="Arial" w:cs="Arial" w:eastAsia="Arial" w:hAnsi="Arial"/>
            <w:sz w:val="16"/>
            <w:szCs w:val="16"/>
            <w:u w:val="single" w:color="auto"/>
            <w:color w:val="0000EE"/>
          </w:rPr>
          <w:t>Form of unit certificate.</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4.17</w:t>
      </w:r>
      <w:r>
        <w:rPr>
          <w:sz w:val="20"/>
          <w:szCs w:val="20"/>
          <w:color w:val="auto"/>
        </w:rPr>
        <w:tab/>
      </w:r>
      <w:hyperlink r:id="rId75">
        <w:r>
          <w:rPr>
            <w:rFonts w:ascii="Arial" w:cs="Arial" w:eastAsia="Arial" w:hAnsi="Arial"/>
            <w:sz w:val="16"/>
            <w:szCs w:val="16"/>
            <w:u w:val="single" w:color="auto"/>
            <w:color w:val="0000EE"/>
          </w:rPr>
          <w:t>Form of Series B Warrant Agreement.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4.18</w:t>
      </w:r>
      <w:r>
        <w:rPr>
          <w:sz w:val="20"/>
          <w:szCs w:val="20"/>
          <w:color w:val="auto"/>
        </w:rPr>
        <w:tab/>
      </w:r>
      <w:hyperlink r:id="rId76">
        <w:r>
          <w:rPr>
            <w:rFonts w:ascii="Arial" w:cs="Arial" w:eastAsia="Arial" w:hAnsi="Arial"/>
            <w:sz w:val="16"/>
            <w:szCs w:val="16"/>
            <w:u w:val="single" w:color="auto"/>
            <w:color w:val="0000EE"/>
          </w:rPr>
          <w:t>Form of the Series B Warrant certificate.</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4.19</w:t>
      </w:r>
      <w:r>
        <w:rPr>
          <w:sz w:val="20"/>
          <w:szCs w:val="20"/>
          <w:color w:val="auto"/>
        </w:rPr>
        <w:tab/>
      </w:r>
      <w:hyperlink r:id="rId77">
        <w:r>
          <w:rPr>
            <w:rFonts w:ascii="Arial" w:cs="Arial" w:eastAsia="Arial" w:hAnsi="Arial"/>
            <w:sz w:val="16"/>
            <w:szCs w:val="16"/>
            <w:u w:val="single" w:color="auto"/>
            <w:color w:val="0000EE"/>
          </w:rPr>
          <w:t>Form of the Series C Warrant Agreement.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4.20</w:t>
      </w:r>
      <w:r>
        <w:rPr>
          <w:sz w:val="20"/>
          <w:szCs w:val="20"/>
          <w:color w:val="auto"/>
        </w:rPr>
        <w:tab/>
      </w:r>
      <w:hyperlink r:id="rId78">
        <w:r>
          <w:rPr>
            <w:rFonts w:ascii="Arial" w:cs="Arial" w:eastAsia="Arial" w:hAnsi="Arial"/>
            <w:sz w:val="16"/>
            <w:szCs w:val="16"/>
            <w:u w:val="single" w:color="auto"/>
            <w:color w:val="0000EE"/>
          </w:rPr>
          <w:t>Form of the Series C Warrant certificate.</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4.21</w:t>
      </w:r>
      <w:r>
        <w:rPr>
          <w:sz w:val="20"/>
          <w:szCs w:val="20"/>
          <w:color w:val="auto"/>
        </w:rPr>
        <w:tab/>
      </w:r>
      <w:hyperlink r:id="rId79">
        <w:r>
          <w:rPr>
            <w:rFonts w:ascii="Arial" w:cs="Arial" w:eastAsia="Arial" w:hAnsi="Arial"/>
            <w:sz w:val="16"/>
            <w:szCs w:val="16"/>
            <w:u w:val="single" w:color="auto"/>
            <w:color w:val="0000EE"/>
          </w:rPr>
          <w:t>Form of Series D Common Stock Purchase Warrant.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4.22</w:t>
      </w:r>
      <w:r>
        <w:rPr>
          <w:sz w:val="20"/>
          <w:szCs w:val="20"/>
          <w:color w:val="auto"/>
        </w:rPr>
        <w:tab/>
      </w:r>
      <w:hyperlink r:id="rId80">
        <w:r>
          <w:rPr>
            <w:rFonts w:ascii="Arial" w:cs="Arial" w:eastAsia="Arial" w:hAnsi="Arial"/>
            <w:sz w:val="16"/>
            <w:szCs w:val="16"/>
            <w:u w:val="single" w:color="auto"/>
            <w:color w:val="0000EE"/>
          </w:rPr>
          <w:t>Form of Placement Agent Warrant.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4.23</w:t>
      </w:r>
      <w:r>
        <w:rPr>
          <w:sz w:val="20"/>
          <w:szCs w:val="20"/>
          <w:color w:val="auto"/>
        </w:rPr>
        <w:tab/>
      </w:r>
      <w:hyperlink r:id="rId81">
        <w:r>
          <w:rPr>
            <w:rFonts w:ascii="Arial" w:cs="Arial" w:eastAsia="Arial" w:hAnsi="Arial"/>
            <w:sz w:val="16"/>
            <w:szCs w:val="16"/>
            <w:u w:val="single" w:color="auto"/>
            <w:color w:val="0000EE"/>
          </w:rPr>
          <w:t>Form of Series D common stock Warrant Certificate.</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4.24</w:t>
      </w:r>
      <w:r>
        <w:rPr>
          <w:sz w:val="20"/>
          <w:szCs w:val="20"/>
          <w:color w:val="auto"/>
        </w:rPr>
        <w:tab/>
      </w:r>
      <w:hyperlink r:id="rId82">
        <w:r>
          <w:rPr>
            <w:rFonts w:ascii="Arial" w:cs="Arial" w:eastAsia="Arial" w:hAnsi="Arial"/>
            <w:sz w:val="16"/>
            <w:szCs w:val="16"/>
            <w:u w:val="single" w:color="auto"/>
            <w:color w:val="0000EE"/>
          </w:rPr>
          <w:t>Form of Series A Convertible Preferred Stock Certificate.</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4.25</w:t>
      </w:r>
      <w:r>
        <w:rPr>
          <w:sz w:val="20"/>
          <w:szCs w:val="20"/>
          <w:color w:val="auto"/>
        </w:rPr>
        <w:tab/>
      </w:r>
      <w:hyperlink r:id="rId83">
        <w:r>
          <w:rPr>
            <w:rFonts w:ascii="Arial" w:cs="Arial" w:eastAsia="Arial" w:hAnsi="Arial"/>
            <w:sz w:val="16"/>
            <w:szCs w:val="16"/>
            <w:u w:val="single" w:color="auto"/>
            <w:color w:val="0000EE"/>
          </w:rPr>
          <w:t>Form of Placement Agent Warrant.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4.26</w:t>
      </w:r>
      <w:r>
        <w:rPr>
          <w:sz w:val="20"/>
          <w:szCs w:val="20"/>
          <w:color w:val="auto"/>
        </w:rPr>
        <w:tab/>
      </w:r>
      <w:hyperlink r:id="rId84">
        <w:r>
          <w:rPr>
            <w:rFonts w:ascii="Arial" w:cs="Arial" w:eastAsia="Arial" w:hAnsi="Arial"/>
            <w:sz w:val="16"/>
            <w:szCs w:val="16"/>
            <w:u w:val="single" w:color="auto"/>
            <w:color w:val="0000EE"/>
          </w:rPr>
          <w:t>Form of Series B Convertible Preferred Stock Certificate.</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4.27</w:t>
      </w:r>
      <w:r>
        <w:rPr>
          <w:sz w:val="20"/>
          <w:szCs w:val="20"/>
          <w:color w:val="auto"/>
        </w:rPr>
        <w:tab/>
      </w:r>
      <w:hyperlink r:id="rId85">
        <w:r>
          <w:rPr>
            <w:rFonts w:ascii="Arial" w:cs="Arial" w:eastAsia="Arial" w:hAnsi="Arial"/>
            <w:sz w:val="16"/>
            <w:szCs w:val="16"/>
            <w:u w:val="single" w:color="auto"/>
            <w:color w:val="0000EE"/>
          </w:rPr>
          <w:t>Form of Common Stock Purchase Warrant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9.10</w:t>
      </w:r>
      <w:r>
        <w:rPr>
          <w:sz w:val="20"/>
          <w:szCs w:val="20"/>
          <w:color w:val="auto"/>
        </w:rPr>
        <w:tab/>
      </w:r>
      <w:hyperlink r:id="rId86">
        <w:r>
          <w:rPr>
            <w:rFonts w:ascii="Arial" w:cs="Arial" w:eastAsia="Arial" w:hAnsi="Arial"/>
            <w:sz w:val="16"/>
            <w:szCs w:val="16"/>
            <w:u w:val="single" w:color="auto"/>
            <w:color w:val="0000EE"/>
          </w:rPr>
          <w:t>Form of Voting Agreement.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9.20</w:t>
      </w:r>
      <w:r>
        <w:rPr>
          <w:sz w:val="20"/>
          <w:szCs w:val="20"/>
          <w:color w:val="auto"/>
        </w:rPr>
        <w:tab/>
      </w:r>
      <w:hyperlink r:id="rId87">
        <w:r>
          <w:rPr>
            <w:rFonts w:ascii="Arial" w:cs="Arial" w:eastAsia="Arial" w:hAnsi="Arial"/>
            <w:sz w:val="16"/>
            <w:szCs w:val="16"/>
            <w:u w:val="single" w:color="auto"/>
            <w:color w:val="0000EE"/>
          </w:rPr>
          <w:t>Form of Voting Agreement.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9.30</w:t>
      </w:r>
      <w:r>
        <w:rPr>
          <w:sz w:val="20"/>
          <w:szCs w:val="20"/>
          <w:color w:val="auto"/>
        </w:rPr>
        <w:tab/>
      </w:r>
      <w:hyperlink r:id="rId88">
        <w:r>
          <w:rPr>
            <w:rFonts w:ascii="Arial" w:cs="Arial" w:eastAsia="Arial" w:hAnsi="Arial"/>
            <w:sz w:val="16"/>
            <w:szCs w:val="16"/>
            <w:u w:val="single" w:color="auto"/>
            <w:color w:val="0000EE"/>
          </w:rPr>
          <w:t>Form of Voting Agreement.</w:t>
        </w:r>
      </w:hyperlink>
    </w:p>
    <w:p>
      <w:pPr>
        <w:spacing w:after="0" w:line="117" w:lineRule="exact"/>
        <w:rPr>
          <w:sz w:val="20"/>
          <w:szCs w:val="20"/>
          <w:color w:val="auto"/>
        </w:rPr>
      </w:pPr>
    </w:p>
    <w:p>
      <w:pPr>
        <w:ind w:left="660" w:right="14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89">
        <w:r>
          <w:rPr>
            <w:rFonts w:ascii="Arial" w:cs="Arial" w:eastAsia="Arial" w:hAnsi="Arial"/>
            <w:sz w:val="18"/>
            <w:szCs w:val="18"/>
            <w:u w:val="single" w:color="auto"/>
            <w:color w:val="0000EE"/>
          </w:rPr>
          <w:t>Form of Indemnification Agreement between the Registrant and each of its directors and</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executive officers.</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90">
        <w:r>
          <w:rPr>
            <w:rFonts w:ascii="Arial" w:cs="Arial" w:eastAsia="Arial" w:hAnsi="Arial"/>
            <w:sz w:val="16"/>
            <w:szCs w:val="16"/>
            <w:u w:val="single" w:color="auto"/>
            <w:color w:val="0000EE"/>
          </w:rPr>
          <w:t>1999 Incentive Stock Plan and forms of agreements thereunder.</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91">
        <w:r>
          <w:rPr>
            <w:rFonts w:ascii="Arial" w:cs="Arial" w:eastAsia="Arial" w:hAnsi="Arial"/>
            <w:sz w:val="16"/>
            <w:szCs w:val="16"/>
            <w:u w:val="single" w:color="auto"/>
            <w:color w:val="0000EE"/>
          </w:rPr>
          <w:t>2010 Equity Incentive Plan and forms of agreements thereunder.</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92">
        <w:r>
          <w:rPr>
            <w:rFonts w:ascii="Arial" w:cs="Arial" w:eastAsia="Arial" w:hAnsi="Arial"/>
            <w:sz w:val="16"/>
            <w:szCs w:val="16"/>
            <w:u w:val="single" w:color="auto"/>
            <w:color w:val="0000EE"/>
          </w:rPr>
          <w:t>2014 Equity Incentive Plan and forms of agreements thereunder.</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93">
        <w:r>
          <w:rPr>
            <w:rFonts w:ascii="Arial" w:cs="Arial" w:eastAsia="Arial" w:hAnsi="Arial"/>
            <w:sz w:val="16"/>
            <w:szCs w:val="16"/>
            <w:u w:val="single" w:color="auto"/>
            <w:color w:val="0000EE"/>
          </w:rPr>
          <w:t>2014 Employee Stock Purchase Plan and forms of agreements thereunder.</w:t>
        </w:r>
      </w:hyperlink>
    </w:p>
    <w:p>
      <w:pPr>
        <w:spacing w:after="0" w:line="117" w:lineRule="exact"/>
        <w:rPr>
          <w:sz w:val="20"/>
          <w:szCs w:val="20"/>
          <w:color w:val="auto"/>
        </w:rPr>
      </w:pPr>
    </w:p>
    <w:p>
      <w:pPr>
        <w:ind w:left="660" w:right="24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94">
        <w:r>
          <w:rPr>
            <w:rFonts w:ascii="Arial" w:cs="Arial" w:eastAsia="Arial" w:hAnsi="Arial"/>
            <w:sz w:val="18"/>
            <w:szCs w:val="18"/>
            <w:u w:val="single" w:color="auto"/>
            <w:color w:val="0000EE"/>
          </w:rPr>
          <w:t>Offer Letter, dated June 22, 2007, by and between Soleno Therapeutics, Inc. and Ernest</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Mario, Ph.D.</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95">
        <w:r>
          <w:rPr>
            <w:rFonts w:ascii="Arial" w:cs="Arial" w:eastAsia="Arial" w:hAnsi="Arial"/>
            <w:sz w:val="16"/>
            <w:szCs w:val="16"/>
            <w:u w:val="single" w:color="auto"/>
            <w:color w:val="0000EE"/>
          </w:rPr>
          <w:t>Employment Agreement, dated April 6, 2010, by and between Soleno Therapeutics, Inc.</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and Anish Bhatnagar.</w:t>
        </w:r>
      </w:hyperlink>
    </w:p>
    <w:p>
      <w:pPr>
        <w:spacing w:after="0" w:line="103" w:lineRule="exact"/>
        <w:rPr>
          <w:sz w:val="20"/>
          <w:szCs w:val="20"/>
          <w:color w:val="auto"/>
        </w:rPr>
      </w:pPr>
    </w:p>
    <w:p>
      <w:pPr>
        <w:ind w:left="660" w:right="60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96">
        <w:r>
          <w:rPr>
            <w:rFonts w:ascii="Arial" w:cs="Arial" w:eastAsia="Arial" w:hAnsi="Arial"/>
            <w:sz w:val="18"/>
            <w:szCs w:val="18"/>
            <w:u w:val="single" w:color="auto"/>
            <w:color w:val="0000EE"/>
          </w:rPr>
          <w:t>Offer Letter, dated May 29, 2013, between Soleno Therapeutics, Inc. and Anthony</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Wondka.</w:t>
        </w:r>
      </w:hyperlink>
    </w:p>
    <w:p>
      <w:pPr>
        <w:spacing w:after="0" w:line="62" w:lineRule="exact"/>
        <w:rPr>
          <w:sz w:val="20"/>
          <w:szCs w:val="20"/>
          <w:color w:val="auto"/>
        </w:rPr>
      </w:pPr>
    </w:p>
    <w:p>
      <w:pPr>
        <w:ind w:left="660" w:right="10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97">
        <w:r>
          <w:rPr>
            <w:rFonts w:ascii="Arial" w:cs="Arial" w:eastAsia="Arial" w:hAnsi="Arial"/>
            <w:sz w:val="18"/>
            <w:szCs w:val="18"/>
            <w:u w:val="single" w:color="auto"/>
            <w:color w:val="0000EE"/>
          </w:rPr>
          <w:t>Offer Letter, dated April 17, 2014, by and between Soleno Therapeutics, Inc. and Antoun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Nabhan.</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98">
        <w:r>
          <w:rPr>
            <w:rFonts w:ascii="Arial" w:cs="Arial" w:eastAsia="Arial" w:hAnsi="Arial"/>
            <w:sz w:val="16"/>
            <w:szCs w:val="16"/>
            <w:u w:val="single" w:color="auto"/>
            <w:color w:val="0000EE"/>
          </w:rPr>
          <w:t>Asset Purchase Agreement dated May 11, 2010, by and between Soleno Therapeutics, Inc.</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and BioMedical Drug Development Inc.</w:t>
        </w:r>
      </w:hyperlink>
    </w:p>
    <w:p>
      <w:pPr>
        <w:spacing w:after="0" w:line="103" w:lineRule="exact"/>
        <w:rPr>
          <w:sz w:val="20"/>
          <w:szCs w:val="20"/>
          <w:color w:val="auto"/>
        </w:rPr>
      </w:pPr>
    </w:p>
    <w:p>
      <w:pPr>
        <w:ind w:left="660" w:right="360" w:hanging="661"/>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10.11</w:t>
      </w:r>
      <w:r>
        <w:rPr>
          <w:sz w:val="20"/>
          <w:szCs w:val="20"/>
          <w:color w:val="auto"/>
        </w:rPr>
        <w:tab/>
      </w:r>
      <w:hyperlink r:id="rId99">
        <w:r>
          <w:rPr>
            <w:rFonts w:ascii="Arial" w:cs="Arial" w:eastAsia="Arial" w:hAnsi="Arial"/>
            <w:sz w:val="17"/>
            <w:szCs w:val="17"/>
            <w:u w:val="single" w:color="auto"/>
            <w:color w:val="0000EE"/>
          </w:rPr>
          <w:t>Convertible Note and Warrant Purchase Agreement, dated February 10, 2010, by and</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among Soleno Therapeutics, Inc. and the investors named therein.</w:t>
        </w:r>
      </w:hyperlink>
    </w:p>
    <w:p>
      <w:pPr>
        <w:spacing w:after="0" w:line="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Borders>
              <w:top w:val="single" w:sz="8" w:color="auto"/>
            </w:tcBorders>
          </w:tcPr>
          <w:p>
            <w:pPr>
              <w:ind w:left="540"/>
              <w:spacing w:after="0" w:line="119" w:lineRule="exact"/>
              <w:rPr>
                <w:sz w:val="20"/>
                <w:szCs w:val="20"/>
                <w:color w:val="auto"/>
              </w:rPr>
            </w:pPr>
            <w:r>
              <w:rPr>
                <w:rFonts w:ascii="Arial" w:cs="Arial" w:eastAsia="Arial" w:hAnsi="Arial"/>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85"/>
        </w:trPr>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52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November 4,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November 4,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S-4</w:t>
            </w:r>
          </w:p>
        </w:tc>
        <w:tc>
          <w:tcPr>
            <w:tcW w:w="1700" w:type="dxa"/>
            <w:vAlign w:val="bottom"/>
          </w:tcPr>
          <w:p>
            <w:pPr>
              <w:spacing w:after="0"/>
              <w:rPr>
                <w:sz w:val="20"/>
                <w:szCs w:val="20"/>
                <w:color w:val="auto"/>
              </w:rPr>
            </w:pPr>
            <w:r>
              <w:rPr>
                <w:rFonts w:ascii="Arial" w:cs="Arial" w:eastAsia="Arial" w:hAnsi="Arial"/>
                <w:sz w:val="18"/>
                <w:szCs w:val="18"/>
                <w:color w:val="auto"/>
              </w:rPr>
              <w:t>April 1,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S-4</w:t>
            </w:r>
          </w:p>
        </w:tc>
        <w:tc>
          <w:tcPr>
            <w:tcW w:w="1700" w:type="dxa"/>
            <w:vAlign w:val="bottom"/>
          </w:tcPr>
          <w:p>
            <w:pPr>
              <w:spacing w:after="0"/>
              <w:rPr>
                <w:sz w:val="20"/>
                <w:szCs w:val="20"/>
                <w:color w:val="auto"/>
              </w:rPr>
            </w:pPr>
            <w:r>
              <w:rPr>
                <w:rFonts w:ascii="Arial" w:cs="Arial" w:eastAsia="Arial" w:hAnsi="Arial"/>
                <w:sz w:val="18"/>
                <w:szCs w:val="18"/>
                <w:color w:val="auto"/>
              </w:rPr>
              <w:t>April 1,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13, 2017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27, 2016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2">
            <w:col w:w="7200" w:space="200"/>
            <w:col w:w="4020"/>
          </w:cols>
          <w:pgMar w:left="240" w:top="265" w:right="239" w:bottom="1440" w:gutter="0" w:footer="0" w:header="0"/>
        </w:sectPr>
      </w:pPr>
    </w:p>
    <w:bookmarkStart w:id="30" w:name="page31"/>
    <w:bookmarkEnd w:id="30"/>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80" w:type="dxa"/>
            <w:vAlign w:val="bottom"/>
            <w:vMerge w:val="restart"/>
          </w:tcPr>
          <w:p>
            <w:pPr>
              <w:ind w:left="1360"/>
              <w:spacing w:after="0"/>
              <w:rPr>
                <w:sz w:val="20"/>
                <w:szCs w:val="20"/>
                <w:color w:val="auto"/>
              </w:rPr>
            </w:pPr>
            <w:r>
              <w:rPr>
                <w:rFonts w:ascii="Arial" w:cs="Arial" w:eastAsia="Arial" w:hAnsi="Arial"/>
                <w:sz w:val="14"/>
                <w:szCs w:val="14"/>
                <w:b w:val="1"/>
                <w:bCs w:val="1"/>
                <w:color w:val="auto"/>
                <w:w w:val="90"/>
              </w:rPr>
              <w:t>Description of Document</w:t>
            </w: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-8890</wp:posOffset>
            </wp:positionV>
            <wp:extent cx="42024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2" w:lineRule="exact"/>
        <w:rPr>
          <w:sz w:val="20"/>
          <w:szCs w:val="20"/>
          <w:color w:val="auto"/>
        </w:rPr>
      </w:pPr>
    </w:p>
    <w:p>
      <w:pPr>
        <w:jc w:val="both"/>
        <w:ind w:left="660" w:right="360" w:hanging="661"/>
        <w:spacing w:after="0" w:line="31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02">
        <w:r>
          <w:rPr>
            <w:rFonts w:ascii="Arial" w:cs="Arial" w:eastAsia="Arial" w:hAnsi="Arial"/>
            <w:sz w:val="16"/>
            <w:szCs w:val="16"/>
            <w:u w:val="single" w:color="auto"/>
            <w:color w:val="0000EE"/>
          </w:rPr>
          <w:t>Amendment No. 1 to Convertible Note and Warrant Purchase Agreement, Convertible</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Promissory Notes and Warrants to Purchase Shares, dated November 10, 2010, by and</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among Soleno Therapeutics, Inc. and the investors named therein.</w:t>
        </w:r>
      </w:hyperlink>
    </w:p>
    <w:p>
      <w:pPr>
        <w:spacing w:after="0" w:line="12" w:lineRule="exact"/>
        <w:rPr>
          <w:rFonts w:ascii="Arial" w:cs="Arial" w:eastAsia="Arial" w:hAnsi="Arial"/>
          <w:sz w:val="16"/>
          <w:szCs w:val="16"/>
          <w:u w:val="single" w:color="auto"/>
          <w:color w:val="0000EE"/>
        </w:rPr>
      </w:pPr>
    </w:p>
    <w:p>
      <w:pPr>
        <w:ind w:left="660" w:right="60" w:hanging="661"/>
        <w:spacing w:after="0" w:line="286"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103">
        <w:r>
          <w:rPr>
            <w:rFonts w:ascii="Arial" w:cs="Arial" w:eastAsia="Arial" w:hAnsi="Arial"/>
            <w:sz w:val="17"/>
            <w:szCs w:val="17"/>
            <w:u w:val="single" w:color="auto"/>
            <w:color w:val="0000EE"/>
          </w:rPr>
          <w:t>Amendment No. 2 to Convertible Note and Warrant Purchase Agreement, Convertible</w:t>
        </w:r>
      </w:hyperlink>
      <w:r>
        <w:rPr>
          <w:rFonts w:ascii="Arial" w:cs="Arial" w:eastAsia="Arial" w:hAnsi="Arial"/>
          <w:sz w:val="17"/>
          <w:szCs w:val="17"/>
          <w:u w:val="single" w:color="auto"/>
          <w:color w:val="0000EE"/>
        </w:rPr>
        <w:t xml:space="preserve"> </w:t>
      </w:r>
      <w:hyperlink r:id="rId103">
        <w:r>
          <w:rPr>
            <w:rFonts w:ascii="Arial" w:cs="Arial" w:eastAsia="Arial" w:hAnsi="Arial"/>
            <w:sz w:val="17"/>
            <w:szCs w:val="17"/>
            <w:u w:val="single" w:color="auto"/>
            <w:color w:val="0000EE"/>
          </w:rPr>
          <w:t>Promissory Notes and Warrants to Purchase Shares, dated January 17, 2012, by and among</w:t>
        </w:r>
      </w:hyperlink>
      <w:r>
        <w:rPr>
          <w:rFonts w:ascii="Arial" w:cs="Arial" w:eastAsia="Arial" w:hAnsi="Arial"/>
          <w:sz w:val="17"/>
          <w:szCs w:val="17"/>
          <w:u w:val="single" w:color="auto"/>
          <w:color w:val="0000EE"/>
        </w:rPr>
        <w:t xml:space="preserve"> </w:t>
      </w:r>
      <w:hyperlink r:id="rId103">
        <w:r>
          <w:rPr>
            <w:rFonts w:ascii="Arial" w:cs="Arial" w:eastAsia="Arial" w:hAnsi="Arial"/>
            <w:sz w:val="17"/>
            <w:szCs w:val="17"/>
            <w:u w:val="single" w:color="auto"/>
            <w:color w:val="0000EE"/>
          </w:rPr>
          <w:t>Soleno Therapeutics, Inc. and the investors named therein.</w:t>
        </w:r>
      </w:hyperlink>
    </w:p>
    <w:p>
      <w:pPr>
        <w:spacing w:after="0" w:line="30" w:lineRule="exact"/>
        <w:rPr>
          <w:rFonts w:ascii="Arial" w:cs="Arial" w:eastAsia="Arial" w:hAnsi="Arial"/>
          <w:sz w:val="17"/>
          <w:szCs w:val="17"/>
          <w:u w:val="single" w:color="auto"/>
          <w:color w:val="0000EE"/>
        </w:rPr>
      </w:pPr>
    </w:p>
    <w:p>
      <w:pPr>
        <w:ind w:left="660" w:right="520" w:hanging="661"/>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104">
        <w:r>
          <w:rPr>
            <w:rFonts w:ascii="Arial" w:cs="Arial" w:eastAsia="Arial" w:hAnsi="Arial"/>
            <w:sz w:val="17"/>
            <w:szCs w:val="17"/>
            <w:u w:val="single" w:color="auto"/>
            <w:color w:val="0000EE"/>
          </w:rPr>
          <w:t>Convertible Note and Warrant Purchase Agreement, dated January 16, 2012, by and</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among Soleno Therapeutics, Inc. and the investors named therein.</w:t>
        </w:r>
      </w:hyperlink>
    </w:p>
    <w:p>
      <w:pPr>
        <w:spacing w:after="0" w:line="11" w:lineRule="exact"/>
        <w:rPr>
          <w:sz w:val="20"/>
          <w:szCs w:val="20"/>
          <w:color w:val="auto"/>
        </w:rPr>
      </w:pPr>
    </w:p>
    <w:p>
      <w:pPr>
        <w:ind w:left="660" w:right="140" w:hanging="661"/>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05">
        <w:r>
          <w:rPr>
            <w:rFonts w:ascii="Arial" w:cs="Arial" w:eastAsia="Arial" w:hAnsi="Arial"/>
            <w:sz w:val="18"/>
            <w:szCs w:val="18"/>
            <w:u w:val="single" w:color="auto"/>
            <w:color w:val="0000EE"/>
          </w:rPr>
          <w:t>Omnibus Amendment to Convertible Note and Warrant Purchase Agreement, Convertible</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Promissory Notes and Warrants to Purchase Shares, dated July 31, 2012, by and among</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Soleno Therapeutics, Inc. and the investors named therein.</w:t>
        </w:r>
      </w:hyperlink>
    </w:p>
    <w:p>
      <w:pPr>
        <w:spacing w:after="0" w:line="46" w:lineRule="exact"/>
        <w:rPr>
          <w:rFonts w:ascii="Arial" w:cs="Arial" w:eastAsia="Arial" w:hAnsi="Arial"/>
          <w:sz w:val="18"/>
          <w:szCs w:val="18"/>
          <w:u w:val="single" w:color="auto"/>
          <w:color w:val="0000EE"/>
        </w:rPr>
      </w:pPr>
    </w:p>
    <w:p>
      <w:pPr>
        <w:ind w:left="660" w:right="160" w:hanging="661"/>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06">
        <w:r>
          <w:rPr>
            <w:rFonts w:ascii="Arial" w:cs="Arial" w:eastAsia="Arial" w:hAnsi="Arial"/>
            <w:sz w:val="18"/>
            <w:szCs w:val="18"/>
            <w:u w:val="single" w:color="auto"/>
            <w:color w:val="0000EE"/>
          </w:rPr>
          <w:t>Omnibus Amendment to Convertible Promissory Notes and Warrants to Purchase Shares,</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dated April 28, 2014, by and among Soleno Therapeutics, Inc. and the investors named</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therein.</w:t>
        </w:r>
      </w:hyperlink>
    </w:p>
    <w:p>
      <w:pPr>
        <w:spacing w:after="0" w:line="46" w:lineRule="exact"/>
        <w:rPr>
          <w:rFonts w:ascii="Arial" w:cs="Arial" w:eastAsia="Arial" w:hAnsi="Arial"/>
          <w:sz w:val="18"/>
          <w:szCs w:val="18"/>
          <w:u w:val="single" w:color="auto"/>
          <w:color w:val="0000EE"/>
        </w:rPr>
      </w:pPr>
    </w:p>
    <w:p>
      <w:pPr>
        <w:ind w:left="660" w:right="16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07">
        <w:r>
          <w:rPr>
            <w:rFonts w:ascii="Arial" w:cs="Arial" w:eastAsia="Arial" w:hAnsi="Arial"/>
            <w:sz w:val="18"/>
            <w:szCs w:val="18"/>
            <w:u w:val="single" w:color="auto"/>
            <w:color w:val="0000EE"/>
          </w:rPr>
          <w:t>Convertible Note and Warrant Purchase Agreement, dated April 28, 2014, by and among</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Soleno Therapeutics, Inc. and the investors named therein.</w:t>
        </w:r>
      </w:hyperlink>
    </w:p>
    <w:p>
      <w:pPr>
        <w:spacing w:after="0" w:line="35" w:lineRule="exact"/>
        <w:rPr>
          <w:sz w:val="20"/>
          <w:szCs w:val="20"/>
          <w:color w:val="auto"/>
        </w:rPr>
      </w:pPr>
    </w:p>
    <w:p>
      <w:pPr>
        <w:ind w:left="660" w:right="140" w:hanging="661"/>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08">
        <w:r>
          <w:rPr>
            <w:rFonts w:ascii="Arial" w:cs="Arial" w:eastAsia="Arial" w:hAnsi="Arial"/>
            <w:sz w:val="18"/>
            <w:szCs w:val="18"/>
            <w:u w:val="single" w:color="auto"/>
            <w:color w:val="0000EE"/>
          </w:rPr>
          <w:t>Omnibus Amendment to Convertible Note and Warrant Purchase Agreement, Convertible</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Promissory Notes and Warrants to Purchase Shares, dated May 5, 2014, by and among</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Soleno Therapeutics, Inc. and the investors named therein.</w:t>
        </w:r>
      </w:hyperlink>
    </w:p>
    <w:p>
      <w:pPr>
        <w:spacing w:after="0" w:line="46" w:lineRule="exact"/>
        <w:rPr>
          <w:rFonts w:ascii="Arial" w:cs="Arial" w:eastAsia="Arial" w:hAnsi="Arial"/>
          <w:sz w:val="18"/>
          <w:szCs w:val="18"/>
          <w:u w:val="single" w:color="auto"/>
          <w:color w:val="0000EE"/>
        </w:rPr>
      </w:pPr>
    </w:p>
    <w:p>
      <w:pPr>
        <w:ind w:left="660" w:right="8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09">
        <w:r>
          <w:rPr>
            <w:rFonts w:ascii="Arial" w:cs="Arial" w:eastAsia="Arial" w:hAnsi="Arial"/>
            <w:sz w:val="18"/>
            <w:szCs w:val="18"/>
            <w:u w:val="single" w:color="auto"/>
            <w:color w:val="0000EE"/>
          </w:rPr>
          <w:t>Sublease, dated May 20, 2014, by and among Soleno Therapeutics, Inc. and Silicon Valley</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Finance Group.</w:t>
        </w:r>
      </w:hyperlink>
    </w:p>
    <w:p>
      <w:pPr>
        <w:spacing w:after="0" w:line="3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10">
        <w:r>
          <w:rPr>
            <w:rFonts w:ascii="Arial" w:cs="Arial" w:eastAsia="Arial" w:hAnsi="Arial"/>
            <w:sz w:val="16"/>
            <w:szCs w:val="16"/>
            <w:u w:val="single" w:color="auto"/>
            <w:color w:val="0000EE"/>
          </w:rPr>
          <w:t>Offer Letter, dated June 24, 2014, by and between Soleno Therapeutics, Inc. and David D.</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O’Toole.</w:t>
        </w:r>
      </w:hyperlink>
    </w:p>
    <w:p>
      <w:pPr>
        <w:spacing w:after="0" w:line="76" w:lineRule="exact"/>
        <w:rPr>
          <w:sz w:val="20"/>
          <w:szCs w:val="20"/>
          <w:color w:val="auto"/>
        </w:rPr>
      </w:pPr>
    </w:p>
    <w:p>
      <w:pPr>
        <w:ind w:left="660" w:right="54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11">
        <w:r>
          <w:rPr>
            <w:rFonts w:ascii="Arial" w:cs="Arial" w:eastAsia="Arial" w:hAnsi="Arial"/>
            <w:sz w:val="18"/>
            <w:szCs w:val="18"/>
            <w:u w:val="single" w:color="auto"/>
            <w:color w:val="0000EE"/>
          </w:rPr>
          <w:t>Loan Agreement by and between Soleno Therapeutics, Inc. and the investors named</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therein, dated September 29, 2014.</w:t>
        </w:r>
      </w:hyperlink>
    </w:p>
    <w:p>
      <w:pPr>
        <w:spacing w:after="0" w:line="35" w:lineRule="exact"/>
        <w:rPr>
          <w:sz w:val="20"/>
          <w:szCs w:val="20"/>
          <w:color w:val="auto"/>
        </w:rPr>
      </w:pPr>
    </w:p>
    <w:p>
      <w:pPr>
        <w:ind w:left="660" w:right="30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12">
        <w:r>
          <w:rPr>
            <w:rFonts w:ascii="Arial" w:cs="Arial" w:eastAsia="Arial" w:hAnsi="Arial"/>
            <w:sz w:val="18"/>
            <w:szCs w:val="18"/>
            <w:u w:val="single" w:color="auto"/>
            <w:color w:val="0000EE"/>
          </w:rPr>
          <w:t>Revised Second Tranche Closing Notice and Letter Amendment dated August 18, 2014</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relating to the August 2014 Notes.</w:t>
        </w:r>
      </w:hyperlink>
    </w:p>
    <w:p>
      <w:pPr>
        <w:spacing w:after="0" w:line="35" w:lineRule="exact"/>
        <w:rPr>
          <w:sz w:val="20"/>
          <w:szCs w:val="20"/>
          <w:color w:val="auto"/>
        </w:rPr>
      </w:pPr>
    </w:p>
    <w:p>
      <w:pPr>
        <w:ind w:left="66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13">
        <w:r>
          <w:rPr>
            <w:rFonts w:ascii="Arial" w:cs="Arial" w:eastAsia="Arial" w:hAnsi="Arial"/>
            <w:sz w:val="18"/>
            <w:szCs w:val="18"/>
            <w:u w:val="single" w:color="auto"/>
            <w:color w:val="0000EE"/>
          </w:rPr>
          <w:t>Second Tranche Subsequent Closing Notice and Letter Amendment dated October 22, 2014</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relating to the October 2014 Notes.</w:t>
        </w:r>
      </w:hyperlink>
    </w:p>
    <w:p>
      <w:pPr>
        <w:spacing w:after="0" w:line="3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14">
        <w:r>
          <w:rPr>
            <w:rFonts w:ascii="Arial" w:cs="Arial" w:eastAsia="Arial" w:hAnsi="Arial"/>
            <w:sz w:val="16"/>
            <w:szCs w:val="16"/>
            <w:u w:val="single" w:color="auto"/>
            <w:color w:val="0000EE"/>
          </w:rPr>
          <w:t>Form of Warrant Exercise Agreement.</w:t>
        </w:r>
      </w:hyperlink>
    </w:p>
    <w:p>
      <w:pPr>
        <w:spacing w:after="0" w:line="90" w:lineRule="exact"/>
        <w:rPr>
          <w:sz w:val="20"/>
          <w:szCs w:val="20"/>
          <w:color w:val="auto"/>
        </w:rPr>
      </w:pPr>
    </w:p>
    <w:p>
      <w:pPr>
        <w:ind w:left="660" w:right="24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15">
        <w:r>
          <w:rPr>
            <w:rFonts w:ascii="Arial" w:cs="Arial" w:eastAsia="Arial" w:hAnsi="Arial"/>
            <w:sz w:val="18"/>
            <w:szCs w:val="18"/>
            <w:u w:val="single" w:color="auto"/>
            <w:color w:val="0000EE"/>
          </w:rPr>
          <w:t>Advisory Agreement by and between Soleno Therapeutics, Inc. and Maxim Group LLC,</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dated March 4, 2015.</w:t>
        </w:r>
      </w:hyperlink>
    </w:p>
    <w:p>
      <w:pPr>
        <w:spacing w:after="0" w:line="35" w:lineRule="exact"/>
        <w:rPr>
          <w:sz w:val="20"/>
          <w:szCs w:val="20"/>
          <w:color w:val="auto"/>
        </w:rPr>
      </w:pPr>
    </w:p>
    <w:p>
      <w:pPr>
        <w:ind w:left="660" w:right="34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16">
        <w:r>
          <w:rPr>
            <w:rFonts w:ascii="Arial" w:cs="Arial" w:eastAsia="Arial" w:hAnsi="Arial"/>
            <w:sz w:val="18"/>
            <w:szCs w:val="18"/>
            <w:u w:val="single" w:color="auto"/>
            <w:color w:val="0000EE"/>
          </w:rPr>
          <w:t>Agreement and First Amendment to Asset Purchase Agreement between the Company,</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BDDI and affiliate of BDDI, dated June 30, 2015.</w:t>
        </w:r>
      </w:hyperlink>
    </w:p>
    <w:p>
      <w:pPr>
        <w:spacing w:after="0" w:line="35" w:lineRule="exact"/>
        <w:rPr>
          <w:sz w:val="20"/>
          <w:szCs w:val="20"/>
          <w:color w:val="auto"/>
        </w:rPr>
      </w:pPr>
    </w:p>
    <w:p>
      <w:pPr>
        <w:ind w:left="660" w:right="2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17">
        <w:r>
          <w:rPr>
            <w:rFonts w:ascii="Arial" w:cs="Arial" w:eastAsia="Arial" w:hAnsi="Arial"/>
            <w:sz w:val="18"/>
            <w:szCs w:val="18"/>
            <w:u w:val="single" w:color="auto"/>
            <w:color w:val="0000EE"/>
          </w:rPr>
          <w:t>Common Stock Purchase Agreement between the Company and an affiliate of BDDI, dated</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June 30, 2015.</w:t>
        </w:r>
      </w:hyperlink>
    </w:p>
    <w:p>
      <w:pPr>
        <w:spacing w:after="0" w:line="35" w:lineRule="exact"/>
        <w:rPr>
          <w:sz w:val="20"/>
          <w:szCs w:val="20"/>
          <w:color w:val="auto"/>
        </w:rPr>
      </w:pPr>
    </w:p>
    <w:p>
      <w:pPr>
        <w:ind w:left="66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18">
        <w:r>
          <w:rPr>
            <w:rFonts w:ascii="Arial" w:cs="Arial" w:eastAsia="Arial" w:hAnsi="Arial"/>
            <w:sz w:val="18"/>
            <w:szCs w:val="18"/>
            <w:u w:val="single" w:color="auto"/>
            <w:color w:val="0000EE"/>
          </w:rPr>
          <w:t>Registration Rights Agreement between the Company and Aspire Capital Fund, LLC, dated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July 24, 2015.</w:t>
        </w:r>
      </w:hyperlink>
    </w:p>
    <w:p>
      <w:pPr>
        <w:spacing w:after="0" w:line="35" w:lineRule="exact"/>
        <w:rPr>
          <w:sz w:val="20"/>
          <w:szCs w:val="20"/>
          <w:color w:val="auto"/>
        </w:rPr>
      </w:pPr>
    </w:p>
    <w:p>
      <w:pPr>
        <w:ind w:left="66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19">
        <w:r>
          <w:rPr>
            <w:rFonts w:ascii="Arial" w:cs="Arial" w:eastAsia="Arial" w:hAnsi="Arial"/>
            <w:sz w:val="18"/>
            <w:szCs w:val="18"/>
            <w:u w:val="single" w:color="auto"/>
            <w:color w:val="0000EE"/>
          </w:rPr>
          <w:t>Common Stock Purchase Agreement between the Company and Aspire Capital Fund, LLC,</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dated July 24, 2015.</w:t>
        </w:r>
      </w:hyperlink>
    </w:p>
    <w:p>
      <w:pPr>
        <w:spacing w:after="0" w:line="35" w:lineRule="exact"/>
        <w:rPr>
          <w:sz w:val="20"/>
          <w:szCs w:val="20"/>
          <w:color w:val="auto"/>
        </w:rPr>
      </w:pPr>
    </w:p>
    <w:p>
      <w:pPr>
        <w:ind w:left="660" w:right="44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20">
        <w:r>
          <w:rPr>
            <w:rFonts w:ascii="Arial" w:cs="Arial" w:eastAsia="Arial" w:hAnsi="Arial"/>
            <w:sz w:val="18"/>
            <w:szCs w:val="18"/>
            <w:u w:val="single" w:color="auto"/>
            <w:color w:val="0000EE"/>
          </w:rPr>
          <w:t>Engagement Letter dated September 17, 2015, between Soleno Therapeutics, Inc. and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Maxim Group, LLC.</w:t>
        </w:r>
      </w:hyperlink>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Borders>
              <w:top w:val="single" w:sz="8" w:color="auto"/>
            </w:tcBorders>
          </w:tcPr>
          <w:p>
            <w:pPr>
              <w:ind w:left="540"/>
              <w:spacing w:after="0" w:line="119" w:lineRule="exact"/>
              <w:rPr>
                <w:sz w:val="20"/>
                <w:szCs w:val="20"/>
                <w:color w:val="auto"/>
              </w:rPr>
            </w:pPr>
            <w:r>
              <w:rPr>
                <w:rFonts w:ascii="Arial" w:cs="Arial" w:eastAsia="Arial" w:hAnsi="Arial"/>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85"/>
        </w:trPr>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709"/>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29"/>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29"/>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29"/>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29"/>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22,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September 29,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November 4,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November 4, 2014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March 5,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S-4</w:t>
            </w:r>
          </w:p>
        </w:tc>
        <w:tc>
          <w:tcPr>
            <w:tcW w:w="1700" w:type="dxa"/>
            <w:vAlign w:val="bottom"/>
          </w:tcPr>
          <w:p>
            <w:pPr>
              <w:spacing w:after="0"/>
              <w:rPr>
                <w:sz w:val="20"/>
                <w:szCs w:val="20"/>
                <w:color w:val="auto"/>
              </w:rPr>
            </w:pPr>
            <w:r>
              <w:rPr>
                <w:rFonts w:ascii="Arial" w:cs="Arial" w:eastAsia="Arial" w:hAnsi="Arial"/>
                <w:sz w:val="18"/>
                <w:szCs w:val="18"/>
                <w:color w:val="auto"/>
              </w:rPr>
              <w:t>April 1,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7,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7,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27,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27,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3"/>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2">
            <w:col w:w="7280" w:space="120"/>
            <w:col w:w="4020"/>
          </w:cols>
          <w:pgMar w:left="240" w:top="265" w:right="239" w:bottom="1440" w:gutter="0" w:footer="0" w:header="0"/>
        </w:sectPr>
      </w:pPr>
    </w:p>
    <w:bookmarkStart w:id="31" w:name="page32"/>
    <w:bookmarkEnd w:id="31"/>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gridSpan w:val="24"/>
            <w:vMerge w:val="restart"/>
          </w:tcPr>
          <w:p>
            <w:pPr>
              <w:ind w:left="2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10.31</w:t>
            </w:r>
          </w:p>
        </w:tc>
        <w:tc>
          <w:tcPr>
            <w:tcW w:w="360" w:type="dxa"/>
            <w:vAlign w:val="bottom"/>
          </w:tcPr>
          <w:p>
            <w:pPr>
              <w:spacing w:after="0"/>
              <w:rPr>
                <w:sz w:val="22"/>
                <w:szCs w:val="22"/>
                <w:color w:val="auto"/>
              </w:rPr>
            </w:pPr>
          </w:p>
        </w:tc>
        <w:tc>
          <w:tcPr>
            <w:tcW w:w="4040" w:type="dxa"/>
            <w:vAlign w:val="bottom"/>
            <w:tcBorders>
              <w:top w:val="single" w:sz="8" w:color="auto"/>
              <w:bottom w:val="single" w:sz="8" w:color="0000EE"/>
            </w:tcBorders>
            <w:gridSpan w:val="12"/>
          </w:tcPr>
          <w:p>
            <w:pPr>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Securities Purchase Agreement dated October 12, 2015.</w:t>
              </w:r>
            </w:hyperlink>
          </w:p>
        </w:tc>
        <w:tc>
          <w:tcPr>
            <w:tcW w:w="2520" w:type="dxa"/>
            <w:vAlign w:val="bottom"/>
            <w:tcBorders>
              <w:top w:val="single" w:sz="8" w:color="auto"/>
            </w:tcBorders>
            <w:gridSpan w:val="19"/>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10.32</w:t>
            </w:r>
          </w:p>
        </w:tc>
        <w:tc>
          <w:tcPr>
            <w:tcW w:w="360" w:type="dxa"/>
            <w:vAlign w:val="bottom"/>
          </w:tcPr>
          <w:p>
            <w:pPr>
              <w:spacing w:after="0"/>
              <w:rPr>
                <w:sz w:val="24"/>
                <w:szCs w:val="24"/>
                <w:color w:val="auto"/>
              </w:rPr>
            </w:pPr>
          </w:p>
        </w:tc>
        <w:tc>
          <w:tcPr>
            <w:tcW w:w="6560" w:type="dxa"/>
            <w:vAlign w:val="bottom"/>
            <w:gridSpan w:val="31"/>
          </w:tcPr>
          <w:p>
            <w:pPr>
              <w:spacing w:after="0"/>
              <w:rPr>
                <w:rFonts w:ascii="Arial" w:cs="Arial" w:eastAsia="Arial" w:hAnsi="Arial"/>
                <w:sz w:val="18"/>
                <w:szCs w:val="18"/>
                <w:color w:val="0000EE"/>
              </w:rPr>
            </w:pPr>
            <w:hyperlink r:id="rId123">
              <w:r>
                <w:rPr>
                  <w:rFonts w:ascii="Arial" w:cs="Arial" w:eastAsia="Arial" w:hAnsi="Arial"/>
                  <w:sz w:val="18"/>
                  <w:szCs w:val="18"/>
                  <w:color w:val="0000EE"/>
                </w:rPr>
                <w:t>Form of Registration Rights Agreement.</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10.33</w:t>
            </w:r>
          </w:p>
        </w:tc>
        <w:tc>
          <w:tcPr>
            <w:tcW w:w="36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r:id="rId124">
              <w:r>
                <w:rPr>
                  <w:rFonts w:ascii="Arial" w:cs="Arial" w:eastAsia="Arial" w:hAnsi="Arial"/>
                  <w:sz w:val="18"/>
                  <w:szCs w:val="18"/>
                  <w:color w:val="0000EE"/>
                  <w:w w:val="93"/>
                </w:rPr>
                <w:t>Form of Lock-Up Agreement.</w:t>
              </w:r>
            </w:hyperlink>
          </w:p>
        </w:tc>
        <w:tc>
          <w:tcPr>
            <w:tcW w:w="740" w:type="dxa"/>
            <w:vAlign w:val="bottom"/>
            <w:tcBorders>
              <w:top w:val="single" w:sz="8" w:color="0000EE"/>
            </w:tcBorders>
            <w:gridSpan w:val="2"/>
          </w:tcPr>
          <w:p>
            <w:pPr>
              <w:spacing w:after="0"/>
              <w:rPr>
                <w:sz w:val="24"/>
                <w:szCs w:val="24"/>
                <w:color w:val="auto"/>
              </w:rPr>
            </w:pPr>
          </w:p>
        </w:tc>
        <w:tc>
          <w:tcPr>
            <w:tcW w:w="364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10.34</w:t>
            </w:r>
          </w:p>
        </w:tc>
        <w:tc>
          <w:tcPr>
            <w:tcW w:w="360" w:type="dxa"/>
            <w:vAlign w:val="bottom"/>
          </w:tcPr>
          <w:p>
            <w:pPr>
              <w:spacing w:after="0"/>
              <w:rPr>
                <w:sz w:val="24"/>
                <w:szCs w:val="24"/>
                <w:color w:val="auto"/>
              </w:rPr>
            </w:pPr>
          </w:p>
        </w:tc>
        <w:tc>
          <w:tcPr>
            <w:tcW w:w="5600" w:type="dxa"/>
            <w:vAlign w:val="bottom"/>
            <w:tcBorders>
              <w:bottom w:val="single" w:sz="8" w:color="0000EE"/>
            </w:tcBorders>
            <w:gridSpan w:val="16"/>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Amendment No. 1 to Securities Purchase Agreement dated October 29, 2015.</w:t>
              </w:r>
            </w:hyperlink>
          </w:p>
        </w:tc>
        <w:tc>
          <w:tcPr>
            <w:tcW w:w="9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10.35</w:t>
            </w:r>
          </w:p>
        </w:tc>
        <w:tc>
          <w:tcPr>
            <w:tcW w:w="360" w:type="dxa"/>
            <w:vAlign w:val="bottom"/>
          </w:tcPr>
          <w:p>
            <w:pPr>
              <w:spacing w:after="0"/>
              <w:rPr>
                <w:sz w:val="24"/>
                <w:szCs w:val="24"/>
                <w:color w:val="auto"/>
              </w:rPr>
            </w:pPr>
          </w:p>
        </w:tc>
        <w:tc>
          <w:tcPr>
            <w:tcW w:w="6560" w:type="dxa"/>
            <w:vAlign w:val="bottom"/>
            <w:gridSpan w:val="31"/>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Transfer and Distribution Agreement: United States: by and between Soleno Therapeutics,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Inc. and Bemes, Inc. signed January 26, 2016.</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10.36</w:t>
            </w:r>
          </w:p>
        </w:tc>
        <w:tc>
          <w:tcPr>
            <w:tcW w:w="360" w:type="dxa"/>
            <w:vAlign w:val="bottom"/>
          </w:tcPr>
          <w:p>
            <w:pPr>
              <w:spacing w:after="0"/>
              <w:rPr>
                <w:sz w:val="24"/>
                <w:szCs w:val="24"/>
                <w:color w:val="auto"/>
              </w:rPr>
            </w:pPr>
          </w:p>
        </w:tc>
        <w:tc>
          <w:tcPr>
            <w:tcW w:w="6560" w:type="dxa"/>
            <w:vAlign w:val="bottom"/>
            <w:gridSpan w:val="31"/>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Engagement Letter dated June 26, 2016, between Soleno Therapeutics, Inc. and Maxim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Group, LLC.</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10.37</w:t>
            </w:r>
          </w:p>
        </w:tc>
        <w:tc>
          <w:tcPr>
            <w:tcW w:w="360" w:type="dxa"/>
            <w:vAlign w:val="bottom"/>
          </w:tcPr>
          <w:p>
            <w:pPr>
              <w:spacing w:after="0"/>
              <w:rPr>
                <w:sz w:val="24"/>
                <w:szCs w:val="24"/>
                <w:color w:val="auto"/>
              </w:rPr>
            </w:pPr>
          </w:p>
        </w:tc>
        <w:tc>
          <w:tcPr>
            <w:tcW w:w="6560" w:type="dxa"/>
            <w:vAlign w:val="bottom"/>
            <w:gridSpan w:val="31"/>
          </w:tcPr>
          <w:p>
            <w:pPr>
              <w:spacing w:after="0"/>
              <w:rPr>
                <w:rFonts w:ascii="Arial" w:cs="Arial" w:eastAsia="Arial" w:hAnsi="Arial"/>
                <w:sz w:val="18"/>
                <w:szCs w:val="18"/>
                <w:color w:val="0000EE"/>
              </w:rPr>
            </w:pPr>
            <w:hyperlink r:id="rId128">
              <w:r>
                <w:rPr>
                  <w:rFonts w:ascii="Arial" w:cs="Arial" w:eastAsia="Arial" w:hAnsi="Arial"/>
                  <w:sz w:val="18"/>
                  <w:szCs w:val="18"/>
                  <w:color w:val="0000EE"/>
                </w:rPr>
                <w:t>Securities Purchase Agreement dated June 29, 2016.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10.38</w:t>
            </w:r>
          </w:p>
        </w:tc>
        <w:tc>
          <w:tcPr>
            <w:tcW w:w="360" w:type="dxa"/>
            <w:vAlign w:val="bottom"/>
          </w:tcPr>
          <w:p>
            <w:pPr>
              <w:spacing w:after="0"/>
              <w:rPr>
                <w:sz w:val="24"/>
                <w:szCs w:val="24"/>
                <w:color w:val="auto"/>
              </w:rPr>
            </w:pPr>
          </w:p>
        </w:tc>
        <w:tc>
          <w:tcPr>
            <w:tcW w:w="6560" w:type="dxa"/>
            <w:vAlign w:val="bottom"/>
            <w:gridSpan w:val="31"/>
          </w:tcPr>
          <w:p>
            <w:pPr>
              <w:spacing w:after="0"/>
              <w:rPr>
                <w:rFonts w:ascii="Arial" w:cs="Arial" w:eastAsia="Arial" w:hAnsi="Arial"/>
                <w:sz w:val="18"/>
                <w:szCs w:val="18"/>
                <w:color w:val="0000EE"/>
              </w:rPr>
            </w:pPr>
            <w:hyperlink r:id="rId129">
              <w:r>
                <w:rPr>
                  <w:rFonts w:ascii="Arial" w:cs="Arial" w:eastAsia="Arial" w:hAnsi="Arial"/>
                  <w:sz w:val="18"/>
                  <w:szCs w:val="18"/>
                  <w:color w:val="0000EE"/>
                </w:rPr>
                <w:t>Form of Registration Rights Agreement dated June 29, 2016.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10.39</w:t>
            </w:r>
          </w:p>
        </w:tc>
        <w:tc>
          <w:tcPr>
            <w:tcW w:w="360" w:type="dxa"/>
            <w:vAlign w:val="bottom"/>
          </w:tcPr>
          <w:p>
            <w:pPr>
              <w:spacing w:after="0"/>
              <w:rPr>
                <w:sz w:val="24"/>
                <w:szCs w:val="24"/>
                <w:color w:val="auto"/>
              </w:rPr>
            </w:pPr>
          </w:p>
        </w:tc>
        <w:tc>
          <w:tcPr>
            <w:tcW w:w="6560" w:type="dxa"/>
            <w:vAlign w:val="bottom"/>
            <w:gridSpan w:val="31"/>
          </w:tcPr>
          <w:p>
            <w:pPr>
              <w:spacing w:after="0"/>
              <w:rPr>
                <w:rFonts w:ascii="Arial" w:cs="Arial" w:eastAsia="Arial" w:hAnsi="Arial"/>
                <w:sz w:val="18"/>
                <w:szCs w:val="18"/>
                <w:color w:val="0000EE"/>
              </w:rPr>
            </w:pPr>
            <w:hyperlink r:id="rId130">
              <w:r>
                <w:rPr>
                  <w:rFonts w:ascii="Arial" w:cs="Arial" w:eastAsia="Arial" w:hAnsi="Arial"/>
                  <w:sz w:val="18"/>
                  <w:szCs w:val="18"/>
                  <w:color w:val="0000EE"/>
                </w:rPr>
                <w:t>Amendment No. 1 to Securities Purchase Agreement dated September 20, 2016.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10.40</w:t>
            </w:r>
          </w:p>
        </w:tc>
        <w:tc>
          <w:tcPr>
            <w:tcW w:w="360" w:type="dxa"/>
            <w:vAlign w:val="bottom"/>
          </w:tcPr>
          <w:p>
            <w:pPr>
              <w:spacing w:after="0"/>
              <w:rPr>
                <w:sz w:val="24"/>
                <w:szCs w:val="24"/>
                <w:color w:val="auto"/>
              </w:rPr>
            </w:pPr>
          </w:p>
        </w:tc>
        <w:tc>
          <w:tcPr>
            <w:tcW w:w="6340" w:type="dxa"/>
            <w:vAlign w:val="bottom"/>
            <w:tcBorders>
              <w:bottom w:val="single" w:sz="8" w:color="0000EE"/>
            </w:tcBorders>
            <w:gridSpan w:val="27"/>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Agreement and Plan of Merger and Reorganization, dated as of December 22, 2016, by</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and among Soleno Therapeutics, Inc., a Delaware corporation, Essentialis, Inc., a</w:t>
              </w:r>
            </w:hyperlink>
          </w:p>
        </w:tc>
        <w:tc>
          <w:tcPr>
            <w:tcW w:w="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Delaware corporation, Company E Merger Sub, Inc., a Delaware corporation and a</w:t>
              </w:r>
            </w:hyperlink>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wholly-owned subsidiary of Soleno Therapeutics, and Neil Cowen as the stockholders’</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60" w:type="dxa"/>
            <w:vAlign w:val="bottom"/>
            <w:gridSpan w:val="3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representative.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10.41</w:t>
            </w:r>
          </w:p>
        </w:tc>
        <w:tc>
          <w:tcPr>
            <w:tcW w:w="360" w:type="dxa"/>
            <w:vAlign w:val="bottom"/>
          </w:tcPr>
          <w:p>
            <w:pPr>
              <w:spacing w:after="0"/>
              <w:rPr>
                <w:sz w:val="24"/>
                <w:szCs w:val="24"/>
                <w:color w:val="auto"/>
              </w:rPr>
            </w:pPr>
          </w:p>
        </w:tc>
        <w:tc>
          <w:tcPr>
            <w:tcW w:w="6200" w:type="dxa"/>
            <w:vAlign w:val="bottom"/>
            <w:tcBorders>
              <w:bottom w:val="single" w:sz="8" w:color="0000EE"/>
            </w:tcBorders>
            <w:gridSpan w:val="24"/>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Registration Rights Agreement between the Company and Aspire Capital Fund, LLC,</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60" w:type="dxa"/>
            <w:vAlign w:val="bottom"/>
            <w:gridSpan w:val="31"/>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dated January 27, 2017.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10.42</w:t>
            </w:r>
          </w:p>
        </w:tc>
        <w:tc>
          <w:tcPr>
            <w:tcW w:w="360" w:type="dxa"/>
            <w:vAlign w:val="bottom"/>
          </w:tcPr>
          <w:p>
            <w:pPr>
              <w:spacing w:after="0"/>
              <w:rPr>
                <w:sz w:val="24"/>
                <w:szCs w:val="24"/>
                <w:color w:val="auto"/>
              </w:rPr>
            </w:pPr>
          </w:p>
        </w:tc>
        <w:tc>
          <w:tcPr>
            <w:tcW w:w="6180" w:type="dxa"/>
            <w:vAlign w:val="bottom"/>
            <w:tcBorders>
              <w:bottom w:val="single" w:sz="8" w:color="0000EE"/>
            </w:tcBorders>
            <w:gridSpan w:val="23"/>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Common Stock Purchase Agreement between the Company and Aspire Capital Fund,</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LLC, dated January 27, 2017.</w:t>
              </w:r>
            </w:hyperlink>
          </w:p>
        </w:tc>
        <w:tc>
          <w:tcPr>
            <w:tcW w:w="44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10.43</w:t>
            </w:r>
          </w:p>
        </w:tc>
        <w:tc>
          <w:tcPr>
            <w:tcW w:w="360" w:type="dxa"/>
            <w:vAlign w:val="bottom"/>
          </w:tcPr>
          <w:p>
            <w:pPr>
              <w:spacing w:after="0"/>
              <w:rPr>
                <w:sz w:val="24"/>
                <w:szCs w:val="24"/>
                <w:color w:val="auto"/>
              </w:rPr>
            </w:pPr>
          </w:p>
        </w:tc>
        <w:tc>
          <w:tcPr>
            <w:tcW w:w="6560" w:type="dxa"/>
            <w:vAlign w:val="bottom"/>
            <w:gridSpan w:val="31"/>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Stock Purchase Agreement made by and between the Company and NeoForce Holdings,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Inc. a Delaware corporation dated July 18, 2017</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10.44</w:t>
            </w:r>
          </w:p>
        </w:tc>
        <w:tc>
          <w:tcPr>
            <w:tcW w:w="360" w:type="dxa"/>
            <w:vAlign w:val="bottom"/>
          </w:tcPr>
          <w:p>
            <w:pPr>
              <w:spacing w:after="0"/>
              <w:rPr>
                <w:sz w:val="24"/>
                <w:szCs w:val="24"/>
                <w:color w:val="auto"/>
              </w:rPr>
            </w:pPr>
          </w:p>
        </w:tc>
        <w:tc>
          <w:tcPr>
            <w:tcW w:w="5660" w:type="dxa"/>
            <w:vAlign w:val="bottom"/>
            <w:tcBorders>
              <w:bottom w:val="single" w:sz="8" w:color="0000EE"/>
            </w:tcBorders>
            <w:gridSpan w:val="17"/>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Joint Venture Agreement dated as of December 4, 2017 by and among Soleno</w:t>
              </w:r>
            </w:hyperlink>
          </w:p>
        </w:tc>
        <w:tc>
          <w:tcPr>
            <w:tcW w:w="9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Therapeutics, Inc., Capnia, Inc., and OptAsia Healthcare Limited</w:t>
              </w:r>
            </w:hyperlink>
          </w:p>
        </w:tc>
        <w:tc>
          <w:tcPr>
            <w:tcW w:w="18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10.45</w:t>
            </w:r>
          </w:p>
        </w:tc>
        <w:tc>
          <w:tcPr>
            <w:tcW w:w="360" w:type="dxa"/>
            <w:vAlign w:val="bottom"/>
          </w:tcPr>
          <w:p>
            <w:pPr>
              <w:spacing w:after="0"/>
              <w:rPr>
                <w:sz w:val="24"/>
                <w:szCs w:val="24"/>
                <w:color w:val="auto"/>
              </w:rPr>
            </w:pPr>
          </w:p>
        </w:tc>
        <w:tc>
          <w:tcPr>
            <w:tcW w:w="4580" w:type="dxa"/>
            <w:vAlign w:val="bottom"/>
            <w:tcBorders>
              <w:bottom w:val="single" w:sz="8" w:color="0000EE"/>
            </w:tcBorders>
            <w:gridSpan w:val="14"/>
          </w:tcPr>
          <w:p>
            <w:pPr>
              <w:spacing w:after="0"/>
              <w:rPr>
                <w:rFonts w:ascii="Arial" w:cs="Arial" w:eastAsia="Arial" w:hAnsi="Arial"/>
                <w:sz w:val="18"/>
                <w:szCs w:val="18"/>
                <w:color w:val="0000EE"/>
                <w:w w:val="88"/>
              </w:rPr>
            </w:pPr>
            <w:hyperlink r:id="rId134">
              <w:r>
                <w:rPr>
                  <w:rFonts w:ascii="Arial" w:cs="Arial" w:eastAsia="Arial" w:hAnsi="Arial"/>
                  <w:sz w:val="18"/>
                  <w:szCs w:val="18"/>
                  <w:color w:val="0000EE"/>
                  <w:w w:val="88"/>
                </w:rPr>
                <w:t>Securities Purchase Agreement, dated as of December 11, 2017</w:t>
              </w:r>
            </w:hyperlink>
          </w:p>
        </w:tc>
        <w:tc>
          <w:tcPr>
            <w:tcW w:w="19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606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Principal Executive Officer and Principal Financial and Accounting</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60" w:type="dxa"/>
            <w:vAlign w:val="bottom"/>
            <w:gridSpan w:val="31"/>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Officer Required Under Rule 13a-14(a) and 15d-14(a) of the Securities Exchange Act of</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1934, as amended</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7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604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Principal Executive Officer and Principal Financial and Accounting</w:t>
              </w:r>
            </w:hyperlink>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60" w:type="dxa"/>
            <w:vAlign w:val="bottom"/>
            <w:gridSpan w:val="31"/>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Officer Required Under Rule 13a-14(b) of the Securities Exchange Act of 1934,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amended, and 18 U.S.C. §1350</w:t>
              </w:r>
            </w:hyperlink>
          </w:p>
        </w:tc>
        <w:tc>
          <w:tcPr>
            <w:tcW w:w="3760" w:type="dxa"/>
            <w:vAlign w:val="bottom"/>
            <w:tcBorders>
              <w:top w:val="single" w:sz="8" w:color="0000EE"/>
            </w:tcBorders>
            <w:gridSpan w:val="13"/>
          </w:tcPr>
          <w:p>
            <w:pPr>
              <w:spacing w:after="0"/>
              <w:rPr>
                <w:sz w:val="17"/>
                <w:szCs w:val="17"/>
                <w:color w:val="auto"/>
              </w:rPr>
            </w:pPr>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560" w:type="dxa"/>
            <w:vAlign w:val="bottom"/>
            <w:gridSpan w:val="3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560" w:type="dxa"/>
            <w:vAlign w:val="bottom"/>
            <w:gridSpan w:val="3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560" w:type="dxa"/>
            <w:vAlign w:val="bottom"/>
            <w:gridSpan w:val="3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560" w:type="dxa"/>
            <w:vAlign w:val="bottom"/>
            <w:gridSpan w:val="3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560" w:type="dxa"/>
            <w:vAlign w:val="bottom"/>
            <w:gridSpan w:val="3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560" w:type="dxa"/>
            <w:vAlign w:val="bottom"/>
            <w:gridSpan w:val="3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0" w:type="dxa"/>
            <w:vAlign w:val="bottom"/>
            <w:gridSpan w:val="16"/>
          </w:tcPr>
          <w:p>
            <w:pPr>
              <w:ind w:left="474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8"/>
              </w:rPr>
              <w:t>Registrant’s</w:t>
            </w:r>
          </w:p>
        </w:tc>
        <w:tc>
          <w:tcPr>
            <w:tcW w:w="10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Date Filed</w:t>
            </w: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r>
      <w:tr>
        <w:trPr>
          <w:trHeight w:val="185"/>
        </w:trPr>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with the SEC</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October 15, 2015</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October 15, 2015</w:t>
            </w:r>
          </w:p>
        </w:tc>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October 15, 2015</w:t>
            </w:r>
          </w:p>
        </w:tc>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S-1/A</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December 22, 2015</w:t>
            </w:r>
          </w:p>
        </w:tc>
        <w:tc>
          <w:tcPr>
            <w:tcW w:w="520" w:type="dxa"/>
            <w:vAlign w:val="bottom"/>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40"/>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January 28, 2016</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40"/>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July 6, 2016</w:t>
            </w:r>
          </w:p>
        </w:tc>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July 6, 2016</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July 6, 2016</w:t>
            </w:r>
          </w:p>
        </w:tc>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S-1/A</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September 20, 2016</w:t>
            </w:r>
          </w:p>
        </w:tc>
        <w:tc>
          <w:tcPr>
            <w:tcW w:w="520" w:type="dxa"/>
            <w:vAlign w:val="bottom"/>
          </w:tcPr>
          <w:p>
            <w:pPr>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900" w:type="dxa"/>
            <w:vAlign w:val="bottom"/>
          </w:tcPr>
          <w:p>
            <w:pPr>
              <w:ind w:left="280"/>
              <w:spacing w:after="0"/>
              <w:rPr>
                <w:sz w:val="20"/>
                <w:szCs w:val="20"/>
                <w:color w:val="auto"/>
              </w:rPr>
            </w:pPr>
            <w:r>
              <w:rPr>
                <w:rFonts w:ascii="Arial" w:cs="Arial" w:eastAsia="Arial" w:hAnsi="Arial"/>
                <w:sz w:val="18"/>
                <w:szCs w:val="18"/>
                <w:color w:val="auto"/>
              </w:rPr>
              <w:t>December 27, 2016</w:t>
            </w:r>
          </w:p>
        </w:tc>
        <w:tc>
          <w:tcPr>
            <w:tcW w:w="600" w:type="dxa"/>
            <w:vAlign w:val="bottom"/>
          </w:tcPr>
          <w:p>
            <w:pPr>
              <w:ind w:left="200"/>
              <w:spacing w:after="0"/>
              <w:rPr>
                <w:sz w:val="20"/>
                <w:szCs w:val="20"/>
                <w:color w:val="auto"/>
              </w:rPr>
            </w:pPr>
            <w:r>
              <w:rPr>
                <w:rFonts w:ascii="Arial" w:cs="Arial" w:eastAsia="Arial" w:hAnsi="Arial"/>
                <w:sz w:val="18"/>
                <w:szCs w:val="18"/>
                <w:color w:val="auto"/>
              </w:rPr>
              <w:t>2.1</w:t>
            </w:r>
          </w:p>
        </w:tc>
      </w:tr>
      <w:tr>
        <w:trPr>
          <w:trHeight w:val="540"/>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900" w:type="dxa"/>
            <w:vAlign w:val="bottom"/>
          </w:tcPr>
          <w:p>
            <w:pPr>
              <w:ind w:left="280"/>
              <w:spacing w:after="0"/>
              <w:rPr>
                <w:sz w:val="20"/>
                <w:szCs w:val="20"/>
                <w:color w:val="auto"/>
              </w:rPr>
            </w:pPr>
            <w:r>
              <w:rPr>
                <w:rFonts w:ascii="Arial" w:cs="Arial" w:eastAsia="Arial" w:hAnsi="Arial"/>
                <w:sz w:val="18"/>
                <w:szCs w:val="18"/>
                <w:color w:val="auto"/>
              </w:rPr>
              <w:t>February 1, 2017</w:t>
            </w:r>
          </w:p>
        </w:tc>
        <w:tc>
          <w:tcPr>
            <w:tcW w:w="600" w:type="dxa"/>
            <w:vAlign w:val="bottom"/>
          </w:tcPr>
          <w:p>
            <w:pPr>
              <w:ind w:left="200"/>
              <w:spacing w:after="0"/>
              <w:rPr>
                <w:sz w:val="20"/>
                <w:szCs w:val="20"/>
                <w:color w:val="auto"/>
              </w:rPr>
            </w:pPr>
            <w:r>
              <w:rPr>
                <w:rFonts w:ascii="Arial" w:cs="Arial" w:eastAsia="Arial" w:hAnsi="Arial"/>
                <w:sz w:val="18"/>
                <w:szCs w:val="18"/>
                <w:color w:val="auto"/>
                <w:w w:val="84"/>
              </w:rPr>
              <w:t>10.51</w:t>
            </w:r>
          </w:p>
        </w:tc>
      </w:tr>
      <w:tr>
        <w:trPr>
          <w:trHeight w:val="540"/>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900" w:type="dxa"/>
            <w:vAlign w:val="bottom"/>
          </w:tcPr>
          <w:p>
            <w:pPr>
              <w:ind w:left="280"/>
              <w:spacing w:after="0"/>
              <w:rPr>
                <w:sz w:val="20"/>
                <w:szCs w:val="20"/>
                <w:color w:val="auto"/>
              </w:rPr>
            </w:pPr>
            <w:r>
              <w:rPr>
                <w:rFonts w:ascii="Arial" w:cs="Arial" w:eastAsia="Arial" w:hAnsi="Arial"/>
                <w:sz w:val="18"/>
                <w:szCs w:val="18"/>
                <w:color w:val="auto"/>
              </w:rPr>
              <w:t>February 1, 2017</w:t>
            </w:r>
          </w:p>
        </w:tc>
        <w:tc>
          <w:tcPr>
            <w:tcW w:w="600" w:type="dxa"/>
            <w:vAlign w:val="bottom"/>
          </w:tcPr>
          <w:p>
            <w:pPr>
              <w:ind w:left="200"/>
              <w:spacing w:after="0"/>
              <w:rPr>
                <w:sz w:val="20"/>
                <w:szCs w:val="20"/>
                <w:color w:val="auto"/>
              </w:rPr>
            </w:pPr>
            <w:r>
              <w:rPr>
                <w:rFonts w:ascii="Arial" w:cs="Arial" w:eastAsia="Arial" w:hAnsi="Arial"/>
                <w:sz w:val="18"/>
                <w:szCs w:val="18"/>
                <w:color w:val="auto"/>
                <w:w w:val="84"/>
              </w:rPr>
              <w:t>10.52</w:t>
            </w:r>
          </w:p>
        </w:tc>
      </w:tr>
      <w:tr>
        <w:trPr>
          <w:trHeight w:val="54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900" w:type="dxa"/>
            <w:vAlign w:val="bottom"/>
          </w:tcPr>
          <w:p>
            <w:pPr>
              <w:ind w:left="280"/>
              <w:spacing w:after="0"/>
              <w:rPr>
                <w:sz w:val="20"/>
                <w:szCs w:val="20"/>
                <w:color w:val="auto"/>
              </w:rPr>
            </w:pPr>
            <w:r>
              <w:rPr>
                <w:rFonts w:ascii="Arial" w:cs="Arial" w:eastAsia="Arial" w:hAnsi="Arial"/>
                <w:sz w:val="18"/>
                <w:szCs w:val="18"/>
                <w:color w:val="auto"/>
              </w:rPr>
              <w:t>July 24, 2017</w:t>
            </w:r>
          </w:p>
        </w:tc>
        <w:tc>
          <w:tcPr>
            <w:tcW w:w="600" w:type="dxa"/>
            <w:vAlign w:val="bottom"/>
          </w:tcPr>
          <w:p>
            <w:pPr>
              <w:ind w:left="200"/>
              <w:spacing w:after="0"/>
              <w:rPr>
                <w:sz w:val="20"/>
                <w:szCs w:val="20"/>
                <w:color w:val="auto"/>
              </w:rPr>
            </w:pPr>
            <w:r>
              <w:rPr>
                <w:rFonts w:ascii="Arial" w:cs="Arial" w:eastAsia="Arial" w:hAnsi="Arial"/>
                <w:sz w:val="18"/>
                <w:szCs w:val="18"/>
                <w:color w:val="auto"/>
              </w:rPr>
              <w:t>2.1</w:t>
            </w:r>
          </w:p>
        </w:tc>
      </w:tr>
      <w:tr>
        <w:trPr>
          <w:trHeight w:val="54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900" w:type="dxa"/>
            <w:vAlign w:val="bottom"/>
          </w:tcPr>
          <w:p>
            <w:pPr>
              <w:ind w:left="280"/>
              <w:spacing w:after="0"/>
              <w:rPr>
                <w:sz w:val="20"/>
                <w:szCs w:val="20"/>
                <w:color w:val="auto"/>
              </w:rPr>
            </w:pPr>
            <w:r>
              <w:rPr>
                <w:rFonts w:ascii="Arial" w:cs="Arial" w:eastAsia="Arial" w:hAnsi="Arial"/>
                <w:sz w:val="18"/>
                <w:szCs w:val="18"/>
                <w:color w:val="auto"/>
              </w:rPr>
              <w:t>December 8, 2017</w:t>
            </w:r>
          </w:p>
        </w:tc>
        <w:tc>
          <w:tcPr>
            <w:tcW w:w="600" w:type="dxa"/>
            <w:vAlign w:val="bottom"/>
          </w:tcPr>
          <w:p>
            <w:pPr>
              <w:ind w:left="200"/>
              <w:spacing w:after="0"/>
              <w:rPr>
                <w:sz w:val="20"/>
                <w:szCs w:val="20"/>
                <w:color w:val="auto"/>
              </w:rPr>
            </w:pPr>
            <w:r>
              <w:rPr>
                <w:rFonts w:ascii="Arial" w:cs="Arial" w:eastAsia="Arial" w:hAnsi="Arial"/>
                <w:sz w:val="18"/>
                <w:szCs w:val="18"/>
                <w:color w:val="auto"/>
              </w:rPr>
              <w:t>2.1</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900" w:type="dxa"/>
            <w:vAlign w:val="bottom"/>
          </w:tcPr>
          <w:p>
            <w:pPr>
              <w:ind w:left="280"/>
              <w:spacing w:after="0"/>
              <w:rPr>
                <w:sz w:val="20"/>
                <w:szCs w:val="20"/>
                <w:color w:val="auto"/>
              </w:rPr>
            </w:pPr>
            <w:r>
              <w:rPr>
                <w:rFonts w:ascii="Arial" w:cs="Arial" w:eastAsia="Arial" w:hAnsi="Arial"/>
                <w:sz w:val="18"/>
                <w:szCs w:val="18"/>
                <w:color w:val="auto"/>
              </w:rPr>
              <w:t>December 13, 2017</w:t>
            </w:r>
          </w:p>
        </w:tc>
        <w:tc>
          <w:tcPr>
            <w:tcW w:w="600" w:type="dxa"/>
            <w:vAlign w:val="bottom"/>
          </w:tcPr>
          <w:p>
            <w:pPr>
              <w:ind w:left="200"/>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32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440" w:space="100"/>
            <w:col w:w="3880"/>
          </w:cols>
          <w:pgMar w:left="240" w:top="265" w:right="239" w:bottom="1440" w:gutter="0" w:footer="0" w:header="0"/>
        </w:sectPr>
      </w:pPr>
    </w:p>
    <w:bookmarkStart w:id="32" w:name="page33"/>
    <w:bookmarkEnd w:id="3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8"/>
          <w:szCs w:val="18"/>
          <w:b w:val="1"/>
          <w:bCs w:val="1"/>
          <w:color w:val="auto"/>
        </w:rPr>
        <w:t>SOLENO THERAPEUTICS,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Anish Bhatnagar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and principal financial and accounting officer)</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240" w:top="270" w:right="5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20" w:firstLine="4"/>
        <w:spacing w:after="0" w:line="264" w:lineRule="auto"/>
        <w:tabs>
          <w:tab w:leader="none" w:pos="70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400" w:firstLine="4"/>
        <w:spacing w:after="0" w:line="277" w:lineRule="auto"/>
        <w:tabs>
          <w:tab w:leader="none" w:pos="70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and 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March 31, 2018,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193" w:lineRule="exact"/>
        <w:rPr>
          <w:sz w:val="20"/>
          <w:szCs w:val="20"/>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and 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100" Type="http://schemas.openxmlformats.org/officeDocument/2006/relationships/image" Target="media/image42.png"/><Relationship Id="rId101" Type="http://schemas.openxmlformats.org/officeDocument/2006/relationships/image" Target="media/image43.png"/><Relationship Id="rId121" Type="http://schemas.openxmlformats.org/officeDocument/2006/relationships/image" Target="media/image44.png"/><Relationship Id="rId135" Type="http://schemas.openxmlformats.org/officeDocument/2006/relationships/image" Target="media/image45.png"/><Relationship Id="rId136" Type="http://schemas.openxmlformats.org/officeDocument/2006/relationships/image" Target="media/image46.png"/><Relationship Id="rId137" Type="http://schemas.openxmlformats.org/officeDocument/2006/relationships/image" Target="media/image47.png"/><Relationship Id="rId138" Type="http://schemas.openxmlformats.org/officeDocument/2006/relationships/image" Target="media/image48.png"/><Relationship Id="rId47" Type="http://schemas.openxmlformats.org/officeDocument/2006/relationships/hyperlink" Target="http://www.sec.gov/Archives/edgar/data/1484565/000162828017007221/ehx21.htm" TargetMode="External"/><Relationship Id="rId48" Type="http://schemas.openxmlformats.org/officeDocument/2006/relationships/hyperlink" Target="http://www.sec.gov/Archives/edgar/data/1484565/000162828017012274/ex21soleno-captainjvagreem.htm" TargetMode="External"/><Relationship Id="rId49" Type="http://schemas.openxmlformats.org/officeDocument/2006/relationships/hyperlink" Target="http://www.sec.gov/Archives/edgar/data/1484565/000162828017012274/ex22ippurchaseagreement.htm" TargetMode="External"/><Relationship Id="rId50" Type="http://schemas.openxmlformats.org/officeDocument/2006/relationships/hyperlink" Target="http://www.sec.gov/Archives/edgar/data/1484565/000162828017012274/ex23soleno-transitionservi.htm" TargetMode="External"/><Relationship Id="rId51" Type="http://schemas.openxmlformats.org/officeDocument/2006/relationships/hyperlink" Target="http://www.sec.gov/Archives/edgar/data/1484565/000119312514300848/d711637dex32.htm" TargetMode="External"/><Relationship Id="rId52" Type="http://schemas.openxmlformats.org/officeDocument/2006/relationships/hyperlink" Target="http://www.sec.gov/Archives/edgar/data/1484565/000119312514256995/d711637dex34.htm" TargetMode="External"/><Relationship Id="rId53" Type="http://schemas.openxmlformats.org/officeDocument/2006/relationships/hyperlink" Target="http://www.sec.gov/Archives/edgar/data/1484565/000119312515344002/d67111dex31.htm" TargetMode="External"/><Relationship Id="rId54" Type="http://schemas.openxmlformats.org/officeDocument/2006/relationships/hyperlink" Target="http://www.sec.gov/Archives/edgar/data/1484565/000119312516642505/d221558dex31.htm" TargetMode="External"/><Relationship Id="rId55" Type="http://schemas.openxmlformats.org/officeDocument/2006/relationships/hyperlink" Target="http://www.sec.gov/Archives/edgar/data/1484565/000162828017005427/exhibit31.htm" TargetMode="External"/><Relationship Id="rId56" Type="http://schemas.openxmlformats.org/officeDocument/2006/relationships/hyperlink" Target="http://www.sec.gov/Archives/edgar/data/1484565/000162828017009761/soleno-certificateofamendm.htm" TargetMode="External"/><Relationship Id="rId57" Type="http://schemas.openxmlformats.org/officeDocument/2006/relationships/hyperlink" Target="http://www.sec.gov/Archives/edgar/data/1484565/000119312514293949/d711637dex41.htm" TargetMode="External"/><Relationship Id="rId58" Type="http://schemas.openxmlformats.org/officeDocument/2006/relationships/hyperlink" Target="http://www.sec.gov/Archives/edgar/data/1484565/000119312514256995/d711637dex42.htm" TargetMode="External"/><Relationship Id="rId59" Type="http://schemas.openxmlformats.org/officeDocument/2006/relationships/hyperlink" Target="http://www.sec.gov/Archives/edgar/data/1484565/000119312514293949/d711637dex43.htm" TargetMode="External"/><Relationship Id="rId60" Type="http://schemas.openxmlformats.org/officeDocument/2006/relationships/hyperlink" Target="http://www.sec.gov/Archives/edgar/data/1484565/000119312514293949/d711637dex44.htm" TargetMode="External"/><Relationship Id="rId61" Type="http://schemas.openxmlformats.org/officeDocument/2006/relationships/hyperlink" Target="http://www.sec.gov/Archives/edgar/data/1484565/000119312514293949/d711637dex45.htm" TargetMode="External"/><Relationship Id="rId62" Type="http://schemas.openxmlformats.org/officeDocument/2006/relationships/hyperlink" Target="http://www.sec.gov/Archives/edgar/data/1484565/000119312514231812/d711637dex46.htm" TargetMode="External"/><Relationship Id="rId63" Type="http://schemas.openxmlformats.org/officeDocument/2006/relationships/hyperlink" Target="http://www.sec.gov/Archives/edgar/data/1484565/000119312514231812/d711637dex47.htm" TargetMode="External"/><Relationship Id="rId64" Type="http://schemas.openxmlformats.org/officeDocument/2006/relationships/hyperlink" Target="http://www.sec.gov/Archives/edgar/data/1484565/000119312514231812/d711637dex48.htm" TargetMode="External"/><Relationship Id="rId65" Type="http://schemas.openxmlformats.org/officeDocument/2006/relationships/hyperlink" Target="http://www.sec.gov/Archives/edgar/data/1484565/000119312514231812/d711637dex49.htm" TargetMode="External"/><Relationship Id="rId66" Type="http://schemas.openxmlformats.org/officeDocument/2006/relationships/hyperlink" Target="http://www.sec.gov/Archives/edgar/data/1484565/000119312514231812/d711637dex410.htm" TargetMode="External"/><Relationship Id="rId67" Type="http://schemas.openxmlformats.org/officeDocument/2006/relationships/hyperlink" Target="http://www.sec.gov/Archives/edgar/data/1484565/000119312514231812/d711637dex411.htm" TargetMode="External"/><Relationship Id="rId68" Type="http://schemas.openxmlformats.org/officeDocument/2006/relationships/hyperlink" Target="http://www.sec.gov/Archives/edgar/data/1484565/000119312514231812/d711637dex412.htm" TargetMode="External"/><Relationship Id="rId71" Type="http://schemas.openxmlformats.org/officeDocument/2006/relationships/hyperlink" Target="http://www.sec.gov/Archives/edgar/data/1484565/000119312514231812/d711637dex413.htm" TargetMode="External"/><Relationship Id="rId72" Type="http://schemas.openxmlformats.org/officeDocument/2006/relationships/hyperlink" Target="http://www.sec.gov/Archives/edgar/data/1484565/000119312514231812/d711637dex414.htm" TargetMode="External"/><Relationship Id="rId73" Type="http://schemas.openxmlformats.org/officeDocument/2006/relationships/hyperlink" Target="http://www.sec.gov/Archives/edgar/data/1484565/000119312514231812/d711637dex415.htm" TargetMode="External"/><Relationship Id="rId74" Type="http://schemas.openxmlformats.org/officeDocument/2006/relationships/hyperlink" Target="http://www.sec.gov/Archives/edgar/data/1484565/000119312514293949/d711637dex416.htm" TargetMode="External"/><Relationship Id="rId75" Type="http://schemas.openxmlformats.org/officeDocument/2006/relationships/hyperlink" Target="http://www.sec.gov/Archives/edgar/data/1484565/000119312514396517/d711637dex417.htm" TargetMode="External"/><Relationship Id="rId76" Type="http://schemas.openxmlformats.org/officeDocument/2006/relationships/hyperlink" Target="http://www.sec.gov/Archives/edgar/data/1484565/000119312514396517/d711637dex418.htm" TargetMode="External"/><Relationship Id="rId77" Type="http://schemas.openxmlformats.org/officeDocument/2006/relationships/hyperlink" Target="http://www.sec.gov/Archives/edgar/data/1484565/000119312515114723/d893037dex419.htm" TargetMode="External"/><Relationship Id="rId78" Type="http://schemas.openxmlformats.org/officeDocument/2006/relationships/hyperlink" Target="http://www.sec.gov/Archives/edgar/data/1484565/000119312515114723/d893037dex420.htm" TargetMode="External"/><Relationship Id="rId79" Type="http://schemas.openxmlformats.org/officeDocument/2006/relationships/hyperlink" Target="http://www.sec.gov/Archives/edgar/data/1484565/000119312515344002/d67111dex41.htm" TargetMode="External"/><Relationship Id="rId80" Type="http://schemas.openxmlformats.org/officeDocument/2006/relationships/hyperlink" Target="http://www.sec.gov/Archives/edgar/data/1484565/000119312515344002/d67111dex42.htm" TargetMode="External"/><Relationship Id="rId81" Type="http://schemas.openxmlformats.org/officeDocument/2006/relationships/hyperlink" Target="http://www.sec.gov/Archives/edgar/data/1484565/000119312515344002/d67111dex43.htm" TargetMode="External"/><Relationship Id="rId82" Type="http://schemas.openxmlformats.org/officeDocument/2006/relationships/hyperlink" Target="http://www.sec.gov/Archives/edgar/data/1484565/000119312515344002/d67111dex44.htm" TargetMode="External"/><Relationship Id="rId83" Type="http://schemas.openxmlformats.org/officeDocument/2006/relationships/hyperlink" Target="http://www.sec.gov/Archives/edgar/data/1484565/000119312516642505/d221558dex41.htm" TargetMode="External"/><Relationship Id="rId84" Type="http://schemas.openxmlformats.org/officeDocument/2006/relationships/hyperlink" Target="http://www.sec.gov/Archives/edgar/data/1484565/000119312516642505/d221558dex42.htm" TargetMode="External"/><Relationship Id="rId85" Type="http://schemas.openxmlformats.org/officeDocument/2006/relationships/hyperlink" Target="http://www.sec.gov/Archives/edgar/data/1484565/000148456517000004/ex41commonstockwarrant.htm" TargetMode="External"/><Relationship Id="rId86" Type="http://schemas.openxmlformats.org/officeDocument/2006/relationships/hyperlink" Target="http://www.sec.gov/Archives/edgar/data/1484565/000119312515344002/d67111dex91.htm" TargetMode="External"/><Relationship Id="rId87" Type="http://schemas.openxmlformats.org/officeDocument/2006/relationships/hyperlink" Target="http://www.sec.gov/Archives/edgar/data/1484565/000119312516642505/d221558dex91.htm" TargetMode="External"/><Relationship Id="rId88" Type="http://schemas.openxmlformats.org/officeDocument/2006/relationships/hyperlink" Target="http://www.sec.gov/Archives/edgar/data/1484565/000119312516803934/d282262dex101.htm" TargetMode="External"/><Relationship Id="rId89" Type="http://schemas.openxmlformats.org/officeDocument/2006/relationships/hyperlink" Target="http://www.sec.gov/Archives/edgar/data/1484565/000119312514231812/d711637dex101.htm" TargetMode="External"/><Relationship Id="rId90" Type="http://schemas.openxmlformats.org/officeDocument/2006/relationships/hyperlink" Target="http://www.sec.gov/Archives/edgar/data/1484565/000119312514231812/d711637dex102.htm" TargetMode="External"/><Relationship Id="rId91" Type="http://schemas.openxmlformats.org/officeDocument/2006/relationships/hyperlink" Target="http://www.sec.gov/Archives/edgar/data/1484565/000119312514231812/d711637dex103.htm" TargetMode="External"/><Relationship Id="rId92" Type="http://schemas.openxmlformats.org/officeDocument/2006/relationships/hyperlink" Target="http://www.sec.gov/Archives/edgar/data/1484565/000119312514256995/d711637dex104.htm" TargetMode="External"/><Relationship Id="rId93" Type="http://schemas.openxmlformats.org/officeDocument/2006/relationships/hyperlink" Target="http://www.sec.gov/Archives/edgar/data/1484565/000119312514256995/d711637dex105.htm" TargetMode="External"/><Relationship Id="rId94" Type="http://schemas.openxmlformats.org/officeDocument/2006/relationships/hyperlink" Target="http://www.sec.gov/Archives/edgar/data/1484565/000119312514231812/d711637dex106.htm" TargetMode="External"/><Relationship Id="rId95" Type="http://schemas.openxmlformats.org/officeDocument/2006/relationships/hyperlink" Target="http://www.sec.gov/Archives/edgar/data/1484565/000119312514231812/d711637dex107.htm" TargetMode="External"/><Relationship Id="rId96" Type="http://schemas.openxmlformats.org/officeDocument/2006/relationships/hyperlink" Target="http://www.sec.gov/Archives/edgar/data/1484565/000119312514231812/d711637dex108.htm" TargetMode="External"/><Relationship Id="rId97" Type="http://schemas.openxmlformats.org/officeDocument/2006/relationships/hyperlink" Target="http://www.sec.gov/Archives/edgar/data/1484565/000119312514231812/d711637dex109.htm" TargetMode="External"/><Relationship Id="rId98" Type="http://schemas.openxmlformats.org/officeDocument/2006/relationships/hyperlink" Target="http://www.sec.gov/Archives/edgar/data/1484565/000119312514231812/d711637dex1010.htm" TargetMode="External"/><Relationship Id="rId99" Type="http://schemas.openxmlformats.org/officeDocument/2006/relationships/hyperlink" Target="http://www.sec.gov/Archives/edgar/data/1484565/000119312514231812/d711637dex1011.htm" TargetMode="External"/><Relationship Id="rId102" Type="http://schemas.openxmlformats.org/officeDocument/2006/relationships/hyperlink" Target="http://www.sec.gov/Archives/edgar/data/1484565/000119312514231812/d711637dex1012.htm" TargetMode="External"/><Relationship Id="rId103" Type="http://schemas.openxmlformats.org/officeDocument/2006/relationships/hyperlink" Target="http://www.sec.gov/Archives/edgar/data/1484565/000119312514231812/d711637dex1013.htm" TargetMode="External"/><Relationship Id="rId104" Type="http://schemas.openxmlformats.org/officeDocument/2006/relationships/hyperlink" Target="http://www.sec.gov/Archives/edgar/data/1484565/000119312514231812/d711637dex1014.htm" TargetMode="External"/><Relationship Id="rId105" Type="http://schemas.openxmlformats.org/officeDocument/2006/relationships/hyperlink" Target="http://www.sec.gov/Archives/edgar/data/1484565/000119312514231812/d711637dex1015.htm" TargetMode="External"/><Relationship Id="rId106" Type="http://schemas.openxmlformats.org/officeDocument/2006/relationships/hyperlink" Target="http://www.sec.gov/Archives/edgar/data/1484565/000119312514231812/d711637dex1016.htm" TargetMode="External"/><Relationship Id="rId107" Type="http://schemas.openxmlformats.org/officeDocument/2006/relationships/hyperlink" Target="http://www.sec.gov/Archives/edgar/data/1484565/000119312514231812/d711637dex1017.htm" TargetMode="External"/><Relationship Id="rId108" Type="http://schemas.openxmlformats.org/officeDocument/2006/relationships/hyperlink" Target="http://www.sec.gov/Archives/edgar/data/1484565/000119312514231812/d711637dex1018.htm" TargetMode="External"/><Relationship Id="rId109" Type="http://schemas.openxmlformats.org/officeDocument/2006/relationships/hyperlink" Target="http://www.sec.gov/Archives/edgar/data/1484565/000119312514256995/d711637dex1019.htm" TargetMode="External"/><Relationship Id="rId110" Type="http://schemas.openxmlformats.org/officeDocument/2006/relationships/hyperlink" Target="http://www.sec.gov/Archives/edgar/data/1484565/000119312514274666/d711637dex1020.htm" TargetMode="External"/><Relationship Id="rId111" Type="http://schemas.openxmlformats.org/officeDocument/2006/relationships/hyperlink" Target="http://www.sec.gov/Archives/edgar/data/1484565/000119312514357384/d711637dex1021.htm" TargetMode="External"/><Relationship Id="rId112" Type="http://schemas.openxmlformats.org/officeDocument/2006/relationships/hyperlink" Target="http://www.sec.gov/Archives/edgar/data/1484565/000119312514396517/d711637dex1022.htm" TargetMode="External"/><Relationship Id="rId113" Type="http://schemas.openxmlformats.org/officeDocument/2006/relationships/hyperlink" Target="http://www.sec.gov/Archives/edgar/data/1484565/000119312514396517/d711637dex1023.htm" TargetMode="External"/><Relationship Id="rId114" Type="http://schemas.openxmlformats.org/officeDocument/2006/relationships/hyperlink" Target="http://www.sec.gov/Archives/edgar/data/1484565/000119312515078868/d886135dex101.htm" TargetMode="External"/><Relationship Id="rId115" Type="http://schemas.openxmlformats.org/officeDocument/2006/relationships/hyperlink" Target="http://www.sec.gov/Archives/edgar/data/1484565/000119312515114723/d893037dex1025.htm" TargetMode="External"/><Relationship Id="rId116" Type="http://schemas.openxmlformats.org/officeDocument/2006/relationships/hyperlink" Target="http://www.sec.gov/Archives/edgar/data/1484565/000119312515246752/d72536dex101.htm" TargetMode="External"/><Relationship Id="rId117" Type="http://schemas.openxmlformats.org/officeDocument/2006/relationships/hyperlink" Target="http://www.sec.gov/Archives/edgar/data/1484565/000119312515246752/d72536dex102.htm" TargetMode="External"/><Relationship Id="rId118" Type="http://schemas.openxmlformats.org/officeDocument/2006/relationships/hyperlink" Target="http://www.sec.gov/Archives/edgar/data/1484565/000119312515264172/d151899dex41.htm" TargetMode="External"/><Relationship Id="rId119" Type="http://schemas.openxmlformats.org/officeDocument/2006/relationships/hyperlink" Target="http://www.sec.gov/Archives/edgar/data/1484565/000119312515264172/d151899dex101.htm" TargetMode="External"/><Relationship Id="rId120" Type="http://schemas.openxmlformats.org/officeDocument/2006/relationships/hyperlink" Target="http://www.sec.gov/Archives/edgar/data/1484565/000119312515344002/d67111dex11.htm" TargetMode="External"/><Relationship Id="rId122" Type="http://schemas.openxmlformats.org/officeDocument/2006/relationships/hyperlink" Target="http://www.sec.gov/Archives/edgar/data/1484565/000119312515344002/d67111dex101.htm" TargetMode="External"/><Relationship Id="rId123" Type="http://schemas.openxmlformats.org/officeDocument/2006/relationships/hyperlink" Target="http://www.sec.gov/Archives/edgar/data/1484565/000119312515344002/d67111dex102.htm" TargetMode="External"/><Relationship Id="rId124" Type="http://schemas.openxmlformats.org/officeDocument/2006/relationships/hyperlink" Target="http://www.sec.gov/Archives/edgar/data/1484565/000119312515344002/d67111dex103.htm" TargetMode="External"/><Relationship Id="rId125" Type="http://schemas.openxmlformats.org/officeDocument/2006/relationships/hyperlink" Target="http://www.sec.gov/Archives/edgar/data/1484565/000119312515410913/d83264dex1033.htm" TargetMode="External"/><Relationship Id="rId126" Type="http://schemas.openxmlformats.org/officeDocument/2006/relationships/hyperlink" Target="http://www.sec.gov/Archives/edgar/data/1484565/000119312516441799/d77178dex101.htm" TargetMode="External"/><Relationship Id="rId127" Type="http://schemas.openxmlformats.org/officeDocument/2006/relationships/hyperlink" Target="http://www.sec.gov/Archives/edgar/data/1484565/000119312516642505/d221558dex11.htm" TargetMode="External"/><Relationship Id="rId128" Type="http://schemas.openxmlformats.org/officeDocument/2006/relationships/hyperlink" Target="http://www.sec.gov/Archives/edgar/data/1484565/000119312516642505/d221558dex101.htm" TargetMode="External"/><Relationship Id="rId129" Type="http://schemas.openxmlformats.org/officeDocument/2006/relationships/hyperlink" Target="http://www.sec.gov/Archives/edgar/data/1484565/000119312516642505/d221558dex102.htm" TargetMode="External"/><Relationship Id="rId130" Type="http://schemas.openxmlformats.org/officeDocument/2006/relationships/hyperlink" Target="http://www.sec.gov/Archives/edgar/data/1484565/000119312516714955/d217110dex1039.htm" TargetMode="External"/><Relationship Id="rId131" Type="http://schemas.openxmlformats.org/officeDocument/2006/relationships/hyperlink" Target="http://www.sec.gov/Archives/edgar/data/1484565/000119312516803934/d282262dex21.htm" TargetMode="External"/><Relationship Id="rId132" Type="http://schemas.openxmlformats.org/officeDocument/2006/relationships/hyperlink" Target="http://www.sec.gov/Archives/edgar/data/1484565/000119312517027623/d336318dex1051.htm" TargetMode="External"/><Relationship Id="rId133" Type="http://schemas.openxmlformats.org/officeDocument/2006/relationships/hyperlink" Target="http://www.sec.gov/Archives/edgar/data/1484565/000119312517027623/d336318dex1052.htm" TargetMode="External"/><Relationship Id="rId134" Type="http://schemas.openxmlformats.org/officeDocument/2006/relationships/hyperlink" Target="http://www.sec.gov/Archives/edgar/data/1484565/000148456517000004/ex101securitiespurchase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2019-12-28T21:44:03Z</dcterms:created>
  <dcterms:modified xsi:type="dcterms:W3CDTF">2019-12-28T21:44:03Z</dcterms:modified>
</cp:coreProperties>
</file>