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1003935</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2510790</wp:posOffset>
            </wp:positionH>
            <wp:positionV relativeFrom="paragraph">
              <wp:posOffset>38735</wp:posOffset>
            </wp:positionV>
            <wp:extent cx="21209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20900" cy="8255"/>
                    </a:xfrm>
                    <a:prstGeom prst="rect">
                      <a:avLst/>
                    </a:prstGeom>
                    <a:noFill/>
                  </pic:spPr>
                </pic:pic>
              </a:graphicData>
            </a:graphic>
          </wp:anchor>
        </w:drawing>
      </w:r>
    </w:p>
    <w:p>
      <w:pPr>
        <w:spacing w:after="0" w:line="6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2510790</wp:posOffset>
            </wp:positionH>
            <wp:positionV relativeFrom="paragraph">
              <wp:posOffset>47625</wp:posOffset>
            </wp:positionV>
            <wp:extent cx="21209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0900" cy="8255"/>
                    </a:xfrm>
                    <a:prstGeom prst="rect">
                      <a:avLst/>
                    </a:prstGeom>
                    <a:noFill/>
                  </pic:spPr>
                </pic:pic>
              </a:graphicData>
            </a:graphic>
          </wp:anchor>
        </w:drawing>
      </w:r>
    </w:p>
    <w:p>
      <w:pPr>
        <w:spacing w:after="0" w:line="8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5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46" w:lineRule="exact"/>
        <w:rPr>
          <w:sz w:val="24"/>
          <w:szCs w:val="24"/>
          <w:color w:val="auto"/>
        </w:rPr>
      </w:pPr>
    </w:p>
    <w:tbl>
      <w:tblPr>
        <w:tblLayout w:type="fixed"/>
        <w:tblInd w:w="3960" w:type="dxa"/>
        <w:tblCellMar>
          <w:top w:w="0" w:type="dxa"/>
          <w:left w:w="0" w:type="dxa"/>
          <w:bottom w:w="0" w:type="dxa"/>
          <w:right w:w="0" w:type="dxa"/>
        </w:tblCellMar>
      </w:tblPr>
      <w:tr>
        <w:trPr>
          <w:trHeight w:val="161"/>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580" w:type="dxa"/>
            <w:vAlign w:val="bottom"/>
            <w:tcBorders>
              <w:bottom w:val="single" w:sz="8" w:color="auto"/>
            </w:tcBorders>
          </w:tcPr>
          <w:p>
            <w:pPr>
              <w:spacing w:after="0"/>
              <w:rPr>
                <w:sz w:val="13"/>
                <w:szCs w:val="13"/>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560" w:type="dxa"/>
            <w:vAlign w:val="bottom"/>
            <w:tcBorders>
              <w:bottom w:val="single" w:sz="8" w:color="auto"/>
            </w:tcBorders>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266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Commission File No.: 001-36593</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2510790</wp:posOffset>
            </wp:positionH>
            <wp:positionV relativeFrom="paragraph">
              <wp:posOffset>24765</wp:posOffset>
            </wp:positionV>
            <wp:extent cx="21209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20900" cy="8255"/>
                    </a:xfrm>
                    <a:prstGeom prst="rect">
                      <a:avLst/>
                    </a:prstGeom>
                    <a:noFill/>
                  </pic:spPr>
                </pic:pic>
              </a:graphicData>
            </a:graphic>
          </wp:anchor>
        </w:drawing>
      </w:r>
    </w:p>
    <w:p>
      <w:pPr>
        <w:spacing w:after="0" w:line="35" w:lineRule="exact"/>
        <w:rPr>
          <w:sz w:val="24"/>
          <w:szCs w:val="24"/>
          <w:color w:val="auto"/>
        </w:rPr>
      </w:pPr>
    </w:p>
    <w:tbl>
      <w:tblPr>
        <w:tblLayout w:type="fixed"/>
        <w:tblInd w:w="1720" w:type="dxa"/>
        <w:tblCellMar>
          <w:top w:w="0" w:type="dxa"/>
          <w:left w:w="0" w:type="dxa"/>
          <w:bottom w:w="0" w:type="dxa"/>
          <w:right w:w="0" w:type="dxa"/>
        </w:tblCellMar>
      </w:tblPr>
      <w:tr>
        <w:trPr>
          <w:trHeight w:val="350"/>
        </w:trPr>
        <w:tc>
          <w:tcPr>
            <w:tcW w:w="2240" w:type="dxa"/>
            <w:vAlign w:val="bottom"/>
          </w:tcPr>
          <w:p>
            <w:pPr>
              <w:spacing w:after="0"/>
              <w:rPr>
                <w:sz w:val="24"/>
                <w:szCs w:val="24"/>
                <w:color w:val="auto"/>
              </w:rPr>
            </w:pPr>
          </w:p>
        </w:tc>
        <w:tc>
          <w:tcPr>
            <w:tcW w:w="5020" w:type="dxa"/>
            <w:vAlign w:val="bottom"/>
            <w:gridSpan w:val="2"/>
          </w:tcPr>
          <w:p>
            <w:pPr>
              <w:ind w:left="80"/>
              <w:spacing w:after="0"/>
              <w:rPr>
                <w:sz w:val="20"/>
                <w:szCs w:val="20"/>
                <w:color w:val="auto"/>
              </w:rPr>
            </w:pPr>
            <w:r>
              <w:rPr>
                <w:rFonts w:ascii="Times New Roman" w:cs="Times New Roman" w:eastAsia="Times New Roman" w:hAnsi="Times New Roman"/>
                <w:sz w:val="29"/>
                <w:szCs w:val="29"/>
                <w:b w:val="1"/>
                <w:bCs w:val="1"/>
                <w:color w:val="auto"/>
              </w:rPr>
              <w:t>Soleno Therapeutics, Inc.</w:t>
            </w:r>
          </w:p>
        </w:tc>
      </w:tr>
      <w:tr>
        <w:trPr>
          <w:trHeight w:val="188"/>
        </w:trPr>
        <w:tc>
          <w:tcPr>
            <w:tcW w:w="2240" w:type="dxa"/>
            <w:vAlign w:val="bottom"/>
          </w:tcPr>
          <w:p>
            <w:pPr>
              <w:spacing w:after="0"/>
              <w:rPr>
                <w:sz w:val="16"/>
                <w:szCs w:val="16"/>
                <w:color w:val="auto"/>
              </w:rPr>
            </w:pPr>
          </w:p>
        </w:tc>
        <w:tc>
          <w:tcPr>
            <w:tcW w:w="5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52"/>
        </w:trPr>
        <w:tc>
          <w:tcPr>
            <w:tcW w:w="2240" w:type="dxa"/>
            <w:vAlign w:val="bottom"/>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1680" w:type="dxa"/>
            <w:vAlign w:val="bottom"/>
          </w:tcPr>
          <w:p>
            <w:pPr>
              <w:spacing w:after="0"/>
              <w:rPr>
                <w:sz w:val="4"/>
                <w:szCs w:val="4"/>
                <w:color w:val="auto"/>
              </w:rPr>
            </w:pPr>
          </w:p>
        </w:tc>
      </w:tr>
      <w:tr>
        <w:trPr>
          <w:trHeight w:val="148"/>
        </w:trPr>
        <w:tc>
          <w:tcPr>
            <w:tcW w:w="22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3"/>
                <w:szCs w:val="13"/>
                <w:b w:val="1"/>
                <w:bCs w:val="1"/>
                <w:color w:val="auto"/>
                <w:w w:val="98"/>
              </w:rPr>
              <w:t>Delaware</w:t>
            </w:r>
          </w:p>
        </w:tc>
        <w:tc>
          <w:tcPr>
            <w:tcW w:w="5020" w:type="dxa"/>
            <w:vAlign w:val="bottom"/>
            <w:gridSpan w:val="2"/>
          </w:tcPr>
          <w:p>
            <w:pPr>
              <w:jc w:val="right"/>
              <w:ind w:right="117"/>
              <w:spacing w:after="0" w:line="149" w:lineRule="exact"/>
              <w:rPr>
                <w:sz w:val="20"/>
                <w:szCs w:val="20"/>
                <w:color w:val="auto"/>
              </w:rPr>
            </w:pPr>
            <w:r>
              <w:rPr>
                <w:rFonts w:ascii="Times New Roman" w:cs="Times New Roman" w:eastAsia="Times New Roman" w:hAnsi="Times New Roman"/>
                <w:sz w:val="13"/>
                <w:szCs w:val="13"/>
                <w:b w:val="1"/>
                <w:bCs w:val="1"/>
                <w:color w:val="auto"/>
              </w:rPr>
              <w:t>77-0523891</w:t>
            </w:r>
          </w:p>
        </w:tc>
      </w:tr>
      <w:tr>
        <w:trPr>
          <w:trHeight w:val="135"/>
        </w:trPr>
        <w:tc>
          <w:tcPr>
            <w:tcW w:w="224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340" w:type="dxa"/>
            <w:vAlign w:val="bottom"/>
          </w:tcPr>
          <w:p>
            <w:pPr>
              <w:spacing w:after="0"/>
              <w:rPr>
                <w:sz w:val="11"/>
                <w:szCs w:val="11"/>
                <w:color w:val="auto"/>
              </w:rPr>
            </w:pPr>
          </w:p>
        </w:tc>
        <w:tc>
          <w:tcPr>
            <w:tcW w:w="1680" w:type="dxa"/>
            <w:vAlign w:val="bottom"/>
          </w:tcPr>
          <w:p>
            <w:pPr>
              <w:jc w:val="center"/>
              <w:ind w:left="6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2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340" w:type="dxa"/>
            <w:vAlign w:val="bottom"/>
          </w:tcPr>
          <w:p>
            <w:pPr>
              <w:spacing w:after="0"/>
              <w:rPr>
                <w:sz w:val="14"/>
                <w:szCs w:val="14"/>
                <w:color w:val="auto"/>
              </w:rPr>
            </w:pPr>
          </w:p>
        </w:tc>
        <w:tc>
          <w:tcPr>
            <w:tcW w:w="1680" w:type="dxa"/>
            <w:vAlign w:val="bottom"/>
          </w:tcPr>
          <w:p>
            <w:pPr>
              <w:jc w:val="center"/>
              <w:ind w:left="63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52"/>
        </w:trPr>
        <w:tc>
          <w:tcPr>
            <w:tcW w:w="22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100 Marine Parkway, Suite 400</w:t>
            </w:r>
          </w:p>
        </w:tc>
        <w:tc>
          <w:tcPr>
            <w:tcW w:w="334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148"/>
        </w:trPr>
        <w:tc>
          <w:tcPr>
            <w:tcW w:w="2240" w:type="dxa"/>
            <w:vAlign w:val="bottom"/>
          </w:tcPr>
          <w:p>
            <w:pPr>
              <w:jc w:val="center"/>
              <w:ind w:right="77"/>
              <w:spacing w:after="0" w:line="148" w:lineRule="exact"/>
              <w:rPr>
                <w:sz w:val="20"/>
                <w:szCs w:val="20"/>
                <w:color w:val="auto"/>
              </w:rPr>
            </w:pPr>
            <w:r>
              <w:rPr>
                <w:rFonts w:ascii="Times New Roman" w:cs="Times New Roman" w:eastAsia="Times New Roman" w:hAnsi="Times New Roman"/>
                <w:sz w:val="13"/>
                <w:szCs w:val="13"/>
                <w:b w:val="1"/>
                <w:bCs w:val="1"/>
                <w:color w:val="auto"/>
                <w:w w:val="96"/>
              </w:rPr>
              <w:t>Redwood City, California</w:t>
            </w:r>
          </w:p>
        </w:tc>
        <w:tc>
          <w:tcPr>
            <w:tcW w:w="5020" w:type="dxa"/>
            <w:vAlign w:val="bottom"/>
            <w:gridSpan w:val="2"/>
          </w:tcPr>
          <w:p>
            <w:pPr>
              <w:jc w:val="right"/>
              <w:ind w:right="277"/>
              <w:spacing w:after="0" w:line="148" w:lineRule="exact"/>
              <w:rPr>
                <w:sz w:val="20"/>
                <w:szCs w:val="20"/>
                <w:color w:val="auto"/>
              </w:rPr>
            </w:pPr>
            <w:r>
              <w:rPr>
                <w:rFonts w:ascii="Times New Roman" w:cs="Times New Roman" w:eastAsia="Times New Roman" w:hAnsi="Times New Roman"/>
                <w:sz w:val="13"/>
                <w:szCs w:val="13"/>
                <w:b w:val="1"/>
                <w:bCs w:val="1"/>
                <w:color w:val="auto"/>
              </w:rPr>
              <w:t>94065</w:t>
            </w:r>
          </w:p>
        </w:tc>
      </w:tr>
      <w:tr>
        <w:trPr>
          <w:trHeight w:val="166"/>
        </w:trPr>
        <w:tc>
          <w:tcPr>
            <w:tcW w:w="22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340" w:type="dxa"/>
            <w:vAlign w:val="bottom"/>
          </w:tcPr>
          <w:p>
            <w:pPr>
              <w:spacing w:after="0"/>
              <w:rPr>
                <w:sz w:val="14"/>
                <w:szCs w:val="14"/>
                <w:color w:val="auto"/>
              </w:rPr>
            </w:pPr>
          </w:p>
        </w:tc>
        <w:tc>
          <w:tcPr>
            <w:tcW w:w="1680" w:type="dxa"/>
            <w:vAlign w:val="bottom"/>
          </w:tcPr>
          <w:p>
            <w:pPr>
              <w:jc w:val="center"/>
              <w:ind w:left="63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(650) 213-8444</w:t>
      </w:r>
    </w:p>
    <w:p>
      <w:pPr>
        <w:spacing w:after="0" w:line="12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53" w:lineRule="exact"/>
        <w:rPr>
          <w:sz w:val="24"/>
          <w:szCs w:val="24"/>
          <w:color w:val="auto"/>
        </w:rPr>
      </w:pPr>
    </w:p>
    <w:tbl>
      <w:tblPr>
        <w:tblLayout w:type="fixed"/>
        <w:tblInd w:w="10" w:type="dxa"/>
        <w:tblCellMar>
          <w:top w:w="0" w:type="dxa"/>
          <w:left w:w="0" w:type="dxa"/>
          <w:bottom w:w="0" w:type="dxa"/>
          <w:right w:w="0" w:type="dxa"/>
        </w:tblCellMar>
      </w:tblPr>
      <w:tr>
        <w:trPr>
          <w:trHeight w:val="148"/>
        </w:trPr>
        <w:tc>
          <w:tcPr>
            <w:tcW w:w="4960" w:type="dxa"/>
            <w:vAlign w:val="bottom"/>
            <w:tcBorders>
              <w:top w:val="single" w:sz="8" w:color="auto"/>
              <w:left w:val="single" w:sz="8" w:color="auto"/>
              <w:bottom w:val="single" w:sz="8" w:color="auto"/>
              <w:right w:val="single" w:sz="8" w:color="auto"/>
            </w:tcBorders>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580" w:type="dxa"/>
            <w:vAlign w:val="bottom"/>
            <w:tcBorders>
              <w:top w:val="single" w:sz="8" w:color="auto"/>
              <w:bottom w:val="single" w:sz="8" w:color="auto"/>
              <w:right w:val="single" w:sz="8" w:color="auto"/>
            </w:tcBorders>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760" w:type="dxa"/>
            <w:vAlign w:val="bottom"/>
            <w:tcBorders>
              <w:top w:val="single" w:sz="8" w:color="auto"/>
              <w:bottom w:val="single" w:sz="8" w:color="auto"/>
            </w:tcBorders>
          </w:tcPr>
          <w:p>
            <w:pPr>
              <w:spacing w:after="0"/>
              <w:rPr>
                <w:sz w:val="12"/>
                <w:szCs w:val="12"/>
                <w:color w:val="auto"/>
              </w:rPr>
            </w:pPr>
          </w:p>
        </w:tc>
        <w:tc>
          <w:tcPr>
            <w:tcW w:w="3940" w:type="dxa"/>
            <w:vAlign w:val="bottom"/>
            <w:tcBorders>
              <w:top w:val="single" w:sz="8" w:color="auto"/>
              <w:bottom w:val="single" w:sz="8" w:color="auto"/>
              <w:right w:val="single" w:sz="8" w:color="auto"/>
            </w:tcBorders>
          </w:tcPr>
          <w:p>
            <w:pPr>
              <w:jc w:val="center"/>
              <w:ind w:right="737"/>
              <w:spacing w:after="0" w:line="148" w:lineRule="exact"/>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28"/>
        </w:trPr>
        <w:tc>
          <w:tcPr>
            <w:tcW w:w="4960" w:type="dxa"/>
            <w:vAlign w:val="bottom"/>
            <w:tcBorders>
              <w:left w:val="single" w:sz="8" w:color="auto"/>
              <w:bottom w:val="single" w:sz="8" w:color="auto"/>
              <w:right w:val="single" w:sz="8" w:color="auto"/>
            </w:tcBorders>
            <w:gridSpan w:val="2"/>
          </w:tcPr>
          <w:p>
            <w:pPr>
              <w:jc w:val="center"/>
              <w:spacing w:after="0" w:line="128" w:lineRule="exact"/>
              <w:rPr>
                <w:sz w:val="20"/>
                <w:szCs w:val="20"/>
                <w:color w:val="auto"/>
              </w:rPr>
            </w:pPr>
            <w:r>
              <w:rPr>
                <w:rFonts w:ascii="Times New Roman" w:cs="Times New Roman" w:eastAsia="Times New Roman" w:hAnsi="Times New Roman"/>
                <w:sz w:val="13"/>
                <w:szCs w:val="13"/>
                <w:color w:val="auto"/>
                <w:w w:val="96"/>
              </w:rPr>
              <w:t>Common Stock, $0.001 par value</w:t>
            </w:r>
          </w:p>
        </w:tc>
        <w:tc>
          <w:tcPr>
            <w:tcW w:w="1580" w:type="dxa"/>
            <w:vAlign w:val="bottom"/>
            <w:tcBorders>
              <w:bottom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rPr>
              <w:t>SLNO</w:t>
            </w:r>
          </w:p>
        </w:tc>
        <w:tc>
          <w:tcPr>
            <w:tcW w:w="7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jc w:val="center"/>
              <w:ind w:right="717"/>
              <w:spacing w:after="0" w:line="128" w:lineRule="exact"/>
              <w:rPr>
                <w:sz w:val="20"/>
                <w:szCs w:val="20"/>
                <w:color w:val="auto"/>
              </w:rPr>
            </w:pPr>
            <w:r>
              <w:rPr>
                <w:rFonts w:ascii="Times New Roman" w:cs="Times New Roman" w:eastAsia="Times New Roman" w:hAnsi="Times New Roman"/>
                <w:sz w:val="13"/>
                <w:szCs w:val="13"/>
                <w:color w:val="auto"/>
                <w:w w:val="95"/>
              </w:rPr>
              <w:t>NASDAQ</w:t>
            </w:r>
          </w:p>
        </w:tc>
      </w:tr>
      <w:tr>
        <w:trPr>
          <w:trHeight w:val="287"/>
        </w:trPr>
        <w:tc>
          <w:tcPr>
            <w:tcW w:w="496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137"/>
        </w:trPr>
        <w:tc>
          <w:tcPr>
            <w:tcW w:w="3980" w:type="dxa"/>
            <w:vAlign w:val="bottom"/>
          </w:tcPr>
          <w:p>
            <w:pPr>
              <w:spacing w:after="0"/>
              <w:rPr>
                <w:sz w:val="11"/>
                <w:szCs w:val="11"/>
                <w:color w:val="auto"/>
              </w:rPr>
            </w:pPr>
          </w:p>
        </w:tc>
        <w:tc>
          <w:tcPr>
            <w:tcW w:w="2560" w:type="dxa"/>
            <w:vAlign w:val="bottom"/>
            <w:tcBorders>
              <w:bottom w:val="single" w:sz="8" w:color="auto"/>
            </w:tcBorders>
            <w:gridSpan w:val="2"/>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940" w:type="dxa"/>
            <w:vAlign w:val="bottom"/>
          </w:tcPr>
          <w:p>
            <w:pPr>
              <w:spacing w:after="0"/>
              <w:rPr>
                <w:sz w:val="11"/>
                <w:szCs w:val="11"/>
                <w:color w:val="auto"/>
              </w:rPr>
            </w:pPr>
          </w:p>
        </w:tc>
      </w:tr>
      <w:tr>
        <w:trPr>
          <w:trHeight w:val="189"/>
        </w:trPr>
        <w:tc>
          <w:tcPr>
            <w:tcW w:w="6540" w:type="dxa"/>
            <w:vAlign w:val="bottom"/>
            <w:gridSpan w:val="3"/>
          </w:tcPr>
          <w:p>
            <w:pPr>
              <w:ind w:left="520"/>
              <w:spacing w:after="0"/>
              <w:rPr>
                <w:sz w:val="20"/>
                <w:szCs w:val="20"/>
                <w:color w:val="auto"/>
              </w:rPr>
            </w:pPr>
            <w:r>
              <w:rPr>
                <w:rFonts w:ascii="Times New Roman" w:cs="Times New Roman" w:eastAsia="Times New Roman" w:hAnsi="Times New Roman"/>
                <w:sz w:val="13"/>
                <w:szCs w:val="13"/>
                <w:color w:val="auto"/>
                <w:w w:val="97"/>
              </w:rPr>
              <w:t>Indicate by check mark if the registrant is a well-known seasoned issuer, as defined in Rule 405 of the Securities Act.</w:t>
            </w:r>
          </w:p>
        </w:tc>
        <w:tc>
          <w:tcPr>
            <w:tcW w:w="4700" w:type="dxa"/>
            <w:vAlign w:val="bottom"/>
            <w:gridSpan w:val="2"/>
          </w:tcPr>
          <w:p>
            <w:pPr>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r>
      <w:tr>
        <w:trPr>
          <w:trHeight w:val="204"/>
        </w:trPr>
        <w:tc>
          <w:tcPr>
            <w:tcW w:w="6540" w:type="dxa"/>
            <w:vAlign w:val="bottom"/>
            <w:gridSpan w:val="3"/>
          </w:tcPr>
          <w:p>
            <w:pPr>
              <w:ind w:left="520"/>
              <w:spacing w:after="0"/>
              <w:rPr>
                <w:sz w:val="20"/>
                <w:szCs w:val="20"/>
                <w:color w:val="auto"/>
              </w:rPr>
            </w:pPr>
            <w:r>
              <w:rPr>
                <w:rFonts w:ascii="Times New Roman" w:cs="Times New Roman" w:eastAsia="Times New Roman" w:hAnsi="Times New Roman"/>
                <w:sz w:val="13"/>
                <w:szCs w:val="13"/>
                <w:color w:val="auto"/>
                <w:w w:val="96"/>
              </w:rPr>
              <w:t>Indicate by check mark if the registrant is not required to file reports pursuant to Section 13 or Section 15(d) of the Act.</w:t>
            </w:r>
          </w:p>
        </w:tc>
        <w:tc>
          <w:tcPr>
            <w:tcW w:w="4700" w:type="dxa"/>
            <w:vAlign w:val="bottom"/>
            <w:gridSpan w:val="2"/>
          </w:tcPr>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r>
    </w:tbl>
    <w:p>
      <w:pPr>
        <w:ind w:right="100" w:firstLine="509"/>
        <w:spacing w:after="0" w:line="15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left="520"/>
        <w:spacing w:after="0"/>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 232.405 of this chapter) during the</w:t>
      </w:r>
    </w:p>
    <w:p>
      <w:pPr>
        <w:sectPr>
          <w:pgSz w:w="11900" w:h="16838" w:orient="portrait"/>
          <w:cols w:equalWidth="0" w:num="1">
            <w:col w:w="11240"/>
          </w:cols>
          <w:pgMar w:left="320" w:top="1440" w:right="339" w:bottom="1440" w:gutter="0" w:footer="0" w:header="0"/>
        </w:sectPr>
      </w:pP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preceding 12 months (or for such shorter period that the registrant was required to submit such files).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No</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MS PGothic" w:cs="MS PGothic" w:eastAsia="MS PGothic" w:hAnsi="MS PGothic"/>
          <w:sz w:val="12"/>
          <w:szCs w:val="12"/>
          <w:color w:val="auto"/>
        </w:rPr>
        <w:t>☐</w:t>
      </w:r>
    </w:p>
    <w:p>
      <w:pPr>
        <w:spacing w:after="0" w:line="48" w:lineRule="exact"/>
        <w:rPr>
          <w:sz w:val="24"/>
          <w:szCs w:val="24"/>
          <w:color w:val="auto"/>
        </w:rPr>
      </w:pPr>
    </w:p>
    <w:p>
      <w:pPr>
        <w:sectPr>
          <w:pgSz w:w="11900" w:h="16838" w:orient="portrait"/>
          <w:cols w:equalWidth="0" w:num="5">
            <w:col w:w="5080" w:space="120"/>
            <w:col w:w="200" w:space="60"/>
            <w:col w:w="120" w:space="120"/>
            <w:col w:w="160" w:space="60"/>
            <w:col w:w="5320"/>
          </w:cols>
          <w:pgMar w:left="320" w:top="1440" w:right="339" w:bottom="1440" w:gutter="0" w:footer="0" w:header="0"/>
          <w:type w:val="continuous"/>
        </w:sectPr>
      </w:pPr>
    </w:p>
    <w:p>
      <w:pPr>
        <w:ind w:right="240" w:firstLine="509"/>
        <w:spacing w:after="0" w:line="22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type w:val="continuous"/>
        </w:sectPr>
      </w:pPr>
    </w:p>
    <w:p>
      <w:pPr>
        <w:spacing w:after="0" w:line="1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86"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80" w:lineRule="exact"/>
        <w:rPr>
          <w:sz w:val="24"/>
          <w:szCs w:val="24"/>
          <w:color w:val="auto"/>
        </w:rPr>
      </w:pPr>
    </w:p>
    <w:p>
      <w:pPr>
        <w:sectPr>
          <w:pgSz w:w="11900" w:h="16838" w:orient="portrait"/>
          <w:cols w:equalWidth="0" w:num="4">
            <w:col w:w="1820" w:space="720"/>
            <w:col w:w="5200" w:space="720"/>
            <w:col w:w="1780" w:space="720"/>
            <w:col w:w="280"/>
          </w:cols>
          <w:pgMar w:left="320" w:top="1440" w:right="339" w:bottom="1440" w:gutter="0" w:footer="0" w:header="0"/>
          <w:type w:val="continuous"/>
        </w:sectPr>
      </w:pPr>
    </w:p>
    <w:p>
      <w:pPr>
        <w:ind w:right="420" w:firstLine="509"/>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260" w:firstLine="509"/>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120" w:firstLine="509"/>
        <w:spacing w:after="0" w:line="16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160" w:firstLine="537"/>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ind w:left="520"/>
        <w:spacing w:after="0" w:line="150" w:lineRule="exact"/>
        <w:tabs>
          <w:tab w:leader="none" w:pos="5800" w:val="left"/>
          <w:tab w:leader="none" w:pos="632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31" w:lineRule="exact"/>
        <w:rPr>
          <w:sz w:val="24"/>
          <w:szCs w:val="24"/>
          <w:color w:val="auto"/>
        </w:rPr>
      </w:pPr>
    </w:p>
    <w:p>
      <w:pPr>
        <w:jc w:val="both"/>
        <w:ind w:right="200" w:firstLine="509"/>
        <w:spacing w:after="0" w:line="224" w:lineRule="auto"/>
        <w:rPr>
          <w:sz w:val="20"/>
          <w:szCs w:val="20"/>
          <w:color w:val="auto"/>
        </w:rPr>
      </w:pPr>
      <w:r>
        <w:rPr>
          <w:rFonts w:ascii="Times New Roman" w:cs="Times New Roman" w:eastAsia="Times New Roman" w:hAnsi="Times New Roman"/>
          <w:sz w:val="13"/>
          <w:szCs w:val="13"/>
          <w:color w:val="auto"/>
        </w:rPr>
        <w:t>The aggregate market value of stock held by non-affiliates of the registrant on June 28, 2024, based on the closing price of $40.80 for shares of the registrant’s Common Stock as reported by the Nasdaq Capital Market, was approximately $1.4 billion. Shares of Common Stock held by each executive officer, director and beneficial holder of 5% or more of the outstanding Common Stock have been excluded in that such persons may be deemed affiliates.</w:t>
      </w:r>
    </w:p>
    <w:p>
      <w:pPr>
        <w:spacing w:after="0" w:line="1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color w:val="auto"/>
        </w:rPr>
        <w:t>As of February 26, 2025, there were 45,857,291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2510790</wp:posOffset>
            </wp:positionH>
            <wp:positionV relativeFrom="paragraph">
              <wp:posOffset>70485</wp:posOffset>
            </wp:positionV>
            <wp:extent cx="21209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20900" cy="8255"/>
                    </a:xfrm>
                    <a:prstGeom prst="rect">
                      <a:avLst/>
                    </a:prstGeom>
                    <a:noFill/>
                  </pic:spPr>
                </pic:pic>
              </a:graphicData>
            </a:graphic>
          </wp:anchor>
        </w:drawing>
      </w:r>
    </w:p>
    <w:p>
      <w:pPr>
        <w:spacing w:after="0" w:line="1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28" w:lineRule="exact"/>
        <w:rPr>
          <w:sz w:val="24"/>
          <w:szCs w:val="24"/>
          <w:color w:val="auto"/>
        </w:rPr>
      </w:pPr>
    </w:p>
    <w:p>
      <w:pPr>
        <w:ind w:right="40" w:firstLine="509"/>
        <w:spacing w:after="0" w:line="256" w:lineRule="auto"/>
        <w:rPr>
          <w:sz w:val="20"/>
          <w:szCs w:val="20"/>
          <w:color w:val="auto"/>
        </w:rPr>
      </w:pPr>
      <w:r>
        <w:rPr>
          <w:rFonts w:ascii="Times New Roman" w:cs="Times New Roman" w:eastAsia="Times New Roman" w:hAnsi="Times New Roman"/>
          <w:sz w:val="12"/>
          <w:szCs w:val="12"/>
          <w:color w:val="auto"/>
        </w:rPr>
        <w:t>Portions of the registrant’s Definitive Proxy Statement to be filed with the Commission pursuant to Regulation 14A in connection with the registrant’s 2025 Annual Meeting of Stockholders, to be filed subsequent to the date hereof, are incorporated by reference into Part III of this Report. Such Definitive Proxy Statement will be filed with the Securities and Exchange Commission not later than 120 days after the conclusion of the registrant’s fiscal year ended December 31, 2024. Except with respect to information specifically incorporated by reference in this Form 10-K, the Proxy Statement is not deemed to be filed as part of this Form 10-K.</w:t>
      </w:r>
    </w:p>
    <w:p>
      <w:pPr>
        <w:spacing w:after="0" w:line="97" w:lineRule="exact"/>
        <w:rPr>
          <w:sz w:val="24"/>
          <w:szCs w:val="24"/>
          <w:color w:val="auto"/>
        </w:rPr>
      </w:pPr>
    </w:p>
    <w:p>
      <w:pPr>
        <w:ind w:left="2460"/>
        <w:spacing w:after="0"/>
        <w:tabs>
          <w:tab w:leader="none" w:pos="3360" w:val="left"/>
          <w:tab w:leader="none" w:pos="4700" w:val="left"/>
          <w:tab w:leader="none" w:pos="5800" w:val="left"/>
          <w:tab w:leader="none" w:pos="7220" w:val="left"/>
          <w:tab w:leader="none" w:pos="8280" w:val="left"/>
        </w:tabs>
        <w:rPr>
          <w:sz w:val="20"/>
          <w:szCs w:val="20"/>
          <w:color w:val="auto"/>
        </w:rPr>
      </w:pPr>
      <w:r>
        <w:rPr>
          <w:rFonts w:ascii="Times New Roman" w:cs="Times New Roman" w:eastAsia="Times New Roman" w:hAnsi="Times New Roman"/>
          <w:sz w:val="13"/>
          <w:szCs w:val="13"/>
          <w:color w:val="auto"/>
        </w:rPr>
        <w:t>Auditor Name:</w:t>
        <w:tab/>
        <w:t>Marcum LLP</w:t>
      </w:r>
      <w:r>
        <w:rPr>
          <w:sz w:val="20"/>
          <w:szCs w:val="20"/>
          <w:color w:val="auto"/>
        </w:rPr>
        <w:tab/>
      </w:r>
      <w:r>
        <w:rPr>
          <w:rFonts w:ascii="Times New Roman" w:cs="Times New Roman" w:eastAsia="Times New Roman" w:hAnsi="Times New Roman"/>
          <w:sz w:val="13"/>
          <w:szCs w:val="13"/>
          <w:color w:val="auto"/>
        </w:rPr>
        <w:t>Auditor Location:</w:t>
        <w:tab/>
        <w:t>San Francisco, CA</w:t>
      </w:r>
      <w:r>
        <w:rPr>
          <w:sz w:val="20"/>
          <w:szCs w:val="20"/>
          <w:color w:val="auto"/>
        </w:rPr>
        <w:tab/>
      </w:r>
      <w:r>
        <w:rPr>
          <w:rFonts w:ascii="Times New Roman" w:cs="Times New Roman" w:eastAsia="Times New Roman" w:hAnsi="Times New Roman"/>
          <w:sz w:val="13"/>
          <w:szCs w:val="13"/>
          <w:color w:val="auto"/>
        </w:rPr>
        <w:t>Auditor Firm ID:</w:t>
      </w:r>
      <w:r>
        <w:rPr>
          <w:sz w:val="20"/>
          <w:szCs w:val="20"/>
          <w:color w:val="auto"/>
        </w:rPr>
        <w:tab/>
      </w:r>
      <w:r>
        <w:rPr>
          <w:rFonts w:ascii="Times New Roman" w:cs="Times New Roman" w:eastAsia="Times New Roman" w:hAnsi="Times New Roman"/>
          <w:sz w:val="12"/>
          <w:szCs w:val="12"/>
          <w:color w:val="auto"/>
        </w:rPr>
        <w:t>688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1049655</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gridSpan w:val="15"/>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rPr>
              <w:t>Soleno Therapeutics, Inc.</w:t>
            </w:r>
          </w:p>
        </w:tc>
        <w:tc>
          <w:tcPr>
            <w:tcW w:w="2020" w:type="dxa"/>
            <w:vAlign w:val="bottom"/>
          </w:tcPr>
          <w:p>
            <w:pPr>
              <w:spacing w:after="0"/>
              <w:rPr>
                <w:sz w:val="18"/>
                <w:szCs w:val="18"/>
                <w:color w:val="auto"/>
              </w:rPr>
            </w:pPr>
          </w:p>
        </w:tc>
      </w:tr>
      <w:tr>
        <w:trPr>
          <w:trHeight w:val="215"/>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gridSpan w:val="17"/>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2020" w:type="dxa"/>
            <w:vAlign w:val="bottom"/>
          </w:tcPr>
          <w:p>
            <w:pPr>
              <w:spacing w:after="0"/>
              <w:rPr>
                <w:sz w:val="18"/>
                <w:szCs w:val="18"/>
                <w:color w:val="auto"/>
              </w:rPr>
            </w:pPr>
          </w:p>
        </w:tc>
      </w:tr>
      <w:tr>
        <w:trPr>
          <w:trHeight w:val="238"/>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80" w:type="dxa"/>
            <w:vAlign w:val="bottom"/>
            <w:gridSpan w:val="17"/>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2020" w:type="dxa"/>
            <w:vAlign w:val="bottom"/>
          </w:tcPr>
          <w:p>
            <w:pPr>
              <w:spacing w:after="0"/>
              <w:rPr>
                <w:sz w:val="20"/>
                <w:szCs w:val="20"/>
                <w:color w:val="auto"/>
              </w:rPr>
            </w:pPr>
          </w:p>
        </w:tc>
      </w:tr>
      <w:tr>
        <w:trPr>
          <w:trHeight w:val="431"/>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gridSpan w:val="12"/>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020" w:type="dxa"/>
            <w:vAlign w:val="bottom"/>
          </w:tcPr>
          <w:p>
            <w:pPr>
              <w:spacing w:after="0"/>
              <w:rPr>
                <w:sz w:val="24"/>
                <w:szCs w:val="24"/>
                <w:color w:val="auto"/>
              </w:rPr>
            </w:pPr>
          </w:p>
        </w:tc>
      </w:tr>
      <w:tr>
        <w:trPr>
          <w:trHeight w:val="417"/>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11"/>
          </w:tcPr>
          <w:p>
            <w:pPr>
              <w:jc w:val="center"/>
              <w:ind w:right="3280"/>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2020" w:type="dxa"/>
            <w:vAlign w:val="bottom"/>
          </w:tcPr>
          <w:p>
            <w:pPr>
              <w:spacing w:after="0"/>
              <w:rPr>
                <w:sz w:val="24"/>
                <w:szCs w:val="24"/>
                <w:color w:val="auto"/>
              </w:rPr>
            </w:pPr>
          </w:p>
        </w:tc>
      </w:tr>
      <w:tr>
        <w:trPr>
          <w:trHeight w:val="195"/>
        </w:trPr>
        <w:tc>
          <w:tcPr>
            <w:tcW w:w="116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6"/>
              </w:rPr>
              <w:t>Business</w:t>
            </w:r>
          </w:p>
        </w:tc>
        <w:tc>
          <w:tcPr>
            <w:tcW w:w="3540" w:type="dxa"/>
            <w:vAlign w:val="bottom"/>
            <w:gridSpan w:val="19"/>
          </w:tcPr>
          <w:p>
            <w:pPr>
              <w:spacing w:after="0"/>
              <w:rPr>
                <w:sz w:val="17"/>
                <w:szCs w:val="17"/>
                <w:color w:val="auto"/>
              </w:rPr>
            </w:pPr>
          </w:p>
        </w:tc>
        <w:tc>
          <w:tcPr>
            <w:tcW w:w="600" w:type="dxa"/>
            <w:vAlign w:val="bottom"/>
            <w:tcBorders>
              <w:top w:val="single" w:sz="8" w:color="0000FF"/>
            </w:tcBorders>
            <w:gridSpan w:val="2"/>
          </w:tcPr>
          <w:p>
            <w:pPr>
              <w:spacing w:after="0"/>
              <w:rPr>
                <w:sz w:val="17"/>
                <w:szCs w:val="17"/>
                <w:color w:val="auto"/>
              </w:rPr>
            </w:pPr>
          </w:p>
        </w:tc>
        <w:tc>
          <w:tcPr>
            <w:tcW w:w="3280" w:type="dxa"/>
            <w:vAlign w:val="bottom"/>
            <w:gridSpan w:val="9"/>
          </w:tcPr>
          <w:p>
            <w:pPr>
              <w:spacing w:after="0"/>
              <w:rPr>
                <w:sz w:val="17"/>
                <w:szCs w:val="17"/>
                <w:color w:val="auto"/>
              </w:rPr>
            </w:pPr>
          </w:p>
        </w:tc>
        <w:tc>
          <w:tcPr>
            <w:tcW w:w="20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r>
      <w:tr>
        <w:trPr>
          <w:trHeight w:val="31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24"/>
                <w:szCs w:val="24"/>
                <w:color w:val="auto"/>
              </w:rPr>
            </w:pPr>
          </w:p>
        </w:tc>
        <w:tc>
          <w:tcPr>
            <w:tcW w:w="7140" w:type="dxa"/>
            <w:vAlign w:val="bottom"/>
            <w:gridSpan w:val="25"/>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1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020" w:type="dxa"/>
            <w:vAlign w:val="bottom"/>
            <w:gridSpan w:val="19"/>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1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10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6"/>
              </w:rPr>
              <w:t>Cybersecurity</w:t>
            </w:r>
          </w:p>
        </w:tc>
        <w:tc>
          <w:tcPr>
            <w:tcW w:w="7060" w:type="dxa"/>
            <w:vAlign w:val="bottom"/>
            <w:gridSpan w:val="24"/>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1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0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116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1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0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11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1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0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559"/>
        </w:trPr>
        <w:tc>
          <w:tcPr>
            <w:tcW w:w="11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20" w:type="dxa"/>
            <w:vAlign w:val="bottom"/>
            <w:tcBorders>
              <w:bottom w:val="single" w:sz="8" w:color="0000EE"/>
            </w:tcBorders>
          </w:tcPr>
          <w:p>
            <w:pPr>
              <w:spacing w:after="0"/>
              <w:rPr>
                <w:sz w:val="24"/>
                <w:szCs w:val="24"/>
                <w:color w:val="auto"/>
              </w:rPr>
            </w:pPr>
          </w:p>
        </w:tc>
        <w:tc>
          <w:tcPr>
            <w:tcW w:w="3200" w:type="dxa"/>
            <w:vAlign w:val="bottom"/>
            <w:gridSpan w:val="7"/>
          </w:tcPr>
          <w:p>
            <w:pPr>
              <w:spacing w:after="0"/>
              <w:rPr>
                <w:sz w:val="24"/>
                <w:szCs w:val="24"/>
                <w:color w:val="auto"/>
              </w:rPr>
            </w:pPr>
          </w:p>
        </w:tc>
        <w:tc>
          <w:tcPr>
            <w:tcW w:w="2020" w:type="dxa"/>
            <w:vAlign w:val="bottom"/>
          </w:tcPr>
          <w:p>
            <w:pPr>
              <w:spacing w:after="0"/>
              <w:rPr>
                <w:sz w:val="24"/>
                <w:szCs w:val="24"/>
                <w:color w:val="auto"/>
              </w:rPr>
            </w:pPr>
          </w:p>
        </w:tc>
      </w:tr>
      <w:tr>
        <w:trPr>
          <w:trHeight w:val="31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06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1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7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[Reserved]</w:t>
            </w:r>
          </w:p>
        </w:tc>
        <w:tc>
          <w:tcPr>
            <w:tcW w:w="20" w:type="dxa"/>
            <w:vAlign w:val="bottom"/>
            <w:tcBorders>
              <w:bottom w:val="single" w:sz="8" w:color="0000EE"/>
            </w:tcBorders>
          </w:tcPr>
          <w:p>
            <w:pPr>
              <w:spacing w:after="0"/>
              <w:rPr>
                <w:sz w:val="24"/>
                <w:szCs w:val="24"/>
                <w:color w:val="auto"/>
              </w:rPr>
            </w:pPr>
          </w:p>
        </w:tc>
        <w:tc>
          <w:tcPr>
            <w:tcW w:w="7260" w:type="dxa"/>
            <w:vAlign w:val="bottom"/>
            <w:gridSpan w:val="27"/>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1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638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w:t>
            </w:r>
          </w:p>
        </w:tc>
        <w:tc>
          <w:tcPr>
            <w:tcW w:w="1680" w:type="dxa"/>
            <w:vAlign w:val="bottom"/>
            <w:gridSpan w:val="3"/>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1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43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720" w:type="dxa"/>
            <w:vAlign w:val="bottom"/>
            <w:gridSpan w:val="10"/>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1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33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bottom w:val="single" w:sz="8" w:color="0000EE"/>
            </w:tcBorders>
          </w:tcPr>
          <w:p>
            <w:pPr>
              <w:spacing w:after="0"/>
              <w:rPr>
                <w:sz w:val="24"/>
                <w:szCs w:val="24"/>
                <w:color w:val="auto"/>
              </w:rPr>
            </w:pPr>
          </w:p>
        </w:tc>
        <w:tc>
          <w:tcPr>
            <w:tcW w:w="4720" w:type="dxa"/>
            <w:vAlign w:val="bottom"/>
            <w:gridSpan w:val="15"/>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1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646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1600" w:type="dxa"/>
            <w:vAlign w:val="bottom"/>
            <w:gridSpan w:val="2"/>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1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6300" w:type="dxa"/>
            <w:vAlign w:val="bottom"/>
            <w:gridSpan w:val="22"/>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1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80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1160" w:type="dxa"/>
            <w:vAlign w:val="bottom"/>
          </w:tcPr>
          <w:p>
            <w:pPr>
              <w:spacing w:after="0" w:line="20" w:lineRule="exact"/>
              <w:rPr>
                <w:sz w:val="1"/>
                <w:szCs w:val="1"/>
                <w:color w:val="auto"/>
              </w:rPr>
            </w:pPr>
          </w:p>
        </w:tc>
        <w:tc>
          <w:tcPr>
            <w:tcW w:w="1320" w:type="dxa"/>
            <w:vAlign w:val="bottom"/>
            <w:tcBorders>
              <w:right w:val="single" w:sz="8" w:color="0000EE"/>
            </w:tcBorders>
            <w:gridSpan w:val="8"/>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1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160" w:type="dxa"/>
            <w:vAlign w:val="bottom"/>
            <w:gridSpan w:val="5"/>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5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80" w:type="dxa"/>
            <w:vAlign w:val="bottom"/>
            <w:gridSpan w:val="14"/>
          </w:tcPr>
          <w:p>
            <w:pPr>
              <w:jc w:val="center"/>
              <w:ind w:right="3120"/>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2020" w:type="dxa"/>
            <w:vAlign w:val="bottom"/>
          </w:tcPr>
          <w:p>
            <w:pPr>
              <w:spacing w:after="0"/>
              <w:rPr>
                <w:sz w:val="24"/>
                <w:szCs w:val="24"/>
                <w:color w:val="auto"/>
              </w:rPr>
            </w:pPr>
          </w:p>
        </w:tc>
      </w:tr>
      <w:tr>
        <w:trPr>
          <w:trHeight w:val="31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40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60" w:type="dxa"/>
            <w:vAlign w:val="bottom"/>
          </w:tcPr>
          <w:p>
            <w:pPr>
              <w:spacing w:after="0"/>
              <w:rPr>
                <w:sz w:val="24"/>
                <w:szCs w:val="24"/>
                <w:color w:val="auto"/>
              </w:rPr>
            </w:pPr>
          </w:p>
        </w:tc>
        <w:tc>
          <w:tcPr>
            <w:tcW w:w="740" w:type="dxa"/>
            <w:vAlign w:val="bottom"/>
            <w:tcBorders>
              <w:top w:val="single" w:sz="8" w:color="0000FF"/>
            </w:tcBorders>
            <w:gridSpan w:val="7"/>
          </w:tcPr>
          <w:p>
            <w:pPr>
              <w:spacing w:after="0"/>
              <w:rPr>
                <w:sz w:val="24"/>
                <w:szCs w:val="24"/>
                <w:color w:val="auto"/>
              </w:rPr>
            </w:pPr>
          </w:p>
        </w:tc>
        <w:tc>
          <w:tcPr>
            <w:tcW w:w="3180" w:type="dxa"/>
            <w:vAlign w:val="bottom"/>
            <w:gridSpan w:val="6"/>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1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bottom w:val="single" w:sz="8" w:color="0000EE"/>
            </w:tcBorders>
          </w:tcPr>
          <w:p>
            <w:pPr>
              <w:spacing w:after="0"/>
              <w:rPr>
                <w:sz w:val="24"/>
                <w:szCs w:val="24"/>
                <w:color w:val="auto"/>
              </w:rPr>
            </w:pPr>
          </w:p>
        </w:tc>
        <w:tc>
          <w:tcPr>
            <w:tcW w:w="6240" w:type="dxa"/>
            <w:vAlign w:val="bottom"/>
            <w:gridSpan w:val="20"/>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1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80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1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5440" w:type="dxa"/>
            <w:vAlign w:val="bottom"/>
            <w:tcBorders>
              <w:top w:val="single" w:sz="8" w:color="0000FF"/>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20" w:type="dxa"/>
            <w:vAlign w:val="bottom"/>
            <w:tcBorders>
              <w:top w:val="single" w:sz="8" w:color="0000FF"/>
            </w:tcBorders>
            <w:gridSpan w:val="3"/>
          </w:tcPr>
          <w:p>
            <w:pPr>
              <w:spacing w:after="0"/>
              <w:rPr>
                <w:sz w:val="24"/>
                <w:szCs w:val="24"/>
                <w:color w:val="auto"/>
              </w:rPr>
            </w:pPr>
          </w:p>
        </w:tc>
        <w:tc>
          <w:tcPr>
            <w:tcW w:w="80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1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80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411"/>
        </w:trPr>
        <w:tc>
          <w:tcPr>
            <w:tcW w:w="11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20" w:type="dxa"/>
            <w:vAlign w:val="bottom"/>
            <w:gridSpan w:val="13"/>
          </w:tcPr>
          <w:p>
            <w:pPr>
              <w:jc w:val="center"/>
              <w:ind w:right="320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2020" w:type="dxa"/>
            <w:vAlign w:val="bottom"/>
          </w:tcPr>
          <w:p>
            <w:pPr>
              <w:spacing w:after="0"/>
              <w:rPr>
                <w:sz w:val="24"/>
                <w:szCs w:val="24"/>
                <w:color w:val="auto"/>
              </w:rPr>
            </w:pPr>
          </w:p>
        </w:tc>
      </w:tr>
      <w:tr>
        <w:trPr>
          <w:trHeight w:val="31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4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700" w:type="dxa"/>
            <w:vAlign w:val="bottom"/>
            <w:tcBorders>
              <w:top w:val="single" w:sz="8" w:color="0000FF"/>
            </w:tcBorders>
            <w:gridSpan w:val="5"/>
          </w:tcPr>
          <w:p>
            <w:pPr>
              <w:spacing w:after="0"/>
              <w:rPr>
                <w:sz w:val="24"/>
                <w:szCs w:val="24"/>
                <w:color w:val="auto"/>
              </w:rPr>
            </w:pPr>
          </w:p>
        </w:tc>
        <w:tc>
          <w:tcPr>
            <w:tcW w:w="3200" w:type="dxa"/>
            <w:vAlign w:val="bottom"/>
            <w:gridSpan w:val="7"/>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1765"/>
        </w:trPr>
        <w:tc>
          <w:tcPr>
            <w:tcW w:w="116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8"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audited consolidated financial statements and the related notes that appear elsewhere in this Annual Report on Form 10-K. This Annual Report on Form 10-K contains “forward-looking statements” within the meaning of Section 21E of the Securities Exchange Act of 1934, as amended, or the Exchange Act, particularly in Part I, Item 1: “Business,” Part I, Item 1A: “Risk Factors” and Part 2, Item 7: “Management’s Discussion and Analysis of Financial Condition and Results of Operations.” These statements are often identified by the use of words such as “may,” “will,” “expect,” “believe,” “anticipate,” “intend,” “could,” “should,” “estimate,” “plan” or “continue,” and similar expressions or variations. All statements other than statements of historical fact could be deemed forward-looking, including, but not limited to: any statements regarding the timing of any regulatory process or ultimate approvals and determining a path forward for diazoxide choline extended-release tablets (DCCR) for the treatment of Prader-Willi syndrome; any projections of financial information; any plans or projections regarding the commercialization of DCCR; any statements about historical results that may suggest trends for our business; any statements of the plans, strategies, and objectives of management for future operations; any statements of expectation or belief regarding future events, technology developments, our products, product sales, expenses, liquidity, cash flow, market growth rates or enforceability of our intellectual property rights and related litigation expenses; and any statements of assumptions underlying any of the foregoing. Such forward-looking statements are subject to risks, uncertainties and other factors that could cause actual results and the timing of certain events to differ materially from future results expressed or implied by such forward-looking statements. Accordingly, we caution you not to place undue reliance on these statements. Particular uncertainties that could affect future results include: our ability to achieve or maintain profitability; our ability to obtain substantial additional capital that may be necessary to maintain or expand our business; our ability to maintain internal control over financial reporting; our dependence on, and need to attract and retain, key management and other personnel; our ability to obtain, protect and enforce our intellectual property rights; potential advantages that our competitors and potential competitors may have in securing funding or developing products; business interruptions such as earthquakes and other natural disasters; our ability to comply with laws and regulations; potential product liability claims; and our ability to use our net operating loss carryforwards to offset future taxable income. For a discussion of some of the factors that could cause actual results to differ materially from our forward-looking statements, see the discussion on risk factors that appear in Part I, Item 1A: “Risk Factors” of this Annual Report on Form 10-K and other risks and uncertainties detailed in this and our other reports and filings with the Securities and Exchange Commission, or SEC. 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0" w:lineRule="exact"/>
        <w:rPr>
          <w:sz w:val="20"/>
          <w:szCs w:val="20"/>
          <w:color w:val="auto"/>
        </w:rPr>
      </w:pPr>
    </w:p>
    <w:p>
      <w:pPr>
        <w:ind w:right="40" w:firstLine="666"/>
        <w:spacing w:after="0" w:line="255" w:lineRule="auto"/>
        <w:rPr>
          <w:sz w:val="20"/>
          <w:szCs w:val="20"/>
          <w:color w:val="auto"/>
        </w:rPr>
      </w:pPr>
      <w:r>
        <w:rPr>
          <w:rFonts w:ascii="Times New Roman" w:cs="Times New Roman" w:eastAsia="Times New Roman" w:hAnsi="Times New Roman"/>
          <w:sz w:val="18"/>
          <w:szCs w:val="18"/>
          <w:color w:val="auto"/>
        </w:rPr>
        <w:t>We are a biopharmaceutical company developing novel therapeutics for the treatment of rare diseases. We have submitted a new drug application (NDA) to the U.S. Food and Drug Administration (FDA) for our lead product candidate, diazoxide choline extended-release tablets (DCCR) for the treatment of Prader-Willi syndrome (PWS) in individuals four years and older who have hyperphagia. On August 27, 2024, we announced that the FDA had accepted the NDA for filing, designated the application for priority review and set a Prescription Drug User Fee Act (PDUFA) target action date of December 27, 2024. On November 26, 2024, we announced that the FDA had extended the review period for our NDA and set a new PDUFA target action date of March 27, 2025. DCCR previously received Breakthrough Therapy and Fast-Track designations in the United States (U.S.) and Orphan Drug designations in the U.S. and European Union (E.U.).</w:t>
      </w:r>
    </w:p>
    <w:p>
      <w:pPr>
        <w:spacing w:after="0" w:line="59" w:lineRule="exact"/>
        <w:rPr>
          <w:sz w:val="20"/>
          <w:szCs w:val="20"/>
          <w:color w:val="auto"/>
        </w:rPr>
      </w:pPr>
    </w:p>
    <w:p>
      <w:pPr>
        <w:ind w:right="60" w:firstLine="666"/>
        <w:spacing w:after="0" w:line="257" w:lineRule="auto"/>
        <w:rPr>
          <w:sz w:val="20"/>
          <w:szCs w:val="20"/>
          <w:color w:val="auto"/>
        </w:rPr>
      </w:pPr>
      <w:r>
        <w:rPr>
          <w:rFonts w:ascii="Times New Roman" w:cs="Times New Roman" w:eastAsia="Times New Roman" w:hAnsi="Times New Roman"/>
          <w:sz w:val="18"/>
          <w:szCs w:val="18"/>
          <w:color w:val="auto"/>
        </w:rPr>
        <w:t>DCCR contains diazoxide choline, a potent ATP-sensitive potassium (K</w:t>
      </w:r>
      <w:r>
        <w:rPr>
          <w:rFonts w:ascii="Times New Roman" w:cs="Times New Roman" w:eastAsia="Times New Roman" w:hAnsi="Times New Roman"/>
          <w:sz w:val="20"/>
          <w:szCs w:val="20"/>
          <w:color w:val="auto"/>
          <w:vertAlign w:val="subscript"/>
        </w:rPr>
        <w:t>ATP</w:t>
      </w:r>
      <w:r>
        <w:rPr>
          <w:rFonts w:ascii="Times New Roman" w:cs="Times New Roman" w:eastAsia="Times New Roman" w:hAnsi="Times New Roman"/>
          <w:sz w:val="18"/>
          <w:szCs w:val="18"/>
          <w:color w:val="auto"/>
        </w:rPr>
        <w:t>) channel activator. The K</w:t>
      </w:r>
      <w:r>
        <w:rPr>
          <w:rFonts w:ascii="Times New Roman" w:cs="Times New Roman" w:eastAsia="Times New Roman" w:hAnsi="Times New Roman"/>
          <w:sz w:val="20"/>
          <w:szCs w:val="20"/>
          <w:color w:val="auto"/>
          <w:vertAlign w:val="subscript"/>
        </w:rPr>
        <w:t>ATP</w:t>
      </w:r>
      <w:r>
        <w:rPr>
          <w:rFonts w:ascii="Times New Roman" w:cs="Times New Roman" w:eastAsia="Times New Roman" w:hAnsi="Times New Roman"/>
          <w:sz w:val="18"/>
          <w:szCs w:val="18"/>
          <w:color w:val="auto"/>
        </w:rPr>
        <w:t xml:space="preserve"> channels play a central role in the regulation of a number of physiological processes which may otherwise be dysregulated, contributing to the pathophysiology of several diseases. In the context of the underlying genetic or structural defects in PWS, these pathophysiological processes may cumulatively contribute to increases in appetite and aggressive food seeking, lack of satiety, accumulation of excess body fat and the establishment and perpetuation of the obese state. Its proposed mode of action, with targets in the brain, pancreas and fat tissue, has the potential to broadly impact complex diseases like PWS to reduce appetite, reduce food seeking, decrease insulin and leptin resistance, and reduce body fat. We believe that it has the potential to reduce other problematic behaviors in PWS.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Diazoxide Choline Extended-Release Tablets</w:t>
      </w:r>
    </w:p>
    <w:p>
      <w:pPr>
        <w:spacing w:after="0" w:line="120" w:lineRule="exact"/>
        <w:rPr>
          <w:sz w:val="20"/>
          <w:szCs w:val="20"/>
          <w:color w:val="auto"/>
        </w:rPr>
      </w:pPr>
    </w:p>
    <w:p>
      <w:pPr>
        <w:ind w:right="380" w:firstLine="509"/>
        <w:spacing w:after="0" w:line="217" w:lineRule="auto"/>
        <w:rPr>
          <w:sz w:val="20"/>
          <w:szCs w:val="20"/>
          <w:color w:val="auto"/>
        </w:rPr>
      </w:pPr>
      <w:r>
        <w:rPr>
          <w:rFonts w:ascii="Times New Roman" w:cs="Times New Roman" w:eastAsia="Times New Roman" w:hAnsi="Times New Roman"/>
          <w:sz w:val="18"/>
          <w:szCs w:val="18"/>
          <w:color w:val="auto"/>
        </w:rPr>
        <w:t>DCCR consists of the active ingredient diazoxide choline, a choline salt of diazoxide, which is a benzothiadiazine. Once solubilized from the formulation, diazoxide choline is rapidly converted to diazoxide prior to absorption. It is believed to act by stimulating ion flux through K</w:t>
      </w:r>
      <w:r>
        <w:rPr>
          <w:rFonts w:ascii="Times New Roman" w:cs="Times New Roman" w:eastAsia="Times New Roman" w:hAnsi="Times New Roman"/>
          <w:sz w:val="24"/>
          <w:szCs w:val="24"/>
          <w:color w:val="auto"/>
          <w:vertAlign w:val="subscript"/>
        </w:rPr>
        <w:t>ATP</w:t>
      </w:r>
      <w:r>
        <w:rPr>
          <w:rFonts w:ascii="Times New Roman" w:cs="Times New Roman" w:eastAsia="Times New Roman" w:hAnsi="Times New Roman"/>
          <w:sz w:val="18"/>
          <w:szCs w:val="18"/>
          <w:color w:val="auto"/>
        </w:rPr>
        <w:t xml:space="preserve"> channels and appears to act on signs and symptoms of PWS in a variety of ways. Activating the K</w:t>
      </w:r>
      <w:r>
        <w:rPr>
          <w:rFonts w:ascii="Times New Roman" w:cs="Times New Roman" w:eastAsia="Times New Roman" w:hAnsi="Times New Roman"/>
          <w:sz w:val="24"/>
          <w:szCs w:val="24"/>
          <w:color w:val="auto"/>
          <w:vertAlign w:val="subscript"/>
        </w:rPr>
        <w:t>ATP</w:t>
      </w:r>
      <w:r>
        <w:rPr>
          <w:rFonts w:ascii="Times New Roman" w:cs="Times New Roman" w:eastAsia="Times New Roman" w:hAnsi="Times New Roman"/>
          <w:sz w:val="18"/>
          <w:szCs w:val="18"/>
          <w:color w:val="auto"/>
        </w:rPr>
        <w:t xml:space="preserve"> channel in NPY/AgRP neurons in the hypothalamus may reduce secretion of neuropeptide Y (NPY) and Agouti-related peptile (AgRP), contributing to a reduction in hyperphagia. Activating the K</w:t>
      </w:r>
      <w:r>
        <w:rPr>
          <w:rFonts w:ascii="Times New Roman" w:cs="Times New Roman" w:eastAsia="Times New Roman" w:hAnsi="Times New Roman"/>
          <w:sz w:val="24"/>
          <w:szCs w:val="24"/>
          <w:color w:val="auto"/>
          <w:vertAlign w:val="subscript"/>
        </w:rPr>
        <w:t>ATP</w:t>
      </w:r>
      <w:r>
        <w:rPr>
          <w:rFonts w:ascii="Times New Roman" w:cs="Times New Roman" w:eastAsia="Times New Roman" w:hAnsi="Times New Roman"/>
          <w:sz w:val="18"/>
          <w:szCs w:val="18"/>
          <w:color w:val="auto"/>
        </w:rPr>
        <w:t xml:space="preserve"> channel in the dorsal motor nucleus of vagus may potentiate the effects of leptin, insulin and -melanocortin stimulating hormone to reduce hyperinsulinemia and impact appetite and satiety. Activating the K</w:t>
      </w:r>
      <w:r>
        <w:rPr>
          <w:rFonts w:ascii="Times New Roman" w:cs="Times New Roman" w:eastAsia="Times New Roman" w:hAnsi="Times New Roman"/>
          <w:sz w:val="24"/>
          <w:szCs w:val="24"/>
          <w:color w:val="auto"/>
          <w:vertAlign w:val="subscript"/>
        </w:rPr>
        <w:t>ATP</w:t>
      </w:r>
      <w:r>
        <w:rPr>
          <w:rFonts w:ascii="Times New Roman" w:cs="Times New Roman" w:eastAsia="Times New Roman" w:hAnsi="Times New Roman"/>
          <w:sz w:val="18"/>
          <w:szCs w:val="18"/>
          <w:color w:val="auto"/>
        </w:rPr>
        <w:t xml:space="preserve"> in pancreatic ß-cells can reduce the secretion of insulin, and further reduce the accumulation of excess body fat and the progression to insulin resistance. Activating the K</w:t>
      </w:r>
      <w:r>
        <w:rPr>
          <w:rFonts w:ascii="Times New Roman" w:cs="Times New Roman" w:eastAsia="Times New Roman" w:hAnsi="Times New Roman"/>
          <w:sz w:val="24"/>
          <w:szCs w:val="24"/>
          <w:color w:val="auto"/>
          <w:vertAlign w:val="subscript"/>
        </w:rPr>
        <w:t>ATP</w:t>
      </w:r>
      <w:r>
        <w:rPr>
          <w:rFonts w:ascii="Times New Roman" w:cs="Times New Roman" w:eastAsia="Times New Roman" w:hAnsi="Times New Roman"/>
          <w:sz w:val="18"/>
          <w:szCs w:val="18"/>
          <w:color w:val="auto"/>
        </w:rPr>
        <w:t xml:space="preserve"> channel in adipocytes has the potential to decrease de-novo triglyceride synthesis and increase ß-oxidation of fat, reducing fat mass.</w:t>
      </w:r>
    </w:p>
    <w:p>
      <w:pPr>
        <w:spacing w:after="0" w:line="198"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DCCR was formulated with the goals of improving the safety and bioavailability of orally-administered diazoxide and reducing the frequency of dosing required by current diazoxide formulations. Diazoxide choline has been formulated into an extended-release tablet that provides lower peak plasma concentration compared to diazoxide oral suspension and allows for the gradual release of diazoxide choline from DCCR, making it suitable for once-a-day dosing. The gradual release and absorption of diazoxide achieved using DCCR results in consistent intraday circulating drug levels potentially reducing the adverse events often associated with transiently high circulating drug levels and providing efficacy at lower diazoxide-equivalent doses.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Prader-Willi Syndrome (PWS)</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410" w:right="379" w:bottom="1440" w:gutter="0" w:footer="0" w:header="0"/>
        </w:sectPr>
      </w:pPr>
    </w:p>
    <w:bookmarkStart w:id="4" w:name="page5"/>
    <w:bookmarkEnd w:id="4"/>
    <w:p>
      <w:pPr>
        <w:spacing w:after="0" w:line="8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PWS is a rare, complex genetic neurobehavioral/metabolic disorder caused by the absence of normally active paternally expressed genes from the chromosome 15q11-q13 region. PWS is an imprinted condition with 60-65% of the cases due to a de novo deletion in the paternally inherited chromosome 15 11-q13 region, 30-35% from maternal uniparental disomy 15 (UPD), where the affected individual inherited 2 copies of the chromosome from their mother and no copy from their father, and the remaining 2-5% from either microdeletions or epimutations of the imprinting center (i.e., imprinting defects; IDs). The Committee on Genetics of the American Academy of Pediatrics has found that PWS affects both genders equally and occurs in people from all geographic regions, The Prader-Willi Syndrome Association USA estimates that PWS occurs in one in every 15,000 live births. The mortality rate among patients with PWS has been estimated at 3% a year across all ages and 7% in those over 30 years of age. The mean age of death reported from a 40-year mortality study in the U.S. was 29.5 ± 15 years (range: 2 months—67 years).</w:t>
      </w:r>
    </w:p>
    <w:p>
      <w:pPr>
        <w:spacing w:after="0" w:line="79"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In addition to hyperphagia, typical behavioral disturbances associated with PWS include skin picking, difficulty with change in routine, obsessive and compulsive behaviors, anxiety and mood fluctuations. The majority of older adolescents and adults with PWS display some degree of aggressive or threatening behaviors including being verbally aggressive, seeking to intimidate others, being physically aggressive including attacking others, destroying property, throwing temper tantrums and directing rage or anger at others.</w:t>
      </w:r>
    </w:p>
    <w:p>
      <w:pPr>
        <w:spacing w:after="0" w:line="18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PWS was typically thought of as a genetic obesity. However, many patients with PWS today may not be obese because of increasing awareness among families and caregivers leading to significant control of access to food and its intake. However, patients remain hyperphagic and will typically have a higher body fat and lower lean body mass content compared to similarly obese individuals. They are prone to cardiometabolic issues such as abnormal lipid profiles, diabetes and hypertension associated with obesity once it is established. Other complications in PWS patients include greater risk for autistic symptomatology, psychosis, sleep disorders, distress, food stealing, withdrawal, sulking, nail-biting, hoarding and overeating, and more pronounced attention-deficit hyperactivity disorder symptoms, insistence on sameness, and their association with maladaptive conduct problems. Cognitively, most individuals with PWS function in the mild intellectual disability range with a mean IQ in the 60s to low 70s. The combination of food-related preoccupations and numerous maladaptive behaviors make it difficult for individuals with PWS to perform to their IQ potential. Some older adolescents and many adults reach a stage at which they can no longer be effectively managed in the home and therefore transition to institutional care.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Unmet Medical Needs in PWS</w:t>
      </w:r>
    </w:p>
    <w:p>
      <w:pPr>
        <w:spacing w:after="0" w:line="12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target indication for DCCR is the treatment of patients with PWS ages 4 years and older who have hyperphagia. Currently, the only approved treatment related to PWS is growth hormone which addresses the short stature associated with PWS but has no effect on hyperphagia. A global patient survey conducted by the Foundation for Prader-Willi Research (n=779), found that 96.5% of respondents rated reducing hunger and 91.2% rated improving behavior around food as a very important or the most important symptom to be relieved by a new treatment. Physical function and body composition symptoms for which a high percentage of respondents indicated were very important or most important included: 92.9% indicated improving metabolic health (reduces fat / increases muscle) and 81.3% indicated the related symptom of improving activity and stamina. The behavioral and cognitive symptoms rated by respondents as very or most important were: 85.2% indicated reduction of obsessive/compulsive behavior, 84.6% indicated improvements to intellect/development, and 83.2% indicated reduction of temper outburst severity and frequency.</w:t>
      </w:r>
    </w:p>
    <w:p>
      <w:pPr>
        <w:spacing w:after="0" w:line="187"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Therefore, there are clear unmet needs in patients with PWS to reduce hyperphagia, improve behaviors around food, and to reduce other behavioral and cognitive impacts of this complex disease. In addition, improving metabolic health is also an important unmet need.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of DCCR for PWS</w:t>
      </w:r>
    </w:p>
    <w:p>
      <w:pPr>
        <w:spacing w:after="0" w:line="228"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A Phase 2 clinical trial (Study PC025) was a single-center, randomized withdrawal study to evaluate the safety and preliminary efficacy of DCCR in the treatment of PWS subjects. This study enrolled 13 overweight and obese subjects with genetically-confirmed PWS who were between the ages of 11 and 21. This study included 10-week open-label treatment phase was followed by randomized double-blind, placebo-controlled, withdrawal phase.</w:t>
      </w:r>
    </w:p>
    <w:p>
      <w:pPr>
        <w:spacing w:after="0" w:line="176"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Key efficacy results included nominally significant reductions from baseline to the end of the open-label treatment phase in mean hyperphagia score, number of subjects reporting one or more aggressive and destructive</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19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behaviors, mean body fat mass, LDL cholesterol and non-HDL cholesterol. There were also nominally significant mean increases in lean body mass and lean body mass / fat mass ratio that were associated with a nominally significant reduction in mean waist circumference, consistent with the loss of visceral fat.</w:t>
      </w:r>
    </w:p>
    <w:p>
      <w:pPr>
        <w:spacing w:after="0" w:line="176"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Responders were randomized in a 1:1 ratio either to continue on active treatment at the dose they were treated with, or to the placebo equivalent of that dose for an additional 4 weeks. Of the 13 subjects who enrolled, 11 completed the open-label phase and all were designated as responders; the remaining two subjects had discontinued prematurely.</w:t>
      </w:r>
    </w:p>
    <w:p>
      <w:pPr>
        <w:spacing w:after="0" w:line="69" w:lineRule="exact"/>
        <w:rPr>
          <w:sz w:val="20"/>
          <w:szCs w:val="20"/>
          <w:color w:val="auto"/>
        </w:rPr>
      </w:pPr>
    </w:p>
    <w:p>
      <w:pPr>
        <w:ind w:right="100" w:firstLine="674"/>
        <w:spacing w:after="0" w:line="257" w:lineRule="auto"/>
        <w:rPr>
          <w:sz w:val="20"/>
          <w:szCs w:val="20"/>
          <w:color w:val="auto"/>
        </w:rPr>
      </w:pPr>
      <w:r>
        <w:rPr>
          <w:rFonts w:ascii="Times New Roman" w:cs="Times New Roman" w:eastAsia="Times New Roman" w:hAnsi="Times New Roman"/>
          <w:sz w:val="18"/>
          <w:szCs w:val="18"/>
          <w:color w:val="auto"/>
        </w:rPr>
        <w:t>DCCR was subsequently evaluated in a Phase 3 study (C601 or DESTINY PWS), a 13-week randomized, double-blind placebo-controlled study, which completed enrollment in January 2020, with 127 randomized participants at 29 sites in the U.S. and United Kingdom (U.K.). Participants who completed DESTINY PWS and sought continued treatment with DCCR were eligible to receive DCCR in a long-term open-label safety extension study (C602). Top line results from DESTINY PWS were announced in June 2020. Although the trial did not meet its primary endpoint of change from baseline in hyperphagia, significant improvements were observed in two of three key secondary endpoints.</w:t>
      </w:r>
    </w:p>
    <w:p>
      <w:pPr>
        <w:spacing w:after="0" w:line="77" w:lineRule="exact"/>
        <w:rPr>
          <w:sz w:val="20"/>
          <w:szCs w:val="20"/>
          <w:color w:val="auto"/>
        </w:rPr>
      </w:pPr>
    </w:p>
    <w:p>
      <w:pPr>
        <w:ind w:firstLine="674"/>
        <w:spacing w:after="0" w:line="255" w:lineRule="auto"/>
        <w:rPr>
          <w:sz w:val="20"/>
          <w:szCs w:val="20"/>
          <w:color w:val="auto"/>
        </w:rPr>
      </w:pPr>
      <w:r>
        <w:rPr>
          <w:rFonts w:ascii="Times New Roman" w:cs="Times New Roman" w:eastAsia="Times New Roman" w:hAnsi="Times New Roman"/>
          <w:sz w:val="18"/>
          <w:szCs w:val="18"/>
          <w:color w:val="auto"/>
        </w:rPr>
        <w:t>In February 2021, we announced analysis limited to data collected before the onset of the COVID-19 pandemic. The analysis of the data through March 1, 2020 showed statistical significance in the primary, all key secondary, and several other efficacy endpoints. In September 2021, we announced interim one-year data from the C602 open-label extension (OLE) period showing statistically significant reduction from pre-DCCR baseline in mean hyperphagia scores and all other PWS behavioral parameters and statistically significant improvements compared to natural history of PWS from the PATH for PWS Study (PATH) over a one-year treatment period. The PATH study was sponsored by the Foundation for Prader-Willi Research (FPWR) to advance the understanding of the natural history in individuals with PWS. The FDA recommended that additional controlled data be included in an NDA submission.</w:t>
      </w:r>
    </w:p>
    <w:p>
      <w:pPr>
        <w:spacing w:after="0" w:line="77" w:lineRule="exact"/>
        <w:rPr>
          <w:sz w:val="20"/>
          <w:szCs w:val="20"/>
          <w:color w:val="auto"/>
        </w:rPr>
      </w:pPr>
    </w:p>
    <w:p>
      <w:pPr>
        <w:ind w:right="100" w:firstLine="719"/>
        <w:spacing w:after="0" w:line="257" w:lineRule="auto"/>
        <w:rPr>
          <w:sz w:val="20"/>
          <w:szCs w:val="20"/>
          <w:color w:val="auto"/>
        </w:rPr>
      </w:pPr>
      <w:r>
        <w:rPr>
          <w:rFonts w:ascii="Times New Roman" w:cs="Times New Roman" w:eastAsia="Times New Roman" w:hAnsi="Times New Roman"/>
          <w:sz w:val="18"/>
          <w:szCs w:val="18"/>
          <w:color w:val="auto"/>
        </w:rPr>
        <w:t>In March 2022, we submitted an amended protocol that incorporated a randomized withdrawal (RW) period to Study C602 to obtain additional controlled data requested by the FDA and the FDA acknowledged that data from the study had the potential to address its concerns about the efficacy of DCCR. The RW period of Study C602 was a multi-center, randomized, double-blind, placebo-controlled study of DCCR in 77 patients with PWS at 17 sites in the U.S. and 5 sites in the U.K. The RW period consisted only of patients previously enrolled in the Study C602 OLE period and did not enroll any new patients. We announced the initiation of the RW period for Study C602 in October 2022, and completed enrollment in May 2023.</w:t>
      </w:r>
    </w:p>
    <w:p>
      <w:pPr>
        <w:spacing w:after="0" w:line="185"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On September 26, 2023, we announced positive statistically significant results for the primary endpoint from the RW period of Study C602. As discussed above, we submitted our NDA for DCCR to the FDA on June 27, 2024. On August 27, 2024, we announced that the FDA had accepted the NDA for filing and priority review and set a PDUFA target action date of December 27, 2024. On November 26, 2024, we announced that the FDA had extended the review period for our NDA and set a new PDUFA target action date of March 27, 2025.</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Safety of DCCR in the Treatment of PWS</w:t>
      </w:r>
    </w:p>
    <w:p>
      <w:pPr>
        <w:spacing w:after="0" w:line="228" w:lineRule="exact"/>
        <w:rPr>
          <w:sz w:val="20"/>
          <w:szCs w:val="20"/>
          <w:color w:val="auto"/>
        </w:rPr>
      </w:pPr>
    </w:p>
    <w:p>
      <w:pPr>
        <w:jc w:val="both"/>
        <w:ind w:right="240" w:firstLine="509"/>
        <w:spacing w:after="0" w:line="288" w:lineRule="auto"/>
        <w:rPr>
          <w:sz w:val="20"/>
          <w:szCs w:val="20"/>
          <w:color w:val="auto"/>
        </w:rPr>
      </w:pPr>
      <w:r>
        <w:rPr>
          <w:rFonts w:ascii="Times New Roman" w:cs="Times New Roman" w:eastAsia="Times New Roman" w:hAnsi="Times New Roman"/>
          <w:sz w:val="17"/>
          <w:szCs w:val="17"/>
          <w:color w:val="auto"/>
        </w:rPr>
        <w:t>Across the combined C601 (DESTINY-PWS), and C602 long-term OLE studies (which included DCCR treatment durations of up to ~4.5 years), 98.4% of participants reported treatment emergent adverse events (TEAEs). Most were grade 1 or 2 (75.2%), with no grade 4 or higher events. The most common TEAEs were hypertrichosis (68.8%), peripheral edema (34.4%), hirsutism (47.8% of female participants) and hyperglycemia (27.2%).</w:t>
      </w:r>
    </w:p>
    <w:p>
      <w:pPr>
        <w:spacing w:after="0" w:line="158"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The majority of participants with hypertrichosis, hirsutism, or hyperglycemia experienced resolution or improvement of their symptoms with continued DCCR dosing through the end of the study. Infrequently, DCCR dose adjustments or glucose-lowering agents (for hyperglycemia) and diuretics (for peripheral edema) were prescribed to manage participants experiencing these TEAEs.</w:t>
      </w:r>
    </w:p>
    <w:p>
      <w:pPr>
        <w:spacing w:after="0" w:line="176"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Two participants, both with known histories of psychiatric illnesses, reported a suspected unexpected serious adverse reaction (SUSAR) in the ongoing C614 open label extension study. One of the participants reported a SUSAR of aggression and the other participant reported a SUSAR of a major depressive episode.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Overall, the safety profile of DCCR in the Phase 3 PWS clinical development program was generally consistent with the known safety profile of diazoxide and prior experience with DCCR.</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Regulatory Status of DCCR for the Treatment of PWS</w:t>
      </w:r>
    </w:p>
    <w:p>
      <w:pPr>
        <w:spacing w:after="0" w:line="228" w:lineRule="exact"/>
        <w:rPr>
          <w:sz w:val="20"/>
          <w:szCs w:val="20"/>
          <w:color w:val="auto"/>
        </w:rPr>
      </w:pPr>
    </w:p>
    <w:p>
      <w:pPr>
        <w:ind w:right="220" w:firstLine="464"/>
        <w:spacing w:after="0" w:line="281" w:lineRule="auto"/>
        <w:rPr>
          <w:sz w:val="20"/>
          <w:szCs w:val="20"/>
          <w:color w:val="auto"/>
        </w:rPr>
      </w:pPr>
      <w:r>
        <w:rPr>
          <w:rFonts w:ascii="Times New Roman" w:cs="Times New Roman" w:eastAsia="Times New Roman" w:hAnsi="Times New Roman"/>
          <w:sz w:val="18"/>
          <w:szCs w:val="18"/>
          <w:color w:val="auto"/>
        </w:rPr>
        <w:t>Diazoxide choline is being developed in the U.S. under a current Investigational New Drug Application (IND) and has Breakthrough Therapy and Fast-Track designations in the U.S. and Orphan Drug designations in the U.S. and E.U.</w:t>
      </w:r>
    </w:p>
    <w:p>
      <w:pPr>
        <w:spacing w:after="0" w:line="54" w:lineRule="exact"/>
        <w:rPr>
          <w:sz w:val="20"/>
          <w:szCs w:val="20"/>
          <w:color w:val="auto"/>
        </w:rPr>
      </w:pPr>
    </w:p>
    <w:p>
      <w:pPr>
        <w:ind w:firstLine="666"/>
        <w:spacing w:after="0" w:line="254" w:lineRule="auto"/>
        <w:rPr>
          <w:sz w:val="20"/>
          <w:szCs w:val="20"/>
          <w:color w:val="auto"/>
        </w:rPr>
      </w:pPr>
      <w:r>
        <w:rPr>
          <w:rFonts w:ascii="Times New Roman" w:cs="Times New Roman" w:eastAsia="Times New Roman" w:hAnsi="Times New Roman"/>
          <w:sz w:val="18"/>
          <w:szCs w:val="18"/>
          <w:color w:val="auto"/>
        </w:rPr>
        <w:t>On April 29, 2024, we announced that the FDA granted Breakthrough Therapy Designation to diazoxide choline for the treatment of adults and children ages 4 years and older with genetically confirmed PWS who have hyperphagia. The designation reflects the FDA’s determination that, based on an assessment of the preliminary data from the Phase 3 clinical development program, diazoxide choline may demonstrate substantial improvement on a clinically significant endpoint(s) over available therapies. The FDA’s Breakthrough Therapy Designation is intended to expedite the development and review of drugs in the United States that are intended to treat a serious condition, when preliminary clinical evidence indicates the drug may demonstrate substantial improvement over available therapy on a clinically significant endpoint(s). With Breakthrough Therapy Designation, the FDA provides intensive guidance and organizational commitment involving senior managers in a proactive, collaborative, cross-disciplinary review, and may also allow for priority review and other actions to expedite review.</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w:t>
      </w:r>
    </w:p>
    <w:p>
      <w:pPr>
        <w:spacing w:after="0" w:line="12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An estimated 300,000 to 400,000 individuals worldwide have PWS with a birth incidence ranging from 1 in 15,000 to 1 in 25,000. Based on an analysis of claims data (Medicare, Medicaid, pharmacy and medical benefit claims), we have identified approximately 10,000 people who have received a PWS-specific treatment or had a PWS-specific IDC10 claim in 2022 or 2023. We believe that the number of identified patients with PWS is growing at a rate that is higher than the rate of general population because of improved rates of diagnosis. If approved on or before the current PDUFA date, DCCR would be the first treatment for hyperphagia in patients with PWS to reach the market in the U.S. and may therefore be likely to be used in a large proportion of patients.</w:t>
      </w: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6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majority of the PWS population in the U.S. is diagnosed shortly after birth through an affordable genetic test, and the patient, as well as their treating physician, are captured in a commercially available reimbursement claims database. Based on our analysis of this database, we believe that approximately 300 healthcare providers are either directly prescribing or influencing the prescription of approximately 40% of the PWS patient population. Patients with PWS are typically treated by a multi-disciplinary team led by a pediatric or adult endocrinologist and many families and patients receive care at larger clinics that devote specific resources to caring for people with PWS. The PWS care teams with the largest volumes are often in university-associated hospitals or children’s hospitals and a portion of adults with PWS live in residential group home settings. Due to these factors, we believe we are positioned to launch DCCR following approval in the U.S. through our commercial organization in a targeted and efficient manner.</w:t>
      </w:r>
    </w:p>
    <w:p>
      <w:pPr>
        <w:spacing w:after="0" w:line="104"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In anticipation of FDA approval of DCCR, we are building out our commercial organization across Marketing, Sales, and Patient Support functions to support demand, with the goal of delivering an exceptional provider, patient and caregiver experience. We have substantially completed hiring of all senior leadership roles in the commercial team, including adding industry veterans with extensive experience in the rare disease space and are in process of onboarding a field force of approximately 30 individuals.</w:t>
      </w:r>
    </w:p>
    <w:p>
      <w:pPr>
        <w:spacing w:after="0" w:line="113" w:lineRule="exact"/>
        <w:rPr>
          <w:sz w:val="20"/>
          <w:szCs w:val="20"/>
          <w:color w:val="auto"/>
        </w:rPr>
      </w:pPr>
    </w:p>
    <w:p>
      <w:pPr>
        <w:ind w:right="40" w:firstLine="509"/>
        <w:spacing w:after="0" w:line="276" w:lineRule="auto"/>
        <w:rPr>
          <w:sz w:val="20"/>
          <w:szCs w:val="20"/>
          <w:color w:val="auto"/>
        </w:rPr>
      </w:pPr>
      <w:r>
        <w:rPr>
          <w:rFonts w:ascii="Times New Roman" w:cs="Times New Roman" w:eastAsia="Times New Roman" w:hAnsi="Times New Roman"/>
          <w:sz w:val="17"/>
          <w:szCs w:val="17"/>
          <w:color w:val="auto"/>
        </w:rPr>
        <w:t>The commercial team has already made substantial progress in executing on its foundational commercial strategy, including extensive demand assessment and marketplace analysis, payer research and outreach, selection and submission of a proprietary name, selection of an advertising agency, onboarding of a special pharmacy partner to provide patient, caregiver, prescriber and payer services, obtaining relevant state licensures, the implementation of a customer relationship management system, and the development of a patient services program. The specialty pharmacy will also serve as our point of contact for inbound health care provider and patient inquiries, prescription processing, insurance investigation and patient on-boarding.</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414" w:right="379" w:bottom="1440" w:gutter="0" w:footer="0" w:header="0"/>
        </w:sectPr>
      </w:pPr>
    </w:p>
    <w:bookmarkStart w:id="7" w:name="page8"/>
    <w:bookmarkEnd w:id="7"/>
    <w:p>
      <w:pPr>
        <w:spacing w:after="0" w:line="82"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We believe a comparable concentration of care exists in Europe and other major markets which may allow us to market DCCR without a partner; however, we may identify commercialization partners for DCCR for many markets. The final decision on commercialization strategy outside the U.S. will be made at a later date.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Pricing</w:t>
      </w:r>
    </w:p>
    <w:p>
      <w:pPr>
        <w:spacing w:after="0" w:line="120" w:lineRule="exact"/>
        <w:rPr>
          <w:sz w:val="20"/>
          <w:szCs w:val="20"/>
          <w:color w:val="auto"/>
        </w:rPr>
      </w:pPr>
    </w:p>
    <w:p>
      <w:pPr>
        <w:ind w:right="480" w:firstLine="509"/>
        <w:spacing w:after="0" w:line="281" w:lineRule="auto"/>
        <w:rPr>
          <w:sz w:val="20"/>
          <w:szCs w:val="20"/>
          <w:color w:val="auto"/>
        </w:rPr>
      </w:pPr>
      <w:r>
        <w:rPr>
          <w:rFonts w:ascii="Times New Roman" w:cs="Times New Roman" w:eastAsia="Times New Roman" w:hAnsi="Times New Roman"/>
          <w:sz w:val="18"/>
          <w:szCs w:val="18"/>
          <w:color w:val="auto"/>
        </w:rPr>
        <w:t>We are in the process of conducting a formal pricing analysis of DCCR in PWS. We anticipate that pricing at launch will be influenced by the product label negotiated with the FDA and data developed to support pricing.</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0" w:lineRule="exact"/>
        <w:rPr>
          <w:sz w:val="20"/>
          <w:szCs w:val="20"/>
          <w:color w:val="auto"/>
        </w:rPr>
      </w:pPr>
    </w:p>
    <w:p>
      <w:pPr>
        <w:ind w:right="200" w:firstLine="509"/>
        <w:spacing w:after="0" w:line="276" w:lineRule="auto"/>
        <w:rPr>
          <w:sz w:val="20"/>
          <w:szCs w:val="20"/>
          <w:color w:val="auto"/>
        </w:rPr>
      </w:pPr>
      <w:r>
        <w:rPr>
          <w:rFonts w:ascii="Times New Roman" w:cs="Times New Roman" w:eastAsia="Times New Roman" w:hAnsi="Times New Roman"/>
          <w:sz w:val="17"/>
          <w:szCs w:val="17"/>
          <w:color w:val="auto"/>
        </w:rPr>
        <w:t>The biotechnology and pharmaceutical industries are highly competitive and characterized by rapid technological change. We face competition in each of the aspects of our business from other pharmaceutical and biotechnology companies, as well as academic research institutions, clinical reference laboratories and governmental agencies that are pursuing research or development activities similar to ours. Our competitors may succeed in developing products faster than we do and obtaining approvals from the FDA or other regulatory agencies for those products earlier than we do. In addition, our competitors may develop products that are more effective than those we develop or commercialize products more effectively and profitably than we do.</w:t>
      </w:r>
    </w:p>
    <w:p>
      <w:pPr>
        <w:spacing w:after="0" w:line="61"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Currently, the only approved products for patients with PWS in the U.S. are Genotropin® (somatropin), and Omnitrope® (somatropin) which are approved only for growth failure due to PWS. There are no approved products to address PWS-associated hyperphagia and behaviors, or for any other abnormalities associated with the disease. However, to our knowledge, there are a number of therapeutic products at various stages of clinical development for the treatment of PWS, including for hyperphagia, by Acadia Pharmaceuticals, Aardvark Therapeutics, Consynance, Neuren Pharmaceuticals, OT4B and Rhythm Pharmaceuticals.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our ability to successfully compete with these potentially competitive drug candidates will depend on, among other things:</w:t>
      </w:r>
    </w:p>
    <w:p>
      <w:pPr>
        <w:spacing w:after="0" w:line="116"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DCCR;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 for DCCR and complete any post-marketing requirements (PMRs);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regulatory approvals of DCCR;</w:t>
      </w:r>
    </w:p>
    <w:p>
      <w:pPr>
        <w:spacing w:after="0" w:line="116" w:lineRule="exact"/>
        <w:rPr>
          <w:rFonts w:ascii="Times New Roman" w:cs="Times New Roman" w:eastAsia="Times New Roman" w:hAnsi="Times New Roman"/>
          <w:sz w:val="18"/>
          <w:szCs w:val="18"/>
          <w:color w:val="auto"/>
        </w:rPr>
      </w:pPr>
    </w:p>
    <w:p>
      <w:pPr>
        <w:ind w:left="1020" w:right="2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product acceptance by physicians and other healthcare providers and secure coverage and adequate reimbursement for DCCR use in approved indications;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collaborators, to manufacture and sell commercial quantities of DCCR;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skills of our employees and our ability to recruit and retain skilled employees;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intellectual property;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substantial capital resources to fund commercialization activities.</w:t>
      </w:r>
    </w:p>
    <w:p>
      <w:pPr>
        <w:spacing w:after="0" w:line="332" w:lineRule="exact"/>
        <w:rPr>
          <w:sz w:val="20"/>
          <w:szCs w:val="20"/>
          <w:color w:val="auto"/>
        </w:rPr>
      </w:pPr>
    </w:p>
    <w:p>
      <w:pPr>
        <w:ind w:right="540" w:firstLine="509"/>
        <w:spacing w:after="0" w:line="281" w:lineRule="auto"/>
        <w:rPr>
          <w:sz w:val="20"/>
          <w:szCs w:val="20"/>
          <w:color w:val="auto"/>
        </w:rPr>
      </w:pPr>
      <w:r>
        <w:rPr>
          <w:rFonts w:ascii="Times New Roman" w:cs="Times New Roman" w:eastAsia="Times New Roman" w:hAnsi="Times New Roman"/>
          <w:sz w:val="18"/>
          <w:szCs w:val="18"/>
          <w:color w:val="auto"/>
        </w:rPr>
        <w:t>We expect that our principal competition for DCCR will include drugs currently in various stages of clinical development specifically for the treatment of PWS and hyperphagia, but may also include drugs approved for other indications, such as appetite suppression.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Product Supply</w:t>
      </w:r>
    </w:p>
    <w:p>
      <w:pPr>
        <w:spacing w:after="0" w:line="120"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We do not own or operate manufacturing or distribution facilities or resources for commercial production and distribution of DCCR. Instead, we have multiple contractual agreements in place with third-party contract manufacturing organizations (CMOs) who, on our behalf, have manufactured clinical supplies of our drug candidates, and will manufacture commercial supplies of DCCR for the foreseeable future. We have selected well-established and reputable global CMOs for our active pharmaceutical ingredient (API) and drug product manufacturing, that have good regulatory standing, large manufacturing capacities, and multiple manufacturing sites</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spacing w:after="0" w:line="8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within their business footprint. We employ highly skilled personnel with both technical and manufacturing experience to diligently manage the activities at our CMOs. Our quality department audits these suppliers on a periodic basis. Our commercial suppliers are subject to routine inspection by regulatory agencies. We work closely with our third-party manufacturers to ensure compliance with current good manufacturing practices (cGMP), and other stringent regulatory requirements enforced by the FDA and foreign regulatory agencies in other territories, as applicable.</w:t>
      </w:r>
    </w:p>
    <w:p>
      <w:pPr>
        <w:spacing w:after="0" w:line="7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store API at third-party facilities in the United States, and provide appropriate amounts to third-party drug product CMOs in the United States who then manufacture, package and label our specified quantities of finished commercial DCCR and clinical goods for our drug candidates. Our third-party CMOs also need to obtain materials such as reagents, excipients and components to manufacture our API and finished drug products. Within our supply chain, we have established safety stock amounts for both our API and drug product, and store those quantities in multiple locations. The quantities that we store are based on our business needs and take into account scenarios for demand, production lead times, potential supply interruptions and shelf life for our API and drug product. We believe that our current manufacturing network has the appropriate capacity to produce sufficient commercial quantities of DCCR.</w:t>
      </w:r>
    </w:p>
    <w:p>
      <w:pPr>
        <w:spacing w:after="0" w:line="77"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We plan to utilize a third party logistics provider with multiple locations to provide shipping and warehousing services for our commercial supply of DCCR. We have also entered into a non-exclusive agreement with a specialty pharmacy who will purchase our labeled drug product and dispense DCCR to patients pursuant to prescriptions provided by health care providers.</w:t>
      </w:r>
    </w:p>
    <w:p>
      <w:pPr>
        <w:spacing w:after="0" w:line="69"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The manufacturing process for pharmaceutical products is highly regulated and regulators may shut down manufacturing facilities that they believe do not comply with regulations, legislations, and/or guidelines. We and our third-party manufacturers are subject to cGMPs, which are extensive regulations governing manufacturing processes, stability testing, record keeping, and quality standards as defined by the FDA and the EMA. Similar regulations and requirements are in effect in other countries.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DCCR Patent Portfolio</w:t>
      </w:r>
    </w:p>
    <w:p>
      <w:pPr>
        <w:spacing w:after="0" w:line="120"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Our patent portfolio consists of issued U.S. patents and pending U.S. applications. The 20-year expiration dates of our issued U.S. patents are between 2025 to 2035. We also have issued patents in Europe, Canada, Japan, China, India, Israel, Hong Kong, Australia, Malaysia, Mexico, New Zealand, Singapore, Indonesia, Korea, and Eurasia. We are prosecuting numerous patent applications in major pharmaceutical markets around the world. The issued patents and pending patent applications include protection of compositions, methods of manufacturing, pharmaceutical formulations, and methods of treating aspects of PWS and Smith-Magenis syndrome (SMS).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 Pharmaceuticals</w:t>
      </w:r>
    </w:p>
    <w:p>
      <w:pPr>
        <w:spacing w:after="0" w:line="120"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Our operations and activities are subject to extensive regulation by government authorities in the U.S. and in other countries in which we elect to develop and/or commercialize our products. Our developmental drug products are subject to rigorous regulation. Federal and state statutes and regulations govern the testing, manufacture, safety, efficacy, labeling, storage, record keeping, approval, advertising and promotion of our products. As a result of these regulations, product development and product approval processes are very expensive and time-consuming.</w:t>
      </w:r>
    </w:p>
    <w:p>
      <w:pPr>
        <w:spacing w:after="0" w:line="181"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A country’s regulatory agency, such as the FDA in the U.S., or a region’s agency, such as the EMA for the E.U., must approve a drug before it can be sold in the respective country or countries. The general process for drug development and approval in the U.S. is summarized below. Many other countries, including countries in the E.U., U.K. and Japan, have very similar regulatory development and approval processes.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Nonclinical Testing</w:t>
      </w:r>
    </w:p>
    <w:p>
      <w:pPr>
        <w:spacing w:after="0" w:line="120"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Before a drug candidate can be tested in humans, it must be studied in laboratory experiments and in animals to generate data to support the drug candidate’s potential for wanted and unwanted effects. Additional nonclinical</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82"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testing may be required during the clinical development process for products intended for long-term use, such as reproductive toxicology, juvenile toxicology studies and carcinogenicity studies in two species.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Investigational New Drug Application (IND)</w:t>
      </w:r>
    </w:p>
    <w:p>
      <w:pPr>
        <w:spacing w:after="0" w:line="120"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The results of initial nonclinical tests, together with manufacturing information, analytical data and a proposed clinical trial protocol and other information, are submitted as part of an IND to the FDA. If the FDA does not identify significant issues during the initial 30-day IND review, the proposed clinical trial can proceed. Each clinical trial protocol and/or amendment, new nonclinical data, and/or new or revised manufacturing information must be submitted to the IND, and the FDA has 30 days to complete its review of each submission.</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120" w:lineRule="exact"/>
        <w:rPr>
          <w:sz w:val="20"/>
          <w:szCs w:val="20"/>
          <w:color w:val="auto"/>
        </w:rPr>
      </w:pPr>
    </w:p>
    <w:p>
      <w:pPr>
        <w:ind w:right="360" w:firstLine="509"/>
        <w:spacing w:after="0" w:line="281" w:lineRule="auto"/>
        <w:rPr>
          <w:sz w:val="20"/>
          <w:szCs w:val="20"/>
          <w:color w:val="auto"/>
        </w:rPr>
      </w:pPr>
      <w:r>
        <w:rPr>
          <w:rFonts w:ascii="Times New Roman" w:cs="Times New Roman" w:eastAsia="Times New Roman" w:hAnsi="Times New Roman"/>
          <w:sz w:val="18"/>
          <w:szCs w:val="18"/>
          <w:color w:val="auto"/>
        </w:rPr>
        <w:t>These clinical trials involve three separate phases that often overlap, can take many years and are very expensive. These three phases, which are subject to considerable regulation, are as follows:</w:t>
      </w:r>
    </w:p>
    <w:p>
      <w:pPr>
        <w:spacing w:after="0" w:line="160" w:lineRule="exact"/>
        <w:rPr>
          <w:sz w:val="20"/>
          <w:szCs w:val="20"/>
          <w:color w:val="auto"/>
        </w:rPr>
      </w:pPr>
    </w:p>
    <w:p>
      <w:pPr>
        <w:ind w:right="60" w:firstLine="509"/>
        <w:spacing w:after="0" w:line="276" w:lineRule="auto"/>
        <w:rPr>
          <w:sz w:val="20"/>
          <w:szCs w:val="20"/>
          <w:color w:val="auto"/>
        </w:rPr>
      </w:pPr>
      <w:r>
        <w:rPr>
          <w:rFonts w:ascii="Times New Roman" w:cs="Times New Roman" w:eastAsia="Times New Roman" w:hAnsi="Times New Roman"/>
          <w:sz w:val="17"/>
          <w:szCs w:val="17"/>
          <w:i w:val="1"/>
          <w:iCs w:val="1"/>
          <w:color w:val="auto"/>
        </w:rPr>
        <w:t>Phase 1 Studies</w:t>
      </w:r>
      <w:r>
        <w:rPr>
          <w:rFonts w:ascii="Times New Roman" w:cs="Times New Roman" w:eastAsia="Times New Roman" w:hAnsi="Times New Roman"/>
          <w:sz w:val="17"/>
          <w:szCs w:val="17"/>
          <w:color w:val="auto"/>
        </w:rPr>
        <w:t>. During Phase 1 studies, researchers test a new drug in healthy volunteers. In most cases, 20 to 80 healthy volunteers participate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Phase 1. Phase 1 studies are closely monitored and gather information about how a drug interacts with the human body. Researchers adjust dosing schemes based on animal data to find out how much of a drug the body can tolerate and what its acute side effects are. As a Phase 1 trial continues, researchers answer research questions related to how it works in the body, the side effects associated with increased dosage, and early information about how effective it is to determine how best to administer the drug to limit risks and maximize possible benefits. This is important to the design of Phase 2 studies.</w:t>
      </w:r>
    </w:p>
    <w:p>
      <w:pPr>
        <w:spacing w:after="0" w:line="169"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i w:val="1"/>
          <w:iCs w:val="1"/>
          <w:color w:val="auto"/>
        </w:rPr>
        <w:t>Phase 2 Studies</w:t>
      </w:r>
      <w:r>
        <w:rPr>
          <w:rFonts w:ascii="Times New Roman" w:cs="Times New Roman" w:eastAsia="Times New Roman" w:hAnsi="Times New Roman"/>
          <w:sz w:val="17"/>
          <w:szCs w:val="17"/>
          <w:color w:val="auto"/>
        </w:rPr>
        <w:t>. In Phase 2 studies, researchers administer the drug to a group of people with the disease or condition for which the drug is being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developed. Typically involving up to a few hundred patients, these studies are not large enough to show whether the drug will be beneficial. The use of new study designs, such as adaptive designs, can decrease the number of patients required. Instead, Phase 2 studies provide researchers with additional safety data. Researchers use these data to refine research questions, develop research methods, identify target doses, and design new Phase 3 research protocols.</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Phase 3 Studies</w:t>
      </w:r>
      <w:r>
        <w:rPr>
          <w:rFonts w:ascii="Times New Roman" w:cs="Times New Roman" w:eastAsia="Times New Roman" w:hAnsi="Times New Roman"/>
          <w:sz w:val="18"/>
          <w:szCs w:val="18"/>
          <w:color w:val="auto"/>
        </w:rPr>
        <w:t>. Researchers design Phase 3 studies to demonstrate whether or not a product offers a treatment benefit to a specific population.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Sometimes known as pivotal studies, these studies generally involve a larger number of participants than do Phase 2 studies. Phase 3 studies provide most of the safety data. In Phase 3 studies, it is possible that less common side effects might have gone undetected. Because these studies are larger and longer in duration, the results are more likely to show long-term or rare side effects.</w:t>
      </w:r>
    </w:p>
    <w:p>
      <w:pPr>
        <w:spacing w:after="0" w:line="179"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For each clinical trial, an institutional review board (IRB) or independent ethics committee (IEC), covering each site proposing to conduct a clinical trial must review and approve the plan for any clinical trial and written informed consent or assent information for subjects before the trial commences at that site and it must monitor the study until completed. The FDA, other heath authority, the IRB/IEC, or the sponsor may suspend a clinical trial at any time on various grounds, including a finding that the subjects or patients are being exposed to an unacceptable health risk or for failure to comply with the IRB/IEC’s requirements, or may impose other conditions.</w:t>
      </w:r>
    </w:p>
    <w:p>
      <w:pPr>
        <w:spacing w:after="0" w:line="185"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Clinical trials involve the administration of an investigational drug to human subjects under the supervision of qualified investigators in accordance with good clinical practices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spacing w:after="0" w:line="18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 that the patients are being exposed to an unacceptable health risk or if the drug candidate does not appear to have sufficient treatment benefit.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228"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When we believe that the data from our clinical trials show an adequate level of safety and efficacy, we would intend to submit an application to market the drug for a particular use, an NDA with the FDA. The FDA may hold a public hearing where an independent advisory committee of expert advisors asks additional questions and makes recommendations regarding the drug candidate. This committee is asked by the FDA to provide its perspective and make recommendations that are not binding, but are generally followed by the FDA. If the FDA determines that the compound is safe and effective for a particular use, it will approve the application, allowing the drug product to be marketed in the U.S. and sold for that use. It is not unusual, however, for the FDA to reject an application because it believes that the risks of the drug candidate outweigh the purported benefit or because it does not believe that the data submitted are reliable or conclusive. The FDA may also issue a Complete Response Letter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w:t>
      </w:r>
    </w:p>
    <w:p>
      <w:pPr>
        <w:spacing w:after="0" w:line="193"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If the drug candidate is approved, the FDA may also require additional studies, or PMRs. These include studies to explore scientific questions to further characterize safety or efficacy of the drug candidate. The FDA may also require us to provide additional data or information, improve our manufacturing processes, procedures analytical methods or facilities or may require extensive surveillance to monitor the safety or benefits of our product candidates if it determines that our filing does not contain adequate evidence of the safety and benefits of the drug. In addition, even if the FDA approves a drug, it could limit the uses of the drug. The FDA can withdraw approvals if it does not believe that we are complying with regulatory standards or if problems are uncovered or occur after approval.</w:t>
      </w:r>
    </w:p>
    <w:p>
      <w:pPr>
        <w:spacing w:after="0" w:line="184"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In addition to obtaining FDA approval for our drug, the manufacturing facilities of the companies who manufacture our drugs for us must also be approved. These facilities are subject to periodic inspections by the FDA. The FDA must also approve foreign establishments that manufacture products to be sold in the U.S. and these facilities are subject to periodic regulatory inspection.</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Once approved, the FDA may withdraw product approval if ongoing regulatory requirements are not met or if safety problems are identified after the product reaches the market. In addition, the FDA has the authority to prevent or limit further marketing of a product based on the results of PMRs.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 required to submit and obtain FDA approval of a new or supplemental NDA, which may require the development of additional data or conduct of additional pre-clinical studies and clinical trials.</w:t>
      </w:r>
    </w:p>
    <w:p>
      <w:pPr>
        <w:spacing w:after="0" w:line="184"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Drugs that treat serious or life-threatening diseases and conditions that are not adequately addressed by existing drugs, and for which the development program is designed to address the unmet medical need, may be designated as fast track and/or breakthrough candidates by the FDA and may be eligible for accelerated and priority review.</w:t>
      </w:r>
    </w:p>
    <w:p>
      <w:pPr>
        <w:spacing w:after="0" w:line="176" w:lineRule="exact"/>
        <w:rPr>
          <w:sz w:val="20"/>
          <w:szCs w:val="20"/>
          <w:color w:val="auto"/>
        </w:rPr>
      </w:pPr>
    </w:p>
    <w:p>
      <w:pPr>
        <w:ind w:right="80" w:firstLine="509"/>
        <w:spacing w:after="0" w:line="274" w:lineRule="auto"/>
        <w:rPr>
          <w:sz w:val="20"/>
          <w:szCs w:val="20"/>
          <w:color w:val="auto"/>
        </w:rPr>
      </w:pPr>
      <w:r>
        <w:rPr>
          <w:rFonts w:ascii="Times New Roman" w:cs="Times New Roman" w:eastAsia="Times New Roman" w:hAnsi="Times New Roman"/>
          <w:sz w:val="17"/>
          <w:szCs w:val="17"/>
          <w:color w:val="auto"/>
        </w:rPr>
        <w:t xml:space="preserve">Drugs that are developed for rare diseases (i.e., in the U.S., the disease or condition has a prevalence of less than 200,000 persons; in the E.U., the prevalence of the condition must be not more than 5 in 10,000) can be designated as “Orphan Drugs”. In the U.S., orphan-designated drugs are granted up to 7-year market exclusivity. In response to the court decision in </w:t>
      </w:r>
      <w:r>
        <w:rPr>
          <w:rFonts w:ascii="Times New Roman" w:cs="Times New Roman" w:eastAsia="Times New Roman" w:hAnsi="Times New Roman"/>
          <w:sz w:val="17"/>
          <w:szCs w:val="17"/>
          <w:i w:val="1"/>
          <w:iCs w:val="1"/>
          <w:color w:val="auto"/>
        </w:rPr>
        <w:t>Catalyst Pharms., Inc. v. Becerra</w:t>
      </w:r>
      <w:r>
        <w:rPr>
          <w:rFonts w:ascii="Times New Roman" w:cs="Times New Roman" w:eastAsia="Times New Roman" w:hAnsi="Times New Roman"/>
          <w:sz w:val="17"/>
          <w:szCs w:val="17"/>
          <w:color w:val="auto"/>
        </w:rPr>
        <w:t xml:space="preserve">, 14 F.4th 1299 (11th Cir. 2021), in January 2023, the FDA published a notice in the Federal Register to clarify that while the agency complies with the court’s order in </w:t>
      </w:r>
      <w:r>
        <w:rPr>
          <w:rFonts w:ascii="Times New Roman" w:cs="Times New Roman" w:eastAsia="Times New Roman" w:hAnsi="Times New Roman"/>
          <w:sz w:val="17"/>
          <w:szCs w:val="17"/>
          <w:i w:val="1"/>
          <w:iCs w:val="1"/>
          <w:color w:val="auto"/>
        </w:rPr>
        <w:t>Catalyst</w:t>
      </w:r>
      <w:r>
        <w:rPr>
          <w:rFonts w:ascii="Times New Roman" w:cs="Times New Roman" w:eastAsia="Times New Roman" w:hAnsi="Times New Roman"/>
          <w:sz w:val="17"/>
          <w:szCs w:val="17"/>
          <w:color w:val="auto"/>
        </w:rPr>
        <w:t xml:space="preserve">, the FDA intends to continue to apply its longstanding interpretation of the regulations to matters outside of the scope of the </w:t>
      </w:r>
      <w:r>
        <w:rPr>
          <w:rFonts w:ascii="Times New Roman" w:cs="Times New Roman" w:eastAsia="Times New Roman" w:hAnsi="Times New Roman"/>
          <w:sz w:val="17"/>
          <w:szCs w:val="17"/>
          <w:i w:val="1"/>
          <w:iCs w:val="1"/>
          <w:color w:val="auto"/>
        </w:rPr>
        <w:t>Catalyst</w:t>
      </w:r>
      <w:r>
        <w:rPr>
          <w:rFonts w:ascii="Times New Roman" w:cs="Times New Roman" w:eastAsia="Times New Roman" w:hAnsi="Times New Roman"/>
          <w:sz w:val="17"/>
          <w:szCs w:val="17"/>
          <w:color w:val="auto"/>
        </w:rPr>
        <w:t xml:space="preserve"> order – that is, the agency will continue tying the scope of orphan-drug exclusivity to the uses or indications for which a drug is approved, which permits other sponsors to obtain approval of a drug for new</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uses or indications within the same orphan designated disease or condition that have not yet been approved. It is unclear how future litigation, legislation, agency decisions and administrative actions will impact the scope of the orphan drug exclusivity. In the E.U., products granted orphan designation are subject to reduced fees for protocol assistance, marketing authorization applications, inspections before authorization, applications for changes to marketing authorizations, and annual fees, access to the centralized authorization procedure, and 10 years of market exclusivity.</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Ongoing Regulation</w:t>
      </w:r>
    </w:p>
    <w:p>
      <w:pPr>
        <w:spacing w:after="0" w:line="120"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w:t>
      </w:r>
    </w:p>
    <w:p>
      <w:pPr>
        <w:spacing w:after="0" w:line="176" w:lineRule="exact"/>
        <w:rPr>
          <w:sz w:val="20"/>
          <w:szCs w:val="20"/>
          <w:color w:val="auto"/>
        </w:rPr>
      </w:pPr>
    </w:p>
    <w:p>
      <w:pPr>
        <w:ind w:right="60" w:firstLine="509"/>
        <w:spacing w:after="0" w:line="276" w:lineRule="auto"/>
        <w:rPr>
          <w:sz w:val="20"/>
          <w:szCs w:val="20"/>
          <w:color w:val="auto"/>
        </w:rPr>
      </w:pPr>
      <w:r>
        <w:rPr>
          <w:rFonts w:ascii="Times New Roman" w:cs="Times New Roman" w:eastAsia="Times New Roman" w:hAnsi="Times New Roman"/>
          <w:sz w:val="17"/>
          <w:szCs w:val="17"/>
          <w:color w:val="auto"/>
        </w:rPr>
        <w:t>In addition, drug manufacturers and other entities involved in the manufacture and distribution of approved drugs are subject to periodic unannounced inspections by the FDA and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 Accordingly, manufacturers must continue to expend time, money, and effort in the area of production and quality control to maintain cGMP compliance.</w:t>
      </w:r>
    </w:p>
    <w:p>
      <w:pPr>
        <w:spacing w:after="0" w:line="16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Once approved, the FDA may withdraw the approval for a product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for approved drugs, may result in, among other things:</w:t>
      </w:r>
    </w:p>
    <w:p>
      <w:pPr>
        <w:spacing w:after="0" w:line="77"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6" w:lineRule="exact"/>
        <w:rPr>
          <w:rFonts w:ascii="Times New Roman" w:cs="Times New Roman" w:eastAsia="Times New Roman" w:hAnsi="Times New Roman"/>
          <w:sz w:val="18"/>
          <w:szCs w:val="18"/>
          <w:color w:val="auto"/>
        </w:rPr>
      </w:pPr>
    </w:p>
    <w:p>
      <w:pPr>
        <w:ind w:left="1020" w:right="700" w:hanging="503"/>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4"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drug and device products that are placed on the market. The Federal Trade Commission (FTC) also regulates the promotion and advertising of consumer products. While physicians may prescribe drugs and devices for off label uses, manufacturers may only promote for the approved indications and in accordance with the provisions of the approved label. Noncompliance may result in warning letters, fines or additional restrictions on subsequent advertising and promotional materials. Manufacturers may not promote a drug that is still under development and has not been approved by the FDA. The FDA and other agencies actively enforce the laws and regulations prohibiting the promotion of off label uses, and a company that is found to have improperly promoted off label uses may be subject to significant liability.</w:t>
      </w:r>
    </w:p>
    <w:p>
      <w:pPr>
        <w:spacing w:after="0" w:line="184"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Drugs are also subject to extensive regulation outside of the U.S. In the E.U., there is a centralized approval procedure that authorizes marketing of a product in all countries of the E.U. through a single application and review process. After receiving regulatory approval through the E.U. registration procedures, separate pricing and reimbursement approvals are also required in member countries. The E.U. also has requirements for approval of manufacturing facilities for all products that are approved for sale by the European regulatory authorities.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Government Regulations</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HIPAA and Other Privacy Laws</w:t>
      </w:r>
    </w:p>
    <w:p>
      <w:pPr>
        <w:spacing w:after="0" w:line="22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Health Insurance Portability and Accountability Act (HIPAA), established for the first-time comprehensive protection for the privacy and security of health information. The HIPAA standards apply to three types of organizations, or “Covered Entities”: health plans, healthcare clearing houses, and healthcare providers which conduct certain healthcare transactions electronically. Covered Entities and their Business Associates must have in place administrative, physical, and technical standards to guard against the misuse of individually identifiable health information. Because we are a healthcare provider and we conduct certain healthcare transactions electronically, we are presently a Covered Entity, and we must have in place the administrative, physical, and technical safeguards required by HIPAA, the Health Information Technology for Economic and Clinical Health Act of 2009 (HITECH Act) and their implementing regulations. Additionally, some state laws impose privacy protections more stringent than HIPAA. Most of the institutions and physicians from which we obtain biological specimens that we use in our research and validation work are Covered Entities and must obtain proper authorization from their patients for the subsequent use of those samples and associated clinical information. We may perform future activities that may implicate HIPAA, such as providing clinical laboratory testing services or entering into specific kinds of relationships with a Covered Entity or a Business Associate of a Covered Entity.</w:t>
      </w:r>
    </w:p>
    <w:p>
      <w:pPr>
        <w:spacing w:after="0" w:line="195"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If we or our operations are found to be in violation of HIPAA, HITECH or their implementing regulations, we may be subject to penalties, including civil and criminal penalties, fines, and exclusion from participation in U.S. federal or state health care programs, and the curtailment or restructuring of our operations. HITECH increased the civil and criminal penalties that may be imposed against Covered Entities, their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85"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Our activities must also comply with other applicable privacy laws. For example, there are also international privacy laws that impose restrictions on the access, use, and disclosure of health information. All of these laws may impact our business. Our failure to comply with these privacy laws or significant changes in the laws restricting our ability to obtain tissue samples and associated patient information could significantly impact our business and our future business plans.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Billing and Fraud and Abuse Laws</w:t>
      </w:r>
    </w:p>
    <w:p>
      <w:pPr>
        <w:spacing w:after="0" w:line="11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i w:val="1"/>
          <w:iCs w:val="1"/>
          <w:color w:val="auto"/>
        </w:rPr>
        <w:t>Antifraud Laws/Overpayments</w:t>
      </w:r>
      <w:r>
        <w:rPr>
          <w:rFonts w:ascii="Times New Roman" w:cs="Times New Roman" w:eastAsia="Times New Roman" w:hAnsi="Times New Roman"/>
          <w:sz w:val="18"/>
          <w:szCs w:val="18"/>
          <w:color w:val="auto"/>
        </w:rPr>
        <w:t>. As participants in federal and state healthcare programs, we are subject to numerous federal and state antifraud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abuse laws. Many of these antifraud laws are broad in scope, and neither the courts nor government agencies have extensively interpreted these laws. Prohibitions under some of these laws include:</w:t>
      </w:r>
    </w:p>
    <w:p>
      <w:pPr>
        <w:spacing w:after="0" w:line="68"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or causing the submission of, false claims or false information to government programs;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deceptive or fraudulent conduct;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medically unnecessary procedures;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in defrauding private sector health insurers.</w:t>
      </w:r>
    </w:p>
    <w:p>
      <w:pPr>
        <w:spacing w:after="0" w:line="22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could be subject to substantial penalties for violations of these laws, including denial of payment and refunds, suspension of payments from Medicare, Medicaid or other federal healthcare programs and exclusion from participation in the federal healthcare programs, as well as civil monetary and criminal penalties and imprisonment. One of these statutes, the False Claims Act, is a key enforcement tool used by the government to combat healthcare fraud. The False Claims Act imposes liability on any person who, among other things, knowingly presents, or causes to be presented, a false or fraudulent claim for payment by a federal healthcare program. In addition, violations of the federal physician self-referral laws, such as the Stark laws discussed below, may also violate false claims laws. Liability under the False Claims Act can result in treble damages and imposition of penalties. For example, we could be subject to penalties of $14,308 to $28,618 per false claim, adjusted each year for inflation, and each use of our product could potentially be part of a different claim submitted to the government. Separately, the HHS office of the Office of Inspector General, or OIG, can exclude providers found liable under the False Claims Act from</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 w:name="page14"/>
    <w:bookmarkEnd w:id="13"/>
    <w:p>
      <w:pPr>
        <w:spacing w:after="0" w:line="19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participating in federally funded healthcare programs, including Medicare and Medicaid. The steep penalties that may be imposed on laboratories and other providers under this statute may be disproportionate to the relatively small dollar amounts of the claims made by these providers for reimbursement. In addition, even the threat of being excluded from participation in federal healthcare programs can have significant financial consequences on a provider.</w:t>
      </w:r>
    </w:p>
    <w:p>
      <w:pPr>
        <w:spacing w:after="0" w:line="176"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Numerous federal and state agencies enforce the antifraud and abuse laws. In addition, private insurers may also bring private actions. In some circumstances, private whistleblowers are authorized to bring fraud suits on behalf of the government against providers and are entitled to receive a portion of any final recovery.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“Self-Referral” and “Anti-Kickback” Restrictions</w:t>
      </w:r>
    </w:p>
    <w:p>
      <w:pPr>
        <w:spacing w:after="0" w:line="11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Self-Referral law</w:t>
      </w:r>
      <w:r>
        <w:rPr>
          <w:rFonts w:ascii="Times New Roman" w:cs="Times New Roman" w:eastAsia="Times New Roman" w:hAnsi="Times New Roman"/>
          <w:sz w:val="18"/>
          <w:szCs w:val="18"/>
          <w:color w:val="auto"/>
        </w:rPr>
        <w:t>. We are subject to a federal “self-referral” law, commonly referred to as the “Stark” law, which provides that physicians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personally or through a family member, have ownership interests in or compensation arrangements with a laboratory are prohibited from making a referral to that laboratory for laboratory tests reimbursable by Medicare, and also prohibits laboratories from submitting a claim for Medicare payments for laboratory tests referred by physicians who, personally or through a family member, have ownership interests in or compensation arrangements with the testing laboratory. The Stark law contains a number of specific exceptions which, if met, permit physicians who have ownership or compensation arrangements with a testing laboratory to make referrals to that laboratory and permit the laboratory to submit claims for Medicare payments for laboratory tests performed pursuant to such referrals.</w:t>
      </w:r>
    </w:p>
    <w:p>
      <w:pPr>
        <w:spacing w:after="0" w:line="18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We are subject to comparable state laws, some of which apply to all payers regardless of source of payment, and do not contain identical exceptions to the Stark law. For example, we are subject to a North Carolina self-referral law that prohibits a physician investor from referring to us any patients covered by private, employer-funded or state and federal employee health plans. The North Carolina self-referral law contains few exceptions for physician investors in securities that have not been acquired through public trading but will generally permit us to accept referrals from physician investors who buy their shares in the public market.</w:t>
      </w:r>
    </w:p>
    <w:p>
      <w:pPr>
        <w:spacing w:after="0" w:line="185"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We have several stockholders who are physicians in a position to make referrals to us. We have included within our compliance plan procedures to identify requests for testing services from physician investors and we do not bill Medicare, or any other federal program, or seek reimbursement from other third-party payers, for these tests.</w:t>
      </w:r>
    </w:p>
    <w:p>
      <w:pPr>
        <w:spacing w:after="0" w:line="176"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Providers are subject to sanctions for claims submitted for each service that is furnished based on a referral prohibited under the federal self-referral laws. These sanctions include denial of payment and refunds, civil monetary payments and exclusion from participation in federal healthcare programs and civil monetary penalties, and they may also include penalties for applicable violations of the False Claims Act, which may require payment of up to three times the actual damages sustained by the government, plus civil penalties of $14,308 to $28,618 for each separate false claim. Similarly, sanctions for violations under the North Carolina self-referral laws include refunds and monetary penalties.</w:t>
      </w:r>
    </w:p>
    <w:p>
      <w:pPr>
        <w:spacing w:after="0" w:line="18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Anti-Kickback Statute</w:t>
      </w:r>
      <w:r>
        <w:rPr>
          <w:rFonts w:ascii="Times New Roman" w:cs="Times New Roman" w:eastAsia="Times New Roman" w:hAnsi="Times New Roman"/>
          <w:sz w:val="18"/>
          <w:szCs w:val="18"/>
          <w:color w:val="auto"/>
        </w:rPr>
        <w:t>. The federal Anti-Kickback Statute prohibits persons from knowingly and willfully soliciting, receiving, offering or paying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remuneration, directly or indirectly, to induce either the referral of an individual, or the furnishing, recommending, or arranging for a good or service, for which payment may be made under a federal healthcare program, such as the Medicare and Medicaid programs. The term “remuneration” is not defined in the federal Anti-Kickback Statute and has been broadly interpreted to include anything of value, including for example, gifts, discounts, the furnishing of supplies or equipment, credit arrangements, payments of cash, waivers of payment, ownership interests and providing anything at less than its fair market value. The reach of the Anti-Kickback Statute was also broadened by the Patient Protection and Affordable Care Act of 2010 (PPACA), which, among other things, amends the intent requirement of the federal Anti-Kickback Statute and certain criminal healthcare fraud statutes, effective March 23, 2010. Pursuant to the statutory amendment, a person or entity does not need to have actual knowledge of this statute or specific intent to violate it in order to have committed a violation. In addition, PPACA provides that a claim including items or services resulting from a violation of the federal Anti-Kickback Statute constitutes a false or fraudulent claim for purposes of the False Claims Act or the civil monetary penalties statute, which imposes penalties against any person who is determined to have presented or caused to be presented a claim to a federal health program that the person knows or should know is for an item or service that</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4" w:name="page15"/>
    <w:bookmarkEnd w:id="14"/>
    <w:p>
      <w:pPr>
        <w:spacing w:after="0" w:line="190"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was not provided as claimed or is false or fraudulent. Sanctions for violations of the federal Anti-Kickback Statute may include imprisonment and other criminal penalties, civil monetary penalties and exclusion from participation in federal healthcare programs.</w:t>
      </w:r>
    </w:p>
    <w:p>
      <w:pPr>
        <w:spacing w:after="0" w:line="162" w:lineRule="exact"/>
        <w:rPr>
          <w:sz w:val="20"/>
          <w:szCs w:val="20"/>
          <w:color w:val="auto"/>
        </w:rPr>
      </w:pPr>
    </w:p>
    <w:p>
      <w:pPr>
        <w:ind w:right="240" w:firstLine="509"/>
        <w:spacing w:after="0" w:line="260" w:lineRule="auto"/>
        <w:rPr>
          <w:sz w:val="20"/>
          <w:szCs w:val="20"/>
          <w:color w:val="auto"/>
        </w:rPr>
      </w:pPr>
      <w:r>
        <w:rPr>
          <w:rFonts w:ascii="Times New Roman" w:cs="Times New Roman" w:eastAsia="Times New Roman" w:hAnsi="Times New Roman"/>
          <w:sz w:val="18"/>
          <w:szCs w:val="18"/>
          <w:color w:val="auto"/>
        </w:rPr>
        <w:t>The OIG has criticized a number of the business practices in the clinical laboratory industry as potentially implicating the Anti-Kickback Statute, including compensation arrangements intended to induce referrals between laboratories and entities from which they receive, or to which they make, referrals. In addition, the OIG has indicated that “dual charge” billing practices that are intended to induce the referral of patients reimbursed by federal healthcare programs may violate the Anti-Kickback Statute.</w:t>
      </w:r>
    </w:p>
    <w:p>
      <w:pPr>
        <w:spacing w:after="0" w:line="181"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Many states have also adopted laws similar to the federal Anti-Kickback Statute, some of which apply to the referral of patients for healthcare items or services reimbursed by any source, not only the Medicare and Medicaid programs, and do not contain identical safe harbors. For example, North Carolina has an anti-kickback statute that prohibits healthcare providers from paying any financial compensation for recommending or securing patient referrals. Penalties for violations of this statute include license suspension or revocation or other disciplinary action. Other states have similar anti-kickback prohibitions.</w:t>
      </w:r>
    </w:p>
    <w:p>
      <w:pPr>
        <w:spacing w:after="0" w:line="185" w:lineRule="exact"/>
        <w:rPr>
          <w:sz w:val="20"/>
          <w:szCs w:val="20"/>
          <w:color w:val="auto"/>
        </w:rPr>
      </w:pPr>
    </w:p>
    <w:p>
      <w:pPr>
        <w:ind w:right="320" w:firstLine="509"/>
        <w:spacing w:after="0" w:line="265" w:lineRule="auto"/>
        <w:rPr>
          <w:sz w:val="20"/>
          <w:szCs w:val="20"/>
          <w:color w:val="auto"/>
        </w:rPr>
      </w:pPr>
      <w:r>
        <w:rPr>
          <w:rFonts w:ascii="Times New Roman" w:cs="Times New Roman" w:eastAsia="Times New Roman" w:hAnsi="Times New Roman"/>
          <w:sz w:val="18"/>
          <w:szCs w:val="18"/>
          <w:color w:val="auto"/>
        </w:rPr>
        <w:t>Both the federal Anti-Kickback Statute and the North Carolina anti-kickback law are broad in scope. The anti-kickback laws clearly prohibit payments for patient referrals. Under a broad interpretation, these laws could also prohibit a broad array of practices involving remuneration where one party is a potential source of referrals for the other.</w:t>
      </w:r>
    </w:p>
    <w:p>
      <w:pPr>
        <w:spacing w:after="0" w:line="176"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If we or our operations are found to be in violation of any of the laws described above or any other governmental regulations that apply to us, we may be subject to penalties, including civil and criminal penalties, damages, fines, exclusion from participation in U.S. federal or state health care programs, and the curtailment or restructuring of our operations. To the extent that any product we make is sold in a foreign country in the future,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 To reduce the risks associated with these various laws and governmental regulations, we have implemented a compliance plan.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Foreign Corrupt Practices Act</w:t>
      </w:r>
    </w:p>
    <w:p>
      <w:pPr>
        <w:spacing w:after="0" w:line="120" w:lineRule="exact"/>
        <w:rPr>
          <w:sz w:val="20"/>
          <w:szCs w:val="20"/>
          <w:color w:val="auto"/>
        </w:rPr>
      </w:pPr>
    </w:p>
    <w:p>
      <w:pPr>
        <w:ind w:right="60" w:firstLine="509"/>
        <w:spacing w:after="0" w:line="276" w:lineRule="auto"/>
        <w:rPr>
          <w:sz w:val="20"/>
          <w:szCs w:val="20"/>
          <w:color w:val="auto"/>
        </w:rPr>
      </w:pPr>
      <w:r>
        <w:rPr>
          <w:rFonts w:ascii="Times New Roman" w:cs="Times New Roman" w:eastAsia="Times New Roman" w:hAnsi="Times New Roman"/>
          <w:sz w:val="17"/>
          <w:szCs w:val="17"/>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20" w:lineRule="exact"/>
        <w:rPr>
          <w:sz w:val="20"/>
          <w:szCs w:val="20"/>
          <w:color w:val="auto"/>
        </w:rPr>
      </w:pPr>
    </w:p>
    <w:p>
      <w:pPr>
        <w:ind w:right="700" w:firstLine="509"/>
        <w:spacing w:after="0" w:line="281" w:lineRule="auto"/>
        <w:rPr>
          <w:sz w:val="20"/>
          <w:szCs w:val="20"/>
          <w:color w:val="auto"/>
        </w:rPr>
      </w:pPr>
      <w:r>
        <w:rPr>
          <w:rFonts w:ascii="Times New Roman" w:cs="Times New Roman" w:eastAsia="Times New Roman" w:hAnsi="Times New Roman"/>
          <w:sz w:val="18"/>
          <w:szCs w:val="18"/>
          <w:color w:val="auto"/>
        </w:rPr>
        <w:t>As of December 31, 2024, we had 92 full-time employees. None of our employees is represented by a labor union or covered by collective bargaining agreements. We consider our relationship with our employees to be good.</w:t>
      </w: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5" w:name="page16"/>
    <w:bookmarkEnd w:id="15"/>
    <w:p>
      <w:pPr>
        <w:spacing w:after="0" w:line="8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We are committed to providing a work environment that is free of discrimination and harassment. We are an equal-opportunity employer and make employment decisions on the basis of a person’s qualifications and the needs of our business. We believe in the richness and quality of a working environment that is informed by people from all walks of life and strive to create a diverse and genuinely inclusive environment. We are committed to ensuring our team members are treated with fairness and respect. We believe that a cooperative work environment, based in trust and mutual respect, is essential to our success. As new employees join us, they learn more about our policies and culture through new hire orientation and onboarding, our Employee Handbook, Code of Conduct, and compliance trainings.</w:t>
      </w:r>
    </w:p>
    <w:p>
      <w:pPr>
        <w:spacing w:after="0" w:line="77" w:lineRule="exact"/>
        <w:rPr>
          <w:sz w:val="20"/>
          <w:szCs w:val="20"/>
          <w:color w:val="auto"/>
        </w:rPr>
      </w:pPr>
    </w:p>
    <w:p>
      <w:pPr>
        <w:ind w:right="240" w:firstLine="509"/>
        <w:spacing w:after="0" w:line="257" w:lineRule="auto"/>
        <w:rPr>
          <w:sz w:val="20"/>
          <w:szCs w:val="20"/>
          <w:color w:val="auto"/>
        </w:rPr>
      </w:pPr>
      <w:r>
        <w:rPr>
          <w:rFonts w:ascii="Times New Roman" w:cs="Times New Roman" w:eastAsia="Times New Roman" w:hAnsi="Times New Roman"/>
          <w:sz w:val="18"/>
          <w:szCs w:val="18"/>
          <w:color w:val="auto"/>
        </w:rPr>
        <w:t>We offer an attractive mix of compensation and benefit plans to support our employees and their families’ physical, mental, and financial well-being. We believe that we employ a fair and merit-based total compensation system for our employees. Employees are generally eligible for medical, dental, vision and other comprehensive benefits.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Available Information</w:t>
      </w:r>
    </w:p>
    <w:p>
      <w:pPr>
        <w:spacing w:after="0" w:line="12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principal corporate offices are located at 100 Marine Parkway, Suite 400, Redwood City, California 94065 and our telephone number is (650) 213-8444. We were incorporated in Delaware on August 25, 1999. Our internet address is www.soleno.life. We make available on our website, free of charge, our Annual Report on Form 10-K, Quarterly Reports on Form 10-Q, Current Reports on Form 8-K and any amendments to those reports, as soon as reasonably practicable after we electronically file such materials with, or furnish it to, the Securities Exchange and Commission. Our Securities Exchange and Commission reports can be accessed through the Investor Relations section of our internet website. The information found on our internet website is not part of this or any other report we file with or furnish to the Securities Exchange and Commission.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 w:name="page17"/>
    <w:bookmarkEnd w:id="16"/>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0" w:lineRule="exact"/>
        <w:rPr>
          <w:sz w:val="20"/>
          <w:szCs w:val="20"/>
          <w:color w:val="auto"/>
        </w:rPr>
      </w:pPr>
    </w:p>
    <w:p>
      <w:pPr>
        <w:jc w:val="both"/>
        <w:ind w:right="300" w:firstLine="509"/>
        <w:spacing w:after="0" w:line="260" w:lineRule="auto"/>
        <w:rPr>
          <w:sz w:val="20"/>
          <w:szCs w:val="20"/>
          <w:color w:val="auto"/>
        </w:rPr>
      </w:pPr>
      <w:r>
        <w:rPr>
          <w:rFonts w:ascii="Times New Roman" w:cs="Times New Roman" w:eastAsia="Times New Roman" w:hAnsi="Times New Roman"/>
          <w:sz w:val="18"/>
          <w:szCs w:val="18"/>
          <w:color w:val="auto"/>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w:t>
      </w:r>
    </w:p>
    <w:p>
      <w:pPr>
        <w:spacing w:after="0" w:line="116" w:lineRule="exact"/>
        <w:rPr>
          <w:sz w:val="20"/>
          <w:szCs w:val="20"/>
          <w:color w:val="auto"/>
        </w:rPr>
      </w:pPr>
    </w:p>
    <w:p>
      <w:pPr>
        <w:ind w:right="2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numerous risks and uncertainties that you should consider before investing in our company, as fully described below. The principal factors and uncertainties that make investing in our company risky include, among others:</w:t>
      </w:r>
    </w:p>
    <w:p>
      <w:pPr>
        <w:spacing w:after="0" w:line="51" w:lineRule="exact"/>
        <w:rPr>
          <w:sz w:val="20"/>
          <w:szCs w:val="20"/>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company with no approved products, which makes assessment of our future viability difficult;</w:t>
      </w:r>
    </w:p>
    <w:p>
      <w:pPr>
        <w:spacing w:after="0" w:line="116"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commercialization history as a company and have incurred significant losses since our inception, and we anticipate that we will continue to incur substantial losses for the immediate future;</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the success of DCCR, our sole therapeutic product candidate;</w:t>
      </w:r>
    </w:p>
    <w:p>
      <w:pPr>
        <w:spacing w:after="0" w:line="116" w:lineRule="exact"/>
        <w:rPr>
          <w:rFonts w:ascii="Times New Roman" w:cs="Times New Roman" w:eastAsia="Times New Roman" w:hAnsi="Times New Roman"/>
          <w:sz w:val="18"/>
          <w:szCs w:val="18"/>
          <w:color w:val="auto"/>
        </w:rPr>
      </w:pPr>
    </w:p>
    <w:p>
      <w:pPr>
        <w:ind w:left="1020" w:right="260" w:hanging="504"/>
        <w:spacing w:after="0" w:line="26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regulatory approval for DCCR or other potential product candidates. The denial or delay of any such approval would delay commercialization and have a material adverse effect on our potential to generate revenue, our business and our results of operations;</w:t>
      </w:r>
    </w:p>
    <w:p>
      <w:pPr>
        <w:spacing w:after="0" w:line="68" w:lineRule="exact"/>
        <w:rPr>
          <w:rFonts w:ascii="Times New Roman" w:cs="Times New Roman" w:eastAsia="Times New Roman" w:hAnsi="Times New Roman"/>
          <w:sz w:val="18"/>
          <w:szCs w:val="18"/>
          <w:color w:val="auto"/>
        </w:rPr>
      </w:pPr>
    </w:p>
    <w:p>
      <w:pPr>
        <w:ind w:left="1020" w:right="56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DCCR receives regulatory approval, it may fail to achieve the degree of market acceptance by physicians, patients, caregivers, healthcare payers and others in the medical community necessary for commercial success;</w:t>
      </w:r>
    </w:p>
    <w:p>
      <w:pPr>
        <w:spacing w:after="0" w:line="54" w:lineRule="exact"/>
        <w:rPr>
          <w:rFonts w:ascii="Times New Roman" w:cs="Times New Roman" w:eastAsia="Times New Roman" w:hAnsi="Times New Roman"/>
          <w:sz w:val="18"/>
          <w:szCs w:val="18"/>
          <w:color w:val="auto"/>
        </w:rPr>
      </w:pPr>
    </w:p>
    <w:p>
      <w:pPr>
        <w:ind w:left="1020" w:right="64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expand our development, regulatory and sales and marketing capabilities, and as a result, we may encounter difficulties in managing our growth, which could disrupt our operations;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rights may prove to be an inadequate barrier to competition;</w:t>
      </w:r>
    </w:p>
    <w:p>
      <w:pPr>
        <w:spacing w:after="0" w:line="116"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will continue to incur significant increased costs as a result of operating as a public company, and our management has devoted and will be required to continue to devote substantial time to new compliance initiatives; and</w:t>
      </w:r>
    </w:p>
    <w:p>
      <w:pPr>
        <w:spacing w:after="0" w:line="54" w:lineRule="exact"/>
        <w:rPr>
          <w:rFonts w:ascii="Times New Roman" w:cs="Times New Roman" w:eastAsia="Times New Roman" w:hAnsi="Times New Roman"/>
          <w:sz w:val="18"/>
          <w:szCs w:val="18"/>
          <w:color w:val="auto"/>
        </w:rPr>
      </w:pPr>
    </w:p>
    <w:p>
      <w:pPr>
        <w:ind w:left="1020" w:right="140" w:hanging="504"/>
        <w:spacing w:after="0" w:line="26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clinical-stage company with no approved products, which makes assessment of our future viability difficult.</w:t>
      </w:r>
    </w:p>
    <w:p>
      <w:pPr>
        <w:spacing w:after="0" w:line="9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We have historically been a clinical-stage company with no approved therapeutic products or revenues from the sale of therapeutic products. As a result, there is limited information for investors to use when assessing our future viability as a company focused primarily on therapeutic products and our potential to successfully develop product candidates, conduct clinical trials, manufacture our products on a commercial scale, obtain regulatory approval and profitably commercialize any approved products.</w:t>
      </w:r>
    </w:p>
    <w:p>
      <w:pPr>
        <w:spacing w:after="0" w:line="123"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have no commercialization history as a company and have incurred significant losses since our inception, and we anticipate that we will continue to incur substantial losses for the immediate future.</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82"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We are a developer of therapeutics with no commercialization history as a company. Evaluating our performance, viability or future success will be more difficult than if we had a longer operating history or approved products for sale on the market. We continue to incur significant research and development and general and administrative expenses and will incur substantial commercial expenses related to our operations.</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expect that our immediate future financial results will depend primarily on our success in launching, selling and supporting DCCR. This will require us to be successful in a range of activities, including manufacturing, marketing and selling our products. We are only in the preliminary stages of some of these activities. We may not succeed in these activities and may never generate revenue that is sufficient to be profitable in the future.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planned products, market our current and planned products, or continue our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the success of DCCR, our sole therapeutic product candidate.</w:t>
      </w:r>
    </w:p>
    <w:p>
      <w:pPr>
        <w:spacing w:after="0" w:line="12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have invested substantially all of our efforts and financial resources in the development of DCCR for the treatment of PWS, a rare complex genetic neurobehavioral/metabolic disease. Our ability to generate product revenues, which may not occur for the foreseeable future, if ever, will depend heavily on the successful development, regulatory approval, and commercialization of DCCR.</w:t>
      </w:r>
    </w:p>
    <w:p>
      <w:pPr>
        <w:spacing w:after="0" w:line="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had previously announced a Prescription Drug User Fee Act (PDUFA) target action date of December 27, 2024 for DCCR. On November 26, 2024, we announced that the FDA had extended the review period for our NDA for DCCR and set a new PDUFA target action date of March 27, 2025. Any further delay or impediment in our ability to obtain regulatory approval to commercialize in any region, or, if approved, obtain coverage and adequate reimbursement from third-parties, including government payers, for DCCR, may cause us to be unable to generate the revenues necessary to continue our research and development pipeline activities or support our operations, thereby adversely affecting our business and our prospects for future growth. Further, the success of DCCR will depend on a number of factors, including the following:</w:t>
      </w:r>
    </w:p>
    <w:p>
      <w:pPr>
        <w:spacing w:after="0" w:line="76" w:lineRule="exact"/>
        <w:rPr>
          <w:sz w:val="20"/>
          <w:szCs w:val="20"/>
          <w:color w:val="auto"/>
        </w:rPr>
      </w:pPr>
    </w:p>
    <w:p>
      <w:pPr>
        <w:ind w:left="1020" w:right="40" w:hanging="504"/>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nonclinical and clinical development of DCCR, as well as the associated costs, including any unforeseen costs;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marketing approvals for DCCR in the U.S. and E.U.;</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 sufficiently broad label that would not unduly restrict patient access;</w:t>
      </w:r>
    </w:p>
    <w:p>
      <w:pPr>
        <w:spacing w:after="0" w:line="116" w:lineRule="exact"/>
        <w:rPr>
          <w:rFonts w:ascii="Times New Roman" w:cs="Times New Roman" w:eastAsia="Times New Roman" w:hAnsi="Times New Roman"/>
          <w:sz w:val="18"/>
          <w:szCs w:val="18"/>
          <w:color w:val="auto"/>
        </w:rPr>
      </w:pPr>
    </w:p>
    <w:p>
      <w:pPr>
        <w:ind w:left="1020" w:right="420" w:hanging="504"/>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 infrastructure capable of supporting product sales, marketing, and distribution of DCCR in the U.S. and territories where we pursue commercialization directly;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commercial manufacturing arrangements with third party manufacturers;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distribution agreements with third party distributors;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DCCR, if and when approved, whether alone or in collaboration with others;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DCCR, if and when approved, by patients, the medical community, and third-party payers;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any post-marketing requirements or post-approval commitments to applicable regulatory authorities;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 commercially viable price once approved;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DCCR following approval;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once approved;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82"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DCCR, which would materially harm our business.</w:t>
      </w:r>
    </w:p>
    <w:p>
      <w:pPr>
        <w:spacing w:after="0" w:line="5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After our Phase 3 clinical trial, DESTINY PWS (C601), failed to demonstrate statistical significance on the primary efficacy endpoints the FDA asked us to conduct a new clinical trial. Following discussions with the FDA, we provided the agency with data from the C601 clinical trial, the open-label extension study (C602) as well as comparison to the natural history study (PATH for PWS) to allow the FDA to further assess if those data may provide adequate evidence of safety and efficacy to permit us to submit a new drug application (NDA) seeking approval to market DCCR for the treatment of PWS. At that time, the FDA indicated that additional controlled data would be necessary to support our planned NDA and we completed a randomized withdrawal period to Study C602 to obtain additional controlled data. Subsequently, we received preliminary comments from the FDA for our pre-NDA meeting, and as we decided not to proceed with the meeting, they are considered the official record of the meeting. As we previously disclosed, the FDA stated that the potential for data from the DCCR clinical program to provide substantial evidence of effectiveness would be a matter of review following the submission of an NDA. The FDA's concerns regarding our data include the C601 study not meeting its primary efficacy endpoint and the randomized withdrawal period of the C602 study including the same study population as the C601 study. We submitted our NDA for DCCR to the FDA on June 27, 2024 and on August 27, 2024, we announced that the FDA had accepted the NDA for filing and priority review and set a PDUFA target action date of December 27, 2024. On November 26, 2024, we announced that the FDA had extended the review period for our NDA and set a new PDUFA target action date of March 27, 2025.</w:t>
      </w:r>
    </w:p>
    <w:p>
      <w:pPr>
        <w:spacing w:after="0" w:line="7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If, following review of our NDA, the FDA does not determine that DCCR is safe and effective, or requires us to conduct additional studies prior to approval, or if we are unable to adequately address any concerns or requests in a manner satisfactory to the FDA or other regulatory authorities in a timely manner, or at all, we would be significantly delayed or prevented from receiving approval of DCCR for any intended use. Complying with any additional requests for information from the FDA or other regulatory authorities as well as any changes in the regulatory requirements will be time-consuming and expensive. We can provide no assurances regarding the timing of the FDA’s review of the NDA for DCCR or if the FDA will ultimately approve our NDA.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obtain regulatory approval for DCCR in the U.S. and the E.U., our business would be harmed.</w:t>
      </w:r>
    </w:p>
    <w:p>
      <w:pPr>
        <w:spacing w:after="0" w:line="17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required to obtain regulatory approval for each indication we are seeking before we can market and sell DCCR in a particular jurisdiction, for such indication. We submitted our NDA for DCCR to the FDA in June 2024 and in August 2024 the FDA accepted the NDA for filing and granted priority review. There is currently a PDUFA target action date of March 27, 2025 for the NDA. Our ability to obtain regulatory approval of DCCR depends on, among other things, successful completion of clinical trials by demonstrating efficacy with statistical significance and clinical meaning, and safety in humans. The results of our current and future clinical trials may not meet the FDA, the European Medicines Agency (EMA), or other regulatory agencies’ requirements to approve DCCR for marketing under any specific indication, and these regulatory agencies may otherwise determine that our third parties’ manufacturing processes, validation, and/ or facilities are insufficient to support approval. As such, we may need to conduct more clinical trials than we currently anticipate or upgrade the manufacturing processes and facilities, which may require significant additional time and expense, and may delay or prevent approval. If we fail to obtain regulatory approval in a timely manner, our commercialization of DCCR would be delayed and our business would be harmed.</w:t>
      </w:r>
    </w:p>
    <w:p>
      <w:pPr>
        <w:spacing w:after="0" w:line="13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73" w:lineRule="exact"/>
        <w:rPr>
          <w:sz w:val="20"/>
          <w:szCs w:val="20"/>
          <w:color w:val="auto"/>
        </w:rPr>
      </w:pPr>
    </w:p>
    <w:p>
      <w:pPr>
        <w:ind w:right="420"/>
        <w:spacing w:after="0" w:line="257" w:lineRule="auto"/>
        <w:rPr>
          <w:sz w:val="20"/>
          <w:szCs w:val="20"/>
          <w:color w:val="auto"/>
        </w:rPr>
      </w:pPr>
      <w:r>
        <w:rPr>
          <w:rFonts w:ascii="Times New Roman" w:cs="Times New Roman" w:eastAsia="Times New Roman" w:hAnsi="Times New Roman"/>
          <w:sz w:val="18"/>
          <w:szCs w:val="18"/>
          <w:color w:val="auto"/>
        </w:rPr>
        <w:t>We have not commenced commercialization of DCCR, our current sole novel therapeutic product, and accordingly, through December 31, 2024, have generated no revenue from operations. We had a net loss of $175.9 million during the year ended December 31, 2024 (including non-cash stock-based compensation of $100.0 million) and an accumulated deficit of $452.3 million at December 31, 2024 as a result of having incurred losses since our inception. We had $318.6 million in cash, cash equivalents and marketable securities at December 31, 2024, used $69.1 million of cash in operating activities during the year ended December 31, 2024 and expect to continue incurring losses for the foreseeable future.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82" w:lineRule="exact"/>
        <w:rPr>
          <w:sz w:val="20"/>
          <w:szCs w:val="20"/>
          <w:color w:val="auto"/>
        </w:rPr>
      </w:pPr>
    </w:p>
    <w:p>
      <w:pPr>
        <w:jc w:val="both"/>
        <w:ind w:right="480"/>
        <w:spacing w:after="0" w:line="265" w:lineRule="auto"/>
        <w:rPr>
          <w:sz w:val="20"/>
          <w:szCs w:val="20"/>
          <w:color w:val="auto"/>
        </w:rPr>
      </w:pPr>
      <w:r>
        <w:rPr>
          <w:rFonts w:ascii="Times New Roman" w:cs="Times New Roman" w:eastAsia="Times New Roman" w:hAnsi="Times New Roman"/>
          <w:sz w:val="18"/>
          <w:szCs w:val="18"/>
          <w:color w:val="auto"/>
        </w:rPr>
        <w:t>We may need to raise additional capital, either through debt or equity financings to achieve our business plan objectives, including ongoing expenses related to the review of our NDA submission by the FDA and scaling of a sales and marketing organization to support the launch of DCCR following potential approval.</w:t>
      </w:r>
    </w:p>
    <w:p>
      <w:pPr>
        <w:spacing w:after="0" w:line="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our product development and planned commercialization efforts, we are unable to predict the extent of our future losses or when, or if, we will generate meaningful revenue or become profitable, and it is possible we will never achieve these goals. Our ability to obtain additional financing will depend on a number of factors, including, among others, our ability to generate positive data from our clinical trials, our ability to obtain FDA approval for DCCR, the condition of the capital markets and the other risks described in this "Risk Factors" section. If any one of these risks are realized, we may not be able to obtain additional funding, in which case, our business could be jeopardized and we may not be able to continue our operations or pursue our strategic plans. If we are forced to scale down, limit or cease operations, our stockholders could lose all of their investment. Even if we are successful at raising capital, there is no assurance that any funds raised will be sufficient to enable us to attain profitable operations.</w:t>
      </w:r>
    </w:p>
    <w:p>
      <w:pPr>
        <w:spacing w:after="0" w:line="7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To the extent that we are unsuccessful raising sufficient capital, we may need to curtail or cease our operations and implement a plan to extend payables or reduce overhead until sufficient additional capital is raised to support further operations. There can be no assurance that such a plan will be successful. If adequate funds are not available, we may be required to curtail our operations significantly or to obtain funds on unfavorable terms, through dilutive financings or entering into arrangements with collaborative partners or others that may require us to relinquish rights to certain of our product candidates that we would not otherwise relinquish. If we issue equity or convertible debt securities to raise additional funds, our existing stockholders will experience further dilution, and the new equity or debt securities may have rights, preferences and privileges senior to those of our existing stockholders. If we incur debt, our fixed payment obligations, liabilities and leverage relative to our equity capitalization would increase, which could increase the cost of future capital. Further, the terms of any debt securities we issue or borrowings we incur, if available, could impose significant restrictions on our operations, such as limitations on our ability to incur additional debt or issue additional equity or other operating restrictions that could adversely affect our ability to conduct our business, and any such debt could be secured by any or all of our assets pledged as collateral. Additionally, we may incur substantial costs in pursuing future capital, including investment banking, legal and accounting fees, printing and distribution expenses and other costs.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generated no product revenue and may never become profitable.</w:t>
      </w:r>
    </w:p>
    <w:p>
      <w:pPr>
        <w:spacing w:after="0" w:line="12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To date, we have not generated revenue from the commercialization of DCCR. Our ability to generate significant revenue from product sales and achieve profitability will depend upon our ability, alone or with any future collaborators, to successfully commercialize products that we may develop, in-license or acquire in the future. Our ability to generate revenue from product sales from DCCR following approval also depends on a number of additional factors, including our ability to:</w:t>
      </w:r>
    </w:p>
    <w:p>
      <w:pPr>
        <w:spacing w:after="0" w:line="73" w:lineRule="exact"/>
        <w:rPr>
          <w:sz w:val="20"/>
          <w:szCs w:val="20"/>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commercial organization capable of sales, marketing and distribution of DCCR;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DCCR;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 commercially viable price for DCCR;</w:t>
      </w:r>
    </w:p>
    <w:p>
      <w:pPr>
        <w:spacing w:after="0" w:line="116" w:lineRule="exact"/>
        <w:rPr>
          <w:rFonts w:ascii="Times New Roman" w:cs="Times New Roman" w:eastAsia="Times New Roman" w:hAnsi="Times New Roman"/>
          <w:sz w:val="18"/>
          <w:szCs w:val="18"/>
          <w:color w:val="auto"/>
        </w:rPr>
      </w:pPr>
    </w:p>
    <w:p>
      <w:pPr>
        <w:ind w:left="1020" w:right="7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reliable third parties, and ensure adequate and legally compliant manufacturing to maintain that supply;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third-party payers, including government and private payers;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suitable distribution partners to help us market, sell and distribute DCCR in other markets;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submit applications to, and obtain regulatory approval from, foreign regulatory authorities;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development activities successfully and on a timely basis;</w:t>
      </w:r>
    </w:p>
    <w:p>
      <w:pPr>
        <w:spacing w:after="0" w:line="116"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maintain and enforce our intellectual property rights and avoid third-party patent interference, intellectual property challenges or intellectual property infringement claims;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product development and commercialization, including that our planned products may not advance through development, achieve the endpoints of applicable clinical trials or obtain approval, we are unable to predict the timing or amount of increased expenses, or when or if we will be able to achieve or maintain profitability. In addition, our expenses could increase beyond expectations if we decide, or are required by the FDA or foreign regulatory authorities, to perform studies or clinical trials in addition to those that we currently anticipate.</w:t>
      </w:r>
    </w:p>
    <w:p>
      <w:pPr>
        <w:spacing w:after="0" w:line="185" w:lineRule="exact"/>
        <w:rPr>
          <w:sz w:val="20"/>
          <w:szCs w:val="20"/>
          <w:color w:val="auto"/>
        </w:rPr>
      </w:pPr>
    </w:p>
    <w:p>
      <w:pPr>
        <w:ind w:right="460"/>
        <w:spacing w:after="0" w:line="288" w:lineRule="auto"/>
        <w:rPr>
          <w:sz w:val="20"/>
          <w:szCs w:val="20"/>
          <w:color w:val="auto"/>
        </w:rPr>
      </w:pPr>
      <w:r>
        <w:rPr>
          <w:rFonts w:ascii="Times New Roman" w:cs="Times New Roman" w:eastAsia="Times New Roman" w:hAnsi="Times New Roman"/>
          <w:sz w:val="17"/>
          <w:szCs w:val="17"/>
          <w:color w:val="auto"/>
        </w:rPr>
        <w:t>Even if we are able to generate significant revenue from the sale of any of our products that may be approved or commercialized,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or shut down our operations.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significant amount of debt, which may affect our ability to operate our business and secure additional financing in the future.</w:t>
      </w:r>
    </w:p>
    <w:p>
      <w:pPr>
        <w:spacing w:after="0" w:line="120"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As of December 31, 2024, we had $50.0 million outstanding under our loan and security agreement with Oxford Financing LLC and its affiliates (collectively, Oxford). Under the terms of the loan agreement with Oxford, an additional $100 million may become available in three additional tranches, with tranches of $50 million and $25 million contingent upon FDA approval of DCCR for the treatment of PWS and one tranche of $25 million contingent upon certain commercial milestones. A final $50 million may be made available upon mutual consent with Oxford. The loan carries an interest-only period of 48 months and a total term of 60 months; provided that if specific milestones are achieved prior to September 30, 2026, the interest-only period and maturity date will be extended by 12 months. Subject to certain conditions, the term loans accrue interest at a floating rate equal to (a) 1-month term SOFR plus (b) 5.50%. Our debt with Oxford is collateralized by substantially all of our assets and contains customary financial and operating covenants limiting our ability to, among other things, dispose of assets, undergo a change in control, merge or consolidate, enter into certain transactions with affiliates, make acquisitions, incur debt, incur liens, pay dividends, repurchase stock and make investments, in each case subject to certain exceptions. The covenants in our loan agreement with Oxford, as well as in any future financing agreements into which we may enter, may restrict our ability to finance our operations and engage in, expand or otherwise pursue our business activities and strategies. Our ability to comply with these covenants may be affected by events beyond our control and future breaches of any of these covenants could result in a default under the loan agreement. If not waived, future defaults could cause all of the outstanding indebtedness under the loan agreement to become immediately due and payable and terminate commitments to extend further credit. If we do not have or are unable to generate sufficient cash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as a going concern.</w:t>
      </w:r>
    </w:p>
    <w:p>
      <w:pPr>
        <w:spacing w:after="0" w:line="88"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below our guidance.</w:t>
      </w:r>
    </w:p>
    <w:p>
      <w:pPr>
        <w:spacing w:after="0" w:line="51"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 The timing of the commencement of the commercial launch of DCCR is dependent upon the FDA's approval, if any, of the NDA we submitted in June 2024. In addition to the risks related to a company launching its first commercial drug described elsewhere in this "Risk Factors" section, the success of a new drug product is inherently difficult to predict and we may not recognize revenue as quickly, consistently or in the amounts that we, analysts or investors anticipate following the launch.</w:t>
      </w:r>
    </w:p>
    <w:p>
      <w:pPr>
        <w:spacing w:after="0" w:line="7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Additionally, from time to time, we may enter into collaboration agreements with other companies that include development funding and significant upfront and milestone payments or royalties, which may become an important source of our revenue. Accordingly, our revenue may depend on development funding and the achievement of development and clinical milestones under any potential future collaboration and license agreements and sales of our products, if approved. These upfront and milestone payments may vary significantly from period to period, and any such variance could cause a significant fluctuation in our operating results from one period to the next.</w:t>
      </w:r>
    </w:p>
    <w:p>
      <w:pPr>
        <w:spacing w:after="0" w:line="7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In addition, we measure compensation cost for stock-based awards made to employees at the grant date of the award, based on the fair value of the award as determined by our Board, and recognize the cost as an expense over the employee’s requisite service period. As the variables that we use as a basis for valuing these awards change over time, including our underlying stock price and stock price volatility, the magnitude of the expense that we must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2"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recognize may vary significantly. Furthermore, our operating results may fluctuate due to a variety of other factors, many of which are outside of our control and may be difficult to predict, including the following:</w:t>
      </w:r>
    </w:p>
    <w:p>
      <w:pPr>
        <w:spacing w:after="0" w:line="54" w:lineRule="exact"/>
        <w:rPr>
          <w:sz w:val="20"/>
          <w:szCs w:val="20"/>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and the timing of enrollment;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timing and outcomes of clinical trials;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or approval in the U.S. or globally, of any of our planned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risk of initiating sales and marketing activities;</w:t>
      </w:r>
    </w:p>
    <w:p>
      <w:pPr>
        <w:spacing w:after="0" w:line="116"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planned products, which will change from time to time;</w:t>
      </w:r>
    </w:p>
    <w:p>
      <w:pPr>
        <w:spacing w:after="0" w:line="54" w:lineRule="exact"/>
        <w:rPr>
          <w:rFonts w:ascii="Times New Roman" w:cs="Times New Roman" w:eastAsia="Times New Roman" w:hAnsi="Times New Roman"/>
          <w:sz w:val="18"/>
          <w:szCs w:val="18"/>
          <w:color w:val="auto"/>
        </w:rPr>
      </w:pPr>
    </w:p>
    <w:p>
      <w:pPr>
        <w:ind w:left="1020" w:right="22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products may vary depending on FDA and other regulatory requirements, the quantity of production and the terms of our agreements with manufacturers;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acquire or develop additional planned products and technologies;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landscape of our industry, including consolidation among our competitors or potential partners;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may fluctuate significantly and be difficult to predict;</w:t>
      </w:r>
    </w:p>
    <w:p>
      <w:pPr>
        <w:spacing w:after="0" w:line="116" w:lineRule="exact"/>
        <w:rPr>
          <w:rFonts w:ascii="Times New Roman" w:cs="Times New Roman" w:eastAsia="Times New Roman" w:hAnsi="Times New Roman"/>
          <w:sz w:val="18"/>
          <w:szCs w:val="18"/>
          <w:color w:val="auto"/>
        </w:rPr>
      </w:pPr>
    </w:p>
    <w:p>
      <w:pPr>
        <w:ind w:left="1020" w:right="30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future products, if approved, and existing and potential future drugs that compete with our planned products;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offerings that compete with our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inside and outside of the U.S., either independently or working with third parties;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licensing or other arrangements;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global economic environment.</w:t>
      </w:r>
    </w:p>
    <w:p>
      <w:pPr>
        <w:spacing w:after="0" w:line="116"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engage in strategic transactions that could impact our liquidity, increase our expenses and present significant distractions to our management.</w:t>
      </w:r>
    </w:p>
    <w:p>
      <w:pPr>
        <w:spacing w:after="0" w:line="13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asset purchases and sales,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could not result in perceived benefits that were contemplated upon entering into the transaction, and may pose significant integration challenges or disrupt our management or business, which could adversely affect our operations, solvency and financial results. For example, these transactions may entail numerous operational and financial risks, including:</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2" w:name="page23"/>
    <w:bookmarkEnd w:id="22"/>
    <w:p>
      <w:pPr>
        <w:spacing w:after="0" w:line="82" w:lineRule="exact"/>
        <w:rPr>
          <w:sz w:val="20"/>
          <w:szCs w:val="20"/>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and contingent liabilities;</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likelihood of payment of milestones or royalties;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expenditures, including additional research, development and sales and marketing expenses;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w:t>
      </w:r>
    </w:p>
    <w:p>
      <w:pPr>
        <w:spacing w:after="0" w:line="116"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Accordingly, although there can be no assurance that we will undertake or successfully complete any additional transactions of the nature described above or that we will achieve an economic benefit that justifies such transactions, any additional transactions that we do complete could have a material adverse effect on our business, results of operations, financial condition and prospects.</w:t>
      </w:r>
    </w:p>
    <w:p>
      <w:pPr>
        <w:spacing w:after="0" w:line="118" w:lineRule="exact"/>
        <w:rPr>
          <w:sz w:val="20"/>
          <w:szCs w:val="20"/>
          <w:color w:val="auto"/>
        </w:rPr>
      </w:pPr>
    </w:p>
    <w:p>
      <w:pPr>
        <w:ind w:right="11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enter into strategic transactions on a timely basis or on acceptable terms, which may impact our development and commercialization plans.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relied, and expect to continue to rely, on strategic transactions, which include in-licensing, out-licensing, purchases and sales of assets, and other ventures. The terms of any additional strategic transaction that we may enter into may not be favorable to us, and the contracts governing such strategic transaction may be subject to differing interpretations exposing us to potential litigation. We may also be restricted under existing collaboration or licensing arrangements from entering into future agreements on certain terms with potential strategic partners. We may not be able to negotiate additional strategic transactions on a timely basis, on acceptable terms, or at all.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product revenue. Furthermore, there is no assurance that any such transaction will be successful or that we will derive an economic benefit as a result.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our products</w:t>
      </w:r>
    </w:p>
    <w:p>
      <w:pPr>
        <w:spacing w:after="0" w:line="17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regulatory approval for DCCR or other potential product candidates. The denial or delay of any such approval would delay commercialization and have a material adverse effect on our potential to generate revenue, our business and our results of operations.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research, development, testing, manufacturing, labeling, packaging, approval, promotion, advertising, storage, record keeping, marketing, distribution, post-approval monitoring and reporting, and export and import of drug products are subject to extensive regulation by the FDA, and by foreign regulatory authorities in other countries. The legislation and regulations differ from country to country. To gain approval to market our product candidates, we must provide development, manufacturing and clinical data that adequately demonstrates the safety and efficacy of the product for the intended indication. We have not yet obtained regulatory approval to market any of our product candidates in the U.S. or any other country. Our business depends upon obtaining these regulatory approvals. The FDA can delay, limit or deny approval of our product candidates for many reasons, including:</w:t>
      </w:r>
    </w:p>
    <w:p>
      <w:pPr>
        <w:spacing w:after="0" w:line="76" w:lineRule="exact"/>
        <w:rPr>
          <w:sz w:val="20"/>
          <w:szCs w:val="20"/>
          <w:color w:val="auto"/>
        </w:rPr>
      </w:pPr>
    </w:p>
    <w:p>
      <w:pPr>
        <w:ind w:left="5540" w:right="1600" w:hanging="5024"/>
        <w:spacing w:after="0" w:line="780" w:lineRule="auto"/>
        <w:tabs>
          <w:tab w:leader="none" w:pos="10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satisfactorily demonstrate that the product candidates are safe and effective for the requested indication;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3" w:name="page24"/>
    <w:bookmarkEnd w:id="23"/>
    <w:p>
      <w:pPr>
        <w:spacing w:after="0" w:line="82" w:lineRule="exact"/>
        <w:rPr>
          <w:sz w:val="20"/>
          <w:szCs w:val="20"/>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disagreement with our trial protocol or the interpretation of data from preclinical trials or clinical trials;</w:t>
      </w:r>
    </w:p>
    <w:p>
      <w:pPr>
        <w:spacing w:after="0" w:line="116" w:lineRule="exact"/>
        <w:rPr>
          <w:rFonts w:ascii="Times New Roman" w:cs="Times New Roman" w:eastAsia="Times New Roman" w:hAnsi="Times New Roman"/>
          <w:sz w:val="18"/>
          <w:szCs w:val="18"/>
          <w:color w:val="auto"/>
        </w:rPr>
      </w:pPr>
    </w:p>
    <w:p>
      <w:pPr>
        <w:ind w:left="1020" w:right="16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assess safety in the full population for which we seek approval;</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clinical or other benefits of our product candidates outweigh any safety or other perceived risks;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determination that additional preclinical or clinical trials are required;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non-approval of the formulation, labeling or the specifications of our product candidates;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failure to accept the manufacturing processes or facilities of third-party manufacturers with which we contract; or</w:t>
      </w:r>
    </w:p>
    <w:p>
      <w:pPr>
        <w:spacing w:after="0" w:line="116"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to significantly change in a manner rendering our clinical data insufficient for approval.</w:t>
      </w:r>
    </w:p>
    <w:p>
      <w:pPr>
        <w:spacing w:after="0" w:line="1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of any regulatory filing for our product candidates, the FDA may grant approval contingent on the performance of costly additional post-approval clinical trials. The FDA may also approve our product candidates for a more limited indication or a narrower patient population than we originally requested, and the FDA may not approve the labeling that we believe is necessary or desirable for the successful commercialization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materially adversely impact our business, results of operations and prospects.</w:t>
      </w:r>
    </w:p>
    <w:p>
      <w:pPr>
        <w:spacing w:after="0" w:line="127"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Even if DCCR receives regulatory approval, it may fail to achieve the degree of market acceptance by physicians, patients, caregivers, healthcare payers and others in the medical community necessary for commercial success.</w:t>
      </w:r>
    </w:p>
    <w:p>
      <w:pPr>
        <w:spacing w:after="0" w:line="5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If DCCR receives regulatory approval from the FDA or other regulatory agencies in jurisdictions in which it is not currently approved, it may nonetheless fail to gain sufficient market acceptance by physicians, hospital administrators, patients, healthcare payers and others in the medical community. The degree of market acceptance of DCCR, if approved for commercial sale, will depend on a number of factors, including the following:</w:t>
      </w:r>
    </w:p>
    <w:p>
      <w:pPr>
        <w:spacing w:after="0" w:line="69" w:lineRule="exact"/>
        <w:rPr>
          <w:sz w:val="20"/>
          <w:szCs w:val="20"/>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and severity of any side effects;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effectiveness and potential advantages compared to alternative treatments;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we charge for DCCR;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change their current treatment practices;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perception of the efficacy of DCCR and interest in remaining on-drug long-term;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or effectiveness of marketing and distribution support of partners;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or reimbursement.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market opportunity for DCCR is smaller than we believe it is, then our revenues may be adversely affected, and our business may suffer.</w:t>
      </w:r>
    </w:p>
    <w:p>
      <w:pPr>
        <w:spacing w:after="0" w:line="120"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PWS is a rare disease, and as such, our projections of both the number of people who have this disease, as well as the subset of people with PWS who have the potential to benefit from treatment with DCCR, are estimates based on data analysis of the reported patient population. If our estimates of the prevalence of PWS, or of the number of patients who may benefit from treatment with DCCR prove to be incorrect, the market opportunity for DCCR may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smaller than we believe it is, our prospects for generating revenue may be adversely affected and our business may suffer.</w:t>
      </w:r>
    </w:p>
    <w:p>
      <w:pPr>
        <w:spacing w:after="0" w:line="166" w:lineRule="exact"/>
        <w:rPr>
          <w:sz w:val="20"/>
          <w:szCs w:val="20"/>
          <w:color w:val="auto"/>
        </w:rPr>
      </w:pPr>
    </w:p>
    <w:p>
      <w:pPr>
        <w:ind w:right="4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execute our sales and marketing strategy for our products or are unable to gain acceptance in the market, we may be unable to generate sufficient revenue to sustain our business.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Although we believe that DCCR represents a promising commercial opportunity, DCCR may never gain significant acceptance in the marketplace and therefore may never generate substantial revenue or profits for us. We will need to establish a market for DCCR globally and build these markets through physician education, awareness programs, and other marketing efforts. Gaining acceptance in medical communities depends on a variety of factors, including clinical data published or reported in reputable contexts, the provisions of the approved label for DCCR, and word-of-mouth between physicians. The process of publication in leading medical journals is subject to a peer review process and peer reviewers may not consider the results of our trials sufficiently novel or worthy of publication. Failure to have our trials published in peer-reviewed journals may limit the adoption of our products. Our ability to successfully market our products will depend on numerous factors, including:</w:t>
      </w:r>
    </w:p>
    <w:p>
      <w:pPr>
        <w:spacing w:after="0" w:line="77" w:lineRule="exact"/>
        <w:rPr>
          <w:sz w:val="20"/>
          <w:szCs w:val="20"/>
          <w:color w:val="auto"/>
        </w:rPr>
      </w:pPr>
    </w:p>
    <w:p>
      <w:pPr>
        <w:ind w:left="1020" w:right="66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clinical utility trials of such products in collaboration with key thought leaders to demonstrate our products’ value in informing important medical decisions such as treatment selection;</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distribution partners;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healthcare providers believe DCCR provides clinical utility; and</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health insurers, government health programs and other payers will cover and pay for DCCR and, if so, whether they will adequately reimburse us.</w:t>
      </w:r>
    </w:p>
    <w:p>
      <w:pPr>
        <w:spacing w:after="0" w:line="5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may rely on third parties, who we do not control, to distribute and sell DCCR. If these distributors are not committed to DCCR or otherwise run into their own financial or other difficulties, it may result in failure to achieve widespread market acceptance of DCCR, and would materially harm our business, financial condition and results of operations.</w:t>
      </w:r>
    </w:p>
    <w:p>
      <w:pPr>
        <w:spacing w:after="0" w:line="65"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our sales, marketing, distribution, training and support strategies or enter into agreements with third parties to perform these functions, we will not be able to effectively commercialize DCCR and may not reach profitability.</w:t>
      </w:r>
    </w:p>
    <w:p>
      <w:pPr>
        <w:spacing w:after="0" w:line="5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have a limited sales and marketing infrastructure and have no experience as a company in the sale, marketing or distribution of therapeutic products. To achieve commercial success for DCCR, if and when we obtain marketing approval, we will need to establish a robust sales and marketing organization. We have begun to build a targeted sales, marketing, training and support infrastructure to market DCCR in the U.S. and to establish relationships with collaborations to market, distribute and support DCCR outside of the U.S. There are risks involved with establishing our own sales, marketing, distribution, training and support capabilities. For example, recruiting and training sales and marketing personnel is expensive and time consuming and could delay any product launch. Additionally commercialization of therapeutic products is subject to a variety of regulations regarding the manner in which potential customers may be engaged, the manner in which products may be lawfully advertised, and the claims that can be made for the benefits of the product, among other things. Our lack of experience with product launches may expose us to a higher than usual level of risk of non-compliance with these regulations, with consequences that may include fines or the removal of our approved products from the marketplace by regulatory authorities. If the commercial launch of DCCR is delayed or does not occur for any reason, we would have prematurely or unnecessarily incurred these commercialization expenses. This may be costly, and our investment would be lost if we cannot retain or reposition our sales, marketing, training and support personnel.</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DCCR on our own include:</w:t>
      </w:r>
    </w:p>
    <w:p>
      <w:pPr>
        <w:spacing w:after="0" w:line="116" w:lineRule="exact"/>
        <w:rPr>
          <w:sz w:val="20"/>
          <w:szCs w:val="20"/>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persuade adequate numbers of physicians to prescribe DCCR or any future products;</w:t>
      </w:r>
    </w:p>
    <w:p>
      <w:pPr>
        <w:spacing w:after="0" w:line="116" w:lineRule="exact"/>
        <w:rPr>
          <w:rFonts w:ascii="Times New Roman" w:cs="Times New Roman" w:eastAsia="Times New Roman" w:hAnsi="Times New Roman"/>
          <w:sz w:val="18"/>
          <w:szCs w:val="18"/>
          <w:color w:val="auto"/>
        </w:rPr>
      </w:pPr>
    </w:p>
    <w:p>
      <w:pPr>
        <w:ind w:left="1020" w:right="20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our competitors to commercialize products at or about the time when our product candidates would be coming to market.</w:t>
      </w:r>
    </w:p>
    <w:p>
      <w:pPr>
        <w:spacing w:after="0" w:line="1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we are unable to establish our own sales, marketing, distribution, training and support capabilities and instead enter into arrangements with third parties to perform these services, our product revenues and our profitability, if any, are likely to be lower than if we were to market, sell and distribute DCCR ourselves. In addition, we may not be successful in entering into arrangements with third parties to sell, market and distribute DCCR or may be unable to do so on terms that are favorable to us. We likely will have little control over such third parties, and any of them may fail to devote the necessary resources and attention to commercialize DCCR effectively. If we do not establish sales, marketing, distribution, training and support capabilities successfully, either on our own or in collaboration with third parties, we will not be successful in commercializing DCCR and achieving profitability, and our business would be harmed.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physicians decide not to prescribe DCCR in significant numbers, we may be unable to generate sufficient revenue to sustain our business.</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To generate demand for DCCR, we will need to educate physicians and other health care professionals on the clinical utility, benefits and value of the tests we provide through published papers, presentations at scientific conferences, educational programs and one-on-one education sessions by members of our sales force. In addition, we will need support of physicians, hospital administrators, patients, healthcare payers and others in the medical community that the clinical and economic utility of our products justifies payment for DCCR at adequate pricing levels. We will need to hire additional commercial, scientific, technical and other personnel to support this process.</w:t>
      </w:r>
    </w:p>
    <w:p>
      <w:pPr>
        <w:spacing w:after="0" w:line="127"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attempt to form partnerships with respect to our products, but we may not be able to do so, which may cause us to alter our development and commercialization plans and may cause us to terminate any such programs.</w:t>
      </w:r>
    </w:p>
    <w:p>
      <w:pPr>
        <w:spacing w:after="0" w:line="51"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We may form strategic alliances, create joint ventures or collaborations, or enter into licensing agreements with third parties that we believe will more effectively provide resources to develop and commercialize DCCR.</w:t>
      </w:r>
    </w:p>
    <w:p>
      <w:pPr>
        <w:spacing w:after="0" w:line="54"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If we attempt to seek appropriate strategic partners, we may face significant competition, and the negotiation process to secure favorable terms is time-consuming and complex. We may not be successful in our efforts to establish such a strategic partnership for any future products and programs on terms that are acceptable to us, or at all.</w:t>
      </w:r>
    </w:p>
    <w:p>
      <w:pPr>
        <w:spacing w:after="0" w:line="6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Any delays in identifying suitable collaborators and entering into agreements to develop or commercialize our products could negatively impact the development or commercialization of our products, particularly in geographic regions like the Europe, where we do not currently have development and commercialization infrastructure. Absent a partner or collaborator, we would need to undertake development or commercialization activities at our own expense. If we elect to fund and undertake development and commercialization activities on our own, we may need to obtain additional expertise and additional capital, which may not be available to us on acceptable terms or at all. If we are unable to do so, we may not be able to develop our products or bring them to market, and our business may be materially and adversely affected.</w:t>
      </w:r>
    </w:p>
    <w:p>
      <w:pPr>
        <w:spacing w:after="0" w:line="126"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of any of our planned products, including DCCR,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Before obtaining regulatory approval for the sale of any planned product we must conduct extensive clinical trials to demonstrate that the product candidate is safe and effective for its intended use. Clinical trials are expensive, difficult to design and implement, can take many years to complete and are uncertain as to outcome. A failure of one or more of our clinical trials could occur at any stage of testing.</w:t>
      </w:r>
    </w:p>
    <w:p>
      <w:pPr>
        <w:spacing w:after="0" w:line="6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Numerous unforeseen events during, or as a result of, clinical trials could occur, which would delay or prevent our ability to receive regulatory approval or commercialize any of our planned products, including the following:</w:t>
      </w:r>
    </w:p>
    <w:p>
      <w:pPr>
        <w:spacing w:after="0" w:line="54" w:lineRule="exact"/>
        <w:rPr>
          <w:sz w:val="20"/>
          <w:szCs w:val="20"/>
          <w:color w:val="auto"/>
        </w:rPr>
      </w:pPr>
    </w:p>
    <w:p>
      <w:pPr>
        <w:ind w:left="1020" w:right="200" w:hanging="504"/>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may produce negative or inconclusive results, and we may decide, or regulators may require us, to conduct additional clinical trials or abandon product development programs;</w:t>
      </w:r>
    </w:p>
    <w:p>
      <w:pPr>
        <w:spacing w:after="0" w:line="54"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may be larger than we anticipate, enrollment in these clinical trials may be insufficient or slower than we anticipate, or patients may drop out of these clinical trials at a higher rate than we anticipate;</w:t>
      </w:r>
    </w:p>
    <w:p>
      <w:pPr>
        <w:spacing w:after="0" w:line="54" w:lineRule="exact"/>
        <w:rPr>
          <w:rFonts w:ascii="Times New Roman" w:cs="Times New Roman" w:eastAsia="Times New Roman" w:hAnsi="Times New Roman"/>
          <w:sz w:val="18"/>
          <w:szCs w:val="18"/>
          <w:color w:val="auto"/>
        </w:rPr>
      </w:pPr>
    </w:p>
    <w:p>
      <w:pPr>
        <w:ind w:left="1020" w:right="540" w:hanging="504"/>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or the manufacturing of our planned products may be greater than we anticipate; including due to inflationary pressures outside of our control;</w:t>
      </w:r>
    </w:p>
    <w:p>
      <w:pPr>
        <w:spacing w:after="0" w:line="54"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may fail to comply with regulatory requirements or meet their contractual obligations to us in a timely manner, or at all;</w:t>
      </w:r>
    </w:p>
    <w:p>
      <w:pPr>
        <w:spacing w:after="0" w:line="54" w:lineRule="exact"/>
        <w:rPr>
          <w:rFonts w:ascii="Times New Roman" w:cs="Times New Roman" w:eastAsia="Times New Roman" w:hAnsi="Times New Roman"/>
          <w:sz w:val="18"/>
          <w:szCs w:val="18"/>
          <w:color w:val="auto"/>
        </w:rPr>
      </w:pPr>
    </w:p>
    <w:p>
      <w:pPr>
        <w:ind w:left="1020" w:right="320" w:hanging="504"/>
        <w:spacing w:after="0" w:line="265"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have to suspend or terminate clinical trials of our planned products for various reasons, including a finding that our planned products have unanticipated serious side effects or other unexpected characteristics or that the patients are being exposed to unacceptable health risks;</w:t>
      </w:r>
    </w:p>
    <w:p>
      <w:pPr>
        <w:spacing w:after="0" w:line="6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not approve our proposed clinical development plans;</w:t>
      </w:r>
    </w:p>
    <w:p>
      <w:pPr>
        <w:spacing w:after="0" w:line="116" w:lineRule="exact"/>
        <w:rPr>
          <w:rFonts w:ascii="Times New Roman" w:cs="Times New Roman" w:eastAsia="Times New Roman" w:hAnsi="Times New Roman"/>
          <w:sz w:val="18"/>
          <w:szCs w:val="18"/>
          <w:color w:val="auto"/>
        </w:rPr>
      </w:pPr>
    </w:p>
    <w:p>
      <w:pPr>
        <w:ind w:left="1020" w:right="800" w:hanging="504"/>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independent institutional review boards (IRBs) or independent ethics committees (IECs), may not authorize us or our investigators to commence a clinical trial or conduct a clinical trial at a prospective site;</w:t>
      </w:r>
    </w:p>
    <w:p>
      <w:pPr>
        <w:spacing w:after="0" w:line="54" w:lineRule="exact"/>
        <w:rPr>
          <w:rFonts w:ascii="Times New Roman" w:cs="Times New Roman" w:eastAsia="Times New Roman" w:hAnsi="Times New Roman"/>
          <w:sz w:val="18"/>
          <w:szCs w:val="18"/>
          <w:color w:val="auto"/>
        </w:rPr>
      </w:pPr>
    </w:p>
    <w:p>
      <w:pPr>
        <w:ind w:left="1020" w:right="540" w:hanging="504"/>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IRBs/IECs may require that we or our investigators suspend or terminate clinical research for various reasons, including noncompliance with regulatory requirements; and</w:t>
      </w:r>
    </w:p>
    <w:p>
      <w:pPr>
        <w:spacing w:after="0" w:line="54" w:lineRule="exact"/>
        <w:rPr>
          <w:rFonts w:ascii="Times New Roman" w:cs="Times New Roman" w:eastAsia="Times New Roman" w:hAnsi="Times New Roman"/>
          <w:sz w:val="18"/>
          <w:szCs w:val="18"/>
          <w:color w:val="auto"/>
        </w:rPr>
      </w:pPr>
    </w:p>
    <w:p>
      <w:pPr>
        <w:ind w:left="1020" w:right="780" w:hanging="504"/>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planned products or other materials necessary to conduct clinical trials of our planned products may be insufficient or inadequate.</w:t>
      </w:r>
    </w:p>
    <w:p>
      <w:pPr>
        <w:spacing w:after="0" w:line="54"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If we or any future collaboration partners are required to conduct additional clinical trials or other testing of any planned products beyond those that we contemplate, if those clinical trials or other testing cannot be successfully completed, if the results of these trials or tests are not positive or are only modestly positive or if there are safety concerns, we may:</w:t>
      </w:r>
    </w:p>
    <w:p>
      <w:pPr>
        <w:spacing w:after="0" w:line="69" w:lineRule="exact"/>
        <w:rPr>
          <w:sz w:val="20"/>
          <w:szCs w:val="20"/>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planned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that are not as broad as intended;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restrictions on how the product is distributed or used.</w:t>
      </w:r>
    </w:p>
    <w:p>
      <w:pPr>
        <w:spacing w:after="0" w:line="11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approvals. We do not know whether any future clinical trials for DCCR will be required by the FDA or EMA or whether such clinical trials will begin as planned, will need to be restructured or will be completed on schedule, or at all. Significant clinical trial delays also could shorten any periods during which we may have the exclusive right to commercialize our planned products or allow our competitors to bring products to market before we do, which would impair our ability to commercialize our planned products and harm our business and results of operations.</w:t>
      </w:r>
    </w:p>
    <w:p>
      <w:pPr>
        <w:spacing w:after="0" w:line="12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DCCR or other potential product candidates.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 w:name="page28"/>
    <w:bookmarkEnd w:id="27"/>
    <w:p>
      <w:pPr>
        <w:spacing w:after="0" w:line="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candidates, we must obtain data through lengthy, complex and expensive nonclinical studies and clinical trials for regulatory authorities to assess if our product candidates are both safe and effective for each target indication. Nonclinical and clinical testing is expensive and can take many years to complete, and its outcome is inherently uncertain. Failure can occur at any time during the nonclinical study and clinical trial processes.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Further, clinical trial disruptions or protocol deviations during the COVID-19 pandemic may introduce bias or other factors that can impact the reliability of our clinical data collected at the peak of the COVID-19 public health emergency.</w:t>
      </w:r>
    </w:p>
    <w:p>
      <w:pPr>
        <w:spacing w:after="0" w:line="87" w:lineRule="exact"/>
        <w:rPr>
          <w:sz w:val="20"/>
          <w:szCs w:val="20"/>
          <w:color w:val="auto"/>
        </w:rPr>
      </w:pPr>
    </w:p>
    <w:p>
      <w:pPr>
        <w:jc w:val="both"/>
        <w:ind w:right="260"/>
        <w:spacing w:after="0" w:line="257" w:lineRule="auto"/>
        <w:rPr>
          <w:sz w:val="20"/>
          <w:szCs w:val="20"/>
          <w:color w:val="auto"/>
        </w:rPr>
      </w:pPr>
      <w:r>
        <w:rPr>
          <w:rFonts w:ascii="Times New Roman" w:cs="Times New Roman" w:eastAsia="Times New Roman" w:hAnsi="Times New Roman"/>
          <w:sz w:val="18"/>
          <w:szCs w:val="18"/>
          <w:color w:val="auto"/>
        </w:rPr>
        <w:t>Earlier conducted smaller-scale studies, biomarker analyses, and clinical trials with a single or relatively few clinical trial sites may not be predictive of eventual outcomes in large-scale, placebo-controlled, pivotal clinical trials across multiple clinical trial sites. Even if data from a pivotal clinical trial are positive, regulators may not agree that such data are sufficient for approval and may require that we conduct additional clinical trials (including potential Phase 3 trials) or generate other forms of confirmatory evidence, which could materially delay our anticipated development timelines, require additional funding for such additional clinical trials or confirmatory studies, and adversely impact our business.</w:t>
      </w:r>
    </w:p>
    <w:p>
      <w:pPr>
        <w:spacing w:after="0" w:line="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If the results of our current and future clinical trials are inconclusive with respect to the efficacy of our product candidates, including DCCR, if we do not meet the clinical endpoints with statistical and clinically meaningful significance, or if there are safety concerns associated with our product candidates, we may:</w:t>
      </w:r>
    </w:p>
    <w:p>
      <w:pPr>
        <w:spacing w:after="0" w:line="69" w:lineRule="exact"/>
        <w:rPr>
          <w:sz w:val="20"/>
          <w:szCs w:val="20"/>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or prevented from obtaining marketing approval for our product candidates;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their approval of the product or impose restrictions on its distribution in the form of a risk evaluation and mitigation strategy (REMS);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the addition of labeling statements, such as warnings or contraindications;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subject to litigation; or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11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A failure of one or more of our clinical trials can occur at any time during the clinical trial process. The results of preclinical studies and early clinical trials of our product candidates may not be predictive of the results of later stage clinical trials. There is a high failure rate for drugs proceeding through clinical trials, and product candidates in later stages of clinical trials may fail to show the required safety and efficacy despite having progressed through preclinical studies and initial clinical trials. A number of companies in the pharmaceutical industry have suffered significant setbacks in advanced clinical trials due to lack of efficacy or adverse safety profiles, notwithstanding promising results in earlier clinical trials, and we cannot be certain that we will not face similar setbacks. Even if our clinical trials are completed, the results may not be sufficient to obtain regulatory approval for our product candidates.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2"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We may experience delays in our clinical trials. We do not know whether future clinical trials, if any, will begin on time, need to be redesigned, enroll an adequate number of patients in a timely manner or be completed on schedule, if at all. Clinical trials can be delayed, suspended or terminated for a variety of reasons, including failure to:</w:t>
      </w:r>
    </w:p>
    <w:p>
      <w:pPr>
        <w:spacing w:after="0" w:line="69" w:lineRule="exact"/>
        <w:rPr>
          <w:sz w:val="20"/>
          <w:szCs w:val="20"/>
          <w:color w:val="auto"/>
        </w:rPr>
      </w:pPr>
    </w:p>
    <w:p>
      <w:pPr>
        <w:ind w:left="1020" w:right="140" w:hanging="504"/>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nonclinical, toxicology, or other in vivo or in vitro data, or clinical safety data to support the initiation or continuation of clinical trials;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or feedback on trial design, to commence a trial;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recruit and train suitable clinical investigators;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agreement on acceptable terms with prospective contract research organizations (CROs), and clinical trial sites;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IRB/IEC approval at each clinical trial site;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recruit and enroll suitable patients to participate in a trial;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sufficient number of patients complete a trial and/or return for post-treatment follow-up;</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clinical investigators observe trial protocol or continue to participate in a trial;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patient safety concerns that arise during the course of a trial;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conflicts or compliance with new or existing laws, rule, regulations or guidelines;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sufficient number of clinical trial sites to conduct the trials;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manufacture sufficient quantities of product candidate suitable for use at the stage of clinical development; or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sufficient capital to fund a trial.</w:t>
      </w:r>
    </w:p>
    <w:p>
      <w:pPr>
        <w:spacing w:after="0" w:line="11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approved for the indications we are investigating or any investigational new drugs or treatment under development for the indications we are investigating.</w:t>
      </w:r>
    </w:p>
    <w:p>
      <w:pPr>
        <w:spacing w:after="0" w:line="7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a data safety monitoring board for such trial or by the FDA or any other regulatory authority, or if the IRBs/IECs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7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for any reason, the commercial prospects of our product candidates may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9" w:name="page30"/>
    <w:bookmarkEnd w:id="29"/>
    <w:p>
      <w:pPr>
        <w:spacing w:after="0" w:line="132"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become available.</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investors or regulatory authorities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27"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51"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The risk of failure of clinical development is high. It is impossible to predict when or if any planned product candidates will prove safe enough to receive regulatory approval. Undesirable side effects caused by any of our product candidates could cause us or regulatory authorities to interrupt, delay or halt clinical trials or could result in a more restrictive label or the delay or denial of regulatory approval by the FDA or other comparable foreign regulatory authority. Additionally, if any of our planned products receives additional marketing approvals, and we or others later identify undesirable side effects caused by such product, a number of potentially significant negative consequences could result, including:</w:t>
      </w:r>
    </w:p>
    <w:p>
      <w:pPr>
        <w:spacing w:after="0" w:line="77" w:lineRule="exact"/>
        <w:rPr>
          <w:sz w:val="20"/>
          <w:szCs w:val="20"/>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recall such product and suspend the marketing of such product;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approvals of such product;</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that could diminish the usage or otherwise limit the commercial success of such products;</w:t>
      </w:r>
    </w:p>
    <w:p>
      <w:pPr>
        <w:spacing w:after="0" w:line="54" w:lineRule="exact"/>
        <w:rPr>
          <w:rFonts w:ascii="Times New Roman" w:cs="Times New Roman" w:eastAsia="Times New Roman" w:hAnsi="Times New Roman"/>
          <w:sz w:val="18"/>
          <w:szCs w:val="18"/>
          <w:color w:val="auto"/>
        </w:rPr>
      </w:pPr>
    </w:p>
    <w:p>
      <w:pPr>
        <w:ind w:left="1020" w:right="700" w:hanging="504"/>
        <w:spacing w:after="0" w:line="28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bodies may issue safety alerts, Dear Healthcare Provider letters, press releases or other communications containing warnings about such product;</w:t>
      </w:r>
    </w:p>
    <w:p>
      <w:pPr>
        <w:spacing w:after="0" w:line="54" w:lineRule="exact"/>
        <w:rPr>
          <w:rFonts w:ascii="Times New Roman" w:cs="Times New Roman" w:eastAsia="Times New Roman" w:hAnsi="Times New Roman"/>
          <w:sz w:val="18"/>
          <w:szCs w:val="18"/>
          <w:color w:val="auto"/>
        </w:rPr>
      </w:pPr>
    </w:p>
    <w:p>
      <w:pPr>
        <w:ind w:left="1020" w:right="40" w:hanging="504"/>
        <w:spacing w:after="0" w:line="265"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the establishment or modification of Risk Evaluation Mitigation Strategies or a comparable foreign regulatory authority may require the establishment or modification of a similar strategy that may, for instance, restrict distribution of our products and impose burdensome implementation requirements on us;</w:t>
      </w:r>
    </w:p>
    <w:p>
      <w:pPr>
        <w:spacing w:after="0" w:line="6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trials;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planned product, if approved.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which may result in others discovering, developing or commercializing products before we do, or more successfully than we do.</w:t>
      </w:r>
    </w:p>
    <w:p>
      <w:pPr>
        <w:spacing w:after="0" w:line="12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Alternatives product candidates are being developed by our competitors and we will likely face competition with respect to any planned products that we may seek to develop or commercialize in the future, from major pharmaceutical companies, specialty pharmaceutical companies, medical device companies, and biotechnology companies worldwide. These companies may reduce prices for their competing drugs in an effort to gain or retain market share and undermine the value our products might otherwise be able to offer to payers. Potential competitors also include academic institutions, government agencies and other public and private research organizations that conduct research, seek patent protection and establish collaborative arrangements for research, development, manufacturing and commercialization. Many of these competitors are attempting to develop therapeutics for our target indications.</w:t>
      </w:r>
    </w:p>
    <w:p>
      <w:pPr>
        <w:spacing w:after="0" w:line="6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Smaller or early stage companies may also prove to be significant competitors, particularly through collaborative arrangements with large and established companies. These third parties compete with us in recruiting and retaining qualified technical and management personnel, establishing clinical trial sites and patient registration for clinical trials, as well as in acquiring technologies complementary to, or necessary for, our programs.</w:t>
      </w:r>
    </w:p>
    <w:p>
      <w:pPr>
        <w:spacing w:after="0" w:line="6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There has recently been increased activity in the development of drugs to treat PWS. We are aware of at least nine other current or proposed clinical trials evaluating PWS therapies, including with glucagon-like peptide-1 (GLP-1) receptors in patients with PWS.</w:t>
      </w:r>
    </w:p>
    <w:p>
      <w:pPr>
        <w:spacing w:after="0" w:line="104" w:lineRule="exact"/>
        <w:rPr>
          <w:sz w:val="20"/>
          <w:szCs w:val="20"/>
          <w:color w:val="auto"/>
        </w:rPr>
      </w:pPr>
    </w:p>
    <w:p>
      <w:pPr>
        <w:ind w:right="5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engage partners in commercializing our products, they may become subject to unfavorable pricing regulations, third-party reimbursement practices or healthcare reform initiatives, thereby harming our business.</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 we are able to generate from the sale of the product in that country. Adverse pricing limitations may hinder our ability to recoup our investment in one or more planned products, even if our planned products obtain regulatory approval.</w:t>
      </w:r>
    </w:p>
    <w:p>
      <w:pPr>
        <w:spacing w:after="0" w:line="76"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Our ability to commercialize our products successfully also will depend in part on the extent to which reimbursement for these products and related treatments becomes available from government health administration authorities, private health insurers and other organizations. Government authorities and third-party payers, such as private health insurers and health maintenance organizations, decide which medications they will pay for and establish reimbursement levels. A primary trend in the U.S. healthcare industry and elsewhere is cost containment. Government authorities and these third-party payers have attempted to control costs by limiting coverage and the amount of reimbursement for particular medications. We cannot be sure that reimbursement will be available for any product that we commercialize and, if reimbursement is available, what the level of reimbursement will be. Reimbursement may impact the demand for, or the price of, any product for which we obtain marketing approval. Obtaining reimbursement for our products may be particularly difficult because of the higher prices often associated with products administered under the supervision of a physician. If reimbursement is not available or is available only to limited levels, we may not be able to successfully commercialize any planned product that we successfully develop.</w:t>
      </w:r>
    </w:p>
    <w:p>
      <w:pPr>
        <w:spacing w:after="0" w:line="8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U.S.,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government healthcare programs or private payers and by any future relaxation of laws that presently restrict imports of products from countries where they may be sold at lower prices than in the U.S. Third-party payers often rely upon Medicare coverage policy and payment limitations in setting their own reimbursement policies.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8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inability to promptly obtain coverage and profitable payment rates from both government funded and private payers for new products that we develop could have a material adverse effect on our operating results, our ability to raise capital needed to commercialize products and our overall financial condition. In some foreign countries, including major markets in Europe and Japan, the pricing of prescription pharmaceuticals is subject to governmental control. In these countries, pricing negotiations with governmental authorities can take nine to twelve months or longer after the receipt of regulatory marketing approval for a product. To obtain reimbursement or pricing approval in some countries, we may be required to conduct a clinical trial that compares the cost-effectiveness of our product to other available therapies. Our business could be materially harmed if reimbursement of our products, if any, is unavailable or limited in scope or amount or if pricing is set at unsatisfactory levels.</w:t>
      </w:r>
    </w:p>
    <w:p>
      <w:pPr>
        <w:spacing w:after="0" w:line="127"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our product candidates in clinical trials or at the commercial stage after regulatory approval, and our product liability insurance may not cover all damages arising from such claims. Product liability lawsuits against us could cause us to incur substantial liabilities and to limit commercialization of any products that we may develop.</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sale and use of pharmaceutical products, including maintaining consistent quality, safety and efficacy profiles for our products and product candidates. The marketing, sale and use of our products could lead to the filing of product liability claims against us if someone alleges that our products or product candidates failed to perform as intended. We may also be subject to liability for a misunderstanding of, or inappropriate reliance upon, the information we provide. These claims might be made by patients that use the products or product candidates, healthcare providers, pharmaceutical companies, or others selling such products. Any claims against us, regardless of their merit, could be costly to defend and could materially adversely affect the market for our product candidates or any prospects for commercialization of our product candidates.</w:t>
      </w:r>
    </w:p>
    <w:p>
      <w:pPr>
        <w:spacing w:after="0" w:line="77" w:lineRule="exact"/>
        <w:rPr>
          <w:sz w:val="20"/>
          <w:szCs w:val="20"/>
          <w:color w:val="auto"/>
        </w:rPr>
      </w:pPr>
    </w:p>
    <w:p>
      <w:pPr>
        <w:jc w:val="both"/>
        <w:ind w:right="200"/>
        <w:spacing w:after="0" w:line="260" w:lineRule="auto"/>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it is always possible that a drug, even after regulatory approval, may exhibit unforeseen side effects. Physicians and patients may not comply with any warnings that identify known potential adverse effects and patients who should not use our product candidates. If any of our product candidates were to cause adverse side effects during clinical trials or after approval, we may be exposed to substantial liabilities.</w:t>
      </w:r>
    </w:p>
    <w:p>
      <w:pPr>
        <w:spacing w:after="0" w:line="73"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If we cannot successfully defend ourselves against claims that our products caused injuries, we may incur substantial liabilities. Regardless of merit or eventual outcome, liability claims may result in:</w:t>
      </w:r>
    </w:p>
    <w:p>
      <w:pPr>
        <w:spacing w:after="0" w:line="54" w:lineRule="exact"/>
        <w:rPr>
          <w:sz w:val="20"/>
          <w:szCs w:val="20"/>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planned products that we may develop;</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patients from clinical trials or cancellation of clinical trials;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and distraction to our management team;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We currently hold $10.0 million 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18"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or form joint ventures or make investments in other companies or technologies that could harm our operating results, dilute our stockholders’ ownership, increase our debt or cause us to incur significant expense.</w:t>
      </w:r>
    </w:p>
    <w:p>
      <w:pPr>
        <w:spacing w:after="0" w:line="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or licenses of assets or acquisitions of businesses. We also may pursue strategic alliances and joint ventures that leverage our core technology and industry experience to expand our product offerings or sales and distribution resources. Our company has limited experience with acquiring other companies, acquiring or licensing assets or forming strategic alliances and joint ventures. We may not be able to find suitable partners or acquisition candidates, and we may not be able to complete such transactions 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favorable terms, if at all. If we make any acquisitions, we may not be able to integrate these acquisitions successfully into our existing business, and we could assume unknown or contingent liabilities. Any future acquisitions also could result in significant write-offs or the incurrence of debt and contingent liabilities, any of which could have a material adverse effect on our financial condition, results of operations and cash flows. Integration of an acquired company also may disrupt ongoing operations and require management resources that would otherwise focus on developing our existing business. We may experience losses related to investments in other companies, which could have a material negative effect on our results of operations.</w:t>
      </w:r>
    </w:p>
    <w:p>
      <w:pPr>
        <w:spacing w:after="0" w:line="7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We may not identify or complete these transactions in a timely manner, on a cost-effective basis, or at all, and we may not realize the anticipated benefits of any acquisition, license, strategic alliance or joint venture. To finance such a transaction, we may choose to issue shares of our common stock as consideration, which would dilute the ownership of our stockholders. If the price of our common stock is low or volatile, we may not be able to acquire other companies or fund a joint venture project using our stock as consideration. Alternatively, it may be necessary for us to raise additional funds for acquisitions through public or private financings. Additional funds may not be available on terms that are favorable to us, or at all.</w:t>
      </w:r>
    </w:p>
    <w:p>
      <w:pPr>
        <w:spacing w:after="0" w:line="127" w:lineRule="exact"/>
        <w:rPr>
          <w:sz w:val="20"/>
          <w:szCs w:val="20"/>
          <w:color w:val="auto"/>
        </w:rPr>
      </w:pPr>
    </w:p>
    <w:p>
      <w:pPr>
        <w:ind w:right="4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will expose us to business, regulatory, political, operational, financial and economic risks associated with doing business outside of the U.S.</w:t>
      </w:r>
    </w:p>
    <w:p>
      <w:pPr>
        <w:spacing w:after="0" w:line="5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Our business strategy contemplates international expansion, including partnering with distributors, and introducing our current products and other planned products outside the U.S. Doing business internationally involves a number of risks, including:</w:t>
      </w:r>
    </w:p>
    <w:p>
      <w:pPr>
        <w:spacing w:after="0" w:line="54" w:lineRule="exact"/>
        <w:rPr>
          <w:sz w:val="20"/>
          <w:szCs w:val="20"/>
          <w:color w:val="auto"/>
        </w:rPr>
      </w:pPr>
    </w:p>
    <w:p>
      <w:pPr>
        <w:ind w:left="1020" w:right="60" w:hanging="504"/>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export and import restrictions, tariffs, employment laws, regulatory requirements and other governmental approvals, permits and licenses;</w:t>
      </w:r>
    </w:p>
    <w:p>
      <w:pPr>
        <w:spacing w:after="0" w:line="54" w:lineRule="exact"/>
        <w:rPr>
          <w:rFonts w:ascii="Times New Roman" w:cs="Times New Roman" w:eastAsia="Times New Roman" w:hAnsi="Times New Roman"/>
          <w:sz w:val="18"/>
          <w:szCs w:val="18"/>
          <w:color w:val="auto"/>
        </w:rPr>
      </w:pPr>
    </w:p>
    <w:p>
      <w:pPr>
        <w:ind w:left="1020" w:right="380" w:hanging="504"/>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by us or our distributors to obtain regulatory approvals for the sale or use of our current products and our planned future products in various countries;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foreign operations;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government payer systems, multiple payer-reimbursement regimes or self-pay systems;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products, including infrastructure conditions and transportation delays;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if our distributors do not execute successfully;</w:t>
      </w:r>
    </w:p>
    <w:p>
      <w:pPr>
        <w:spacing w:after="0" w:line="116" w:lineRule="exact"/>
        <w:rPr>
          <w:rFonts w:ascii="Times New Roman" w:cs="Times New Roman" w:eastAsia="Times New Roman" w:hAnsi="Times New Roman"/>
          <w:sz w:val="18"/>
          <w:szCs w:val="18"/>
          <w:color w:val="auto"/>
        </w:rPr>
      </w:pPr>
    </w:p>
    <w:p>
      <w:pPr>
        <w:ind w:left="1020" w:right="420" w:hanging="504"/>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enforcing contracts and collecting accounts receivable, and exposure to foreign currency exchange rate fluctuations;</w:t>
      </w:r>
    </w:p>
    <w:p>
      <w:pPr>
        <w:spacing w:after="0" w:line="54" w:lineRule="exact"/>
        <w:rPr>
          <w:rFonts w:ascii="Times New Roman" w:cs="Times New Roman" w:eastAsia="Times New Roman" w:hAnsi="Times New Roman"/>
          <w:sz w:val="18"/>
          <w:szCs w:val="18"/>
          <w:color w:val="auto"/>
        </w:rPr>
      </w:pPr>
    </w:p>
    <w:p>
      <w:pPr>
        <w:ind w:left="1020" w:right="540" w:hanging="504"/>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or lack of them in certain jurisdictions, forcing more reliance on our trade secrets, if available;</w:t>
      </w:r>
    </w:p>
    <w:p>
      <w:pPr>
        <w:spacing w:after="0" w:line="54"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including the outbreak of hostilities in the Ukraine and the Middle East, outbreak of disease, boycotts, curtailment of trade and other business restrictions; and</w:t>
      </w:r>
    </w:p>
    <w:p>
      <w:pPr>
        <w:spacing w:after="0" w:line="54" w:lineRule="exact"/>
        <w:rPr>
          <w:rFonts w:ascii="Times New Roman" w:cs="Times New Roman" w:eastAsia="Times New Roman" w:hAnsi="Times New Roman"/>
          <w:sz w:val="18"/>
          <w:szCs w:val="18"/>
          <w:color w:val="auto"/>
        </w:rPr>
      </w:pPr>
    </w:p>
    <w:p>
      <w:pPr>
        <w:ind w:left="1020" w:right="520" w:hanging="504"/>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Foreign Corrupt Practices Act, including its books and records provisions and its anti-bribery provisions, by maintaining accurate information and control over sales activities and distributors’ activities.</w:t>
      </w:r>
    </w:p>
    <w:p>
      <w:pPr>
        <w:spacing w:after="0" w:line="54"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Any of these risks, if encountered, could significantly harm our future international expansion and operations and, consequently, have a material adverse effect on our financial condition, results of operations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operation of our business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132" w:lineRule="exact"/>
        <w:rPr>
          <w:sz w:val="20"/>
          <w:szCs w:val="20"/>
          <w:color w:val="auto"/>
        </w:rPr>
      </w:pPr>
    </w:p>
    <w:p>
      <w:pPr>
        <w:ind w:right="3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expand our development, regulatory and sales and marketing capabilities, and as a result, we may encounter difficulties in managing our growth, which could disrupt our operations.</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of December 31, 2024, we had 92 employees, up from 33 full-time employees as of December 31, 2023. We have experienced significant growth in the number of our employees and the scope of our operations, particularly in the areas of drug development, quality assurance, engineering, product development, regulatory affairs and sales and marketing. To manage this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growth, we may not be able to effectively manage the expansion of our operations or recruit and train additional qualified personnel. The physical expansion of our operations may lead to significant costs and may divert our management and business development resources. Future growth would impose significant added responsibilities on members of management, including:</w:t>
      </w:r>
    </w:p>
    <w:p>
      <w:pPr>
        <w:spacing w:after="0" w:line="77" w:lineRule="exact"/>
        <w:rPr>
          <w:sz w:val="20"/>
          <w:szCs w:val="20"/>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clinical trials effectively, which we anticipate being conducted at numerous clinical sites;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maintaining, motivating and integrating additional employees with the expertise and experience we will require;</w:t>
      </w:r>
    </w:p>
    <w:p>
      <w:pPr>
        <w:spacing w:after="0" w:line="116"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while complying with our contractual obligations to licensors, licensees, contractors and other third parties;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additional relationships with various strategic partners, suppliers and other third parties;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managerial, development, operational and finance reporting systems and procedures;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facilities.</w:t>
      </w:r>
    </w:p>
    <w:p>
      <w:pPr>
        <w:spacing w:after="0" w:line="11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Our failure to accomplish any of these tasks could prevent us from successfully growing. Any inability to manage growth could delay the execution of our business plans or disrupt our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members of our executive management team could adversely affect our business.</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success in implementing our business strategy depends largely on the skills, experience and performance of key members of our executive management team and others in key management positions. The collective efforts of each of these persons, and others working with them as a team, are critical to us as we continue to develop our technologies, tests and research and development and sales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Our executive officers all have employment agreements; however, the existence of an employment agreement does not guarantee retention of members of our executive management team and we may not be able to retain those individuals for the duration of or beyond the end of their respective terms. We do not currently maintain “key person” life insurance on any of our employees.</w:t>
      </w:r>
    </w:p>
    <w:p>
      <w:pPr>
        <w:spacing w:after="0" w:line="7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18"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There is a scarcity of experienced professionals in our industry. If we are not able to retain and recruit personnel with the requisite technical skills, we may be unable to successfully execute our business strategy.</w:t>
      </w:r>
    </w:p>
    <w:p>
      <w:pPr>
        <w:spacing w:after="0" w:line="5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biotechnology businesses, we may not succeed in attracting or retaining the personnel we require to continue and grow our operations.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78" w:lineRule="exact"/>
        <w:rPr>
          <w:sz w:val="20"/>
          <w:szCs w:val="20"/>
          <w:color w:val="auto"/>
        </w:rPr>
      </w:pPr>
    </w:p>
    <w:p>
      <w:pPr>
        <w:ind w:right="5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Any future development or commercialization agreements we may enter into for our products may place the development or distribution of these products outside our control, may require us to relinquish important rights, or may otherwise be on terms unfavorable to us.</w:t>
      </w:r>
    </w:p>
    <w:p>
      <w:pPr>
        <w:spacing w:after="0" w:line="51"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We may enter into distribution or commercialization agreements with third parties with respect to our products. Our likely collaborators for any distribution, marketing, licensing or other collaboration arrangements include large and mid-size companies, regional and national companies, and distribution or group purchasing organizations. We will have limited control over the amount and timing of resources that our collaborators dedicate to the development or commercialization of our products. Our ability to generate revenue from these arrangements will depend in part on our collaborators’ abilities to successfully perform the functions assigned to them in these arrangements.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involving our products are subject to numerous risks, which may include the following:</w:t>
      </w:r>
    </w:p>
    <w:p>
      <w:pPr>
        <w:spacing w:after="0" w:line="116" w:lineRule="exact"/>
        <w:rPr>
          <w:sz w:val="20"/>
          <w:szCs w:val="20"/>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any such collaborations;</w:t>
      </w:r>
    </w:p>
    <w:p>
      <w:pPr>
        <w:spacing w:after="0" w:line="116" w:lineRule="exact"/>
        <w:rPr>
          <w:rFonts w:ascii="Times New Roman" w:cs="Times New Roman" w:eastAsia="Times New Roman" w:hAnsi="Times New Roman"/>
          <w:sz w:val="18"/>
          <w:szCs w:val="18"/>
          <w:color w:val="auto"/>
        </w:rPr>
      </w:pPr>
    </w:p>
    <w:p>
      <w:pPr>
        <w:jc w:val="both"/>
        <w:ind w:left="1020" w:right="340" w:hanging="504"/>
        <w:spacing w:after="0" w:line="265"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products, or may elect not to continue or renew efforts based on clinical trail results, changes in their strategic focus for a variety of reasons, potentially including the acquisition of competitive products, availability of funding, and mergers or acquisitions that divert resources or create competing priorities;</w:t>
      </w:r>
    </w:p>
    <w:p>
      <w:pPr>
        <w:spacing w:after="0" w:line="68"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abandon a product, repeat or conduct new clinical trials or require a new engineering iteration of a product for clinical testing;</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w:t>
      </w:r>
    </w:p>
    <w:p>
      <w:pPr>
        <w:spacing w:after="0" w:line="116" w:lineRule="exact"/>
        <w:rPr>
          <w:rFonts w:ascii="Times New Roman" w:cs="Times New Roman" w:eastAsia="Times New Roman" w:hAnsi="Times New Roman"/>
          <w:sz w:val="18"/>
          <w:szCs w:val="18"/>
          <w:color w:val="auto"/>
        </w:rPr>
      </w:pPr>
    </w:p>
    <w:p>
      <w:pPr>
        <w:ind w:left="1020" w:right="38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54"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8" w:lineRule="exact"/>
        <w:rPr>
          <w:rFonts w:ascii="Times New Roman" w:cs="Times New Roman" w:eastAsia="Times New Roman" w:hAnsi="Times New Roman"/>
          <w:sz w:val="18"/>
          <w:szCs w:val="18"/>
          <w:color w:val="auto"/>
        </w:rPr>
      </w:pPr>
    </w:p>
    <w:p>
      <w:pPr>
        <w:ind w:left="1020" w:right="20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causes the delay or termination of the research, development or commercialization of our products or that results in costly litigation or arbitration that diverts management attention and resources;</w:t>
      </w:r>
    </w:p>
    <w:p>
      <w:pPr>
        <w:spacing w:after="0" w:line="54" w:lineRule="exact"/>
        <w:rPr>
          <w:rFonts w:ascii="Times New Roman" w:cs="Times New Roman" w:eastAsia="Times New Roman" w:hAnsi="Times New Roman"/>
          <w:sz w:val="18"/>
          <w:szCs w:val="18"/>
          <w:color w:val="auto"/>
        </w:rPr>
      </w:pPr>
    </w:p>
    <w:p>
      <w:pPr>
        <w:ind w:left="1020" w:right="100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products; and</w:t>
      </w:r>
    </w:p>
    <w:p>
      <w:pPr>
        <w:spacing w:after="0" w:line="5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54"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Any termination or disruption of collaborations could result in delays in the development of products, increases in our costs to develop the products or the termination of development of a product.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intend to do business outside the U.S., we will be subject to additional risks.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variety of risks associated with international operations could materially adversely affect our business, including:</w:t>
      </w:r>
    </w:p>
    <w:p>
      <w:pPr>
        <w:spacing w:after="0" w:line="116" w:lineRule="exact"/>
        <w:rPr>
          <w:sz w:val="20"/>
          <w:szCs w:val="20"/>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in foreign countries;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trade restrictions, export or import sanctions, and regulatory requirements;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82" w:lineRule="exact"/>
        <w:rPr>
          <w:sz w:val="20"/>
          <w:szCs w:val="20"/>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6"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including the outbreak of hostilities in the Ukraine, the Middle East, or natural disasters including earthquakes, typhoons, floods and fires.</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particular, there is currently significant uncertainty about the future relationship between the United States and various other countries with respect to trade policies, treaties, tariffs, taxes and other limitations on cross-border operations. Since beginning his second term in office, President Trump has made and continues to make significant additional changes in U.S. trade policy and may continue to take future actions that could negatively impact U.S. trade. Such trade policies and tariff implementations, and any related retaliatory trade policies and tariff implementations by foreign governments, may result in any materials that we import to the U.S. from countries subject to tariffs becoming more expensive or increase the price of DCCR in other countries, which could have a material adverse impact on our business, financial condition and results of operations. We cannot predict what actions may ultimately be taken with respect to trade relations between the United States and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 results of operations would be materially and adversely affected.</w:t>
      </w:r>
    </w:p>
    <w:p>
      <w:pPr>
        <w:spacing w:after="0" w:line="131"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increased costs as a result of operating as a public company, and our management has devoted and will be required to continue to devote substantial time to new compliance initiatives.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incurred and will continue to incur significant legal, accounting and other expenses as a public company. We are subject to the reporting requirements of the Securities Exchange Act of 1934, as amended, the other rules and regulations of the SEC, and the rules and regulations of Nasdaq. The expenses of being a public company are material, and compliance with the various reporting and other requirements applicable to public companies requires considerable time and attention of management. For example, the Sarbanes-Oxley Act (SOX) and the rules of the SEC and national securities exchanges have imposed various requirements on public companies, including requiring establishment and maintenance of effective disclosure and financial controls. Our management and other personnel need to devote a substantial amount of time to these compliance initiatives. These rules and regulations will continue to increase our legal and financial compliance costs and will make some activities more time-consuming and costly. For example, these rules and regulations may make it difficult and expensive for us to obtain adequate director and officer liability insurance, and we may be required to accept reduced policy limits on coverage or incur substantial costs to maintain the same or similar coverage. The impact of these events could also make it more difficult for us to attract and retain qualified personnel to serve on our Board, our Board committees, or as executive officers.</w:t>
      </w:r>
    </w:p>
    <w:p>
      <w:pPr>
        <w:spacing w:after="0" w:line="81"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7"/>
          <w:szCs w:val="17"/>
          <w:color w:val="auto"/>
        </w:rPr>
        <w:t>SOX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SOX (Section 404). We currently do not have an internal audit group, and we will need to hire additional accounting and financial staff with appropriate public company experience and technical accounting knowledge.</w:t>
      </w:r>
    </w:p>
    <w:p>
      <w:pPr>
        <w:spacing w:after="0" w:line="5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in a timely manner the market price of our stock could decline and we could be subject to sanctions or investigations by Nasdaq, the SEC or other regulatory authorities, which would require additional financial and management resources. Our ability to successfully implement our business plan and comply with Section 404 requires us to be able to prepare timely and accurate financial statements. We expect that we will need to continue to improve existing, and implement new operational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8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This, in turn, could have an adverse impact on trading prices for our common stock, and could adversely affect our ability to access the capital markets.</w:t>
      </w:r>
    </w:p>
    <w:p>
      <w:pPr>
        <w:spacing w:after="0" w:line="123"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are required by Section 404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spacing w:after="0" w:line="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a public company with SEC reporting obligations, we are required to document and test our internal control procedures to satisfy the requirements of Section 404, which requires annual assessments by management of the effectiveness of our internal control over financial reporting. Effective December 31, 2024, we no longer qualify as a smaller reporting company and the reduced compliance requirements to smaller reporting companies no longer apply to us. As such, our auditor is required to attest to the effectiveness of our internal control over financial reporting beginning with this annual report on Form 10-K. We must implement and maintain substantial internal control systems and procedures to satisfy the reporting requirements under the Securities Exchange Act of 1934. 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common stock listing on Nasdaq to be suspended or terminated, which could have a negative effect on the trading price of our common stock.</w:t>
      </w:r>
    </w:p>
    <w:p>
      <w:pPr>
        <w:spacing w:after="0" w:line="136"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5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 or any subsequent testing by our independent registered public accounting firm in connection with Section 404,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Ineffective internal controls could also cause investors to lose confidence in our reported financial information, which could have a negative effect on the trading price of our common stock. To achieve compliance with Section 404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13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67"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in our financial statements and accompanying notes. We</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8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spacing w:after="0" w:line="13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In the future we may identify additional material weaknesses, fail to remediate our current material weakness or otherwise fail to maintain an effective system of internal controls, which may result in material misstatements of our financial statements or cause us to fail to meet our periodic reporting obligations.</w:t>
      </w:r>
    </w:p>
    <w:p>
      <w:pPr>
        <w:spacing w:after="0" w:line="6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discussed in Item 9A of this Annual Report on Form 10-K, in preparing our consolidated financial statements as of and for the year ended December 31, 2024, our management concluded that our disclosure controls and procedures and our internal control over financial reporting were not effective at the reasonable assurance level. To address these material weakness, we plan to take actions designed to improve our internal control over financial reporting and remediate the control deficiencies that led to the material weakness. If we discover additional weaknesses in our system of internal financial and accounting controls and procedures, our consolidated financial statements may contain material misstatements, and we could be required to restate our financial results.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Any failure to implement and maintain effective internal control over financial reporting could cause investors to lose confidence in our reported financial and other information, adversely impact our stock price, cause us to incur increased costs to remediate any deficiencies, and attract regulatory scrutiny or lawsuits that could be costly to resolve and distract management’s attention, limit our ability to access the capital markets, or cause our stock to be delisted from The Nasdaq Capital Market or any other securities exchange on which it is then listed. Failure to remedy any material weakness in our internal control over financial reporting, or to implement or maintain other effective control systems required of public companies, could also restrict our future access to the capital markets.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an interruption in supply from a material sole source supplier, our business may be harmed.</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internally to manufacture or distribute DCCR. We will initially be dependent on sole source suppliers to produce raw materials, active pharmaceutical ingredients (APIs), the finished drug product and the associated packaging for DCCR. If there is an interruption in supply of our raw materials from these sole source suppliers, for any reason, there can be no assurance that we will be able to obtain adequate quantities of the raw materials within a reasonable time or at commercially reasonable prices. Interruptions in supplies due to pricing, timing, availability, or other issues with our sole source suppliers could have a negative impact on our contract manufacturer's ability to manufacture DCCR, which in turn could adversely affect the commercialization of DCCR.</w:t>
      </w:r>
    </w:p>
    <w:p>
      <w:pPr>
        <w:spacing w:after="0" w:line="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Regardless of whether a sole source supplier enters into a written supply arrangement with us, such supplier could still delay, suspend, or terminate supply of raw materials to us for a number of reasons, including manufacturing or quality issues, payment disputes with us, or bankruptcy or insolvency situations.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Manufacturing or quality assurance difficulties at our contractors and suppliers, the failure or refusal of a supplier or contract manufacturer to supply contracted quantities, or increases in demand on a supplier with constrained capacity could result in delays and disruptions in the manufacturing, distribution, and sale of DCCR, leading to lost revenue or reduced market opportunities. Supply constraints may also lead to pauses, discontinuations, or other product availability issues, which could have a material adverse effect on our consolidated results of operations and cash flows. Further, cost inflation and transportation and logistics challenges in the future may cause delays in, and increase costs related to, procurement activity, and supplier or contract manufacturer arrangements.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a sole source supplier ceases supply of drug substance, drug product or labeled finished product, there is no guarantee that we will find an alternative supplier on terms acceptable to us, or at all. Finding alternative suppliers may not be feasible or could take a significant amount of time and involve significant expense due to the nature of DCCR. Further the qualification process for a new vendor could take months or years, and any such delay in qualification could significantly harm our business.</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In the United States, we intend to rely on one or more specialty pharmacies to dispense DCCR, deliver customer support, and provide us with related services, and our business could be harmed and we could be subject to liabilities if these services are performed inadequately or in a manner that does not comply with applicable laws and regulations.</w:t>
      </w:r>
    </w:p>
    <w:p>
      <w:pPr>
        <w:spacing w:after="0" w:line="6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If approved, our DCCR sales in the United States will initially be through specialty pharmacies and therefore our sales of DCCR will be highly dependent on the performance of these specialty pharmacies. A specialty pharmacy is a pharmacy that specializes in the dispensing of medications which often require a high level of patient education and ongoing management. The use of a specialty pharmacy involves risks, including, but not limited to, risks that a specialty pharmacy:</w:t>
      </w:r>
    </w:p>
    <w:p>
      <w:pPr>
        <w:spacing w:after="0" w:line="73" w:lineRule="exact"/>
        <w:rPr>
          <w:sz w:val="20"/>
          <w:szCs w:val="20"/>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effectively dispense or support DCCR;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properly administer copay mitigation programs;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provide us with accurate or timely information regarding their inventories or the number of patients who are using DCCR;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provide timely and accurate information regarding product adverse events or product complaints;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devote the resources necessary to dispense DCCR in a manner that meets patient needs;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unable to satisfy financial obligations to us or others;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loses the required licenses to distribute DCCR; or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operations.</w:t>
      </w:r>
    </w:p>
    <w:p>
      <w:pPr>
        <w:spacing w:after="0" w:line="224"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17"/>
          <w:szCs w:val="17"/>
          <w:color w:val="auto"/>
        </w:rPr>
        <w:t>If a specialty pharmacy partner does not fulfill its contractual obligations to us or fails to adequately dispense DCCR and deliver customer support, our product sales and business could be harmed or we could be subject to legal or regulatory liabilities or sanctions. Furthermore, arrangements between manufacturers and specialty pharmacies can be subject to government scrutiny and challenge under fraud and abuse laws if not structured properly.</w:t>
      </w:r>
    </w:p>
    <w:p>
      <w:pPr>
        <w:spacing w:after="0" w:line="100"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certain components of our clinical trials, and those third parties may not perform satisfactorily, including failing to meet deadlines for the completion of such studies.</w:t>
      </w:r>
    </w:p>
    <w:p>
      <w:pPr>
        <w:spacing w:after="0" w:line="5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We rely on third parties, such as CROs, investigational product packaging, labeling and distribution, laboratories, medical institutions and clinical investigators and staff, to perform various functions for our clinical trials. Our reliance on these third parties for clinical development activities reduces our control over these activities but does not relieve us of our responsibilities. We remain responsible for ensuring that each of our clinical trials is conducted in accordance with the general investigational plan and protocols for the study. Moreover, the FDA requires us and third parties involved in the set-up, conduct, analysis and reporting of the clinical trials to comply with regulations and with standards, commonly referred to as good clinical practices (GCPs), to assure that data and reported results are credible and accurate and that the rights, integrity and confidentiality of patients in clinical trials are protected. Our clinical investigators are also required to comply with GCPs. 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regulatory approvals for our planned products and will not be able to, or may be delayed in our efforts to, successfully commercialize our planned products.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use biological and hazardous materials in a manner that causes injury, we could be liable for damages.</w:t>
      </w:r>
    </w:p>
    <w:p>
      <w:pPr>
        <w:spacing w:after="0" w:line="120" w:lineRule="exact"/>
        <w:rPr>
          <w:sz w:val="20"/>
          <w:szCs w:val="20"/>
          <w:color w:val="auto"/>
        </w:rPr>
      </w:pPr>
    </w:p>
    <w:p>
      <w:pPr>
        <w:ind w:right="1060"/>
        <w:spacing w:after="0" w:line="281" w:lineRule="auto"/>
        <w:rPr>
          <w:sz w:val="20"/>
          <w:szCs w:val="20"/>
          <w:color w:val="auto"/>
        </w:rPr>
      </w:pPr>
      <w:r>
        <w:rPr>
          <w:rFonts w:ascii="Times New Roman" w:cs="Times New Roman" w:eastAsia="Times New Roman" w:hAnsi="Times New Roman"/>
          <w:sz w:val="18"/>
          <w:szCs w:val="18"/>
          <w:color w:val="auto"/>
        </w:rPr>
        <w:t>Our manufacturing processes currently require the controlled use of potentially harmful chemicals. We cannot eliminate the risk of accidental contamination or injury to employees or third parties from the use, storage, handling</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The cost of compliance with these laws and regulations may become significant and could have a material adverse effect on our financial condition, results of operations and cash flows. In the event of an accident or if we otherwise fail to comply with applicable regulations, we could lose our permits or approvals or be held liable for damages or penalized with fines.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70"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5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avoiding infringement and other violations of the patents and proprietary rights of third parties. Patent and other intellectual property litigation is prevalent in our sectors. There is a substantial amount of litigation, both within and outside the U.S., involving patent and other intellectual property rights in the biotechnology and pharmaceutical industries, including patent infringement lawsuits, interferences, derivation and administrative law proceedings,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post-grant review before the U.S. Patent and Trademark Office (USPTO), as well as oppositions and similar processes in foreign jurisdictions. Our commercial success depends upon our ability and the ability of our distributors, contract manufacturers, and suppliers to manufacture, market, and sell our planned products, and to use our proprietary technologies without infringing, misappropriating or otherwise violating the proprietary rights or intellectual property of third parties. As the biotechnology and pharmaceutical industries expand and more patents are issued, and as we gain greater visibility and market exposure, the risk increases that our commercialization of DCCR or other business activities may be subject to claims of infringement of the patent and other proprietary rights of third parties. Third parties may assert that we are infringing their patents or employing their proprietary technology without authorization. We may become party to, or be threatened with, future adversarial proceedings or litigation regarding intellectual property rights with respect to our products. Third parties may assert infringement claims against us based on existing or future intellectual property rights. If we are found to infringe a third-party’s intellectual property rights, we could be required to obtain a license from such third-party to continue developing and marketing our products. We may also elect to enter into such a license in order to settle pending or threatened litigation. However, we may not be able to obtain any required license on commercially reasonable terms or at all. Even if we were able to obtain a license, it could be non-exclusive, thereby giving our competitors access to the same intellectual property licensed to us and could require us to pay significant royalties and other fees.</w:t>
      </w:r>
    </w:p>
    <w:p>
      <w:pPr>
        <w:spacing w:after="0" w:line="92"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Also, there may be third-party patents or patent applications with claims to materials, formulations, methods of manufacture or methods for treatment related to the use or manufacture of DCCR. Because patent applications can take many years to issue, there may be currently pending patent applications which may later result in issued patents that our product may infringe.</w:t>
      </w:r>
    </w:p>
    <w:p>
      <w:pPr>
        <w:spacing w:after="0" w:line="6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 addition, third parties may obtain patent rights in the future and claim that use of our products infringes upon these rights. If any third-party patents were held by a court of competent jurisdiction to cover the manufacturing process of DCCR, any molecules formed during the manufacturing process or any final product itself, the holders of any such patents may be able to block our ability to commercialize DCCR unless we obtained a license under the applicable patents, or until such patents expire. Similarly, if any third-party patent were held by a court of competent jurisdiction to cover aspects of our formulations, processes for manufacture or methods of use, including combination therapy, the holders of any such patent may be able to block our ability to develop and commercialize our product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6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We could be forced, including by court order, to cease commercializing the infringing product. In addition, we could be found liable for monetary damages. A finding of infringement could prevent us from commercializing our planned products or force us to cease some of our business operations, which could materially harm our business. Defense of these claims, regardless of their merit, would involve substantial litigation expense and would be a</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8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which may be impossible or require substantial time and monetary expenditure. We cannot predict whether any such license would be available at all or whether it would be available on commercially reasonable terms.</w:t>
      </w:r>
    </w:p>
    <w:p>
      <w:pPr>
        <w:spacing w:after="0" w:line="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if we are successful in defending against intellectual property claims, litigation or other legal proceedings relating to such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have a material adverse effect on our ability to compete in the marketplace.</w:t>
      </w:r>
    </w:p>
    <w:p>
      <w:pPr>
        <w:spacing w:after="0" w:line="129" w:lineRule="exact"/>
        <w:rPr>
          <w:sz w:val="20"/>
          <w:szCs w:val="20"/>
          <w:color w:val="auto"/>
        </w:rPr>
      </w:pPr>
    </w:p>
    <w:p>
      <w:pPr>
        <w:ind w:right="8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commercialize our products may be materially adversely affected if we are unable to obtain and maintain effective intellectual property rights for our planned products, or if the scope of the intellectual property protection is not sufficiently broad.</w:t>
      </w:r>
    </w:p>
    <w:p>
      <w:pPr>
        <w:spacing w:after="0" w:line="51"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and other intellectual property protection in the U.S. and in other countries with respect to our proprietary products.</w:t>
      </w:r>
    </w:p>
    <w:p>
      <w:pPr>
        <w:spacing w:after="0" w:line="5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patent position of pharmaceutical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the patent rights we rely on are highly uncertain. Pending and future patent applications may not result in patents being issued which protect our products or which effectively prevent others from commercializing competitive products. The laws of foreign countries may not protect our rights to the same extent as the laws of the U.S. For example, many countries restrict the patentability of methods of treatment of the human body.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or were the first to file for patent protection of such inventions. As a result of these and other factors, the issuance, scope, validity, enforceability and commercial value of our patent rights are highly uncertain. Our pending and future patent applications may not result in patents being issued which protect products, in whole or in part, or which effectively prevent others from commercializing competitive products. Changes in either the patent laws or interpretation of the patent laws in the U.S. and other countries may diminish the value of the patents we rely on or narrow the scope of our patent protection.</w:t>
      </w:r>
    </w:p>
    <w:p>
      <w:pPr>
        <w:spacing w:after="0" w:line="8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Moreover, we may be subject to a third-party pre-issuance submission of prior art to the USPTO or become involved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DCCR.</w:t>
      </w:r>
    </w:p>
    <w:p>
      <w:pPr>
        <w:spacing w:after="0" w:line="7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Even if the patent applications we rely on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The issuance of a patent is not conclusive as to its scope, validity or enforceability, and the patents we rely on may be challenged in the courts or patent offices in the U.S. and abroad.</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1" w:name="page42"/>
    <w:bookmarkEnd w:id="41"/>
    <w:p>
      <w:pPr>
        <w:spacing w:after="0" w:line="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 scope of patent protection may also be limited. Without patent protection for DCCR, we may be open to competition from generic versions of DCCR. Given the amount of time required for the development, testing and regulatory review of new planned products, patents protecting such products might expire before or shortly after such products are commercialized. As a result, our patent portfolio may not provide us with sufficient rights to exclude others from commercializing products similar or identical to ours or otherwise provide us with a competitive advantage.</w:t>
      </w:r>
    </w:p>
    <w:p>
      <w:pPr>
        <w:spacing w:after="0" w:line="83"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scope, validity, enforceability, and commercial value of trademark rights are also uncertain. Pending and future trademark applications may not be successful.</w:t>
      </w:r>
    </w:p>
    <w:p>
      <w:pPr>
        <w:spacing w:after="0" w:line="104" w:lineRule="exact"/>
        <w:rPr>
          <w:sz w:val="20"/>
          <w:szCs w:val="20"/>
          <w:color w:val="auto"/>
        </w:rPr>
      </w:pPr>
    </w:p>
    <w:p>
      <w:pPr>
        <w:ind w:right="4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legal proceedings to protect or enforce our intellectual property rights, which could be expensive, time-consuming, or unsuccessful.</w:t>
      </w:r>
    </w:p>
    <w:p>
      <w:pPr>
        <w:spacing w:after="0" w:line="5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Competitors may infringe or otherwise violate the patents we rely on, or our other intellectual property rights including trademarks.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we are asserting is invalid or unenforceable or may refuse to stop the other party from using the technology at issue on the grounds that the patents we are asserting do not cover the technology in question. An adverse result in any litigation or defense proceedings could put one or more patents at risk of being invalidated or interpreted narrowly and could put our patent applications at risk of not issuing. In patent litigation in the U.S., defendant counterclaims alleging invalidity or unenforceability are commonplace. Grounds for a validity challenge could be an alleged failure to meet any of several statutory requirements, including lack of novelty, obviousness, non-enablement, written description, or lack of patentable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or oppositions or similar proceedings outside the U.S.,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vaccine candidates. Such a loss of patent protection could harm our business.</w:t>
      </w:r>
    </w:p>
    <w:p>
      <w:pPr>
        <w:spacing w:after="0" w:line="9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We may not be able to prevent misappropriation of our intellectual property rights, particularly in countries where the laws may not protect those rights as fully as in the U.S.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spacing w:after="0" w:line="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the USPTO, or any foreign patent authority may be necessary to determine the priority of inventions or other matters of inventorship with respect to patents and patent applications. We may become involved in proceedings, including oppositions, interferences, derivation proceedings interparty reviews, patent nullification proceedings, or re-examinations, challenging our patent rights or the patent rights of others, and the outcome of any such proceedings are highly uncertain. An adverse determination in any such proceeding could reduce the scope of, or invalidate, important patent rights, allow third parties to commercialize our technology or products and compete directly with us, without payment to us, or result in our inability to manufacture or commercialize products without infringing third-party patent rights. Our business also could be harmed if a prevailing party does not offer us a license on commercially reasonable terms, if any license is offered at all. Litigation or other proceedings may fail and, even if successful, may result in substantial</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82"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costs and distract our management and other employees. We may also become involved in disputes with others regarding the ownership of intellectual property rights. If we are unable to resolve these disputes, we could lose valuable intellectual property rights.</w:t>
      </w:r>
    </w:p>
    <w:p>
      <w:pPr>
        <w:spacing w:after="0" w:line="54"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54"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Even if resolved in our favor, litigation or other legal proceedings relating to intellectual property claims may cause us to incur significant expenses and could distract our technical 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Uncertainties resulting from the initiation and continuation of intellectual property litigation or other proceedings could have a material adverse effect on our ability to compete in the marketplace.</w:t>
      </w:r>
    </w:p>
    <w:p>
      <w:pPr>
        <w:spacing w:after="0" w:line="112" w:lineRule="exact"/>
        <w:rPr>
          <w:sz w:val="20"/>
          <w:szCs w:val="20"/>
          <w:color w:val="auto"/>
        </w:rPr>
      </w:pPr>
    </w:p>
    <w:p>
      <w:pPr>
        <w:ind w:right="4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harming our business and competitive position.</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our patented technology and products, we rely upon confidential proprietary information, including trade secrets, unpatented know-how, technology and other proprietary information, to develop and maintain our competitive position. Any disclosure to or misappropriation by third parties of our confidential proprietary information could enable competitors to quickly duplicate or surpass our technological achievements, thus eroding our competitive position in the market. We seek to protect our confidential proprietary information, in part, by confidentiality agreements with our employees and our collaborators and consultants. We also have agreements with our employees and selected consultants that obligate them to assign their inventions to us. These agreements are designed to protect our proprietary information; however, we cannot be certain that our trade secrets and other confidential information will not be disclosed or that competitors will not otherwise gain access to our trade secrets, or that technology relevant to our business will not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trade secrets and confidential information to the same extent as the laws of the U.S.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or enforce our intellectual property rights throughout the world.</w:t>
      </w:r>
    </w:p>
    <w:p>
      <w:pPr>
        <w:spacing w:after="0" w:line="12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and trademarks on all of our planned products throughout the world would be prohibitively expensive to us. Competitors may use our technologies in jurisdictions where we have not obtained patent protection to develop their own products and, further, may export otherwise infringing products to territories where we have patent protection but where enforcement is not as strong as in the U.S. These products may compete with our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ongoing conflict in Ukraine and related sanctions could significantly devalue our Russian, Belarusian, and Eurasian patents and/or patent applications.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Russian decrees may also significantly limit our ability to enforce Russian patents. We cannot predict when or how this situation will change.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0"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current and planned products, but that are not covered by claims in our patents;</w:t>
      </w:r>
    </w:p>
    <w:p>
      <w:pPr>
        <w:spacing w:after="0" w:line="116"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filers of our patents that we developed or purchased might not have been the first to make the inventions covered by the claims contained in such patents;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an invention;</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may not lead to issued patents;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may not provide us with any competitive advantages, or may be held invalid or unenforceable, as a result of legal challenges by our competitors;</w:t>
      </w:r>
    </w:p>
    <w:p>
      <w:pPr>
        <w:spacing w:after="0" w:line="54"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166" w:lineRule="exact"/>
        <w:rPr>
          <w:sz w:val="20"/>
          <w:szCs w:val="20"/>
          <w:color w:val="auto"/>
        </w:rPr>
      </w:pPr>
    </w:p>
    <w:p>
      <w:pPr>
        <w:ind w:right="54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or applications will be due to be paid by us to the USPTO and various governmental patent agencies outside of the U.S. in several stages over the lifetime of the patents or applications. The USPTO and various non-U.S. governmental patent agencies require compliance with a number of procedural, documentary, fee payment and other similar provisions during the patent application process.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use our technologies and this circumstance would have a material adverse effect on our business.</w:t>
      </w:r>
    </w:p>
    <w:p>
      <w:pPr>
        <w:spacing w:after="0" w:line="127"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U.S.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(PTA) for patents in families where related patents have issued without PTA. Thus, it cannot be said with certainty how PTA will be viewed in future and whether patent expiration dates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and uncertainty of European patent laws have also increased in recent years.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have the ability to opt out of the jurisdiction of the UPC and remain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27" w:lineRule="exact"/>
        <w:rPr>
          <w:sz w:val="20"/>
          <w:szCs w:val="20"/>
          <w:color w:val="auto"/>
        </w:rPr>
      </w:pPr>
    </w:p>
    <w:p>
      <w:pPr>
        <w:ind w:right="6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 patent term extension in the U.S. under the Hatch-Waxman Act and in foreign countries under similar legislation, thereby potentially extending the term of our marketing exclusivity for our planned products, our business may be materially harmed.</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products, if any, one or more of the U.S. patents covering any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planned products. Nevertheless, we may not be granted patent term extension either in the U.S. or in any foreign country because of, for example, our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77" w:lineRule="exact"/>
        <w:rPr>
          <w:sz w:val="20"/>
          <w:szCs w:val="20"/>
          <w:color w:val="auto"/>
        </w:rPr>
      </w:pPr>
    </w:p>
    <w:p>
      <w:pPr>
        <w:jc w:val="both"/>
        <w:ind w:right="320"/>
        <w:spacing w:after="0" w:line="265" w:lineRule="auto"/>
        <w:rPr>
          <w:sz w:val="20"/>
          <w:szCs w:val="20"/>
          <w:color w:val="auto"/>
        </w:rPr>
      </w:pPr>
      <w:r>
        <w:rPr>
          <w:rFonts w:ascii="Times New Roman" w:cs="Times New Roman" w:eastAsia="Times New Roman" w:hAnsi="Times New Roman"/>
          <w:sz w:val="18"/>
          <w:szCs w:val="18"/>
          <w:color w:val="auto"/>
        </w:rPr>
        <w:t>If we are unable to obtain patent term extension or restoration, or the term of any such extension is less than requested,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18"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From time to time we may employ individuals who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Additionally, while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These and other claims that we have misappropriated the confidential information or trade secrets of third parties can have a similar negative impact on our business to the infringement claims discussed above.</w:t>
      </w:r>
    </w:p>
    <w:p>
      <w:pPr>
        <w:spacing w:after="0" w:line="8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Additionally, we may also be subject to claims that former employers or other third parties have an ownership interest in our patents.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70" w:lineRule="exact"/>
        <w:rPr>
          <w:sz w:val="20"/>
          <w:szCs w:val="20"/>
          <w:color w:val="auto"/>
        </w:rPr>
      </w:pPr>
    </w:p>
    <w:p>
      <w:pPr>
        <w:ind w:right="3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 is expensive, time consuming and uncertain, and we may not be successful in obtaining approvals for our planned products.</w:t>
      </w:r>
    </w:p>
    <w:p>
      <w:pPr>
        <w:spacing w:after="0" w:line="51"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import, export, marketing and distribution of our products are subject to extensive regulation by the FDA in the U.S. and other regulatory authorities in other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countries, which regulations differ from country to country. We are not permitted to market our planned products in the U.S. until we received the requisite approval or clearance from the FDA. We have submitted an NDA for DCCR, but have not received marketing approval for any planned products. Obtaining approvals from the FDA can be a lengthy, expensive and uncertain process. In addition, failure to comply with FDA and other applicable U.S. and foreign regulatory requirements may subject us to administrative or judicially imposed sanctions, including the following:</w:t>
      </w:r>
    </w:p>
    <w:p>
      <w:pPr>
        <w:spacing w:after="0" w:line="73" w:lineRule="exact"/>
        <w:rPr>
          <w:sz w:val="20"/>
          <w:szCs w:val="20"/>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or criminal penalties and fines;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studies;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16"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accept or approve applications for marketing approval of new drugs or biologics or supplements to approved applications filed by us;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operations, including costly new manufacturing requirements; or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or detention of our products or import bans.</w:t>
      </w:r>
    </w:p>
    <w:p>
      <w:pPr>
        <w:spacing w:after="0" w:line="1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Prior to receiving approval to commercialize any of our planned products in the U.S. or abroad, we will be required to demonstrate with substantial evidence from well-controlled clinical trials, and to the satisfaction of the FDA and other regulatory authorities abroad, that such planned products are safe and effective for their intended uses. Results from preclinical studies and clinical trials can be interpreted in different ways. Even if we believe the preclinical or clinical data for our planned products are promising, such data may not be sufficient to support approval by the FDA and other regulatory authorities. Administering any of our planned products to humans may produce undesirable side effects, which could interrupt, delay or cause suspension of clinical trials of our planned products and result in the FDA or other regulatory authorities denying approval of our planned products for any or all targeted indications.</w:t>
      </w:r>
    </w:p>
    <w:p>
      <w:pPr>
        <w:spacing w:after="0" w:line="7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Regulatory approval from the FDA is not guaranteed, and the approval process is expensive and may take several years. The FDA also has substantial discretion in the approval process. Despite the time and expense exerted, failure can occur at any stage, and we could encounter problems that cause us to abandon or repeat clinical trials or perform additional preclinical studies and clinical trials. The number of preclinical studies and clinical trials that will be required for FDA approval varies depending on the planned product, the disease or condition that the planned product is designed to address and the regulations applicable to any particular planned product. The FDA can delay, limit or deny approval of a planned product for many reasons, including, but not limited to, the following:</w:t>
      </w:r>
    </w:p>
    <w:p>
      <w:pPr>
        <w:spacing w:after="0" w:line="76" w:lineRule="exact"/>
        <w:rPr>
          <w:sz w:val="20"/>
          <w:szCs w:val="20"/>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planned product may not be deemed safe or effective;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officials may not find the data from preclinical studies and clinical trials sufficient;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might not approve our or our third-party manufacturer’s processes or facilities; or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change its approval policies or adopt new regulations.</w:t>
      </w:r>
    </w:p>
    <w:p>
      <w:pPr>
        <w:spacing w:after="0" w:line="116" w:lineRule="exact"/>
        <w:rPr>
          <w:sz w:val="20"/>
          <w:szCs w:val="20"/>
          <w:color w:val="auto"/>
        </w:rPr>
      </w:pPr>
    </w:p>
    <w:p>
      <w:pPr>
        <w:ind w:right="720"/>
        <w:spacing w:after="0" w:line="281" w:lineRule="auto"/>
        <w:rPr>
          <w:sz w:val="20"/>
          <w:szCs w:val="20"/>
          <w:color w:val="auto"/>
        </w:rPr>
      </w:pPr>
      <w:r>
        <w:rPr>
          <w:rFonts w:ascii="Times New Roman" w:cs="Times New Roman" w:eastAsia="Times New Roman" w:hAnsi="Times New Roman"/>
          <w:sz w:val="18"/>
          <w:szCs w:val="18"/>
          <w:color w:val="auto"/>
        </w:rPr>
        <w:t>If any planned products fail to demonstrate safety and effectiveness in clinical trials or do not gain regulatory approval, our business and results of operations will be materially and adversely harmed.</w:t>
      </w:r>
    </w:p>
    <w:p>
      <w:pPr>
        <w:spacing w:after="0" w:line="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 the following:</w:t>
      </w:r>
    </w:p>
    <w:p>
      <w:pPr>
        <w:spacing w:after="0" w:line="116" w:lineRule="exact"/>
        <w:rPr>
          <w:sz w:val="20"/>
          <w:szCs w:val="20"/>
          <w:color w:val="auto"/>
        </w:rPr>
      </w:pPr>
    </w:p>
    <w:p>
      <w:pPr>
        <w:ind w:left="5540" w:right="380" w:hanging="5024"/>
        <w:spacing w:after="0" w:line="780" w:lineRule="auto"/>
        <w:tabs>
          <w:tab w:leader="none" w:pos="103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disagree with the design, implementation or results of our clinical trials;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2" w:lineRule="exact"/>
        <w:rPr>
          <w:sz w:val="20"/>
          <w:szCs w:val="20"/>
          <w:color w:val="auto"/>
        </w:rPr>
      </w:pPr>
    </w:p>
    <w:p>
      <w:pPr>
        <w:ind w:left="1020" w:hanging="504"/>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reject some or all of our data from clinical trials due to concerns related to bias, unblinding before statistical analysis plan is finalized, and/or reliability of data when the analysis is considered exploratory and not planned prospectively;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accept data pooled from different studies, especially if the studies features are not sufficiently similar;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finds that our data are not adequate to support the safety and efficacy of our product candidate for the proposed indication;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our statistical analysis plan;</w:t>
      </w:r>
    </w:p>
    <w:p>
      <w:pPr>
        <w:spacing w:after="0" w:line="116" w:lineRule="exact"/>
        <w:rPr>
          <w:rFonts w:ascii="Times New Roman" w:cs="Times New Roman" w:eastAsia="Times New Roman" w:hAnsi="Times New Roman"/>
          <w:sz w:val="18"/>
          <w:szCs w:val="18"/>
          <w:color w:val="auto"/>
        </w:rPr>
      </w:pPr>
    </w:p>
    <w:p>
      <w:pPr>
        <w:jc w:val="both"/>
        <w:ind w:left="1020" w:right="20" w:hanging="504"/>
        <w:spacing w:after="0" w:line="265"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determine that our product candidates are not safe and effective or have undesirable or unintended side effects, toxicities or other characteristics that preclude our obtaining marketing approval or prevent or limit commercial use;</w:t>
      </w:r>
    </w:p>
    <w:p>
      <w:pPr>
        <w:spacing w:after="0" w:line="68"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efficacy and safety in the full population for which we seek approval;</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disagree with our interpretation of data from nonclinical studies or clinical trials;</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not meet the statutory standard for substantial evidence of effectiveness or may fail to demonstrate statistical significance on the primary endpoint;</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or other comparable foreign regulatory authorities that our product candidate’s risk-benefit ratio for its proposed indication is acceptable;</w:t>
      </w:r>
    </w:p>
    <w:p>
      <w:pPr>
        <w:spacing w:after="0" w:line="5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priorities, reduction in staffing, large staff turnover or inadequate funding for the FDA or comparable foreign regulatory authorities could hinder those agencies from performing normal business functions and increase the time necessary for regulatory submissions, such as our NDA for DCCR, to be reviewed and approved, or decrease the likelihood of an approval;</w:t>
      </w:r>
    </w:p>
    <w:p>
      <w:pPr>
        <w:spacing w:after="0" w:line="68"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other comparable foreign regulatory authorities may significantly change in a manner rendering our clinical data insufficient for approval or resulting in delays in our regulatory approval.</w:t>
      </w:r>
    </w:p>
    <w:p>
      <w:pPr>
        <w:spacing w:after="0" w:line="10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As noted above, we received preliminary comments from the FDA for our pre-NDA meeting, and as we decided not to proceed with the meeting, they are considered the official record of the meeting</w:t>
      </w:r>
      <w:r>
        <w:rPr>
          <w:rFonts w:ascii="Times New Roman" w:cs="Times New Roman" w:eastAsia="Times New Roman" w:hAnsi="Times New Roman"/>
          <w:sz w:val="18"/>
          <w:szCs w:val="18"/>
          <w:color w:val="C00000"/>
        </w:rPr>
        <w:t>.</w:t>
      </w:r>
      <w:r>
        <w:rPr>
          <w:rFonts w:ascii="Times New Roman" w:cs="Times New Roman" w:eastAsia="Times New Roman" w:hAnsi="Times New Roman"/>
          <w:sz w:val="18"/>
          <w:szCs w:val="18"/>
          <w:color w:val="auto"/>
        </w:rPr>
        <w:t xml:space="preserve"> While the FDA has raised concerns regarding our clinical data, we believe the data has the potential to support our NDA for DCCR. If the FDA disagrees with our interpretation of the data, or if we are required to conduct additional studies or clinical trials, our regulatory approval will be significantly delayed. This lengthy approval process, as well as the unpredictability of the results of clinical trials, may result in our failing to obtain regulatory approval to market DCCR, which would significantly harm our business, results of operations and prospects.</w:t>
      </w:r>
    </w:p>
    <w:p>
      <w:pPr>
        <w:spacing w:after="0" w:line="7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In addition, even if we obtain approval of DCCR, regulatory authorities may approve DCCR for fewer or more limited indications than we initially request, or may impose significant limitations in the form of narrow indications, warnings, contraindications, or a risk evaluation and mitigation strategy (REMS). Regulatory authorities may not approve the price we intend to charge for DCCR, may grant approval contingent on the performance of costly post-marketing clinical trials or other post-marketing studies, or may approve DCCR with a label that does not include the labeling claims necessary or desirable for the successful commercialization of DCCR. Any of the foregoing scenarios could seriously harm our business.</w:t>
      </w:r>
    </w:p>
    <w:p>
      <w:pPr>
        <w:spacing w:after="0" w:line="127" w:lineRule="exact"/>
        <w:rPr>
          <w:sz w:val="20"/>
          <w:szCs w:val="20"/>
          <w:color w:val="auto"/>
        </w:rPr>
      </w:pPr>
    </w:p>
    <w:p>
      <w:pPr>
        <w:ind w:right="4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received fast track designation for DCCR for the treatment of PWS, and we may seek fast track designation for other product candidates in the future. Even if received, fast track designation may not actually lead to a faster review process or faster marketing approval.</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257" w:lineRule="auto"/>
        <w:rPr>
          <w:sz w:val="20"/>
          <w:szCs w:val="20"/>
          <w:color w:val="auto"/>
        </w:rPr>
      </w:pPr>
      <w:r>
        <w:rPr>
          <w:rFonts w:ascii="Times New Roman" w:cs="Times New Roman" w:eastAsia="Times New Roman" w:hAnsi="Times New Roman"/>
          <w:sz w:val="18"/>
          <w:szCs w:val="18"/>
          <w:color w:val="auto"/>
        </w:rPr>
        <w:t>We aim to benefit from the FDA’s fast track and priority review processes, and we previously received fast track designation for DCCR for the treatment of PWS and priority review was granted for our NDA for DCCR. Under the fast track program, the FDA may initiate a rolling review of sections of a fast track-designated drug’s NDA before the application is complete, although the FDA’s performance goal for reviewing an application does not begin until the last section of the NDA is submitted. In addition, under the FDA’s policies, a product candidate is eligible for priority review if it provides a significant improvement compared to marketed drugs in the treatment, diagnosis or prevention of a disease.</w:t>
      </w:r>
    </w:p>
    <w:p>
      <w:pPr>
        <w:spacing w:after="0" w:line="18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fast track designation for DCCR, or for other future product candidates that we may develop, may not actually lead to a faster review process. Any delays in the review process or in the approval of DCCR or our future potential products will delay revenue from their potential sales and will have a material adverse impact on our business. Moreover, a fast track designation may be withdrawn by the FDA if the agency believes that the designation is no longer supported by data emerging in the clinical trial process.</w:t>
      </w:r>
    </w:p>
    <w:p>
      <w:pPr>
        <w:spacing w:after="0" w:line="123" w:lineRule="exact"/>
        <w:rPr>
          <w:sz w:val="20"/>
          <w:szCs w:val="20"/>
          <w:color w:val="auto"/>
        </w:rPr>
      </w:pPr>
    </w:p>
    <w:p>
      <w:pPr>
        <w:ind w:right="3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a planned product, we will be subject to ongoing regulatory obligations and continued regulatory review, which may result in significant additional expense and subject us to penalties if we fail to comply with applicable regulatory requirements.</w:t>
      </w:r>
    </w:p>
    <w:p>
      <w:pPr>
        <w:spacing w:after="0" w:line="5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Once marketing approval has been obtained, the approved product and its manufacturer are subject to continual review by the FDA or non-U.S. regulatory authorities. Future approvals may contain requirements for potentially costly post-marketing follow-up studies to monitor the safety and effectiveness of the approved product. In addition, we are subject to extensive and ongoing regulatory requirements by the FDA and other regulatory authorities with regard to the labeling, packaging, adverse event reporting, storage, advertising, promotion and recordkeeping for our products.</w:t>
      </w:r>
    </w:p>
    <w:p>
      <w:pPr>
        <w:spacing w:after="0" w:line="7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addition, we are required to comply with cGMP regulations regarding the manufacture of our drugs, which include requirements related to quality control and quality assurance as well as the corresponding maintenance of records and documentation. Further, regulatory authorities must approve these manufacturing facilities before they can be used to manufacture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w:t>
      </w:r>
    </w:p>
    <w:p>
      <w:pPr>
        <w:spacing w:after="0" w:line="7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 The drug name will also be subject to review and approval by the FDA and other non-U.S. regulatory authorities.</w:t>
      </w:r>
    </w:p>
    <w:p>
      <w:pPr>
        <w:spacing w:after="0" w:line="6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 of production and quality control to maintain cGMP compliance.</w:t>
      </w:r>
    </w:p>
    <w:p>
      <w:pPr>
        <w:spacing w:after="0" w:line="7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73" w:lineRule="exact"/>
        <w:rPr>
          <w:sz w:val="20"/>
          <w:szCs w:val="20"/>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48" w:name="page49"/>
    <w:bookmarkEnd w:id="48"/>
    <w:p>
      <w:pPr>
        <w:spacing w:after="0" w:line="82" w:lineRule="exact"/>
        <w:rPr>
          <w:sz w:val="20"/>
          <w:szCs w:val="20"/>
          <w:color w:val="auto"/>
        </w:rPr>
      </w:pPr>
    </w:p>
    <w:p>
      <w:pPr>
        <w:ind w:left="1020" w:right="700" w:hanging="504"/>
        <w:spacing w:after="0" w:line="28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drug and device products that are placed on the market. While physicians may prescribe drugs and devices for off label uses, manufacturers may only promote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w:t>
      </w:r>
    </w:p>
    <w:p>
      <w:pPr>
        <w:spacing w:after="0" w:line="7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Drugs that treat serious or life-threatening diseases and conditions that are not adequately addressed by existing drugs, and for which the development program is designed to address the unmet medical need, may be designated as fast track and/or breakthrough candidates by the FDA and may be eligible for accelerated and priority review.</w:t>
      </w:r>
    </w:p>
    <w:p>
      <w:pPr>
        <w:spacing w:after="0" w:line="6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Drugs that are developed for rare diseases can be designated as Orphan Drugs. In the U.S., the disease or condition has an incidence of less than 200,000 persons and in the E.U. the prevalence of the condition must be not more than 5 in 10,000 persons. In the U.S., orphan-designated drugs are granted up to 7-year market exclusivity. In the E.U., products granted orphan designation are subject to reduced fees for protocol assistance, marketing authorization applications, inspections before authorization, applications for changes to marketing authorizations, and annual fees, access to the centralized authorization procedure, and 10 years of market exclusivity.</w:t>
      </w:r>
    </w:p>
    <w:p>
      <w:pPr>
        <w:spacing w:after="0" w:line="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Drugs are also subject to extensive regulation outside of the U.S. In the E.U., there is a centralized approval procedure that authorizes marketing of a product in all countries of the E.U. (which includes most major countries in the E.U.). If this centralized approval procedure is not used, approval in one country of the E.U. can be used to obtain approval in another country of the E.U. under one of two simplified application processes: the mutual recognition procedure or the decentralized procedure, both of which rely on the principle of mutual recognition. After receiving regulatory approval through any of the E.U. registration procedures, separate pricing and reimbursement approvals are also required in most countries. The E.U. also has requirements for approval of manufacturing facilities for all products that are approved for sale by the E.U. regulatory authorities.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approvals in foreign jurisdictions will prevent us from marketing our products internationally.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seek distribution and marketing partners for our current products outside the U.S. and may market planned products in international markets.</w:t>
      </w:r>
    </w:p>
    <w:p>
      <w:pPr>
        <w:spacing w:after="0" w:line="11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had limited interactions with foreign regulatory authorities. The approval procedures vary among countries and can involve additional clinical testing, and the time required to obtain approval may differ from that required to obtain FDA approval. Moreover, clinical trials or manufacturing processes conducted in one country may not be accepted by regulatory authorities in other countries. Approval by the FDA does not ensure approval by regulatory authorities in other countries or regions,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our planned products’ commercial success.</w:t>
      </w:r>
    </w:p>
    <w:p>
      <w:pPr>
        <w:spacing w:after="0" w:line="12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the U.S.,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(PPACA), was enacted in 2010. The PPACA contains a number of provisions, including those governing enrollments in federal healthcare programs,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8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reimbursement changes and fraud and abuse measures, all of which will impact existing government healthcare programs and will result in the development of new programs. The PPACA, among other things:</w:t>
      </w:r>
    </w:p>
    <w:p>
      <w:pPr>
        <w:spacing w:after="0" w:line="54" w:lineRule="exact"/>
        <w:rPr>
          <w:sz w:val="20"/>
          <w:szCs w:val="20"/>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result in the imposition of injunctions;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collection of rebates for drugs paid by Medicaid managed care organizations; and</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65"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manufacturers to participate in a coverage gap discount program, under which they must agree to offer 50% point-of-sale discounts off negotiated prices of applicable branded drugs to eligible beneficiaries during their coverage gap period, as a condition for the manufacturer’s outpatient drugs to be covered under Medicare Part D.</w:t>
      </w:r>
    </w:p>
    <w:p>
      <w:pPr>
        <w:spacing w:after="0" w:line="6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PPACA. In June 2021, the U.S. Supreme Court dismissed the most recent judicial challenge to the PPACA without specifically ruling on the constitutionality of the ACA. Thus, the ACA remains in force in its current form. Any changes to the PPACA are likely to have an impact on our results of operations and may have a material adverse effect on our results of operations. We cannot predict what other health care programs and regulations will ultimately be implemented at the federal or state level or the effect of any future legislation or regulation in the U.S. may have on our business.</w:t>
      </w:r>
    </w:p>
    <w:p>
      <w:pPr>
        <w:spacing w:after="0" w:line="7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since the PPACA was enacted. For example, the Budget Control Act of 2011, among other things, created the Joint Select Committee on Deficit Reduction to recommend proposals for spending reductions to Congress. The Joint Select Committee did not achieve a targeted deficit reduction of at least $1.2 trillion for the years 2013 through 2021, which triggered the legislation’s automatic reduction to several government programs, including aggregate reductions to Medicare payments to providers of up to 2% per fiscal year, starting in 2013. In January 2013, former President Obama signed into law the American Taxpayer Relief Act of 2012 (ATRA), which delayed for another two months the budget cuts mandated by the sequestration provisions of the Budget Control Act of 2011. The ATRA, among other things, also reduced Medicare payments to several providers, including hospitals, and increased the statute of limitations period for the government to recover overpayments to providers from three to five years. In March 2013, the President signed an executive order implementing sequestration, and in April 2013, the 2% Medicare reductions went into effect. We cannot predict how any additional legislative changes or changes in presidential administrations will affect our business.</w:t>
      </w:r>
    </w:p>
    <w:p>
      <w:pPr>
        <w:spacing w:after="0" w:line="68"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payers of healthcare services to contain or reduce costs of health care may adversely affect:</w:t>
      </w:r>
    </w:p>
    <w:p>
      <w:pPr>
        <w:spacing w:after="0" w:line="69" w:lineRule="exact"/>
        <w:rPr>
          <w:sz w:val="20"/>
          <w:szCs w:val="20"/>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in August 2022, Congress passed the Inflation Reduction Act of 2022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certain pharmaceutical companies and the Pharmaceutical Research and Manufacturers of America, have initiated lawsuits against the federal government asserting that the price negotiation provisions of the IRA are unconstitutional. The impact of these judicial challenges, legislative, executive, and administrative actions and any future healthcare measures and agency rules implemented by the government on us and the pharmaceutical industry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82"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as a whole is unclear. The implementation of cost containment measures or other healthcare reforms may prevent us from being able to generate revenue, attain profitability, or commercialize our product candidates if approved.</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individual states in the U.S.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Further, the FDA recently authorized the State of Florida to import certain prescription drugs from Canada for a period of two years to help reduce drug costs, provided that Florida’s Agency for Health Care Administration meets the requirements set forth by the FDA. Other states may follow Florida. The implementation of cost containment measures or other healthcare reforms may prevent us from being able to generate revenue, attain profitability or commercialize our product candidates.</w:t>
      </w:r>
    </w:p>
    <w:p>
      <w:pPr>
        <w:spacing w:after="0" w:line="8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Further, changes in regulatory requirements and guidance may occur and we may need to amend clinical trial protocols to reflect these changes. Amendments may require us to resubmit our clinical trial protocols IRBs for reexamination, which may impact the costs, timing or successful completion of a clinical trial.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trials and the drug approval process. Data from clinical trials may receive greater scrutiny with respect to safety, which may make the FDA or other regulatory authorities more likely to terminate or suspend clinical trials before completion or require longer or additional clinical trials that may result in substantial additional expense and a delay or failure in obtaining approval or approval for a more limited indication than originally sought.</w:t>
      </w:r>
    </w:p>
    <w:p>
      <w:pPr>
        <w:spacing w:after="0" w:line="8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Given the serious public health risks of high-profile adverse safety events with certain drug products, the FDA may require, as a condition of approval, costly risk evaluation and mitigation strategies,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In addition, in June 2024, the U.S. Supreme Court in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xml:space="preserve"> reversed its longstanding approach under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which gave deference to regulatory agencies in litigation against the FDA and other agencies. As a result, more companies may bring lawsuits against the FDA to challenge longstanding decisions and policies of the FDA, which could undermine the FDA’s authority, lead to uncertainties in the industry, and disrupt the FDA’s normal operations, which could delay the FDA’s review of our marketing applications.</w:t>
      </w:r>
    </w:p>
    <w:p>
      <w:pPr>
        <w:spacing w:after="0" w:line="121" w:lineRule="exact"/>
        <w:rPr>
          <w:sz w:val="20"/>
          <w:szCs w:val="20"/>
          <w:color w:val="auto"/>
        </w:rPr>
      </w:pPr>
    </w:p>
    <w:p>
      <w:pPr>
        <w:ind w:right="4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5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Even though we do not and will not control referrals of healthcare services or bill directly to Medicare, Medicaid or other third-party payers,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regulations that may affect our ability to operate include, without limitation:</w:t>
      </w:r>
    </w:p>
    <w:p>
      <w:pPr>
        <w:spacing w:after="0" w:line="73" w:lineRule="exact"/>
        <w:rPr>
          <w:sz w:val="20"/>
          <w:szCs w:val="20"/>
          <w:color w:val="auto"/>
        </w:rPr>
      </w:pPr>
    </w:p>
    <w:p>
      <w:pPr>
        <w:ind w:left="1020" w:right="40" w:hanging="504"/>
        <w:spacing w:after="0" w:line="260"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program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82" w:lineRule="exact"/>
        <w:rPr>
          <w:sz w:val="20"/>
          <w:szCs w:val="20"/>
          <w:color w:val="auto"/>
        </w:rPr>
      </w:pPr>
    </w:p>
    <w:p>
      <w:pPr>
        <w:ind w:left="1020" w:right="240" w:hanging="504"/>
        <w:spacing w:after="0" w:line="28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indirectly, to induce either the referral of an individual, for an item or service or the purchasing or ordering of a good or service, for which payment may be made under federal healthcare programs, such as the Medicare and Medicaid programs;</w:t>
      </w:r>
    </w:p>
    <w:p>
      <w:pPr>
        <w:spacing w:after="0" w:line="54"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like us which provide coding and billing advice to customers;</w:t>
      </w:r>
    </w:p>
    <w:p>
      <w:pPr>
        <w:spacing w:after="0" w:line="68" w:lineRule="exact"/>
        <w:rPr>
          <w:rFonts w:ascii="Times New Roman" w:cs="Times New Roman" w:eastAsia="Times New Roman" w:hAnsi="Times New Roman"/>
          <w:sz w:val="18"/>
          <w:szCs w:val="18"/>
          <w:color w:val="auto"/>
        </w:rPr>
      </w:pPr>
    </w:p>
    <w:p>
      <w:pPr>
        <w:ind w:left="1020" w:right="480" w:hanging="504"/>
        <w:spacing w:after="0" w:line="28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laws that prohibit executing a scheme to defraud any healthcare benefit program or making false statements relating to healthcare matters;</w:t>
      </w:r>
    </w:p>
    <w:p>
      <w:pPr>
        <w:spacing w:after="0" w:line="54"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Health Care Reform Law requires manufacturers of drugs, devices, biologics and medical supplies to report to the HHS information related to physician payments and other transfers of value and physician ownership and investment interests;</w:t>
      </w:r>
    </w:p>
    <w:p>
      <w:pPr>
        <w:spacing w:after="0" w:line="68"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Portability and Accountability Act (HIPAA), as amended by the Health Information Technology for Economic and Clinical Health Act of 2009 (HITECH Act), which governs the conduct of certain electronic healthcare transactions and protects the security and privacy of protected health information; and</w:t>
      </w:r>
    </w:p>
    <w:p>
      <w:pPr>
        <w:spacing w:after="0" w:line="68" w:lineRule="exact"/>
        <w:rPr>
          <w:rFonts w:ascii="Times New Roman" w:cs="Times New Roman" w:eastAsia="Times New Roman" w:hAnsi="Times New Roman"/>
          <w:sz w:val="18"/>
          <w:szCs w:val="18"/>
          <w:color w:val="auto"/>
        </w:rPr>
      </w:pPr>
    </w:p>
    <w:p>
      <w:pPr>
        <w:ind w:left="1020" w:right="340" w:hanging="504"/>
        <w:spacing w:after="0" w:line="28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payer, including commercial insurers.</w:t>
      </w:r>
    </w:p>
    <w:p>
      <w:pPr>
        <w:spacing w:after="0" w:line="5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PPACA, among other things, amends the intent requirement of the Federal Anti-Kickback Statute and criminal healthcare fraud statutes. A person or entity no longer needs to have actual knowledge of this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Act.</w:t>
      </w:r>
    </w:p>
    <w:p>
      <w:pPr>
        <w:spacing w:after="0" w:line="7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26"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other customers, and third-party payers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drug products on the market, once we begin commercializing DCCR following potential approval, we will be subject to additional healthcare statutory and regulatory requirements and enforcement by the federal government and the states and foreign governments in which we conduct our business. Healthcare providers, physicians, and third-party payers will play a primary role in the recommendation and prescription of DCCR. Our future arrangements with third-party payors and customers may expose us to broadly applicable fraud and abuse and other healthcare laws and regulations that may constrain the business or financial arrangements and relationships through which we market, sell, and distribute DCCR. Restrictions under applicable federal and state healthcare laws and regulations include, but are not limited to, the Anti-Kickback Statute, the False Claims Act, HIPAA and the HITECH Act.</w:t>
      </w:r>
    </w:p>
    <w:p>
      <w:pPr>
        <w:spacing w:after="0" w:line="7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Efforts to ensure that our future business arrangements with third parties comply with applicable healthcare laws and regulations could involve substantial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statutes, regulations or case law involving applicable fraud and abuse, privacy or data protection, or other healthcare laws and regulations, and it is possible that courts or governmental authorities may conclude that we have not complied with</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2" w:name="page53"/>
    <w:bookmarkEnd w:id="52"/>
    <w:p>
      <w:pPr>
        <w:spacing w:after="0" w:line="8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them, or that we may find it necessary or appropriate to settle any such claims or other proceedings. In connection with any such claims, proceedings, or settlements, we may be subject to significant civil, criminal, and administrative penalties, damages, fines, other damages,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27" w:lineRule="exact"/>
        <w:rPr>
          <w:sz w:val="20"/>
          <w:szCs w:val="20"/>
          <w:color w:val="auto"/>
        </w:rPr>
      </w:pPr>
    </w:p>
    <w:p>
      <w:pPr>
        <w:ind w:right="2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laws regarding privacy, data protection, and data security that could entail substantial compliance costs, while the failure to comply could subject us to significant liability.</w:t>
      </w:r>
    </w:p>
    <w:p>
      <w:pPr>
        <w:spacing w:after="0" w:line="5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Privacy, data protection, and data security have become significant issues in the U.S., Europe, and other jurisdictions where we conduct or may in the future conduct our operations. The regulatory framework for the collection, use, safeguarding, sharing, and transfer of health and other personal information is rapidly evolving worldwide and is likely to remain in flux for the foreseeable future. The scope and interpretation of the laws that are or may be applicable to us are often uncertain, subject to differing interpretations, and may be inconsistent among different jurisdictions.</w:t>
      </w:r>
    </w:p>
    <w:p>
      <w:pPr>
        <w:spacing w:after="0" w:line="7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the U.S., HIPAA, as amended by the HITECH Act, imposes on covered entities certain requirements relating to the privacy, security, and transmission of individually identifiable health information. The legislation also increased the civil and criminal penalties that may be assessed for violations and gave state attorneys general the authority to file civil actions in federal courts to enforce the HIPAA rules. In addition, for clinical trials conducted in the U.S., any personal information that is collected is further regulated by the Federal Policy for the Protection of Human Subjects. Privacy laws are also being enacted or considered at the state level, including significant new legislation in California, the California Consumer Privacy Act, as amended by the California Privacy Rights Act. While there is currently an exception for protected health information subject to HIPAA and clinical trial regulations, these and other state privacy laws may impact our business activities, and there continues to be uncertainty about how these laws will be interpreted and enforced. Other states have passed privacy legislation, including general privacy legislation similar to the CCPA, and legislation such as Washington’s My Health, My Data Act, that also may impact our business activities, in the future and additional states are evaluating similar legislation. In the event we enroll subjects in clinical trials in the E.U. or other jurisdictions, or otherwise acquire or process personal data of individuals in those jurisdictions, we may be subject to additional restrictions and obligations relating to the collection, use, storage, transfer, and other processing of this data. Clinical trial activities in the European Economic Area (EEA), for example, are governed by the E.U. General Data Protection Regulation (GDPR).</w:t>
      </w:r>
    </w:p>
    <w:p>
      <w:pPr>
        <w:spacing w:after="0" w:line="8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We may need to take additional steps, such as new contractual negotiations or modifications to our policies or practices relating to cross-border transfers of personal data, to comply with these restrictions and obligations. More generally, laws and regulations governing privacy and data protection exist in many other countries around the world, and these laws (which are evolving and expanding) create complicated and potentially inconsistent obligations that may impact our business.</w:t>
      </w:r>
    </w:p>
    <w:p>
      <w:pPr>
        <w:spacing w:after="0" w:line="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increasing number, complexity, and potential inconsistency of current and future laws and regulations relating to privacy, data protection, and data security in the U.S. and other countries make our compliance obligations more difficult and costly. If we fail to comply with applicable laws and regulations or experience a breach of security that results in unauthorized disclosure of personal information - or if a third party with whom we share personal information or who processes such information for us fails to comply with applicable requirements or experiences a security breach or incident- or if any of these is reported or perceived to have occurred, it could lead to government investigations, enforcement actions, and other proceedings, as well as civil claims and litigation against us. We could incur substantial costs to defend against any such claims or proceedings and may also be held liable for significant fines, penalties, and monetary judgments. Any of the foregoing could have a material adverse effect on our business, results of operations, reputation,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purchasers of our securities could incur substantial losses.</w:t>
      </w:r>
    </w:p>
    <w:p>
      <w:pPr>
        <w:spacing w:after="0" w:line="120"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color w:val="auto"/>
        </w:rPr>
        <w:t>Our stock price has been and is likely to continue to be volatile. The stock market in general, and the market for biotechnology companies in particular, have experienced extreme volatility that has often been unrelated to the operating performance of particular companies. As a result of this volatility, investors may not be able to sell their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at or above the purchase price. The market price for our common stock may be influenced by many factors, including the following:</w:t>
      </w:r>
    </w:p>
    <w:p>
      <w:pPr>
        <w:spacing w:after="0" w:line="116" w:lineRule="exact"/>
        <w:rPr>
          <w:sz w:val="20"/>
          <w:szCs w:val="20"/>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and our ability to obtain regulatory approval of DCCR in Prader Willi syndrome;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and realize significant revenues from sales of our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other clinical trials of our products or those of our competitors;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 especially changes in laws or regulations applicable to our products;</w:t>
      </w:r>
    </w:p>
    <w:p>
      <w:pPr>
        <w:spacing w:after="0" w:line="116" w:lineRule="exact"/>
        <w:rPr>
          <w:rFonts w:ascii="Times New Roman" w:cs="Times New Roman" w:eastAsia="Times New Roman" w:hAnsi="Times New Roman"/>
          <w:sz w:val="18"/>
          <w:szCs w:val="18"/>
          <w:color w:val="auto"/>
        </w:rPr>
      </w:pPr>
    </w:p>
    <w:p>
      <w:pPr>
        <w:ind w:left="1020" w:right="500" w:hanging="504"/>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commercialization partners, or our competitors, and the timing of these introductions or announcements;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products, clinical trials, manufacturing process or sales and marketing terms;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products or planned products;</w:t>
      </w:r>
    </w:p>
    <w:p>
      <w:pPr>
        <w:spacing w:after="0" w:line="116"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collaborations, including but not limited to those with our sources of manufacturing supply and our commercialization partners;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ability to bring our manufacturing processes to scale in a cost-effective manner;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 commitments;</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those due to inflation;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described in this “Risk Factors” section.</w:t>
      </w:r>
    </w:p>
    <w:p>
      <w:pPr>
        <w:spacing w:after="0" w:line="11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3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54" w:name="page55"/>
    <w:bookmarkEnd w:id="54"/>
    <w:p>
      <w:pPr>
        <w:spacing w:after="0" w:line="132" w:lineRule="exact"/>
        <w:rPr>
          <w:sz w:val="20"/>
          <w:szCs w:val="20"/>
          <w:color w:val="auto"/>
        </w:rPr>
      </w:pPr>
    </w:p>
    <w:p>
      <w:pPr>
        <w:ind w:right="2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the perception that future sales may occur, may cause the market price of our common stock to decline, even if our business is doing well.</w:t>
      </w:r>
    </w:p>
    <w:p>
      <w:pPr>
        <w:spacing w:after="0" w:line="5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or the perception that these sales may occur, could materially and adversely affect the price of our common stock and could impair our ability to raise capital through the sale of additional equity securities. All of our shares of common stock are freely tradable, without restriction, in the public market, except for any shares held by our affiliates.</w:t>
      </w:r>
    </w:p>
    <w:p>
      <w:pPr>
        <w:spacing w:after="0" w:line="69"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18"/>
          <w:szCs w:val="18"/>
          <w:color w:val="auto"/>
        </w:rPr>
        <w:t>In the future, we may issue additional shares of common stock or other equity or debt securities convertible into common stock in connection with a financing, acquisition, litigation settlement, employee arrangement or otherwise. Any such issuance could result in substantial dilution to our existing stockholders and could cause our stock price to decline.</w:t>
      </w:r>
    </w:p>
    <w:p>
      <w:pPr>
        <w:spacing w:after="0" w:line="118" w:lineRule="exact"/>
        <w:rPr>
          <w:sz w:val="20"/>
          <w:szCs w:val="20"/>
          <w:color w:val="auto"/>
        </w:rPr>
      </w:pPr>
    </w:p>
    <w:p>
      <w:pPr>
        <w:ind w:right="6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may continue to maintain the ability to control or significantly influence all matters submitted to stockholders for approval and under certain circumstances may have control over key decision making.</w:t>
      </w:r>
    </w:p>
    <w:p>
      <w:pPr>
        <w:spacing w:after="0" w:line="51"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Our executive officers, directors and principal stockholders own a majority of our outstanding common stock. As a result, the foregoing group of stockholders are able to control all matters submitted to our stockholders for approval, as well as our management and affairs. For example, these stockholders will control the election of directors and the approval of any merger, consolidation or sale of all or substantially all of our assets. This concentration of voting power could delay or prevent an acquisition of our company on terms that other stockholders may desire.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 forwards and certain other tax attributes will be limited.</w:t>
      </w:r>
    </w:p>
    <w:p>
      <w:pPr>
        <w:spacing w:after="0" w:line="1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ability to utilize our federal net operating loss, carryforwards and federal tax credit will be limited under Sections 382 and 383 of the Internal Revenue Code of 1986, as amended (the Code). The limitations apply if an “ownership change,” as defined by Section 382, occurs. Generally, an ownership change occurs if the percentage of the value of the stock that is owned by one or more direct or indirect “five percent shareholders” increases by more than 50% over their lowest ownership percentage at any time during the applicable testing period (typically three years). The Company has completed a Section 382 analysis from January 1, 2017 through December 31, 2023 and determined that a change in ownership has occurred on March 7, 2017, December 21, 2018, June 30, 2020 and September 26, 2023. As a result, the net operating loss carryforwards and tax credit carryforwards maybe subject to annual limitations before being applied to reduce future income tax liabilities. For years ended after December 31, 2024, the utilization of net operating losses and tax credit carryforwards are subject to further limitation in the event an additional ownership change were to occur for tax purposes. In addition, we also raised capital in May 2024 that may further limit our ability to utilize our net operating losses and other tax attributes to offset taxable income. As a result, if we earn net taxable income, our ability to use our pre-change net operating loss carryforwards and other tax attributes to offset U.S. federal taxable income will be subject to limitations, which could potentially result in increased future tax liability to us.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our warrant holders exercise their warrants into shares of our common stock, our stockholders will be diluted.</w:t>
      </w:r>
    </w:p>
    <w:p>
      <w:pPr>
        <w:spacing w:after="0" w:line="120"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The exercise of some or all of our warrants will result in the issuance of common stock that dilute the ownership interests of existing stockholders. Any sales of the common stock issuable upon exercise of our warrants could adversely affect prevailing market prices of our common stock.</w:t>
      </w:r>
    </w:p>
    <w:p>
      <w:pPr>
        <w:spacing w:after="0" w:line="10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If holders of our warrants elect to exercise their warrants and sell material amounts of our common stock in the market, such sales could cause the price of our common stock to decline, and the potential for such downward pressure on the price of our common stock may encourage short selling of our common stock by holders of our warrants or other parties.</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there is significant downward pressure on the price of our common stock, it may encourage holders of our warrants, or other parties, to sell shares by means of short sales or otherwise. Short sales involve the sale, usually with a future delivery date, of common stock the seller does not own. Covered short sales are sales made in an amount not greater than the number of shares subject to the short seller’s right to acquire common stock, such as upon exercise of warrants. A holder of warrants may close out any covered short position by exercising all, or a portion, of its warrants, or by purchasing shares in the open market. In determining the source of shares to close out the covered short position, a holder of warrants will likely consider, among other things, the price of common stock available for purchase in the open market as compared to the exercise price of the warrants. The existence of a</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8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significant number of short sales generally causes the price of common stock to decline, in part because it indicates that a number of market participants are taking a position that will be profitable only if the price of the common stock declines.</w:t>
      </w:r>
    </w:p>
    <w:p>
      <w:pPr>
        <w:spacing w:after="0" w:line="104"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inaccurate or unfavorable research, about our business, our stock price and trading volume could decline.</w:t>
      </w:r>
    </w:p>
    <w:p>
      <w:pPr>
        <w:spacing w:after="0" w:line="5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trading market for our common stock will continue to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127" w:lineRule="exact"/>
        <w:rPr>
          <w:sz w:val="20"/>
          <w:szCs w:val="20"/>
          <w:color w:val="auto"/>
        </w:rPr>
      </w:pPr>
    </w:p>
    <w:p>
      <w:pPr>
        <w:ind w:right="3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Because our Board is responsible for appointing the members of our management team, these provisions could in turn affect any attempt by our stockholders to replace current members of our management team. Among others, these provisions include the following:</w:t>
      </w:r>
    </w:p>
    <w:p>
      <w:pPr>
        <w:spacing w:after="0" w:line="77" w:lineRule="exact"/>
        <w:rPr>
          <w:sz w:val="20"/>
          <w:szCs w:val="20"/>
          <w:color w:val="auto"/>
        </w:rPr>
      </w:pPr>
    </w:p>
    <w:p>
      <w:pPr>
        <w:ind w:left="1020" w:right="120" w:hanging="504"/>
        <w:spacing w:after="0" w:line="28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is divided into three classes with staggered three-year terms which may delay or prevent a change of our management or a change in control;</w:t>
      </w:r>
    </w:p>
    <w:p>
      <w:pPr>
        <w:spacing w:after="0" w:line="54" w:lineRule="exact"/>
        <w:rPr>
          <w:rFonts w:ascii="Times New Roman" w:cs="Times New Roman" w:eastAsia="Times New Roman" w:hAnsi="Times New Roman"/>
          <w:sz w:val="18"/>
          <w:szCs w:val="18"/>
          <w:color w:val="auto"/>
        </w:rPr>
      </w:pPr>
    </w:p>
    <w:p>
      <w:pPr>
        <w:ind w:left="1020" w:right="400" w:hanging="504"/>
        <w:spacing w:after="0" w:line="28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has the right to elect directors to fill a vacancy created by the expansion of our Board or the resignation, death or removal of a director, which will prevent stockholders from being able to fill vacancies on our Board;</w:t>
      </w:r>
    </w:p>
    <w:p>
      <w:pPr>
        <w:spacing w:after="0" w:line="54" w:lineRule="exact"/>
        <w:rPr>
          <w:rFonts w:ascii="Times New Roman" w:cs="Times New Roman" w:eastAsia="Times New Roman" w:hAnsi="Times New Roman"/>
          <w:sz w:val="18"/>
          <w:szCs w:val="18"/>
          <w:color w:val="auto"/>
        </w:rPr>
      </w:pPr>
    </w:p>
    <w:p>
      <w:pPr>
        <w:ind w:left="1020" w:right="140" w:hanging="504"/>
        <w:spacing w:after="0" w:line="265"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not able to act by written consent or call special stockholders’ meetings; as a result, a holder, or holders, controlling a majority of our capital stock cannot take certain actions other than at annual stockholders’ meetings or special stockholders’ meetings called by our Board, the chairman of our board, the chief executive officer or the president;</w:t>
      </w:r>
    </w:p>
    <w:p>
      <w:pPr>
        <w:spacing w:after="0" w:line="68" w:lineRule="exact"/>
        <w:rPr>
          <w:rFonts w:ascii="Times New Roman" w:cs="Times New Roman" w:eastAsia="Times New Roman" w:hAnsi="Times New Roman"/>
          <w:sz w:val="18"/>
          <w:szCs w:val="18"/>
          <w:color w:val="auto"/>
        </w:rPr>
      </w:pPr>
    </w:p>
    <w:p>
      <w:pPr>
        <w:ind w:left="1020" w:right="300" w:hanging="504"/>
        <w:spacing w:after="0" w:line="28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prohibits cumulative voting in the election of directors, which limits the ability of minority stockholders to elect director candidates;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of our certificate of incorporation and bylaws require the approval of 66 2/3% of our outstanding voting securities;</w:t>
      </w:r>
    </w:p>
    <w:p>
      <w:pPr>
        <w:spacing w:after="0" w:line="116"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required to provide advance notice and additional disclosures in order to nominate individuals for election to our Board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68"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are able to issue, without stockholder approval, shares of undesignated preferred stock, which makes it possible for our Board to issue preferred stock with voting or other rights or preferences that could impede the success of any attempt to acquire us.</w:t>
      </w:r>
    </w:p>
    <w:p>
      <w:pPr>
        <w:spacing w:after="0" w:line="5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32" w:lineRule="exact"/>
        <w:rPr>
          <w:sz w:val="20"/>
          <w:szCs w:val="20"/>
          <w:color w:val="auto"/>
        </w:rPr>
      </w:pPr>
    </w:p>
    <w:p>
      <w:pPr>
        <w:ind w:right="6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employment agreements with our executive officers may require us to pay severance benefits to any of those persons who are terminated in connection with a change in control of us, which could harm our financial condition or results.</w:t>
      </w:r>
    </w:p>
    <w:p>
      <w:pPr>
        <w:spacing w:after="0" w:line="5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Certain of our executive officers are parties to employment agreements that contain change in control and severance provisions providing for aggregate cash payments for severance and other benefits and acceleration of equity vesting in the event of a termination of employment in connection with a change in control of us. The accelerated vesting of options could result in dilution to our existing stockholders and harm the market price of our common stock. The payment of these severance benefits could harm our financial condition and results. In addition, these potential severance payments may discourage or prevent third parties from seeking a business combination with us.</w:t>
      </w:r>
    </w:p>
    <w:p>
      <w:pPr>
        <w:spacing w:after="0" w:line="127"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do not expect to pay dividends in the future, and, as a result, any return on investment may be limited to the value of our stock.</w:t>
      </w:r>
    </w:p>
    <w:p>
      <w:pPr>
        <w:spacing w:after="0" w:line="51"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8"/>
          <w:szCs w:val="18"/>
          <w:color w:val="auto"/>
        </w:rPr>
        <w:t>We have never paid dividends and do not anticipate paying dividends in the foreseeable future. The payment of dividends will depend on our earnings, capital requirements, financial condition, prospects and other factors our Board may deem relevant. If we do not pay dividends, our stock may be less valuable because a return on your investment will only occur if our stock price appreciates and you sell our common stock thereafter.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70" w:lineRule="exact"/>
        <w:rPr>
          <w:sz w:val="20"/>
          <w:szCs w:val="20"/>
          <w:color w:val="auto"/>
        </w:rPr>
      </w:pPr>
    </w:p>
    <w:p>
      <w:pPr>
        <w:ind w:right="3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may fail or experience security breaches and incidents that could adversely impact our business and operations and subject us to liability.</w:t>
      </w:r>
    </w:p>
    <w:p>
      <w:pPr>
        <w:spacing w:after="0" w:line="51" w:lineRule="exact"/>
        <w:rPr>
          <w:sz w:val="20"/>
          <w:szCs w:val="20"/>
          <w:color w:val="auto"/>
        </w:rPr>
      </w:pPr>
    </w:p>
    <w:p>
      <w:pPr>
        <w:jc w:val="both"/>
        <w:ind w:right="380"/>
        <w:spacing w:after="0" w:line="260" w:lineRule="auto"/>
        <w:rPr>
          <w:sz w:val="20"/>
          <w:szCs w:val="20"/>
          <w:color w:val="auto"/>
        </w:rPr>
      </w:pPr>
      <w:r>
        <w:rPr>
          <w:rFonts w:ascii="Times New Roman" w:cs="Times New Roman" w:eastAsia="Times New Roman" w:hAnsi="Times New Roman"/>
          <w:sz w:val="18"/>
          <w:szCs w:val="18"/>
          <w:color w:val="auto"/>
        </w:rPr>
        <w:t>We have experienced significant growth in the complexity of our data and the software tools that we rely upon. We rely significantly upon information technology systems and infrastructure owned and maintained by us or by third party providers to generate, collect, store, and transmit confidential and proprietary information and data (including but not limited to intellectual property, proprietary business information, and personal information) and to operate our business.</w:t>
      </w:r>
    </w:p>
    <w:p>
      <w:pPr>
        <w:spacing w:after="0" w:line="7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We expect to continue to incur significant costs related to technical and procedural controls to reduce the risks to our information technology systems. Despite these measures, our information technology and other internal infrastructure systems face the risk of failures, interruptions, security breaches and incidents, or other harm from various causes or sources, and third parties with whom we share confidential or proprietary information face similar risks and may experience similar events that materially impact us.</w:t>
      </w:r>
    </w:p>
    <w:p>
      <w:pPr>
        <w:spacing w:after="0" w:line="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techniques used by cyber criminals change frequently, may not be recognized until launched, and can originate from a wide variety of sources, including outside groups and individuals with a range of motives (including industrial espionage) and expertise, such as organized crime affiliates, terrorist organizations, or hostile foreign governments or agencies. The costs to us to investigate and mitigate actual and suspected cybersecurity breaches and incidents could be significant. We may not be able to anticipate all types of security threats and implement preventive measures effective against all such threats. In addition, an increased amount of work is occurring remotely, including through the use of mobile devices. This could increase our cybersecurity risk, create data accessibility concerns, and make us more susceptible to communication disruptions.</w:t>
      </w:r>
    </w:p>
    <w:p>
      <w:pPr>
        <w:spacing w:after="0" w:line="7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If we do not accurately predict and identify our information technology systems requirements and failures and timely enhance our information technology systems, or if our remediation efforts are not successful, it could result in a material disruption of our business operations, including the loss or unauthorized disclosure of our trade secrets, individuals’ personal information, or other proprietary or sensitive data.</w:t>
      </w:r>
    </w:p>
    <w:p>
      <w:pPr>
        <w:spacing w:after="0" w:line="6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Moreover, any security breach or other event that leads to loss of, unauthorized access to, disclosure of, or other processing of personal information could harm our reputation, compel us to comply with federal and/or state notification laws and foreign law equivalents, subject us to mandatory corrective action, and otherwise subject us to liability under laws and regulations that protect the privacy and security of personal information. For more information see “Risk Factors- We are subject to U.S. and foreign laws regarding privacy, data protection, and data security that could entail substantial compliance costs, while the failure to comply could subject us to significant liability”.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32" w:lineRule="exact"/>
        <w:rPr>
          <w:sz w:val="20"/>
          <w:szCs w:val="20"/>
          <w:color w:val="auto"/>
        </w:rPr>
      </w:pPr>
    </w:p>
    <w:p>
      <w:pPr>
        <w:ind w:right="4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Unfavorable U.S. or global economic conditions as a result of international conflict, or otherwise, could adversely affect our ability to raise capital and our business, results of operations and financial condition.</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While the potential economic impact brought by the hostilities in the Ukraine and the Middle East are difficult to assess or predict, these conditions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products and services our ability to raise additional capital when needed on favorable terms, if at all. A weak or declining economy could strain our customers’ budgets or cause delays in their payments to us. Additionally, inflation and surging oil and gas prices could increase our costs of production.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 insured limits.</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Our cash is held in accounts at U.S. banking institutions that we believe are of high quality. Cash held in non-interest-bearing and interest-bearing operating accounts may exceed the Federal Deposit Insurance Corporation (FDIC) insurance limits. If such banking institutions were to fail, we could lose all or a portion of those amounts held in excess of such insurance limitations. Any material loss that we may experience in the future could have an adverse effect on our ability to pay our operational expenses or make other payments and may require us to move our accounts to other banks, which could cause a temporary delay in making payments to our vendors and employees and cause other operational inconveniences.</w:t>
      </w:r>
    </w:p>
    <w:p>
      <w:pPr>
        <w:spacing w:after="0" w:line="127" w:lineRule="exact"/>
        <w:rPr>
          <w:sz w:val="20"/>
          <w:szCs w:val="20"/>
          <w:color w:val="auto"/>
        </w:rPr>
      </w:pPr>
    </w:p>
    <w:p>
      <w:pPr>
        <w:ind w:right="6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(ESG) matters are subject to increasing scrutiny and evolving expectations from customers, regulators, investors and other stakeholders and may expose us to reputational, cost and other risks.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Companies across all industries are subject to increasing scrutiny and evolving expectations regarding ESG matters. In particular, customers, regulators, investors and other stakeholders are increasingly focusing on environmental issues, including climate change, energy use, industrial waste, and other sustainability concerns. Failure to implement sufficient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spacing w:after="0" w:line="127" w:lineRule="exact"/>
        <w:rPr>
          <w:sz w:val="20"/>
          <w:szCs w:val="20"/>
          <w:color w:val="auto"/>
        </w:rPr>
      </w:pPr>
    </w:p>
    <w:p>
      <w:pPr>
        <w:ind w:right="10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our facilities or our third-party manufacturers’ facilities become unavailable or inoperable, our research and development program and commercialization plan could be adversely impacted and manufacturing of our products could be interrupted.</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Redwood City, California, facilities house our corporate, research and development and quality assurance teams. Our drug product is manufactured and packaged at various locations in the United States. Our facilities in Redwood City and those of our third-party manufacturers are vulnerable to natural disasters, public health crises,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The inability to manufacture our drug product, combined with our limited inventory of drug product, may result in the loss of future customers or harm our reputation, and we may be unable to re-establish relationships with those customers in the future. If our or our third-party manufacturer’s capabilities are impaired, we may not be able to manufacture and ship our products in a timely manner, which would adversely impact our business.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jc w:val="right"/>
        <w:ind w:right="2619"/>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483235</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619"/>
          </w:cols>
          <w:pgMar w:left="840" w:top="1410" w:right="144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board of directors is responsible for overseeing our risk management program and cybersecurity is a critical element of this program. Management is responsible for the day-to-day administration of our risk management program and our cybersecurity policies, processes, and practices. Our cybersecurity policies, standards, processes, and practices are based on recognized frameworks established by the Center for Internet Security (CIS) and other applicable industry standards and are integrated into our overall risk management system and processes. We have not identified any risks from known cybersecurity threats, including as a result of any prior cybersecurity incidents, that have materially affected or are reasonably likely to materially affect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See “Risk Factors - Our information technology systems may fail or experience security breaches and incidents that could adversely impact our business and operations and subject us to liability.”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Cybersecurity Risk Management and Strategy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management strategy focuses on several areas:</w:t>
      </w:r>
    </w:p>
    <w:p>
      <w:pPr>
        <w:spacing w:after="0" w:line="116" w:lineRule="exact"/>
        <w:rPr>
          <w:sz w:val="20"/>
          <w:szCs w:val="20"/>
          <w:color w:val="auto"/>
        </w:rPr>
      </w:pPr>
    </w:p>
    <w:p>
      <w:pPr>
        <w:ind w:left="1020" w:right="420" w:hanging="504"/>
        <w:spacing w:after="0" w:line="260"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Reporting: We have implemented a cross-functional approach to assessing, identifying and managing material cybersecurity threats and incidents. Our program includes controls and procedures to identify, classify and escalate certain cybersecurity incidents to provide management visibility and obtain direction from management as to the public disclosure and reporting of material incidents in a timely manner.</w:t>
      </w:r>
    </w:p>
    <w:p>
      <w:pPr>
        <w:spacing w:after="0" w:line="72" w:lineRule="exact"/>
        <w:rPr>
          <w:rFonts w:ascii="Times New Roman" w:cs="Times New Roman" w:eastAsia="Times New Roman" w:hAnsi="Times New Roman"/>
          <w:sz w:val="18"/>
          <w:szCs w:val="18"/>
          <w:color w:val="auto"/>
        </w:rPr>
      </w:pPr>
    </w:p>
    <w:p>
      <w:pPr>
        <w:ind w:left="1020" w:right="260" w:hanging="504"/>
        <w:spacing w:after="0" w:line="265"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Safeguards: We implement technical safeguards that are designed to protect our information systems from cybersecurity threats, including firewalls, intrusion prevention and detection systems, anti-malware functionality, and access controls, which are evaluated and improved through cybersecurity threat intelligence, as well as outside audits and certifications.</w:t>
      </w:r>
    </w:p>
    <w:p>
      <w:pPr>
        <w:spacing w:after="0" w:line="68"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Response and Recovery Planning: We are establishing incident response, business continuity, and disaster recovery plans designed to address our response to a cybersecurity incident.</w:t>
      </w:r>
    </w:p>
    <w:p>
      <w:pPr>
        <w:spacing w:after="0" w:line="54" w:lineRule="exact"/>
        <w:rPr>
          <w:rFonts w:ascii="Times New Roman" w:cs="Times New Roman" w:eastAsia="Times New Roman" w:hAnsi="Times New Roman"/>
          <w:sz w:val="18"/>
          <w:szCs w:val="18"/>
          <w:color w:val="auto"/>
        </w:rPr>
      </w:pPr>
    </w:p>
    <w:p>
      <w:pPr>
        <w:ind w:left="1020" w:right="120" w:hanging="504"/>
        <w:spacing w:after="0" w:line="260"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Risk Management: We maintain a risk-based approach to identifying and overseeing material cybersecurity threats presented by third parties, including vendors, service providers, and other external users of our systems, as well as the systems of third parties that could adversely impact our business in the event of a material cybersecurity incident affecting those third-party systems, including any outside auditors or consultants who advise on our cybersecurity systems.</w:t>
      </w:r>
    </w:p>
    <w:p>
      <w:pPr>
        <w:spacing w:after="0" w:line="72" w:lineRule="exact"/>
        <w:rPr>
          <w:rFonts w:ascii="Times New Roman" w:cs="Times New Roman" w:eastAsia="Times New Roman" w:hAnsi="Times New Roman"/>
          <w:sz w:val="18"/>
          <w:szCs w:val="18"/>
          <w:color w:val="auto"/>
        </w:rPr>
      </w:pPr>
    </w:p>
    <w:p>
      <w:pPr>
        <w:ind w:left="1020" w:hanging="504"/>
        <w:spacing w:after="0" w:line="260"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Assessments: We conduct periodic assessments and testing of our policies, standards, processes, and practices in a manner intended to address cybersecurity threats and events. The results of such assessments, audits, and reviews are evaluated by management and reported to our Audit Committee and our board of directors, and we adjust our cybersecurity policies, standards, processes, and practices as necessary based on the information provided by these assessments, audits, and reviews.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Governance</w:t>
      </w:r>
    </w:p>
    <w:p>
      <w:pPr>
        <w:spacing w:after="0" w:line="120" w:lineRule="exact"/>
        <w:rPr>
          <w:sz w:val="20"/>
          <w:szCs w:val="20"/>
          <w:color w:val="auto"/>
        </w:rPr>
      </w:pPr>
    </w:p>
    <w:p>
      <w:pPr>
        <w:ind w:right="320" w:firstLine="509"/>
        <w:spacing w:after="0" w:line="265" w:lineRule="auto"/>
        <w:rPr>
          <w:sz w:val="20"/>
          <w:szCs w:val="20"/>
          <w:color w:val="auto"/>
        </w:rPr>
      </w:pPr>
      <w:r>
        <w:rPr>
          <w:rFonts w:ascii="Times New Roman" w:cs="Times New Roman" w:eastAsia="Times New Roman" w:hAnsi="Times New Roman"/>
          <w:sz w:val="18"/>
          <w:szCs w:val="18"/>
          <w:color w:val="auto"/>
        </w:rPr>
        <w:t>Our board of directors oversees our risk management program, including the management of cybersecurity threats as part of its general oversight function. Our Audit Committee is taking the lead on behalf of the board of directors on oversight of our cybersecurity risk management program and receives reports from management concerning our cybersecurity risk management program.</w:t>
      </w:r>
    </w:p>
    <w:p>
      <w:pPr>
        <w:spacing w:after="0" w:line="69" w:lineRule="exact"/>
        <w:rPr>
          <w:sz w:val="20"/>
          <w:szCs w:val="20"/>
          <w:color w:val="auto"/>
        </w:rPr>
      </w:pPr>
    </w:p>
    <w:p>
      <w:pPr>
        <w:ind w:right="80" w:firstLine="509"/>
        <w:spacing w:after="0" w:line="274" w:lineRule="auto"/>
        <w:rPr>
          <w:sz w:val="20"/>
          <w:szCs w:val="20"/>
          <w:color w:val="auto"/>
        </w:rPr>
      </w:pPr>
      <w:r>
        <w:rPr>
          <w:rFonts w:ascii="Times New Roman" w:cs="Times New Roman" w:eastAsia="Times New Roman" w:hAnsi="Times New Roman"/>
          <w:sz w:val="17"/>
          <w:szCs w:val="17"/>
          <w:color w:val="auto"/>
        </w:rPr>
        <w:t>Our cybersecurity risk assessment and management processes are implemented and maintained by various members of our management team, IT department and other employees, including but not limited to the individuals on our cybersecurity incident management team, which includes individuals who have a diverse combination of relevant expertise, experience, education and training, with representation from our IT, finance, legal, human resources, among others. Our team includes individuals with relevant experience in enterprise risk management and disclosure controls and procedures. Additionally, certain members of our IT department have experience managing cybersecurity programs and are specifically assigned cybersecurity oversight. Our cybersecurity incident response processes are designed to escalate certain cybersecurity incidents to members of management depending on the</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60" w:name="page61"/>
    <w:bookmarkEnd w:id="60"/>
    <w:p>
      <w:pPr>
        <w:spacing w:after="0" w:line="8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circumstances, including in some cases to our executive team. Our cybersecurity incident management team, and other individuals as needed, work to help us mitigate and remediate cybersecurity incidents of which we are notified.</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0"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Our principal facilities consist of two office spaces in Redwood City, California. We currently occupy 18,026 square feet of office space under a non-cancelable operating lease that expires in August 2029 and 6,368 square feet of office space under a non-cancelable operating lease that expires in May 2025.</w:t>
      </w:r>
    </w:p>
    <w:p>
      <w:pPr>
        <w:spacing w:after="0" w:line="284"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We believe that the facilities that we currently lease are adequate for our needs for the immediate future and that, should it be needed, additional space can be leased on commercially reasonable terms to accommodate any future needs.</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0"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1" w:name="page62"/>
    <w:bookmarkEnd w:id="6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4" w:lineRule="exact"/>
        <w:rPr>
          <w:sz w:val="20"/>
          <w:szCs w:val="20"/>
          <w:color w:val="auto"/>
        </w:rPr>
      </w:pPr>
    </w:p>
    <w:p>
      <w:pPr>
        <w:jc w:val="center"/>
        <w:ind w:right="20"/>
        <w:spacing w:after="0" w:line="285"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0"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Our common stock is quoted on The Nasdaq Capital Market under the symbol “SLNO”. Our March 2022 common warrants, May 2023 Tranche B warrants, and October 2023 pre-funded warrants are not traded on a national securities exchange.</w:t>
      </w:r>
    </w:p>
    <w:p>
      <w:pPr>
        <w:spacing w:after="0" w:line="162"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As of February 26, 2025, there were 33 shareholders of record for our common stock. A substantially greater number of stockholders may be “street name” or beneficial holders, whose shares are held of record by banks, brokers and other financial institutions.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0"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and currently do not plan to declare dividends on shares of our common stock in the foreseeable future. We expect to retain our future earnings, if any, for use in the operation and expansion of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w:t>
      </w:r>
    </w:p>
    <w:p>
      <w:pPr>
        <w:spacing w:after="0" w:line="120" w:lineRule="exact"/>
        <w:rPr>
          <w:sz w:val="20"/>
          <w:szCs w:val="20"/>
          <w:color w:val="auto"/>
        </w:rPr>
      </w:pPr>
    </w:p>
    <w:p>
      <w:pPr>
        <w:ind w:right="600" w:firstLine="509"/>
        <w:spacing w:after="0" w:line="281" w:lineRule="auto"/>
        <w:rPr>
          <w:sz w:val="20"/>
          <w:szCs w:val="20"/>
          <w:color w:val="auto"/>
        </w:rPr>
      </w:pPr>
      <w:r>
        <w:rPr>
          <w:rFonts w:ascii="Times New Roman" w:cs="Times New Roman" w:eastAsia="Times New Roman" w:hAnsi="Times New Roman"/>
          <w:sz w:val="18"/>
          <w:szCs w:val="18"/>
          <w:color w:val="auto"/>
        </w:rPr>
        <w:t>See Item 12, Security Ownership of Certain Beneficial Owners and Management and Related Stockholder Matters for information regarding securities authorized for issuance.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8" w:lineRule="exact"/>
        <w:rPr>
          <w:sz w:val="20"/>
          <w:szCs w:val="20"/>
          <w:color w:val="auto"/>
        </w:rPr>
      </w:pPr>
    </w:p>
    <w:p>
      <w:pPr>
        <w:ind w:right="80" w:firstLine="749"/>
        <w:spacing w:after="0" w:line="265" w:lineRule="auto"/>
        <w:rPr>
          <w:sz w:val="20"/>
          <w:szCs w:val="20"/>
          <w:color w:val="auto"/>
        </w:rPr>
      </w:pPr>
      <w:r>
        <w:rPr>
          <w:rFonts w:ascii="Times New Roman" w:cs="Times New Roman" w:eastAsia="Times New Roman" w:hAnsi="Times New Roman"/>
          <w:sz w:val="18"/>
          <w:szCs w:val="18"/>
          <w:color w:val="auto"/>
        </w:rPr>
        <w:t>This graph is not “soliciting material,” is not deemed “filed” with the SEC and is not to be incorporated by reference into any filing of Soleno Therapeutics, Inc. under the Securities Act or the Exchange Act, whether made before or after the date hereof and irrespective of any general incorporation language in any such filing.</w:t>
      </w:r>
    </w:p>
    <w:p>
      <w:pPr>
        <w:spacing w:after="0" w:line="176"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8"/>
          <w:szCs w:val="18"/>
          <w:color w:val="auto"/>
        </w:rPr>
        <w:t>The following graph shows the total stockholder return of an investment of $100 in cash at market close on December 31, 2019, through December 31, 2024 for (i) our common stock, (ii) the NASDAQ Composite Index (U.S.), and (iii) the NASDAQ Biotechnology Index. Pursuant to applicable SEC rules, all values assume reinvestment of the full amount of all dividends, however no dividends have been declared on our common stock to date. The stockholder return shown on the graph below is not necessarily indicative of future performance, and we do not make or endorse any predictions as to future stockholder returns.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10" w:right="35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1320165</wp:posOffset>
            </wp:positionH>
            <wp:positionV relativeFrom="page">
              <wp:posOffset>909955</wp:posOffset>
            </wp:positionV>
            <wp:extent cx="4917440" cy="37973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4917440" cy="379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1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12/31/2019</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12/31/2020</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12/31/2023</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12/31/2024</w:t>
            </w:r>
          </w:p>
        </w:tc>
      </w:tr>
      <w:tr>
        <w:trPr>
          <w:trHeight w:val="215"/>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Soleno Therapeutics, Inc.</w:t>
            </w:r>
          </w:p>
        </w:tc>
        <w:tc>
          <w:tcPr>
            <w:tcW w:w="16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65.65</w:t>
            </w:r>
          </w:p>
        </w:tc>
        <w:tc>
          <w:tcPr>
            <w:tcW w:w="13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13.95</w:t>
            </w:r>
          </w:p>
        </w:tc>
        <w:tc>
          <w:tcPr>
            <w:tcW w:w="13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4.49</w:t>
            </w:r>
          </w:p>
        </w:tc>
        <w:tc>
          <w:tcPr>
            <w:tcW w:w="136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91.27</w:t>
            </w: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101.93</w:t>
            </w:r>
          </w:p>
        </w:tc>
      </w:tr>
      <w:tr>
        <w:trPr>
          <w:trHeight w:val="215"/>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 Index</w:t>
            </w:r>
          </w:p>
        </w:tc>
        <w:tc>
          <w:tcPr>
            <w:tcW w:w="1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143.64</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174.36</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116.65</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167.30</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219.80</w:t>
            </w:r>
          </w:p>
        </w:tc>
      </w:tr>
      <w:tr>
        <w:trPr>
          <w:trHeight w:val="215"/>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NASDAQ Biotechnology Index</w:t>
            </w:r>
          </w:p>
        </w:tc>
        <w:tc>
          <w:tcPr>
            <w:tcW w:w="16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125.69</w:t>
            </w:r>
          </w:p>
        </w:tc>
        <w:tc>
          <w:tcPr>
            <w:tcW w:w="13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124.89</w:t>
            </w:r>
          </w:p>
        </w:tc>
        <w:tc>
          <w:tcPr>
            <w:tcW w:w="13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111.27</w:t>
            </w:r>
          </w:p>
        </w:tc>
        <w:tc>
          <w:tcPr>
            <w:tcW w:w="136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115.42</w:t>
            </w: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113.84</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N/A.</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audited consolidated financial statements and the related notes that appear elsewhere in this Annual Report on Form 10-K. This Annual Report on Form 10-K contains “forward-looking statements” within the meaning of Section 21E of the Securities Exchange Act of 1934, as amended (the Exchange Act). These statements are often identified by the use of words such as “may,” “will,” “expect,” “believe,” “anticipate,” “intend,” “could,” “should,” “estimate,” “plan,”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 Item 1A of this Annual Report on Form 10-K and elsewhere in this report. 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0" w:lineRule="exact"/>
        <w:rPr>
          <w:sz w:val="20"/>
          <w:szCs w:val="20"/>
          <w:color w:val="auto"/>
        </w:rPr>
      </w:pPr>
    </w:p>
    <w:p>
      <w:pPr>
        <w:ind w:right="80" w:firstLine="666"/>
        <w:spacing w:after="0" w:line="255" w:lineRule="auto"/>
        <w:rPr>
          <w:sz w:val="20"/>
          <w:szCs w:val="20"/>
          <w:color w:val="auto"/>
        </w:rPr>
      </w:pPr>
      <w:r>
        <w:rPr>
          <w:rFonts w:ascii="Times New Roman" w:cs="Times New Roman" w:eastAsia="Times New Roman" w:hAnsi="Times New Roman"/>
          <w:sz w:val="18"/>
          <w:szCs w:val="18"/>
          <w:color w:val="auto"/>
        </w:rPr>
        <w:t>We are a biopharmaceutical company developing novel therapeutics for the treatment of rare diseases. We have submitted a new drug application (NDA) to the U.S. Food and Drug Administration (FDA) for our lead product candidate, diazoxide choline extended-release tablets (DCCR) for the treatment of Prader-Willi syndrome (PWS) in individuals four years and older who have hyperphagia. On August 27, 2024, we announced that the FDA had accepted the NDA for filing, designated the application for priority review and set a Prescription Drug User Fee Act (PDUFA) target action date of December 27, 2024. On November 26, 2024, we announced that the FDA had extended the review period for our NDA and set a new PDUFA target action date of March 27, 2025. DCCR previously received Breakthrough Therapy and Fast-Track designations in the United States (U.S.) and Orphan Drug designations in the U.S. and European Union (E.U.).</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20"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We have not generated net income from operations to date, and at December 31, 2024 we had an accumulated deficit of $452.3 million, primarily as a result of research and development and general and administrative expenses. We may not receive marketing approval or be successful in commercializing DCCR. Accordingly, we expect to incur significant losses from operations for the foreseeable future, and there can be no assurance that we will ever generate significant revenue or profits. As of December 31, 2024, we had cash and cash equivalents of $87.9 million and marketable securities of $230.7 million.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date, we have earned no revenue from the commercial development and sale of DCCR.</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0"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Research and development expenses consist primarily of expenses incurred by contract research organizations (CROs) associated with our clinical trials, contract manufacturing organizations (CMOs) associated with the manufacture of our drug product, employee related expenses, including salaries and benefits, and professional consultant costs. These expenses will vary with the cadence and success of DCCR progressing from clinical to commercial stage.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64" w:name="page65"/>
    <w:bookmarkEnd w:id="64"/>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0"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salaries and benefits, stock-based compensation expense, professional fees for legal, consulting, audit and tax services, insurance, rent, pre-commercial activities, and other general operating expenses not otherwise included in research and development. We anticipate general and administrative expenses will increase in future periods, reflecting an expanding infrastructure, an increase in pre-commercial activities, other administrative expenses, and increased professional fees associated with being a public reporting company.</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120" w:lineRule="exact"/>
        <w:rPr>
          <w:sz w:val="20"/>
          <w:szCs w:val="20"/>
          <w:color w:val="auto"/>
        </w:rPr>
      </w:pPr>
    </w:p>
    <w:p>
      <w:pPr>
        <w:ind w:right="220" w:firstLine="509"/>
        <w:spacing w:after="0" w:line="288" w:lineRule="auto"/>
        <w:rPr>
          <w:sz w:val="20"/>
          <w:szCs w:val="20"/>
          <w:color w:val="auto"/>
        </w:rPr>
      </w:pPr>
      <w:r>
        <w:rPr>
          <w:rFonts w:ascii="Times New Roman" w:cs="Times New Roman" w:eastAsia="Times New Roman" w:hAnsi="Times New Roman"/>
          <w:sz w:val="17"/>
          <w:szCs w:val="17"/>
          <w:color w:val="auto"/>
        </w:rPr>
        <w:t>Change in fair value of contingent consideration represents the change in the fair value of the additional consideration that we expect to pay to the former Essentialis stockholders in accordance with the terms of our 2017 merger agreement with Essentialis based on our assessment of the expected likelihood of achieving two commercial sales milestones of $100.0 million in revenue and $200.0 million in revenue related to DCCR in future years.</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0" w:lineRule="exact"/>
        <w:rPr>
          <w:sz w:val="20"/>
          <w:szCs w:val="20"/>
          <w:color w:val="auto"/>
        </w:rPr>
      </w:pPr>
    </w:p>
    <w:p>
      <w:pPr>
        <w:ind w:right="540" w:firstLine="509"/>
        <w:spacing w:after="0" w:line="281" w:lineRule="auto"/>
        <w:rPr>
          <w:sz w:val="20"/>
          <w:szCs w:val="20"/>
          <w:color w:val="auto"/>
        </w:rPr>
      </w:pPr>
      <w:r>
        <w:rPr>
          <w:rFonts w:ascii="Times New Roman" w:cs="Times New Roman" w:eastAsia="Times New Roman" w:hAnsi="Times New Roman"/>
          <w:sz w:val="18"/>
          <w:szCs w:val="18"/>
          <w:color w:val="auto"/>
        </w:rPr>
        <w:t>Other income (expense), net is comprised of interest income, and recently interest expense from our loan and security agreement with Oxford Financing LLC and its affiliates (collectively, Oxford), and the change in the fair value of the 2018 PIPE common stock warrant liabilities.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are based upon our audited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to our audited financial statements contained herein.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classify our marketable securities as available-for-sale and records such assets at estimated fair value in the balance sheets, with unrealized gains and non-credit related losses that are determined to be temporary, if any, reported as a component of other comprehensive income (loss) within the statements of operations and comprehensive loss and as a separate component of stockholders’ equity. We classify marketable securities with remaining maturities greater than three months but less than one year as marketable securities, and those with remaining maturities greater than one year are classified as long-term marketable securities. Realized gains and losses are calculated using the specific identification method and recorded as interest income and were immaterial for all periods presented. To the extent the amortized cost basis of the available-for-sale debt securities exceeds the fair value, management assesses the debt securities for credit loss; however, management considers the risk of credit loss to be minimized by our policy of investing in financial instruments issued by highly-rated financial institutions. When assessing the risk of credit loss, management considers factors such as the severity and the reason of the decline in value (i.e., any changes to the rating of the security by a rating agency or other adverse conditions specifically related to the security) and management's intended holding period and time horizon for selling. During the year ended December 31, 2024, we did not recognize any credit losses related to our available-for-sale debt securities. Further, as of December 31, 2024, we did not record an allowance for credit losses related to our available-for-sale debt securities. During 2023 and 2022, we did not hold any marketable securities.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190"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are charged to operations as incurred. Research and development expenses consist primarily of salaries, benefits, bonus, stock-based compensation, consultant fees, certain facility costs and other costs associated with clinical trials and the manufacture of our drug product. Clinical trial costs are a significant component of research and development expenses and include costs associated with CROs and other vendors. Invoicing from CROs and CMOs for services performed can often occur several months later. We accrue the costs incurred for clinical trial activities as measured by patient progression and the timing of various aspects of the trial. For other services, we accrue the costs in connection with third-party contractor activities based on our estimate of fees and costs associate with the contract that were rendered during the period and they are expensed as incurred.</w:t>
      </w:r>
    </w:p>
    <w:p>
      <w:pPr>
        <w:spacing w:after="0" w:line="77"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Costs to acquire technologies to be used in research and development that have not reached technological feasibility and have no alternative future use are expensed to research and development costs when incurred.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Stock-based compensation expense related to stock options and restricted stock units granted to employees, directors and consultants are measured at the date of grant based on the estimated fair value of the award. For restricted stock units this fair value is based on our common stock price on the grant date. We estimate the grant date fair value of stock options, and the resulting stock-based compensation expense, using the Black-Scholes option-pricing model. The grant date fair value of stock-based awards is recognized on a straight-line basis over the requisite service period, which is generally the vesting period for service-based awards. For performance-based awards the requisite service period is the longest explicit, implicit or derived service period based on management’s estimate of the probability of the performance criteria being satisfied, adjusted at each balance sheet date.</w:t>
      </w:r>
    </w:p>
    <w:p>
      <w:pPr>
        <w:spacing w:after="0" w:line="76" w:lineRule="exact"/>
        <w:rPr>
          <w:sz w:val="20"/>
          <w:szCs w:val="20"/>
          <w:color w:val="auto"/>
        </w:rPr>
      </w:pPr>
    </w:p>
    <w:p>
      <w:pPr>
        <w:jc w:val="both"/>
        <w:ind w:right="300" w:firstLine="509"/>
        <w:spacing w:after="0" w:line="265" w:lineRule="auto"/>
        <w:rPr>
          <w:sz w:val="20"/>
          <w:szCs w:val="20"/>
          <w:color w:val="auto"/>
        </w:rPr>
      </w:pPr>
      <w:r>
        <w:rPr>
          <w:rFonts w:ascii="Times New Roman" w:cs="Times New Roman" w:eastAsia="Times New Roman" w:hAnsi="Times New Roman"/>
          <w:sz w:val="18"/>
          <w:szCs w:val="18"/>
          <w:color w:val="auto"/>
        </w:rPr>
        <w:t>The Black-Scholes option-pricing model requires the use of highly subjective assumptions to estimate the fair value of stock-based awards. If we had made different assumptions, our stock-based compensation expense, net loss and net loss per share of common stock could have been significantly different. These assumptions include:</w:t>
      </w:r>
    </w:p>
    <w:p>
      <w:pPr>
        <w:spacing w:after="0" w:line="67" w:lineRule="exact"/>
        <w:rPr>
          <w:sz w:val="20"/>
          <w:szCs w:val="20"/>
          <w:color w:val="auto"/>
        </w:rPr>
      </w:pPr>
    </w:p>
    <w:p>
      <w:pPr>
        <w:ind w:left="900" w:right="160" w:hanging="383"/>
        <w:spacing w:after="0" w:line="283"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The estimated volatility rate is based on the volatilities of our common stock for a historical period equal to the expected life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w:t>
      </w:r>
    </w:p>
    <w:p>
      <w:pPr>
        <w:spacing w:after="0" w:line="50" w:lineRule="exact"/>
        <w:rPr>
          <w:rFonts w:ascii="Times New Roman" w:cs="Times New Roman" w:eastAsia="Times New Roman" w:hAnsi="Times New Roman"/>
          <w:sz w:val="18"/>
          <w:szCs w:val="18"/>
          <w:color w:val="auto"/>
        </w:rPr>
      </w:pPr>
    </w:p>
    <w:p>
      <w:pPr>
        <w:ind w:left="900" w:right="20" w:hanging="383"/>
        <w:spacing w:after="0" w:line="258"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life: </w:t>
      </w:r>
      <w:r>
        <w:rPr>
          <w:rFonts w:ascii="Times New Roman" w:cs="Times New Roman" w:eastAsia="Times New Roman" w:hAnsi="Times New Roman"/>
          <w:sz w:val="18"/>
          <w:szCs w:val="18"/>
          <w:color w:val="auto"/>
        </w:rPr>
        <w:t>The expected life of stock options represents the period of time that the options are expected to be outstanding. Due to the lack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exercise history, the expected life of our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spacing w:after="0" w:line="72" w:lineRule="exact"/>
        <w:rPr>
          <w:rFonts w:ascii="Times New Roman" w:cs="Times New Roman" w:eastAsia="Times New Roman" w:hAnsi="Times New Roman"/>
          <w:sz w:val="18"/>
          <w:szCs w:val="18"/>
          <w:color w:val="auto"/>
        </w:rPr>
      </w:pPr>
    </w:p>
    <w:p>
      <w:pPr>
        <w:ind w:left="900" w:right="20" w:hanging="383"/>
        <w:spacing w:after="0" w:line="283"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yields of U.S. Treasury securities with maturities similar to the expected life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 options.</w:t>
      </w:r>
    </w:p>
    <w:p>
      <w:pPr>
        <w:spacing w:after="0" w:line="50" w:lineRule="exact"/>
        <w:rPr>
          <w:rFonts w:ascii="Times New Roman" w:cs="Times New Roman" w:eastAsia="Times New Roman" w:hAnsi="Times New Roman"/>
          <w:sz w:val="18"/>
          <w:szCs w:val="18"/>
          <w:color w:val="auto"/>
        </w:rPr>
      </w:pPr>
    </w:p>
    <w:p>
      <w:pPr>
        <w:ind w:left="900" w:right="280" w:hanging="383"/>
        <w:spacing w:after="0" w:line="283"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rate: </w:t>
      </w:r>
      <w:r>
        <w:rPr>
          <w:rFonts w:ascii="Times New Roman" w:cs="Times New Roman" w:eastAsia="Times New Roman" w:hAnsi="Times New Roman"/>
          <w:sz w:val="18"/>
          <w:szCs w:val="18"/>
          <w:color w:val="auto"/>
        </w:rPr>
        <w:t>We have never declared or paid any cash dividends and do not presently plan to pay cash dividends in the foreseeable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Consequently, we used an expected dividend yield of zero.</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account for forfeitures as they occur.</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0"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Contingent consideration elements of a business combination are recorded in accordance with ASC 805 which provides that, when contingent consideration terms provide for future payment obligations, the obligation is measured at its fair value on the acquisition date, and the subsequent increase or decrease of the value of the estimated amounts of contingent consideration to be paid is be recognized as expense or income, respectively, in the consolidated statements of operations and comprehensive loss.</w:t>
      </w:r>
    </w:p>
    <w:p>
      <w:pPr>
        <w:spacing w:after="0" w:line="73"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Our agreement to pay the former Essentialis stockholders for achieving certain commercial milestones resulted in the recognition of contingent consideration, which was recorded at the inception of the transaction, and subsequent changes to estimate the amount of contingent consideration to be paid is recognized as expenses or income in the consolidated statements of operations and comprehensive loss. The fair value of the contingent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2"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8"/>
          <w:szCs w:val="18"/>
          <w:color w:val="auto"/>
        </w:rPr>
        <w:t>consideration is based on our analysis of the likelihood of the drug indication being approved by the FDA and then reaching the cumulative revenue milestones.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Common Stock Purchase Warrants and Other Derivative Financial Instruments</w:t>
      </w:r>
    </w:p>
    <w:p>
      <w:pPr>
        <w:spacing w:after="0" w:line="11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account for warrants in accordance with the guidance in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We classify common stock purchase warrants and other free standing derivative financial instruments as equity if the contracts (i) require physical settlement or net-share settlement or (ii) give us a choice of net-cash settlement or settlement in shares (physical settlement or net-share settlement). We classify any contracts that (i) require net-cash settlement (including a requirement to net cash settle the contract if an event occurs and if that event is outside our control), (ii) give the counterparty a choice of net-cash settlement or settlement in shares (physical settlement or net-share settlement), or (iii) contain reset provisions, as either an asset or a liability. We assess classification of freestanding derivatives at each reporting date to determine whether a change in classification between equity and liabilities is required. We determined that certain freestanding derivatives, which principally consist of the 2018 PIPE Warrants, do not satisfy the criteria for classification as equity instruments due to the existence of certain cash settlement features that are not within our sole control or variable settlement provision that cause them to not be indexed to our stock.</w:t>
      </w:r>
    </w:p>
    <w:p>
      <w:pPr>
        <w:spacing w:after="0" w:line="78"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We classified the 2018 PIPE Warrants at their fair value and re-measured them at each balance sheet date until they were exercised or expired. Any changes in the fair value were recognized as Other income (expense), net in the consolidated statements of operations and comprehensive loss. The 2018 PIPE Warrants expired in December 2023.</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0" w:lineRule="exact"/>
        <w:rPr>
          <w:sz w:val="20"/>
          <w:szCs w:val="20"/>
          <w:color w:val="auto"/>
        </w:rPr>
      </w:pPr>
    </w:p>
    <w:p>
      <w:pPr>
        <w:ind w:right="260" w:firstLine="509"/>
        <w:spacing w:after="0" w:line="265" w:lineRule="auto"/>
        <w:rPr>
          <w:sz w:val="20"/>
          <w:szCs w:val="20"/>
          <w:color w:val="auto"/>
        </w:rPr>
      </w:pPr>
      <w:r>
        <w:rPr>
          <w:rFonts w:ascii="Times New Roman" w:cs="Times New Roman" w:eastAsia="Times New Roman" w:hAnsi="Times New Roman"/>
          <w:sz w:val="18"/>
          <w:szCs w:val="18"/>
          <w:color w:val="auto"/>
        </w:rPr>
        <w:t>We use the liability method of accounting for income taxes, whereby deferred tax assets or liability account balances are calculated at the balance sheet date using current tax laws and rates in effect for the year in which the differences are expected to affect taxable income. We have provided a valuation allowance to reduce deferred tax assets to the amount that will more likely than not be realized.</w:t>
      </w:r>
    </w:p>
    <w:p>
      <w:pPr>
        <w:spacing w:after="0" w:line="176"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We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recognition of revenues and expenses for tax and financial statement purposes. Significant changes to these estimates may result in an increase or decrease to our tax provision in a subsequent period.</w:t>
      </w:r>
    </w:p>
    <w:p>
      <w:pPr>
        <w:spacing w:after="0" w:line="181" w:lineRule="exact"/>
        <w:rPr>
          <w:sz w:val="20"/>
          <w:szCs w:val="20"/>
          <w:color w:val="auto"/>
        </w:rPr>
      </w:pPr>
    </w:p>
    <w:p>
      <w:pPr>
        <w:jc w:val="both"/>
        <w:ind w:right="180" w:firstLine="509"/>
        <w:spacing w:after="0" w:line="265" w:lineRule="auto"/>
        <w:rPr>
          <w:sz w:val="20"/>
          <w:szCs w:val="20"/>
          <w:color w:val="auto"/>
        </w:rPr>
      </w:pPr>
      <w:r>
        <w:rPr>
          <w:rFonts w:ascii="Times New Roman" w:cs="Times New Roman" w:eastAsia="Times New Roman" w:hAnsi="Times New Roman"/>
          <w:sz w:val="18"/>
          <w:szCs w:val="18"/>
          <w:color w:val="auto"/>
        </w:rPr>
        <w:t>We make estimates and judgments about our future taxable income that are based on assumptions that are consistent with our plans and estimates. Should the actual amounts differ from our estimates, the amount of our valuation allowance could be materially impacted. Any adjustment to the deferred tax asset valuation allowance would be recorded in the income statement for the periods in which the adjustment is determined to be required.</w:t>
      </w:r>
    </w:p>
    <w:p>
      <w:pPr>
        <w:spacing w:after="0" w:line="17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account for uncertainty in income taxes as required by the provisions of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clarifies the accounting for uncertainty in income taxes recognized in an enterprise’s financial statements.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consider many factors when evaluating and estimating our tax positions and tax benefits, which may require periodic adjustments and may not accurately anticipate actual outcomes.</w:t>
      </w:r>
    </w:p>
    <w:p>
      <w:pPr>
        <w:spacing w:after="0" w:line="186"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In addition, the use of net operating loss and tax credit carryforwards may be limited under Section 382 of the Internal Revenue Code in certain situations where changes occur in the stock ownership of a company. In the event that we have had a change in ownership, utilization of the carryforwards could be restricted. For more information, see the section titled “Our ability to use our net operating loss carry forwards and certain other tax attributes will be limited.” at Part 1, Item 1A of this Annual Report on Form 10-K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4"/>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(in</w:t>
            </w:r>
          </w:p>
        </w:tc>
        <w:tc>
          <w:tcPr>
            <w:tcW w:w="5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78,568</w:t>
            </w:r>
          </w:p>
        </w:tc>
        <w:tc>
          <w:tcPr>
            <w:tcW w:w="200" w:type="dxa"/>
            <w:vAlign w:val="bottom"/>
          </w:tcPr>
          <w:p>
            <w:pPr>
              <w:spacing w:after="0"/>
              <w:rPr>
                <w:sz w:val="18"/>
                <w:szCs w:val="18"/>
                <w:color w:val="auto"/>
              </w:rPr>
            </w:pPr>
          </w:p>
        </w:tc>
        <w:tc>
          <w:tcPr>
            <w:tcW w:w="3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25,189</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53,379</w:t>
            </w: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15"/>
        </w:trPr>
        <w:tc>
          <w:tcPr>
            <w:tcW w:w="5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105,861</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92,380</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685 %</w:t>
            </w:r>
          </w:p>
        </w:tc>
        <w:tc>
          <w:tcPr>
            <w:tcW w:w="0" w:type="dxa"/>
            <w:vAlign w:val="bottom"/>
          </w:tcPr>
          <w:p>
            <w:pPr>
              <w:spacing w:after="0"/>
              <w:rPr>
                <w:sz w:val="1"/>
                <w:szCs w:val="1"/>
                <w:color w:val="auto"/>
              </w:rPr>
            </w:pPr>
          </w:p>
        </w:tc>
      </w:tr>
      <w:tr>
        <w:trPr>
          <w:trHeight w:val="215"/>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187,671</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146,287</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353 %</w:t>
            </w:r>
          </w:p>
        </w:tc>
        <w:tc>
          <w:tcPr>
            <w:tcW w:w="0" w:type="dxa"/>
            <w:vAlign w:val="bottom"/>
          </w:tcPr>
          <w:p>
            <w:pPr>
              <w:spacing w:after="0"/>
              <w:rPr>
                <w:sz w:val="1"/>
                <w:szCs w:val="1"/>
                <w:color w:val="auto"/>
              </w:rPr>
            </w:pPr>
          </w:p>
        </w:tc>
      </w:tr>
      <w:tr>
        <w:trPr>
          <w:trHeight w:val="20"/>
        </w:trPr>
        <w:tc>
          <w:tcPr>
            <w:tcW w:w="5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18"/>
                <w:szCs w:val="18"/>
                <w:color w:val="auto"/>
              </w:rPr>
            </w:pP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(187,671 )</w:t>
            </w: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(41,384 )</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(146,287 )</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353 %</w:t>
            </w:r>
          </w:p>
        </w:tc>
        <w:tc>
          <w:tcPr>
            <w:tcW w:w="0" w:type="dxa"/>
            <w:vAlign w:val="bottom"/>
          </w:tcPr>
          <w:p>
            <w:pPr>
              <w:spacing w:after="0"/>
              <w:rPr>
                <w:sz w:val="1"/>
                <w:szCs w:val="1"/>
                <w:color w:val="auto"/>
              </w:rPr>
            </w:pPr>
          </w:p>
        </w:tc>
      </w:tr>
      <w:tr>
        <w:trPr>
          <w:trHeight w:val="20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(182 )</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5"/>
        </w:trPr>
        <w:tc>
          <w:tcPr>
            <w:tcW w:w="5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12,052</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15"/>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(231 )</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(231 )</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393 %</w:t>
            </w:r>
          </w:p>
        </w:tc>
        <w:tc>
          <w:tcPr>
            <w:tcW w:w="0" w:type="dxa"/>
            <w:vAlign w:val="bottom"/>
          </w:tcPr>
          <w:p>
            <w:pPr>
              <w:spacing w:after="0"/>
              <w:rPr>
                <w:sz w:val="1"/>
                <w:szCs w:val="1"/>
                <w:color w:val="auto"/>
              </w:rPr>
            </w:pPr>
          </w:p>
        </w:tc>
      </w:tr>
      <w:tr>
        <w:trPr>
          <w:trHeight w:val="20"/>
        </w:trPr>
        <w:tc>
          <w:tcPr>
            <w:tcW w:w="5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(175,850 )</w:t>
            </w:r>
          </w:p>
        </w:tc>
        <w:tc>
          <w:tcPr>
            <w:tcW w:w="3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(38,988 )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(136,862 )</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351 %</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4281170</wp:posOffset>
            </wp:positionH>
            <wp:positionV relativeFrom="paragraph">
              <wp:posOffset>-1017270</wp:posOffset>
            </wp:positionV>
            <wp:extent cx="596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5059045</wp:posOffset>
            </wp:positionH>
            <wp:positionV relativeFrom="paragraph">
              <wp:posOffset>-1017270</wp:posOffset>
            </wp:positionV>
            <wp:extent cx="596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-1017270</wp:posOffset>
            </wp:positionV>
            <wp:extent cx="596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6624320</wp:posOffset>
            </wp:positionH>
            <wp:positionV relativeFrom="paragraph">
              <wp:posOffset>-1017270</wp:posOffset>
            </wp:positionV>
            <wp:extent cx="1536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3670" cy="825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-170180</wp:posOffset>
            </wp:positionV>
            <wp:extent cx="59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5059045</wp:posOffset>
            </wp:positionH>
            <wp:positionV relativeFrom="paragraph">
              <wp:posOffset>-170180</wp:posOffset>
            </wp:positionV>
            <wp:extent cx="596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-170180</wp:posOffset>
            </wp:positionV>
            <wp:extent cx="59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6624320</wp:posOffset>
            </wp:positionH>
            <wp:positionV relativeFrom="paragraph">
              <wp:posOffset>-170180</wp:posOffset>
            </wp:positionV>
            <wp:extent cx="1536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3670" cy="8255"/>
                    </a:xfrm>
                    <a:prstGeom prst="rect">
                      <a:avLst/>
                    </a:prstGeom>
                    <a:noFill/>
                  </pic:spPr>
                </pic:pic>
              </a:graphicData>
            </a:graphic>
          </wp:anchor>
        </w:drawing>
      </w:r>
    </w:p>
    <w:p>
      <w:pPr>
        <w:spacing w:after="0" w:line="3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0"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We have not commenced commercialization of DCCR, our current sole novel therapeutic drug candidate, and accordingly, through December 31, 2024, have generated no revenue.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were $78.6 million for the year ended December 31, 2024, which includes $33.7 million of non-cash stock-based compensation expense, an increase of $53.4 million from $25.2 million in 2023, which included $2.4 million of non-cash stock-based compensation. Personnel and associated headcount costs increased $6.4 million as we hired additional employees in support of our research and development and potential commercialization activities. Costs in support of our NDA submission increased $9.0 million and supply chain and related activities increased $6.5 million in preparation for commercial launch. The cadence of our research and development expenditures will fluctuate depending upon the state of our clinical programs, the timing of manufacturing and other projects necessary to support the submission of an NDA and prepare for commercial launch. The $31.3 million of additional non-cash stock-based compensation being recognized in the period is predominantly due to performance-based RSU grants which partially vested upon the acceptance by the FDA of the NDA submission and will fully vest upon the approval of our NDA by the FDA.</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0"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General and administrative expenses were $105.9 million for the year ended December 31, 2024, which includes $66.2 million of non-cash stock-based compensation, an increase of $92.4 million from $13.5 million in 2023, which included $3.5 million of non-cash stock-based compensation. Personnel costs including hiring expense and other associated headcount costs increased $10.7 million as we have hired additional employees in preparation for commercial launch and in support of our increased business activities. New program costs associated with preparation for commercial launch, including disease state education, analytics, other marketing programs, medical affairs and patient advocacy activities, totaled $15.8 million and professional services and consulting costs increased $2.9 million. The $62.7 million of additional non-cash stock-based compensation being recognized in the period is predominantly due to performance-based RSU grants which partially vested upon acceptance by the FDA of the NDA submission and will fully vest upon approval of our NDA by the FDA. General and administrative expenses will increase in support of commercializing DCCR if we receive FDA approval.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120"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color w:val="auto"/>
        </w:rPr>
        <w:t>We are obligated to make cash payments of up to a maximum of $21.2 million to the former Essentialis stockholders upon the achievement of certain future commercial milestones associated with the sales of DCCR in accordance with the terms of our 2017 merger agreement with Essentialis. The fair value of the liability for the contingent consideration payable by us achieving two commercial sales milestones of $100 million and $200 million in revenue, respectively, in future years was estimated to be $14.8 million as of December 31, 2024, a $3.2 million increase from the estimate as of December 31, 2023.</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0"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We had other income (expense), net of $11.8 million, an increase of $9.4 million from $2.4 million in 2023. The increase was primarily due to an increase in interest income driven by higher cash and cash equivalents, and marketable securities during the year ended December 31, 2024 compared to the year ended December 31, 2023.</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40" w:type="dxa"/>
            <w:vAlign w:val="bottom"/>
            <w:gridSpan w:val="4"/>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ind w:left="580"/>
              <w:spacing w:after="0" w:line="142" w:lineRule="exact"/>
              <w:rPr>
                <w:sz w:val="20"/>
                <w:szCs w:val="20"/>
                <w:color w:val="auto"/>
              </w:rPr>
            </w:pPr>
            <w:r>
              <w:rPr>
                <w:rFonts w:ascii="Times New Roman" w:cs="Times New Roman" w:eastAsia="Times New Roman" w:hAnsi="Times New Roman"/>
                <w:sz w:val="14"/>
                <w:szCs w:val="14"/>
                <w:color w:val="auto"/>
              </w:rPr>
              <w:t>(in</w:t>
            </w:r>
          </w:p>
        </w:tc>
        <w:tc>
          <w:tcPr>
            <w:tcW w:w="5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thousands)</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25,189</w:t>
            </w:r>
          </w:p>
        </w:tc>
        <w:tc>
          <w:tcPr>
            <w:tcW w:w="220" w:type="dxa"/>
            <w:vAlign w:val="bottom"/>
          </w:tcPr>
          <w:p>
            <w:pPr>
              <w:spacing w:after="0"/>
              <w:rPr>
                <w:sz w:val="18"/>
                <w:szCs w:val="18"/>
                <w:color w:val="auto"/>
              </w:rPr>
            </w:pPr>
          </w:p>
        </w:tc>
        <w:tc>
          <w:tcPr>
            <w:tcW w:w="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15,265</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15"/>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15"/>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(712 )</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481 %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41,384</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24,397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16,987</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Pr>
          <w:p>
            <w:pPr>
              <w:spacing w:after="0"/>
              <w:rPr>
                <w:sz w:val="18"/>
                <w:szCs w:val="18"/>
                <w:color w:val="auto"/>
              </w:rPr>
            </w:pPr>
          </w:p>
        </w:tc>
        <w:tc>
          <w:tcPr>
            <w:tcW w:w="11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(41,384 )</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(24,397 )</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(16,987 )</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80" w:type="dxa"/>
            <w:vAlign w:val="bottom"/>
          </w:tcPr>
          <w:p>
            <w:pPr>
              <w:spacing w:after="0"/>
              <w:rPr>
                <w:sz w:val="18"/>
                <w:szCs w:val="18"/>
                <w:color w:val="auto"/>
              </w:rPr>
            </w:pPr>
          </w:p>
        </w:tc>
        <w:tc>
          <w:tcPr>
            <w:tcW w:w="11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(182 )</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(212 )</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(707 %)</w:t>
            </w:r>
          </w:p>
        </w:tc>
        <w:tc>
          <w:tcPr>
            <w:tcW w:w="0" w:type="dxa"/>
            <w:vAlign w:val="bottom"/>
          </w:tcPr>
          <w:p>
            <w:pPr>
              <w:spacing w:after="0"/>
              <w:rPr>
                <w:sz w:val="1"/>
                <w:szCs w:val="1"/>
                <w:color w:val="auto"/>
              </w:rPr>
            </w:pPr>
          </w:p>
        </w:tc>
      </w:tr>
      <w:tr>
        <w:trPr>
          <w:trHeight w:val="215"/>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759 %</w:t>
            </w:r>
          </w:p>
        </w:tc>
        <w:tc>
          <w:tcPr>
            <w:tcW w:w="0" w:type="dxa"/>
            <w:vAlign w:val="bottom"/>
          </w:tcPr>
          <w:p>
            <w:pPr>
              <w:spacing w:after="0"/>
              <w:rPr>
                <w:sz w:val="1"/>
                <w:szCs w:val="1"/>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626 %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(38,988 )</w:t>
            </w:r>
          </w:p>
        </w:tc>
        <w:tc>
          <w:tcPr>
            <w:tcW w:w="360" w:type="dxa"/>
            <w:vAlign w:val="bottom"/>
            <w:shd w:val="clear" w:color="auto" w:fill="CFF0FC"/>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(24,067 )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(14,921 )</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4375150</wp:posOffset>
            </wp:positionH>
            <wp:positionV relativeFrom="paragraph">
              <wp:posOffset>-880110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5247640</wp:posOffset>
            </wp:positionH>
            <wp:positionV relativeFrom="paragraph">
              <wp:posOffset>-880110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-880110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-880110</wp:posOffset>
            </wp:positionV>
            <wp:extent cx="1536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3670" cy="8255"/>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-315595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5247640</wp:posOffset>
            </wp:positionH>
            <wp:positionV relativeFrom="paragraph">
              <wp:posOffset>-315595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-315595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-315595</wp:posOffset>
            </wp:positionV>
            <wp:extent cx="1536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3670" cy="8255"/>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5247640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5247640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-24765</wp:posOffset>
            </wp:positionV>
            <wp:extent cx="1536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367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-7620</wp:posOffset>
            </wp:positionV>
            <wp:extent cx="1536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367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0"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We have not commenced commercialization of DCCR, our current sole novel therapeutic drug candidate, and accordingly, through December 31, 2023, had generated no revenue.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0" w:lineRule="exact"/>
        <w:rPr>
          <w:sz w:val="20"/>
          <w:szCs w:val="20"/>
          <w:color w:val="auto"/>
        </w:rPr>
      </w:pPr>
    </w:p>
    <w:p>
      <w:pPr>
        <w:ind w:right="200" w:firstLine="509"/>
        <w:spacing w:after="0" w:line="311" w:lineRule="auto"/>
        <w:rPr>
          <w:sz w:val="20"/>
          <w:szCs w:val="20"/>
          <w:color w:val="auto"/>
        </w:rPr>
      </w:pPr>
      <w:r>
        <w:rPr>
          <w:rFonts w:ascii="Times New Roman" w:cs="Times New Roman" w:eastAsia="Times New Roman" w:hAnsi="Times New Roman"/>
          <w:sz w:val="17"/>
          <w:szCs w:val="17"/>
          <w:color w:val="auto"/>
        </w:rPr>
        <w:t>Research and development expenses were $25.2 million for the year ended December 31, 2023, an increase of $9.9 million from $15.3 million in 2022. The increase is primarily due to increased spending in clinical trials and manufacturing efforts, and expenditures in support of an NDA submission.</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0" w:lineRule="exact"/>
        <w:rPr>
          <w:sz w:val="20"/>
          <w:szCs w:val="20"/>
          <w:color w:val="auto"/>
        </w:rPr>
      </w:pPr>
    </w:p>
    <w:p>
      <w:pPr>
        <w:ind w:right="360" w:firstLine="509"/>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were $13.5 million for the year ended December 31, 2023, an increase of $3.6 million from $9.8 million in 2022. The increase was primarily related to higher stock-based compensation expense, higher costs as a result of an increase in headcount, and higher professional and consulting expenses in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120"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We are obligated to make cash payments of up to a maximum of $21.2 million to the former Essentialis stockholders upon the achievement of certain future commercial milestones associated with the sales of DCCR in accordance with the terms of our 2017 merger agreement with Essentialis. The fair value of the liability for the contingent consideration payable by us achieving two commercial sales milestones of $100 million and $200 million in revenue, respectively, in future years was estimated to be $11.5 million as of December 31, 2023, a $2.7 million increase from the estimate as of December 31, 2022.</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0"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We had other income (expense), net of $2.4 million, an increase of $2.1 million from $0.3 million in 2022. Interest income during 2023 was $2.3 million higher than in 2022, partially offset by a decrease in fair value of the 2018 PIPE Warrants of $0.2 million during 2023 compared to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8"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We used $69.1 million of cash in operating activities and had a net loss of $175.9 million during 2024. We had an accumulated deficit of $452.3 million at December 31, 2024 as a result of having incurred losses since our inception. We had $87.9 million in cash and cash equivalents, $230.7 million of marketable securities, and $275.1 million of working capital as of December 31, 2024 and we had lease obligations totaling $3.0 million to be paid through August 2029, consisting of two operating leases for office space in Redwood City, California, one of which terminates in May 2025.</w:t>
      </w:r>
    </w:p>
    <w:p>
      <w:pPr>
        <w:spacing w:after="0" w:line="1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we had $50.0 million outstanding under our loan and security agreement with Oxford. Under the terms of the loan agreement with Oxford, an additional $100 million may become available in three additional tranches, with tranches of $50 million and $25 million contingent upon FDA approval of DCCR for the treatment of PWS and one tranche of $25 million contingent upon certain commercial milestones. A final $50 million may be made available upon mutual consent with Oxford. The loan carries an interest-only period of 48 months and a total term of 60 months; provided that if specific milestones are achieved prior to September 30, 2026, the interest-only period and maturity date will be extended by 12 months. The term loans accrue interest at a floating rate equal to, subject to certain conditions, (a) 1-month term SOFR plus (b) 5.50%.</w:t>
      </w:r>
    </w:p>
    <w:p>
      <w:pPr>
        <w:spacing w:after="0" w:line="184"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Prior to entering into the Oxford loan and security agreement, we had historically financed our operations principally through issuance of equity securities. In May 2024, we closed an underwritten public offering of 3,450,000 shares of our common stock at a public offering price of $46.00 per share, which included the exercise in full by the underwriters of their option to purchase additional shares. The gross proceeds of the public offering were $158.7 million, before deducting the underwriter discount and other offering expenses of $9.7 million. In July 2024,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with Jefferies LLC, as sales agent (Jefferies), pursuant to which we may offer and sell, from time to time, through Jefferies, shares of our common stock having an aggregate offering price of up to $150 million.</w:t>
      </w:r>
    </w:p>
    <w:p>
      <w:pPr>
        <w:spacing w:after="0" w:line="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October 2023, we announced the closing of the underwritten public offering of 3,450,000 shares of our common stock at a public offering of $20.00 per share, which included the exercise in full by the underwriters of their option to purchase additional shares. The gross proceeds of the public offering were $69.0 million, before deducting the underwriting discount and other estimated offering expenses. We also announced the closing shares of our common stock and pre-funded warrants in a concurrent private offering pursuant to the securities purchase agreement with certain investors, including entities affiliated with existing stockholders, at a price per share of common stock equal to the public offering price of $20.00 and a price per pre-funded warrant of $19.99, for gross proceeds of approximately $60.0 million.</w:t>
      </w:r>
    </w:p>
    <w:p>
      <w:pPr>
        <w:spacing w:after="0" w:line="76"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In December 2022, we entered into a securities purchase agreement providing for the sale of up to $60.0 million in warrants and the common stock issuable upon the exercise thereof. Through December 31, 2024, we have received $10.0 million from the sale of these warrants and $44.8 million in proceeds from the exercise of certain of these warrants. Warrants with an aggregate exercise price of $5.2 million are still outstanding.</w:t>
      </w:r>
    </w:p>
    <w:p>
      <w:pPr>
        <w:spacing w:after="0" w:line="69"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We expect to continue incurring losses for the foreseeable future and may require additional capital to penetrate markets for the sale of our product, and pursue product development initiatives. We believe that our</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8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existing cash, cash equivalents and marketable securities will be sufficient to meet the company's working capital needs for the next 12 months. Our long term-term capital requirements will depend on several factors, most notably the timing of the potential approval and commercialization of DCCR. We believe that we will continue to have access to capital resources through possible public or private equity offerings, debt financings, corporate collaborations or other means, but the access to such capital resources is uncertain and is not assured. In the future, if we are unable to secure additional capital, we may be required to curtail our commercial launch activities and take additional measures to reduce costs in order to conserve our cash in amounts sufficient to sustain operations and meet our obligations. These measures could cause significant delays in our efforts to commercialize our products, which is critical to the realization of our business plan and our future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each of the periods presented below:</w:t>
      </w:r>
    </w:p>
    <w:p>
      <w:pPr>
        <w:spacing w:after="0" w:line="245" w:lineRule="exact"/>
        <w:rPr>
          <w:sz w:val="20"/>
          <w:szCs w:val="20"/>
          <w:color w:val="auto"/>
        </w:rPr>
      </w:pPr>
    </w:p>
    <w:tbl>
      <w:tblPr>
        <w:tblLayout w:type="fixed"/>
        <w:tblInd w:w="148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4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42"/>
        </w:trPr>
        <w:tc>
          <w:tcPr>
            <w:tcW w:w="4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5"/>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(69,096 )</w:t>
            </w:r>
          </w:p>
        </w:tc>
        <w:tc>
          <w:tcPr>
            <w:tcW w:w="3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(24,940 )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(20,781 )</w:t>
            </w:r>
          </w:p>
        </w:tc>
      </w:tr>
      <w:tr>
        <w:trPr>
          <w:trHeight w:val="215"/>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(225,682 )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r>
      <w:tr>
        <w:trPr>
          <w:trHeight w:val="215"/>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213,025</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180,019</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(81,753 )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155,079</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(6,702 )</w:t>
            </w:r>
          </w:p>
        </w:tc>
      </w:tr>
      <w:tr>
        <w:trPr>
          <w:trHeight w:val="20"/>
        </w:trPr>
        <w:tc>
          <w:tcPr>
            <w:tcW w:w="4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4554855</wp:posOffset>
            </wp:positionH>
            <wp:positionV relativeFrom="paragraph">
              <wp:posOffset>-170180</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-170180</wp:posOffset>
            </wp:positionV>
            <wp:extent cx="59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-170180</wp:posOffset>
            </wp:positionV>
            <wp:extent cx="59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used in operating activities</w:t>
      </w:r>
    </w:p>
    <w:p>
      <w:pPr>
        <w:spacing w:after="0" w:line="120"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During 2024, operating activities used net cash of $69.1 million, which was primarily due to the loss of $175.9 million which included $100.0 million of stock-based compensation expense, $2.0 million of depreciation and amortization, $0.4 million of non-cash lease expense, non-cash expense of $3.2 million for the change in fair value of contingent consideration, and $4.9 million added back for accretion of premium/discount on marketable securities. Additionally, there was a $6.1 million net decrease usage of cash during 2024 due to changes in operating assets and liabilities.</w:t>
      </w:r>
    </w:p>
    <w:p>
      <w:pPr>
        <w:spacing w:after="0" w:line="73"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During 2023, operating activities used net cash of $24.9 million, which was primarily due to the loss of $39.0 million which included $5.9 million of stock-based compensation expense, non-cash expense of $2.7 million for the change in fair value of contingent consideration, $2.0 million of depreciation and amortization, $0.3 million of non-cash lease expense, and $0.2 million for the change in fair value of common stock warrant liability. Additionally, there was a $3.0 million net decrease usage of cash during 2023 due to changes in operating assets and liabilities.</w:t>
      </w:r>
    </w:p>
    <w:p>
      <w:pPr>
        <w:spacing w:after="0" w:line="73"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During 2022, operating activities used net cash of $20.8 million, which was primarily due to the loss of $24.1 million which included non-cash income of $0.7 million for the change in fair value of contingent consideration, adjusted for non-cash expense of $2.5 million of stock-based compensation expense, $2.0 million of depreciation and amortization, and $0.3 million of non-cash lease expense. Additionally, there was a $0.8 million net increase usage of cash during 2022 due to changes in operating assets and liabilities.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20"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During 2024, we used $356.5 million for purchases of marketable securities and $0.2 million for purchases of property and equipment. We received proceeds of $131.0 million from maturities of marketable securities.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2023, there were no investing activities and minimal cash used during 2022 for the costs of acquiring property and equipment.</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financing activities</w:t>
      </w:r>
    </w:p>
    <w:p>
      <w:pPr>
        <w:spacing w:after="0" w:line="120"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During 2024, we received $149.0 million from the sale of common stock, net of issuance costs, $49.9 million from issuance of debt, net of issuance costs, and $12.9 million from the exercise of common stock and pre-funded stock warrants. We also received $1.3 million from the exercise of stock options.</w:t>
      </w:r>
    </w:p>
    <w:p>
      <w:pPr>
        <w:spacing w:after="0" w:line="69" w:lineRule="exact"/>
        <w:rPr>
          <w:sz w:val="20"/>
          <w:szCs w:val="20"/>
          <w:color w:val="auto"/>
        </w:rPr>
      </w:pPr>
    </w:p>
    <w:p>
      <w:pPr>
        <w:jc w:val="both"/>
        <w:ind w:right="360" w:firstLine="509"/>
        <w:spacing w:after="0" w:line="288" w:lineRule="auto"/>
        <w:rPr>
          <w:sz w:val="20"/>
          <w:szCs w:val="20"/>
          <w:color w:val="auto"/>
        </w:rPr>
      </w:pPr>
      <w:r>
        <w:rPr>
          <w:rFonts w:ascii="Times New Roman" w:cs="Times New Roman" w:eastAsia="Times New Roman" w:hAnsi="Times New Roman"/>
          <w:sz w:val="17"/>
          <w:szCs w:val="17"/>
          <w:color w:val="auto"/>
        </w:rPr>
        <w:t>During 2023, we received $43.1 million from the sale and issuance of the warrants and $129.0 million gross proceeds from the sale of common stock. We also received $9.3 million of net cash proceeds from the exercise of warrants and $7.1 million of net cash proceeds through an at-the-market offering program. The total net proceeds amount was slightly offset by payments for the taxes from net share-settled vesting of restricted stock units.</w:t>
      </w:r>
    </w:p>
    <w:p>
      <w:pPr>
        <w:spacing w:after="0" w:line="50"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During 2022, we received $13.8 million of net cash proceeds from the sale of common stock, net of issuance costs. We also received $0.3 million of net cash proceeds through an at-the-market offering program. The total net proceeds amount was slightly offset by payments for the taxes from net share-settled vesting of restricted stock units.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0"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As of December 31, 2024 and December 31, 2023, we had no off-balance sheet arrangements as defined in Item 303(a)(4) of Regulation S-K as promulgated by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Guidance Update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Guidance</w:t>
      </w:r>
    </w:p>
    <w:p>
      <w:pPr>
        <w:spacing w:after="0" w:line="118" w:lineRule="exact"/>
        <w:rPr>
          <w:sz w:val="20"/>
          <w:szCs w:val="20"/>
          <w:color w:val="auto"/>
        </w:rPr>
      </w:pPr>
    </w:p>
    <w:p>
      <w:pPr>
        <w:ind w:right="400" w:firstLine="509"/>
        <w:spacing w:after="0" w:line="28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and adopted by us as of the specified effective date.</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120"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or corporate debt.</w:t>
      </w:r>
    </w:p>
    <w:p>
      <w:pPr>
        <w:spacing w:after="0" w:line="69"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As of December 31, 2024, we had unrestricted cash and cash equivalents totaling $87.9 million and $230.7 million of marketable securities held for working capital purposes. We do not enter into investments for trading or speculative purposes. We believe we do not have material exposure to changes in fair value as a result of changes in interest rates. Declines in interest rates, however, will reduce future interest income.</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1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1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21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317"/>
        </w:trPr>
        <w:tc>
          <w:tcPr>
            <w:tcW w:w="7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21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317"/>
        </w:trPr>
        <w:tc>
          <w:tcPr>
            <w:tcW w:w="7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2860" w:type="dxa"/>
            <w:vAlign w:val="bottom"/>
            <w:tcBorders>
              <w:left w:val="single" w:sz="8" w:color="0000EE"/>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317"/>
        </w:trPr>
        <w:tc>
          <w:tcPr>
            <w:tcW w:w="7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2860" w:type="dxa"/>
            <w:vAlign w:val="bottom"/>
            <w:tcBorders>
              <w:left w:val="single" w:sz="8" w:color="0000FF"/>
            </w:tcBorders>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317"/>
        </w:trPr>
        <w:tc>
          <w:tcPr>
            <w:tcW w:w="7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2860" w:type="dxa"/>
            <w:vAlign w:val="bottom"/>
            <w:tcBorders>
              <w:lef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317"/>
        </w:trPr>
        <w:tc>
          <w:tcPr>
            <w:tcW w:w="7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21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483235</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40" w:top="1410" w:right="359" w:bottom="1440" w:gutter="0" w:footer="0" w:header="0"/>
        </w:sectPr>
      </w:pPr>
    </w:p>
    <w:bookmarkStart w:id="73" w:name="page74"/>
    <w:bookmarkEnd w:id="73"/>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Soleno Therapeutics,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Soleno Therapeutics, Inc. (the Company) as of December 31, 2024 and 2023, the related consolidated statements of operations and comprehensive loss,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the criteria established in Internal Control - Integrated Framework issued by the Committee of Sponsoring Organizations of the Treadway Commission (COSO) in 2013 and our report dated February 28, 2025, expressed an adverse opinion on the effectiveness of the Company’s internal control over financial reporting because of the existence of a material weakness.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Contingent Consideration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the Matter</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discussed in Notes 3 and 4 to the consolidated financial statements, the Company’s acquisition-related purchase price contingent liability, which is estimated using scenario-based methods based upon the Company’s analysis of the likelihood of obtaining specified approvals from the Federal Drug Administration as well as reaching cumulative revenue milestones, is remeasured to its estimated fair value each reporting period, with changes in fair value recorded in the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74" w:name="page75"/>
    <w:bookmarkEnd w:id="74"/>
    <w:p>
      <w:pPr>
        <w:jc w:val="both"/>
        <w:spacing w:after="0" w:line="265" w:lineRule="auto"/>
        <w:rPr>
          <w:sz w:val="20"/>
          <w:szCs w:val="20"/>
          <w:color w:val="auto"/>
        </w:rPr>
      </w:pPr>
      <w:r>
        <w:rPr>
          <w:rFonts w:ascii="Times New Roman" w:cs="Times New Roman" w:eastAsia="Times New Roman" w:hAnsi="Times New Roman"/>
          <w:sz w:val="18"/>
          <w:szCs w:val="18"/>
          <w:color w:val="auto"/>
        </w:rPr>
        <w:t>Auditing the valuation of the acquisition-related contingent consideration liability was complex and highly judgmental due to the significant estimation required in determining the fair value. In particular, the fair value estimate was sensitive to significant assumptions such as the Company’s projected future sales, which are affected by expectations about approval of a New Drug Application and future industry, market or economic conditions.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How We Addressed the Matter in Our Audit</w:t>
      </w:r>
    </w:p>
    <w:p>
      <w:pPr>
        <w:spacing w:after="0" w:line="11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Addressing this matter involved performing procedures and evaluating audit evidence in connection with forming our overall opinion on the financial statements. These procedures included, among others:</w:t>
      </w:r>
    </w:p>
    <w:p>
      <w:pPr>
        <w:spacing w:after="0" w:line="54" w:lineRule="exact"/>
        <w:rPr>
          <w:sz w:val="20"/>
          <w:szCs w:val="20"/>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terms of the arrangement</w:t>
      </w:r>
    </w:p>
    <w:p>
      <w:pPr>
        <w:spacing w:after="0" w:line="116" w:lineRule="exact"/>
        <w:rPr>
          <w:rFonts w:ascii="Times New Roman" w:cs="Times New Roman" w:eastAsia="Times New Roman" w:hAnsi="Times New Roman"/>
          <w:sz w:val="18"/>
          <w:szCs w:val="18"/>
          <w:color w:val="auto"/>
        </w:rPr>
      </w:pPr>
    </w:p>
    <w:p>
      <w:pPr>
        <w:jc w:val="both"/>
        <w:ind w:left="1020" w:right="20" w:hanging="504"/>
        <w:spacing w:after="0" w:line="265"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valuation specialists, we evaluated the appropriateness of the valuation methodologies used by management. This included testing the completeness, accuracy, relevance and reliability of the market data inputs and evaluating the significant assumptions for reasonableness.</w:t>
      </w:r>
    </w:p>
    <w:p>
      <w:pPr>
        <w:spacing w:after="0" w:line="68"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adequacy of the Company’s disclosures related to the fair value of contingent liability in the consolidated financial statements.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r>
        <w:rPr>
          <w:rFonts w:ascii="Times New Roman" w:cs="Times New Roman" w:eastAsia="Times New Roman" w:hAnsi="Times New Roman"/>
          <w:sz w:val="18"/>
          <w:szCs w:val="18"/>
          <w:b w:val="1"/>
          <w:bCs w:val="1"/>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75" w:name="page76"/>
    <w:bookmarkEnd w:id="7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8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09"/>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7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87,928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169,681</w:t>
            </w:r>
          </w:p>
        </w:tc>
        <w:tc>
          <w:tcPr>
            <w:tcW w:w="120" w:type="dxa"/>
            <w:vAlign w:val="bottom"/>
            <w:shd w:val="clear" w:color="auto" w:fill="CFF0FC"/>
          </w:tcPr>
          <w:p>
            <w:pPr>
              <w:spacing w:after="0"/>
              <w:rPr>
                <w:sz w:val="18"/>
                <w:szCs w:val="18"/>
                <w:color w:val="auto"/>
              </w:rPr>
            </w:pPr>
          </w:p>
        </w:tc>
      </w:tr>
      <w:tr>
        <w:trPr>
          <w:trHeight w:val="215"/>
        </w:trPr>
        <w:tc>
          <w:tcPr>
            <w:tcW w:w="7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203,509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8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8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171,358</w:t>
            </w:r>
          </w:p>
        </w:tc>
        <w:tc>
          <w:tcPr>
            <w:tcW w:w="120" w:type="dxa"/>
            <w:vAlign w:val="bottom"/>
          </w:tcPr>
          <w:p>
            <w:pPr>
              <w:spacing w:after="0"/>
              <w:rPr>
                <w:sz w:val="18"/>
                <w:szCs w:val="18"/>
                <w:color w:val="auto"/>
              </w:rPr>
            </w:pPr>
          </w:p>
        </w:tc>
      </w:tr>
      <w:tr>
        <w:trPr>
          <w:trHeight w:val="215"/>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assets</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7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r>
      <w:tr>
        <w:trPr>
          <w:trHeight w:val="215"/>
        </w:trPr>
        <w:tc>
          <w:tcPr>
            <w:tcW w:w="7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FF0FC"/>
          </w:tcPr>
          <w:p>
            <w:pPr>
              <w:spacing w:after="0"/>
              <w:rPr>
                <w:sz w:val="18"/>
                <w:szCs w:val="18"/>
                <w:color w:val="auto"/>
              </w:rPr>
            </w:pPr>
          </w:p>
        </w:tc>
      </w:tr>
      <w:tr>
        <w:trPr>
          <w:trHeight w:val="215"/>
        </w:trPr>
        <w:tc>
          <w:tcPr>
            <w:tcW w:w="7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8,749</w:t>
            </w:r>
          </w:p>
        </w:tc>
        <w:tc>
          <w:tcPr>
            <w:tcW w:w="120" w:type="dxa"/>
            <w:vAlign w:val="bottom"/>
          </w:tcPr>
          <w:p>
            <w:pPr>
              <w:spacing w:after="0"/>
              <w:rPr>
                <w:sz w:val="18"/>
                <w:szCs w:val="18"/>
                <w:color w:val="auto"/>
              </w:rPr>
            </w:pPr>
          </w:p>
        </w:tc>
      </w:tr>
      <w:tr>
        <w:trPr>
          <w:trHeight w:val="215"/>
        </w:trPr>
        <w:tc>
          <w:tcPr>
            <w:tcW w:w="7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8"/>
                <w:szCs w:val="18"/>
                <w:color w:val="auto"/>
              </w:rPr>
            </w:pPr>
          </w:p>
        </w:tc>
      </w:tr>
      <w:tr>
        <w:trPr>
          <w:trHeight w:val="249"/>
        </w:trPr>
        <w:tc>
          <w:tcPr>
            <w:tcW w:w="78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330,972</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180,691</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6"/>
        </w:trPr>
        <w:tc>
          <w:tcPr>
            <w:tcW w:w="78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7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8,882</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20" w:type="dxa"/>
            <w:vAlign w:val="bottom"/>
          </w:tcPr>
          <w:p>
            <w:pPr>
              <w:spacing w:after="0"/>
              <w:rPr>
                <w:sz w:val="18"/>
                <w:szCs w:val="18"/>
                <w:color w:val="auto"/>
              </w:rPr>
            </w:pPr>
          </w:p>
        </w:tc>
      </w:tr>
      <w:tr>
        <w:trPr>
          <w:trHeight w:val="215"/>
        </w:trPr>
        <w:tc>
          <w:tcPr>
            <w:tcW w:w="7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20" w:type="dxa"/>
            <w:vAlign w:val="bottom"/>
            <w:shd w:val="clear" w:color="auto" w:fill="CFF0FC"/>
          </w:tcPr>
          <w:p>
            <w:pPr>
              <w:spacing w:after="0"/>
              <w:rPr>
                <w:sz w:val="18"/>
                <w:szCs w:val="18"/>
                <w:color w:val="auto"/>
              </w:rPr>
            </w:pPr>
          </w:p>
        </w:tc>
      </w:tr>
      <w:tr>
        <w:trPr>
          <w:trHeight w:val="215"/>
        </w:trPr>
        <w:tc>
          <w:tcPr>
            <w:tcW w:w="7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clinical trial site costs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20" w:type="dxa"/>
            <w:vAlign w:val="bottom"/>
          </w:tcPr>
          <w:p>
            <w:pPr>
              <w:spacing w:after="0"/>
              <w:rPr>
                <w:sz w:val="18"/>
                <w:szCs w:val="18"/>
                <w:color w:val="auto"/>
              </w:rPr>
            </w:pPr>
          </w:p>
        </w:tc>
      </w:tr>
      <w:tr>
        <w:trPr>
          <w:trHeight w:val="215"/>
        </w:trPr>
        <w:tc>
          <w:tcPr>
            <w:tcW w:w="7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FF0FC"/>
          </w:tcPr>
          <w:p>
            <w:pPr>
              <w:spacing w:after="0"/>
              <w:rPr>
                <w:sz w:val="18"/>
                <w:szCs w:val="18"/>
                <w:color w:val="auto"/>
              </w:rPr>
            </w:pPr>
          </w:p>
        </w:tc>
      </w:tr>
      <w:tr>
        <w:trPr>
          <w:trHeight w:val="215"/>
        </w:trPr>
        <w:tc>
          <w:tcPr>
            <w:tcW w:w="7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20" w:type="dxa"/>
            <w:vAlign w:val="bottom"/>
          </w:tcPr>
          <w:p>
            <w:pPr>
              <w:spacing w:after="0"/>
              <w:rPr>
                <w:sz w:val="18"/>
                <w:szCs w:val="18"/>
                <w:color w:val="auto"/>
              </w:rPr>
            </w:pPr>
          </w:p>
        </w:tc>
      </w:tr>
      <w:tr>
        <w:trPr>
          <w:trHeight w:val="209"/>
        </w:trPr>
        <w:tc>
          <w:tcPr>
            <w:tcW w:w="78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120" w:type="dxa"/>
            <w:vAlign w:val="bottom"/>
            <w:shd w:val="clear" w:color="auto" w:fill="CFF0FC"/>
          </w:tcPr>
          <w:p>
            <w:pPr>
              <w:spacing w:after="0"/>
              <w:rPr>
                <w:sz w:val="18"/>
                <w:szCs w:val="18"/>
                <w:color w:val="auto"/>
              </w:rPr>
            </w:pPr>
          </w:p>
        </w:tc>
      </w:tr>
      <w:tr>
        <w:trPr>
          <w:trHeight w:val="21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7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Contingent liability for Essentialis purchase price</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20" w:type="dxa"/>
            <w:vAlign w:val="bottom"/>
            <w:shd w:val="clear" w:color="auto" w:fill="CFF0FC"/>
          </w:tcPr>
          <w:p>
            <w:pPr>
              <w:spacing w:after="0"/>
              <w:rPr>
                <w:sz w:val="18"/>
                <w:szCs w:val="18"/>
                <w:color w:val="auto"/>
              </w:rPr>
            </w:pPr>
          </w:p>
        </w:tc>
      </w:tr>
      <w:tr>
        <w:trPr>
          <w:trHeight w:val="215"/>
        </w:trPr>
        <w:tc>
          <w:tcPr>
            <w:tcW w:w="7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FF0FC"/>
          </w:tcPr>
          <w:p>
            <w:pPr>
              <w:spacing w:after="0"/>
              <w:rPr>
                <w:sz w:val="18"/>
                <w:szCs w:val="18"/>
                <w:color w:val="auto"/>
              </w:rPr>
            </w:pPr>
          </w:p>
        </w:tc>
      </w:tr>
      <w:tr>
        <w:trPr>
          <w:trHeight w:val="215"/>
        </w:trPr>
        <w:tc>
          <w:tcPr>
            <w:tcW w:w="7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8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85,859</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23,184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no shares issued and outstanding</w:t>
            </w:r>
          </w:p>
        </w:tc>
        <w:tc>
          <w:tcPr>
            <w:tcW w:w="22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7860" w:type="dxa"/>
            <w:vAlign w:val="bottom"/>
            <w:shd w:val="clear" w:color="auto" w:fill="CFF0FC"/>
          </w:tcPr>
          <w:p>
            <w:pPr>
              <w:ind w:left="20"/>
              <w:spacing w:after="0" w:line="197" w:lineRule="exact"/>
              <w:rPr>
                <w:sz w:val="20"/>
                <w:szCs w:val="20"/>
                <w:color w:val="auto"/>
              </w:rPr>
            </w:pPr>
            <w:r>
              <w:rPr>
                <w:rFonts w:ascii="Times New Roman" w:cs="Times New Roman" w:eastAsia="Times New Roman" w:hAnsi="Times New Roman"/>
                <w:sz w:val="18"/>
                <w:szCs w:val="18"/>
                <w:color w:val="auto"/>
              </w:rPr>
              <w:t>Common stock, $0.001 par value, 100,000,000 shares authorized,</w:t>
            </w: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5"/>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45,703,811 and 31,678,159 shares issued and outstanding at</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December 31, 2024 and 2023, respectively</w:t>
            </w: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20"/>
                <w:szCs w:val="20"/>
                <w:color w:val="auto"/>
              </w:rPr>
            </w:pPr>
          </w:p>
        </w:tc>
      </w:tr>
      <w:tr>
        <w:trPr>
          <w:trHeight w:val="21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696,966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433,885</w:t>
            </w:r>
          </w:p>
        </w:tc>
        <w:tc>
          <w:tcPr>
            <w:tcW w:w="120" w:type="dxa"/>
            <w:vAlign w:val="bottom"/>
          </w:tcPr>
          <w:p>
            <w:pPr>
              <w:spacing w:after="0"/>
              <w:rPr>
                <w:sz w:val="18"/>
                <w:szCs w:val="18"/>
                <w:color w:val="auto"/>
              </w:rPr>
            </w:pPr>
          </w:p>
        </w:tc>
      </w:tr>
      <w:tr>
        <w:trPr>
          <w:trHeight w:val="215"/>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(452,260 )</w:t>
            </w: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(276,410 )</w:t>
            </w:r>
          </w:p>
        </w:tc>
      </w:tr>
      <w:tr>
        <w:trPr>
          <w:trHeight w:val="209"/>
        </w:trPr>
        <w:tc>
          <w:tcPr>
            <w:tcW w:w="78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245,113</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157,507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330,972</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180,691</w:t>
            </w:r>
          </w:p>
        </w:tc>
        <w:tc>
          <w:tcPr>
            <w:tcW w:w="12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5940425</wp:posOffset>
            </wp:positionH>
            <wp:positionV relativeFrom="paragraph">
              <wp:posOffset>-4625975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-4625975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5940425</wp:posOffset>
            </wp:positionH>
            <wp:positionV relativeFrom="paragraph">
              <wp:posOffset>-3514090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5940425</wp:posOffset>
            </wp:positionH>
            <wp:positionV relativeFrom="paragraph">
              <wp:posOffset>-3497580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-3514090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-3497580</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5940425</wp:posOffset>
            </wp:positionH>
            <wp:positionV relativeFrom="paragraph">
              <wp:posOffset>-1555750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-1555750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5940425</wp:posOffset>
            </wp:positionH>
            <wp:positionV relativeFrom="paragraph">
              <wp:posOffset>-170180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-170180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76" w:name="page77"/>
    <w:bookmarkEnd w:id="7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78,568</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25,189</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105,861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13,481</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0" w:type="dxa"/>
            <w:vAlign w:val="bottom"/>
          </w:tcPr>
          <w:p>
            <w:pPr>
              <w:spacing w:after="0"/>
              <w:rPr>
                <w:sz w:val="1"/>
                <w:szCs w:val="1"/>
                <w:color w:val="auto"/>
              </w:rPr>
            </w:pPr>
          </w:p>
        </w:tc>
      </w:tr>
      <w:tr>
        <w:trPr>
          <w:trHeight w:val="209"/>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187,671</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41,384</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24,397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(187,671 )</w:t>
            </w:r>
          </w:p>
        </w:tc>
        <w:tc>
          <w:tcPr>
            <w:tcW w:w="30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(41,384 )</w:t>
            </w:r>
          </w:p>
        </w:tc>
        <w:tc>
          <w:tcPr>
            <w:tcW w:w="3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(24,397 )</w:t>
            </w:r>
          </w:p>
        </w:tc>
        <w:tc>
          <w:tcPr>
            <w:tcW w:w="0" w:type="dxa"/>
            <w:vAlign w:val="bottom"/>
          </w:tcPr>
          <w:p>
            <w:pPr>
              <w:spacing w:after="0"/>
              <w:rPr>
                <w:sz w:val="1"/>
                <w:szCs w:val="1"/>
                <w:color w:val="auto"/>
              </w:rPr>
            </w:pP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00" w:type="dxa"/>
            <w:vAlign w:val="bottom"/>
          </w:tcPr>
          <w:p>
            <w:pPr>
              <w:spacing w:after="0"/>
              <w:rPr>
                <w:sz w:val="18"/>
                <w:szCs w:val="18"/>
                <w:color w:val="auto"/>
              </w:rPr>
            </w:pPr>
          </w:p>
        </w:tc>
        <w:tc>
          <w:tcPr>
            <w:tcW w:w="12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(182 )</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(231 )</w:t>
            </w:r>
          </w:p>
        </w:tc>
        <w:tc>
          <w:tcPr>
            <w:tcW w:w="30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(175,850 )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(38,988 )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(24,067 )</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unrealized gain on marketable securities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66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(175,489</w:t>
            </w:r>
          </w:p>
        </w:tc>
        <w:tc>
          <w:tcPr>
            <w:tcW w:w="240" w:type="dxa"/>
            <w:vAlign w:val="bottom"/>
            <w:tcBorders>
              <w:top w:val="single" w:sz="8" w:color="CFF0FC"/>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(38,988</w:t>
            </w:r>
          </w:p>
        </w:tc>
        <w:tc>
          <w:tcPr>
            <w:tcW w:w="240" w:type="dxa"/>
            <w:vAlign w:val="bottom"/>
            <w:tcBorders>
              <w:top w:val="single" w:sz="8" w:color="CFF0FC"/>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11"/>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(4.38 )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(2.36 )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660" w:type="dxa"/>
            <w:vAlign w:val="bottom"/>
            <w:shd w:val="clear" w:color="auto" w:fill="CFF0FC"/>
          </w:tcPr>
          <w:p>
            <w:pPr>
              <w:ind w:left="20"/>
              <w:spacing w:after="0" w:line="177" w:lineRule="exact"/>
              <w:rPr>
                <w:sz w:val="20"/>
                <w:szCs w:val="20"/>
                <w:color w:val="auto"/>
              </w:rPr>
            </w:pPr>
            <w:r>
              <w:rPr>
                <w:rFonts w:ascii="Times New Roman" w:cs="Times New Roman" w:eastAsia="Times New Roman" w:hAnsi="Times New Roman"/>
                <w:sz w:val="18"/>
                <w:szCs w:val="18"/>
                <w:color w:val="auto"/>
              </w:rPr>
              <w:t>Weighted-average common shares outstanding used to calculate basic and diluted net loss</w:t>
            </w:r>
          </w:p>
        </w:tc>
        <w:tc>
          <w:tcPr>
            <w:tcW w:w="30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40,175,926</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16,492,132</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8,397,088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660" w:type="dxa"/>
            <w:vAlign w:val="bottom"/>
            <w:tcBorders>
              <w:bottom w:val="single" w:sz="8" w:color="CFF0FC"/>
            </w:tcBorders>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per common share</w:t>
            </w: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5067935</wp:posOffset>
            </wp:positionH>
            <wp:positionV relativeFrom="paragraph">
              <wp:posOffset>-2171700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-2171700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-2171700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5067935</wp:posOffset>
            </wp:positionH>
            <wp:positionV relativeFrom="paragraph">
              <wp:posOffset>-1325245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-1325245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-1325245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5067935</wp:posOffset>
            </wp:positionH>
            <wp:positionV relativeFrom="paragraph">
              <wp:posOffset>-598170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5067935</wp:posOffset>
            </wp:positionH>
            <wp:positionV relativeFrom="paragraph">
              <wp:posOffset>-581025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5067935</wp:posOffset>
            </wp:positionH>
            <wp:positionV relativeFrom="paragraph">
              <wp:posOffset>-743585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-598170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-581025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-743585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-598170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-581025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-743585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5067935</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5067935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-24765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-7620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77" w:name="page78"/>
    <w:bookmarkEnd w:id="7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bl>
      <w:tblPr>
        <w:tblLayout w:type="fixed"/>
        <w:tblInd w:w="0" w:type="dxa"/>
        <w:tblCellMar>
          <w:top w:w="0" w:type="dxa"/>
          <w:left w:w="0" w:type="dxa"/>
          <w:bottom w:w="0" w:type="dxa"/>
          <w:right w:w="0" w:type="dxa"/>
        </w:tblCellMar>
      </w:tblPr>
      <w:tr>
        <w:trPr>
          <w:trHeight w:val="149"/>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Accumulate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64"/>
              <w:spacing w:after="0" w:line="161" w:lineRule="exact"/>
              <w:rPr>
                <w:sz w:val="20"/>
                <w:szCs w:val="20"/>
                <w:color w:val="auto"/>
              </w:rPr>
            </w:pPr>
            <w:r>
              <w:rPr>
                <w:rFonts w:ascii="Times New Roman" w:cs="Times New Roman" w:eastAsia="Times New Roman" w:hAnsi="Times New Roman"/>
                <w:sz w:val="15"/>
                <w:szCs w:val="15"/>
                <w:b w:val="1"/>
                <w:bCs w:val="1"/>
                <w:color w:val="auto"/>
                <w:w w:val="95"/>
              </w:rPr>
              <w:t>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00"/>
              <w:spacing w:after="0" w:line="161" w:lineRule="exact"/>
              <w:rPr>
                <w:sz w:val="20"/>
                <w:szCs w:val="20"/>
                <w:color w:val="auto"/>
              </w:rPr>
            </w:pPr>
            <w:r>
              <w:rPr>
                <w:rFonts w:ascii="Times New Roman" w:cs="Times New Roman" w:eastAsia="Times New Roman" w:hAnsi="Times New Roman"/>
                <w:sz w:val="15"/>
                <w:szCs w:val="15"/>
                <w:b w:val="1"/>
                <w:bCs w:val="1"/>
                <w:color w:val="auto"/>
                <w:w w:val="99"/>
              </w:rPr>
              <w:t>Additional</w:t>
            </w:r>
          </w:p>
        </w:tc>
        <w:tc>
          <w:tcPr>
            <w:tcW w:w="140" w:type="dxa"/>
            <w:vAlign w:val="bottom"/>
          </w:tcPr>
          <w:p>
            <w:pPr>
              <w:spacing w:after="0"/>
              <w:rPr>
                <w:sz w:val="14"/>
                <w:szCs w:val="14"/>
                <w:color w:val="auto"/>
              </w:rPr>
            </w:pPr>
          </w:p>
        </w:tc>
        <w:tc>
          <w:tcPr>
            <w:tcW w:w="740" w:type="dxa"/>
            <w:vAlign w:val="bottom"/>
          </w:tcPr>
          <w:p>
            <w:pPr>
              <w:jc w:val="center"/>
              <w:ind w:right="44"/>
              <w:spacing w:after="0" w:line="161"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20"/>
              <w:spacing w:after="0" w:line="161"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3"/>
            <w:vMerge w:val="restart"/>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5"/>
                <w:szCs w:val="15"/>
                <w:b w:val="1"/>
                <w:bCs w:val="1"/>
                <w:color w:val="auto"/>
              </w:rPr>
              <w:t>Comprehens</w:t>
            </w:r>
          </w:p>
        </w:tc>
        <w:tc>
          <w:tcPr>
            <w:tcW w:w="220" w:type="dxa"/>
            <w:vAlign w:val="bottom"/>
          </w:tcPr>
          <w:p>
            <w:pPr>
              <w:spacing w:after="0"/>
              <w:rPr>
                <w:sz w:val="14"/>
                <w:szCs w:val="14"/>
                <w:color w:val="auto"/>
              </w:rPr>
            </w:pPr>
          </w:p>
        </w:tc>
        <w:tc>
          <w:tcPr>
            <w:tcW w:w="1100" w:type="dxa"/>
            <w:vAlign w:val="bottom"/>
            <w:gridSpan w:val="3"/>
          </w:tcPr>
          <w:p>
            <w:pPr>
              <w:jc w:val="center"/>
              <w:ind w:right="124"/>
              <w:spacing w:after="0" w:line="161" w:lineRule="exact"/>
              <w:rPr>
                <w:sz w:val="20"/>
                <w:szCs w:val="20"/>
                <w:color w:val="auto"/>
              </w:rPr>
            </w:pPr>
            <w:r>
              <w:rPr>
                <w:rFonts w:ascii="Times New Roman" w:cs="Times New Roman" w:eastAsia="Times New Roman" w:hAnsi="Times New Roman"/>
                <w:sz w:val="15"/>
                <w:szCs w:val="15"/>
                <w:b w:val="1"/>
                <w:bCs w:val="1"/>
                <w:color w:val="auto"/>
              </w:rPr>
              <w:t>Accumulate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0"/>
              <w:spacing w:after="0" w:line="169" w:lineRule="exact"/>
              <w:rPr>
                <w:sz w:val="20"/>
                <w:szCs w:val="20"/>
                <w:color w:val="auto"/>
              </w:rPr>
            </w:pPr>
            <w:r>
              <w:rPr>
                <w:rFonts w:ascii="Times New Roman" w:cs="Times New Roman" w:eastAsia="Times New Roman" w:hAnsi="Times New Roman"/>
                <w:sz w:val="15"/>
                <w:szCs w:val="15"/>
                <w:b w:val="1"/>
                <w:bCs w:val="1"/>
                <w:color w:val="auto"/>
              </w:rPr>
              <w:t>Paid-In</w:t>
            </w:r>
          </w:p>
        </w:tc>
        <w:tc>
          <w:tcPr>
            <w:tcW w:w="140" w:type="dxa"/>
            <w:vAlign w:val="bottom"/>
          </w:tcPr>
          <w:p>
            <w:pPr>
              <w:spacing w:after="0"/>
              <w:rPr>
                <w:sz w:val="14"/>
                <w:szCs w:val="14"/>
                <w:color w:val="auto"/>
              </w:rPr>
            </w:pPr>
          </w:p>
        </w:tc>
        <w:tc>
          <w:tcPr>
            <w:tcW w:w="740" w:type="dxa"/>
            <w:vAlign w:val="bottom"/>
          </w:tcPr>
          <w:p>
            <w:pPr>
              <w:jc w:val="center"/>
              <w:ind w:right="44"/>
              <w:spacing w:after="0" w:line="169" w:lineRule="exact"/>
              <w:rPr>
                <w:sz w:val="20"/>
                <w:szCs w:val="20"/>
                <w:color w:val="auto"/>
              </w:rPr>
            </w:pPr>
            <w:r>
              <w:rPr>
                <w:rFonts w:ascii="Times New Roman" w:cs="Times New Roman" w:eastAsia="Times New Roman" w:hAnsi="Times New Roman"/>
                <w:sz w:val="15"/>
                <w:szCs w:val="15"/>
                <w:b w:val="1"/>
                <w:bCs w:val="1"/>
                <w:color w:val="auto"/>
                <w:w w:val="97"/>
              </w:rPr>
              <w:t>ive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84"/>
              <w:spacing w:after="0" w:line="169" w:lineRule="exact"/>
              <w:rPr>
                <w:sz w:val="20"/>
                <w:szCs w:val="20"/>
                <w:color w:val="auto"/>
              </w:rPr>
            </w:pPr>
            <w:r>
              <w:rPr>
                <w:rFonts w:ascii="Times New Roman" w:cs="Times New Roman" w:eastAsia="Times New Roman" w:hAnsi="Times New Roman"/>
                <w:sz w:val="15"/>
                <w:szCs w:val="15"/>
                <w:b w:val="1"/>
                <w:bCs w:val="1"/>
                <w:color w:val="auto"/>
              </w:rPr>
              <w:t>d</w:t>
            </w:r>
          </w:p>
        </w:tc>
        <w:tc>
          <w:tcPr>
            <w:tcW w:w="106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460"/>
              <w:spacing w:after="0" w:line="155" w:lineRule="exact"/>
              <w:rPr>
                <w:sz w:val="20"/>
                <w:szCs w:val="20"/>
                <w:color w:val="auto"/>
              </w:rPr>
            </w:pPr>
            <w:r>
              <w:rPr>
                <w:rFonts w:ascii="Times New Roman" w:cs="Times New Roman" w:eastAsia="Times New Roman" w:hAnsi="Times New Roman"/>
                <w:sz w:val="15"/>
                <w:szCs w:val="15"/>
                <w:b w:val="1"/>
                <w:bCs w:val="1"/>
                <w:color w:val="auto"/>
              </w:rPr>
              <w:t>Shares</w:t>
            </w: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5"/>
                <w:szCs w:val="15"/>
                <w:b w:val="1"/>
                <w:bCs w:val="1"/>
                <w:color w:val="auto"/>
              </w:rPr>
              <w:t>Amount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Pr>
          <w:p>
            <w:pPr>
              <w:spacing w:after="0"/>
              <w:rPr>
                <w:sz w:val="13"/>
                <w:szCs w:val="13"/>
                <w:color w:val="auto"/>
              </w:rPr>
            </w:pPr>
          </w:p>
        </w:tc>
        <w:tc>
          <w:tcPr>
            <w:tcW w:w="740" w:type="dxa"/>
            <w:vAlign w:val="bottom"/>
          </w:tcPr>
          <w:p>
            <w:pPr>
              <w:jc w:val="center"/>
              <w:ind w:right="64"/>
              <w:spacing w:after="0" w:line="155" w:lineRule="exact"/>
              <w:rPr>
                <w:sz w:val="20"/>
                <w:szCs w:val="20"/>
                <w:color w:val="auto"/>
              </w:rPr>
            </w:pPr>
            <w:r>
              <w:rPr>
                <w:rFonts w:ascii="Times New Roman" w:cs="Times New Roman" w:eastAsia="Times New Roman" w:hAnsi="Times New Roman"/>
                <w:sz w:val="15"/>
                <w:szCs w:val="15"/>
                <w:b w:val="1"/>
                <w:bCs w:val="1"/>
                <w:color w:val="auto"/>
              </w:rPr>
              <w:t>Income</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284"/>
              <w:spacing w:after="0" w:line="155" w:lineRule="exact"/>
              <w:rPr>
                <w:sz w:val="20"/>
                <w:szCs w:val="20"/>
                <w:color w:val="auto"/>
              </w:rPr>
            </w:pPr>
            <w:r>
              <w:rPr>
                <w:rFonts w:ascii="Times New Roman" w:cs="Times New Roman" w:eastAsia="Times New Roman" w:hAnsi="Times New Roman"/>
                <w:sz w:val="15"/>
                <w:szCs w:val="15"/>
                <w:b w:val="1"/>
                <w:bCs w:val="1"/>
                <w:color w:val="auto"/>
                <w:w w:val="98"/>
              </w:rPr>
              <w:t>Deficit</w:t>
            </w:r>
          </w:p>
        </w:tc>
        <w:tc>
          <w:tcPr>
            <w:tcW w:w="180" w:type="dxa"/>
            <w:vAlign w:val="bottom"/>
          </w:tcPr>
          <w:p>
            <w:pPr>
              <w:spacing w:after="0"/>
              <w:rPr>
                <w:sz w:val="13"/>
                <w:szCs w:val="13"/>
                <w:color w:val="auto"/>
              </w:rPr>
            </w:pPr>
          </w:p>
        </w:tc>
        <w:tc>
          <w:tcPr>
            <w:tcW w:w="88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55"/>
        </w:trPr>
        <w:tc>
          <w:tcPr>
            <w:tcW w:w="4540" w:type="dxa"/>
            <w:vAlign w:val="bottom"/>
          </w:tcPr>
          <w:p>
            <w:pPr>
              <w:ind w:left="20"/>
              <w:spacing w:after="0" w:line="155" w:lineRule="exact"/>
              <w:rPr>
                <w:sz w:val="20"/>
                <w:szCs w:val="20"/>
                <w:color w:val="auto"/>
              </w:rPr>
            </w:pPr>
            <w:r>
              <w:rPr>
                <w:rFonts w:ascii="Times New Roman" w:cs="Times New Roman" w:eastAsia="Times New Roman" w:hAnsi="Times New Roman"/>
                <w:sz w:val="15"/>
                <w:szCs w:val="15"/>
                <w:color w:val="auto"/>
              </w:rPr>
              <w:t>Balances at December 31, 2021</w:t>
            </w:r>
          </w:p>
        </w:tc>
        <w:tc>
          <w:tcPr>
            <w:tcW w:w="12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5,324,287</w:t>
            </w:r>
          </w:p>
        </w:tc>
        <w:tc>
          <w:tcPr>
            <w:tcW w:w="2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544"/>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5</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231,143</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(213,355</w:t>
            </w:r>
          </w:p>
        </w:tc>
        <w:tc>
          <w:tcPr>
            <w:tcW w:w="200" w:type="dxa"/>
            <w:vAlign w:val="bottom"/>
          </w:tcPr>
          <w:p>
            <w:pPr>
              <w:jc w:val="right"/>
              <w:ind w:right="64"/>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tcBorders>
              <w:top w:val="single" w:sz="8" w:color="auto"/>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17,793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shd w:val="clear" w:color="auto" w:fill="CFF0FC"/>
          </w:tcPr>
          <w:p>
            <w:pPr>
              <w:ind w:left="200"/>
              <w:spacing w:after="0" w:line="155" w:lineRule="exact"/>
              <w:rPr>
                <w:sz w:val="20"/>
                <w:szCs w:val="20"/>
                <w:color w:val="auto"/>
              </w:rPr>
            </w:pPr>
            <w:r>
              <w:rPr>
                <w:rFonts w:ascii="Times New Roman" w:cs="Times New Roman" w:eastAsia="Times New Roman" w:hAnsi="Times New Roman"/>
                <w:sz w:val="15"/>
                <w:szCs w:val="15"/>
                <w:color w:val="auto"/>
              </w:rPr>
              <w:t>Stock-based compensation</w:t>
            </w:r>
          </w:p>
        </w:tc>
        <w:tc>
          <w:tcPr>
            <w:tcW w:w="104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5"/>
                <w:szCs w:val="15"/>
                <w:color w:val="auto"/>
                <w:w w:val="93"/>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5"/>
                <w:szCs w:val="15"/>
                <w:color w:val="auto"/>
              </w:rPr>
              <w:t>2,530</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44"/>
              <w:spacing w:after="0" w:line="155"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5"/>
                <w:szCs w:val="15"/>
                <w:color w:val="auto"/>
              </w:rPr>
              <w:t>2,530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40" w:type="dxa"/>
            <w:vAlign w:val="bottom"/>
          </w:tcPr>
          <w:p>
            <w:pPr>
              <w:ind w:left="200"/>
              <w:spacing w:after="0" w:line="144" w:lineRule="exact"/>
              <w:rPr>
                <w:sz w:val="20"/>
                <w:szCs w:val="20"/>
                <w:color w:val="auto"/>
              </w:rPr>
            </w:pPr>
            <w:r>
              <w:rPr>
                <w:rFonts w:ascii="Times New Roman" w:cs="Times New Roman" w:eastAsia="Times New Roman" w:hAnsi="Times New Roman"/>
                <w:sz w:val="15"/>
                <w:szCs w:val="15"/>
                <w:color w:val="auto"/>
              </w:rPr>
              <w:t>Issuance of common stock in connection with vesting of restricted</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5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stock units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18,650</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540" w:type="dxa"/>
            <w:vAlign w:val="bottom"/>
            <w:shd w:val="clear" w:color="auto" w:fill="CFF0FC"/>
          </w:tcPr>
          <w:p>
            <w:pPr>
              <w:ind w:left="200"/>
              <w:spacing w:after="0" w:line="161" w:lineRule="exact"/>
              <w:rPr>
                <w:sz w:val="20"/>
                <w:szCs w:val="20"/>
                <w:color w:val="auto"/>
              </w:rPr>
            </w:pPr>
            <w:r>
              <w:rPr>
                <w:rFonts w:ascii="Times New Roman" w:cs="Times New Roman" w:eastAsia="Times New Roman" w:hAnsi="Times New Roman"/>
                <w:sz w:val="15"/>
                <w:szCs w:val="15"/>
                <w:color w:val="auto"/>
              </w:rPr>
              <w:t>Tax withholding payments for net share-settled equity awards</w:t>
            </w:r>
          </w:p>
        </w:tc>
        <w:tc>
          <w:tcPr>
            <w:tcW w:w="1260" w:type="dxa"/>
            <w:vAlign w:val="bottom"/>
            <w:gridSpan w:val="3"/>
            <w:shd w:val="clear" w:color="auto" w:fill="CFF0FC"/>
          </w:tcPr>
          <w:p>
            <w:pPr>
              <w:jc w:val="right"/>
              <w:ind w:right="160"/>
              <w:spacing w:after="0" w:line="161" w:lineRule="exact"/>
              <w:rPr>
                <w:sz w:val="20"/>
                <w:szCs w:val="20"/>
                <w:color w:val="auto"/>
              </w:rPr>
            </w:pPr>
            <w:r>
              <w:rPr>
                <w:rFonts w:ascii="Times New Roman" w:cs="Times New Roman" w:eastAsia="Times New Roman" w:hAnsi="Times New Roman"/>
                <w:sz w:val="15"/>
                <w:szCs w:val="15"/>
                <w:color w:val="auto"/>
              </w:rPr>
              <w:t>(3,683 )</w:t>
            </w: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w w:val="93"/>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line="161" w:lineRule="exact"/>
              <w:rPr>
                <w:sz w:val="20"/>
                <w:szCs w:val="20"/>
                <w:color w:val="auto"/>
              </w:rPr>
            </w:pPr>
            <w:r>
              <w:rPr>
                <w:rFonts w:ascii="Times New Roman" w:cs="Times New Roman" w:eastAsia="Times New Roman" w:hAnsi="Times New Roman"/>
                <w:sz w:val="15"/>
                <w:szCs w:val="15"/>
                <w:color w:val="auto"/>
              </w:rPr>
              <w:t>(16 )</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line="161" w:lineRule="exact"/>
              <w:rPr>
                <w:sz w:val="20"/>
                <w:szCs w:val="20"/>
                <w:color w:val="auto"/>
              </w:rPr>
            </w:pPr>
            <w:r>
              <w:rPr>
                <w:rFonts w:ascii="Times New Roman" w:cs="Times New Roman" w:eastAsia="Times New Roman" w:hAnsi="Times New Roman"/>
                <w:sz w:val="15"/>
                <w:szCs w:val="15"/>
                <w:color w:val="auto"/>
              </w:rPr>
              <w:t>(16 )</w:t>
            </w:r>
          </w:p>
        </w:tc>
        <w:tc>
          <w:tcPr>
            <w:tcW w:w="0" w:type="dxa"/>
            <w:vAlign w:val="bottom"/>
          </w:tcPr>
          <w:p>
            <w:pPr>
              <w:spacing w:after="0"/>
              <w:rPr>
                <w:sz w:val="1"/>
                <w:szCs w:val="1"/>
                <w:color w:val="auto"/>
              </w:rPr>
            </w:pPr>
          </w:p>
        </w:tc>
      </w:tr>
      <w:tr>
        <w:trPr>
          <w:trHeight w:val="162"/>
        </w:trPr>
        <w:tc>
          <w:tcPr>
            <w:tcW w:w="4540" w:type="dxa"/>
            <w:vAlign w:val="bottom"/>
          </w:tcPr>
          <w:p>
            <w:pPr>
              <w:ind w:left="200"/>
              <w:spacing w:after="0" w:line="161" w:lineRule="exact"/>
              <w:rPr>
                <w:sz w:val="20"/>
                <w:szCs w:val="20"/>
                <w:color w:val="auto"/>
              </w:rPr>
            </w:pPr>
            <w:r>
              <w:rPr>
                <w:rFonts w:ascii="Times New Roman" w:cs="Times New Roman" w:eastAsia="Times New Roman" w:hAnsi="Times New Roman"/>
                <w:sz w:val="15"/>
                <w:szCs w:val="15"/>
                <w:color w:val="auto"/>
              </w:rPr>
              <w:t>Sale of common stock in public offering, net of issuance costs of $701</w:t>
            </w:r>
          </w:p>
        </w:tc>
        <w:tc>
          <w:tcPr>
            <w:tcW w:w="104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auto"/>
              </w:rPr>
              <w:t>2,666,667</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9,324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7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9,327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540" w:type="dxa"/>
            <w:vAlign w:val="bottom"/>
            <w:shd w:val="clear" w:color="auto" w:fill="CFF0FC"/>
          </w:tcPr>
          <w:p>
            <w:pPr>
              <w:ind w:left="200"/>
              <w:spacing w:after="0" w:line="144" w:lineRule="exact"/>
              <w:rPr>
                <w:sz w:val="20"/>
                <w:szCs w:val="20"/>
                <w:color w:val="auto"/>
              </w:rPr>
            </w:pPr>
            <w:r>
              <w:rPr>
                <w:rFonts w:ascii="Times New Roman" w:cs="Times New Roman" w:eastAsia="Times New Roman" w:hAnsi="Times New Roman"/>
                <w:sz w:val="15"/>
                <w:szCs w:val="15"/>
                <w:color w:val="auto"/>
              </w:rPr>
              <w:t>Sale of pre-funded warrants in public offering, net of issuance costs of</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$333</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4,439</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4,439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540" w:type="dxa"/>
            <w:vAlign w:val="bottom"/>
          </w:tcPr>
          <w:p>
            <w:pPr>
              <w:ind w:left="200"/>
              <w:spacing w:after="0" w:line="144" w:lineRule="exact"/>
              <w:rPr>
                <w:sz w:val="20"/>
                <w:szCs w:val="20"/>
                <w:color w:val="auto"/>
              </w:rPr>
            </w:pPr>
            <w:r>
              <w:rPr>
                <w:rFonts w:ascii="Times New Roman" w:cs="Times New Roman" w:eastAsia="Times New Roman" w:hAnsi="Times New Roman"/>
                <w:sz w:val="15"/>
                <w:szCs w:val="15"/>
                <w:color w:val="auto"/>
              </w:rPr>
              <w:t>Sale of common stock, net of issuance costs of $10</w:t>
            </w:r>
          </w:p>
        </w:tc>
        <w:tc>
          <w:tcPr>
            <w:tcW w:w="10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5"/>
                <w:szCs w:val="15"/>
                <w:color w:val="auto"/>
              </w:rPr>
              <w:t>104,773</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jc w:val="right"/>
              <w:spacing w:after="0" w:line="144" w:lineRule="exact"/>
              <w:rPr>
                <w:sz w:val="20"/>
                <w:szCs w:val="20"/>
                <w:color w:val="auto"/>
              </w:rPr>
            </w:pPr>
            <w:r>
              <w:rPr>
                <w:rFonts w:ascii="Times New Roman" w:cs="Times New Roman" w:eastAsia="Times New Roman" w:hAnsi="Times New Roman"/>
                <w:sz w:val="15"/>
                <w:szCs w:val="15"/>
                <w:color w:val="auto"/>
                <w:w w:val="93"/>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5"/>
                <w:szCs w:val="15"/>
                <w:color w:val="auto"/>
              </w:rPr>
              <w:t>342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4"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44"/>
              <w:spacing w:after="0" w:line="144"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2"/>
                <w:szCs w:val="12"/>
                <w:color w:val="auto"/>
              </w:rPr>
            </w:pPr>
          </w:p>
        </w:tc>
        <w:tc>
          <w:tcPr>
            <w:tcW w:w="760" w:type="dxa"/>
            <w:vAlign w:val="bottom"/>
          </w:tcPr>
          <w:p>
            <w:pPr>
              <w:jc w:val="right"/>
              <w:spacing w:after="0" w:line="144" w:lineRule="exact"/>
              <w:rPr>
                <w:sz w:val="20"/>
                <w:szCs w:val="20"/>
                <w:color w:val="auto"/>
              </w:rPr>
            </w:pPr>
            <w:r>
              <w:rPr>
                <w:rFonts w:ascii="Times New Roman" w:cs="Times New Roman" w:eastAsia="Times New Roman" w:hAnsi="Times New Roman"/>
                <w:sz w:val="15"/>
                <w:szCs w:val="15"/>
                <w:color w:val="auto"/>
              </w:rPr>
              <w:t>342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5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Exercise of common stock warrants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48,688</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540" w:type="dxa"/>
            <w:vAlign w:val="bottom"/>
            <w:shd w:val="clear" w:color="auto" w:fill="CFF0FC"/>
          </w:tcPr>
          <w:p>
            <w:pPr>
              <w:ind w:left="200"/>
              <w:spacing w:after="0" w:line="161" w:lineRule="exact"/>
              <w:rPr>
                <w:sz w:val="20"/>
                <w:szCs w:val="20"/>
                <w:color w:val="auto"/>
              </w:rPr>
            </w:pPr>
            <w:r>
              <w:rPr>
                <w:rFonts w:ascii="Times New Roman" w:cs="Times New Roman" w:eastAsia="Times New Roman" w:hAnsi="Times New Roman"/>
                <w:sz w:val="15"/>
                <w:szCs w:val="15"/>
                <w:color w:val="auto"/>
              </w:rPr>
              <w:t>Net loss</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w w:val="93"/>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4"/>
              <w:spacing w:after="0" w:line="161" w:lineRule="exact"/>
              <w:rPr>
                <w:sz w:val="20"/>
                <w:szCs w:val="20"/>
                <w:color w:val="auto"/>
              </w:rPr>
            </w:pPr>
            <w:r>
              <w:rPr>
                <w:rFonts w:ascii="Times New Roman" w:cs="Times New Roman" w:eastAsia="Times New Roman" w:hAnsi="Times New Roman"/>
                <w:sz w:val="15"/>
                <w:szCs w:val="15"/>
                <w:color w:val="auto"/>
              </w:rPr>
              <w:t>(24,067 )</w:t>
            </w:r>
          </w:p>
        </w:tc>
        <w:tc>
          <w:tcPr>
            <w:tcW w:w="1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line="161" w:lineRule="exact"/>
              <w:rPr>
                <w:sz w:val="20"/>
                <w:szCs w:val="20"/>
                <w:color w:val="auto"/>
              </w:rPr>
            </w:pPr>
            <w:r>
              <w:rPr>
                <w:rFonts w:ascii="Times New Roman" w:cs="Times New Roman" w:eastAsia="Times New Roman" w:hAnsi="Times New Roman"/>
                <w:sz w:val="15"/>
                <w:szCs w:val="15"/>
                <w:color w:val="auto"/>
              </w:rPr>
              <w:t>(24,067 )</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Balances at December 31, 2022</w:t>
            </w:r>
          </w:p>
        </w:tc>
        <w:tc>
          <w:tcPr>
            <w:tcW w:w="1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54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5"/>
                <w:szCs w:val="15"/>
                <w:color w:val="auto"/>
              </w:rPr>
              <w:t>8,159,382</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544"/>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5"/>
                <w:szCs w:val="15"/>
                <w:color w:val="auto"/>
              </w:rPr>
              <w:t>8</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5"/>
                <w:szCs w:val="15"/>
                <w:color w:val="auto"/>
              </w:rPr>
              <w:t>247,762</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FF0FC"/>
          </w:tcPr>
          <w:p>
            <w:pPr>
              <w:jc w:val="right"/>
              <w:ind w:right="64"/>
              <w:spacing w:after="0" w:line="155" w:lineRule="exact"/>
              <w:rPr>
                <w:sz w:val="20"/>
                <w:szCs w:val="20"/>
                <w:color w:val="auto"/>
              </w:rPr>
            </w:pPr>
            <w:r>
              <w:rPr>
                <w:rFonts w:ascii="Times New Roman" w:cs="Times New Roman" w:eastAsia="Times New Roman" w:hAnsi="Times New Roman"/>
                <w:sz w:val="15"/>
                <w:szCs w:val="15"/>
                <w:color w:val="auto"/>
              </w:rPr>
              <w:t>(237,422 )</w:t>
            </w:r>
          </w:p>
        </w:tc>
        <w:tc>
          <w:tcPr>
            <w:tcW w:w="18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5"/>
                <w:szCs w:val="15"/>
                <w:color w:val="auto"/>
              </w:rPr>
              <w:t>10,348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tcBorders>
              <w:top w:val="single" w:sz="8" w:color="CFF0FC"/>
            </w:tcBorders>
          </w:tcPr>
          <w:p>
            <w:pPr>
              <w:ind w:left="200"/>
              <w:spacing w:after="0" w:line="155" w:lineRule="exact"/>
              <w:rPr>
                <w:sz w:val="20"/>
                <w:szCs w:val="20"/>
                <w:color w:val="auto"/>
              </w:rPr>
            </w:pPr>
            <w:r>
              <w:rPr>
                <w:rFonts w:ascii="Times New Roman" w:cs="Times New Roman" w:eastAsia="Times New Roman" w:hAnsi="Times New Roman"/>
                <w:sz w:val="15"/>
                <w:szCs w:val="15"/>
                <w:color w:val="auto"/>
              </w:rPr>
              <w:t>Stock-based compensation</w:t>
            </w:r>
          </w:p>
        </w:tc>
        <w:tc>
          <w:tcPr>
            <w:tcW w:w="120" w:type="dxa"/>
            <w:vAlign w:val="bottom"/>
            <w:tcBorders>
              <w:top w:val="single" w:sz="8" w:color="CFF0FC"/>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FF0FC"/>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w w:val="93"/>
              </w:rPr>
              <w:t>—</w:t>
            </w:r>
          </w:p>
        </w:tc>
        <w:tc>
          <w:tcPr>
            <w:tcW w:w="2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5,809</w:t>
            </w: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5,809</w:t>
            </w: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40" w:type="dxa"/>
            <w:vAlign w:val="bottom"/>
            <w:shd w:val="clear" w:color="auto" w:fill="CFF0FC"/>
          </w:tcPr>
          <w:p>
            <w:pPr>
              <w:ind w:left="200"/>
              <w:spacing w:after="0" w:line="144" w:lineRule="exact"/>
              <w:rPr>
                <w:sz w:val="20"/>
                <w:szCs w:val="20"/>
                <w:color w:val="auto"/>
              </w:rPr>
            </w:pPr>
            <w:r>
              <w:rPr>
                <w:rFonts w:ascii="Times New Roman" w:cs="Times New Roman" w:eastAsia="Times New Roman" w:hAnsi="Times New Roman"/>
                <w:sz w:val="15"/>
                <w:szCs w:val="15"/>
                <w:color w:val="auto"/>
              </w:rPr>
              <w:t>Issuance of common stock in connection with exercise of stock</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options and vesting of restricted stock units</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510,241</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40" w:type="dxa"/>
            <w:vAlign w:val="bottom"/>
          </w:tcPr>
          <w:p>
            <w:pPr>
              <w:ind w:left="200"/>
              <w:spacing w:after="0" w:line="161" w:lineRule="exact"/>
              <w:rPr>
                <w:sz w:val="20"/>
                <w:szCs w:val="20"/>
                <w:color w:val="auto"/>
              </w:rPr>
            </w:pPr>
            <w:r>
              <w:rPr>
                <w:rFonts w:ascii="Times New Roman" w:cs="Times New Roman" w:eastAsia="Times New Roman" w:hAnsi="Times New Roman"/>
                <w:sz w:val="15"/>
                <w:szCs w:val="15"/>
                <w:color w:val="auto"/>
              </w:rPr>
              <w:t>Tax withholding payments for net share-settled equity awards</w:t>
            </w:r>
          </w:p>
        </w:tc>
        <w:tc>
          <w:tcPr>
            <w:tcW w:w="1260" w:type="dxa"/>
            <w:vAlign w:val="bottom"/>
            <w:gridSpan w:val="3"/>
          </w:tcPr>
          <w:p>
            <w:pPr>
              <w:jc w:val="right"/>
              <w:ind w:right="160"/>
              <w:spacing w:after="0" w:line="161" w:lineRule="exact"/>
              <w:rPr>
                <w:sz w:val="20"/>
                <w:szCs w:val="20"/>
                <w:color w:val="auto"/>
              </w:rPr>
            </w:pPr>
            <w:r>
              <w:rPr>
                <w:rFonts w:ascii="Times New Roman" w:cs="Times New Roman" w:eastAsia="Times New Roman" w:hAnsi="Times New Roman"/>
                <w:sz w:val="15"/>
                <w:szCs w:val="15"/>
                <w:color w:val="auto"/>
              </w:rPr>
              <w:t>(128 )</w:t>
            </w:r>
          </w:p>
        </w:tc>
        <w:tc>
          <w:tcPr>
            <w:tcW w:w="700" w:type="dxa"/>
            <w:vAlign w:val="bottom"/>
          </w:tcPr>
          <w:p>
            <w:pPr>
              <w:spacing w:after="0"/>
              <w:rPr>
                <w:sz w:val="14"/>
                <w:szCs w:val="14"/>
                <w:color w:val="auto"/>
              </w:rPr>
            </w:pPr>
          </w:p>
        </w:tc>
        <w:tc>
          <w:tcPr>
            <w:tcW w:w="18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w w:val="93"/>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74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line="16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4"/>
        </w:trPr>
        <w:tc>
          <w:tcPr>
            <w:tcW w:w="4540" w:type="dxa"/>
            <w:vAlign w:val="bottom"/>
            <w:shd w:val="clear" w:color="auto" w:fill="CFF0FC"/>
          </w:tcPr>
          <w:p>
            <w:pPr>
              <w:ind w:left="200"/>
              <w:spacing w:after="0" w:line="144" w:lineRule="exact"/>
              <w:rPr>
                <w:sz w:val="20"/>
                <w:szCs w:val="20"/>
                <w:color w:val="auto"/>
              </w:rPr>
            </w:pPr>
            <w:r>
              <w:rPr>
                <w:rFonts w:ascii="Times New Roman" w:cs="Times New Roman" w:eastAsia="Times New Roman" w:hAnsi="Times New Roman"/>
                <w:sz w:val="15"/>
                <w:szCs w:val="15"/>
                <w:color w:val="auto"/>
              </w:rPr>
              <w:t>Sale of common stock and issuance of common stock warrants and</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pre-funded common stock warrants, net of issuance costs of $8,449</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7,047,397</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137,851</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137,857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40" w:type="dxa"/>
            <w:vAlign w:val="bottom"/>
          </w:tcPr>
          <w:p>
            <w:pPr>
              <w:ind w:left="200"/>
              <w:spacing w:after="0" w:line="161" w:lineRule="exact"/>
              <w:rPr>
                <w:sz w:val="20"/>
                <w:szCs w:val="20"/>
                <w:color w:val="auto"/>
              </w:rPr>
            </w:pPr>
            <w:r>
              <w:rPr>
                <w:rFonts w:ascii="Times New Roman" w:cs="Times New Roman" w:eastAsia="Times New Roman" w:hAnsi="Times New Roman"/>
                <w:sz w:val="15"/>
                <w:szCs w:val="15"/>
                <w:color w:val="auto"/>
              </w:rPr>
              <w:t>Exercise of common stock warrants</w:t>
            </w:r>
          </w:p>
        </w:tc>
        <w:tc>
          <w:tcPr>
            <w:tcW w:w="104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auto"/>
              </w:rPr>
              <w:t>15,961,267</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w w:val="93"/>
              </w:rPr>
              <w:t>17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41,981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7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41,998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FF0FC"/>
          </w:tcPr>
          <w:p>
            <w:pPr>
              <w:ind w:left="200"/>
              <w:spacing w:after="0" w:line="161" w:lineRule="exact"/>
              <w:rPr>
                <w:sz w:val="20"/>
                <w:szCs w:val="20"/>
                <w:color w:val="auto"/>
              </w:rPr>
            </w:pPr>
            <w:r>
              <w:rPr>
                <w:rFonts w:ascii="Times New Roman" w:cs="Times New Roman" w:eastAsia="Times New Roman" w:hAnsi="Times New Roman"/>
                <w:sz w:val="15"/>
                <w:szCs w:val="15"/>
                <w:color w:val="auto"/>
              </w:rPr>
              <w:t>Net loss</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w w:val="93"/>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4"/>
              <w:spacing w:after="0" w:line="161" w:lineRule="exact"/>
              <w:rPr>
                <w:sz w:val="20"/>
                <w:szCs w:val="20"/>
                <w:color w:val="auto"/>
              </w:rPr>
            </w:pPr>
            <w:r>
              <w:rPr>
                <w:rFonts w:ascii="Times New Roman" w:cs="Times New Roman" w:eastAsia="Times New Roman" w:hAnsi="Times New Roman"/>
                <w:sz w:val="15"/>
                <w:szCs w:val="15"/>
                <w:color w:val="auto"/>
              </w:rPr>
              <w:t>(38,988 )</w:t>
            </w:r>
          </w:p>
        </w:tc>
        <w:tc>
          <w:tcPr>
            <w:tcW w:w="1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line="161" w:lineRule="exact"/>
              <w:rPr>
                <w:sz w:val="20"/>
                <w:szCs w:val="20"/>
                <w:color w:val="auto"/>
              </w:rPr>
            </w:pPr>
            <w:r>
              <w:rPr>
                <w:rFonts w:ascii="Times New Roman" w:cs="Times New Roman" w:eastAsia="Times New Roman" w:hAnsi="Times New Roman"/>
                <w:sz w:val="15"/>
                <w:szCs w:val="15"/>
                <w:color w:val="auto"/>
              </w:rPr>
              <w:t>(38,988 )</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540" w:type="dxa"/>
            <w:vAlign w:val="bottom"/>
          </w:tcPr>
          <w:p>
            <w:pPr>
              <w:ind w:left="20"/>
              <w:spacing w:after="0" w:line="155" w:lineRule="exact"/>
              <w:rPr>
                <w:sz w:val="20"/>
                <w:szCs w:val="20"/>
                <w:color w:val="auto"/>
              </w:rPr>
            </w:pPr>
            <w:r>
              <w:rPr>
                <w:rFonts w:ascii="Times New Roman" w:cs="Times New Roman" w:eastAsia="Times New Roman" w:hAnsi="Times New Roman"/>
                <w:sz w:val="15"/>
                <w:szCs w:val="15"/>
                <w:color w:val="auto"/>
              </w:rPr>
              <w:t>Balances at December 31, 2023</w:t>
            </w:r>
          </w:p>
        </w:tc>
        <w:tc>
          <w:tcPr>
            <w:tcW w:w="1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5"/>
                <w:szCs w:val="15"/>
                <w:color w:val="auto"/>
              </w:rPr>
              <w:t>31,678,159</w:t>
            </w:r>
          </w:p>
        </w:tc>
        <w:tc>
          <w:tcPr>
            <w:tcW w:w="220" w:type="dxa"/>
            <w:vAlign w:val="bottom"/>
          </w:tcPr>
          <w:p>
            <w:pPr>
              <w:spacing w:after="0"/>
              <w:rPr>
                <w:sz w:val="13"/>
                <w:szCs w:val="13"/>
                <w:color w:val="auto"/>
              </w:rPr>
            </w:pPr>
          </w:p>
        </w:tc>
        <w:tc>
          <w:tcPr>
            <w:tcW w:w="700" w:type="dxa"/>
            <w:vAlign w:val="bottom"/>
          </w:tcPr>
          <w:p>
            <w:pPr>
              <w:jc w:val="right"/>
              <w:ind w:right="544"/>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tcPr>
          <w:p>
            <w:pPr>
              <w:jc w:val="right"/>
              <w:spacing w:after="0" w:line="155" w:lineRule="exact"/>
              <w:rPr>
                <w:sz w:val="20"/>
                <w:szCs w:val="20"/>
                <w:color w:val="auto"/>
              </w:rPr>
            </w:pPr>
            <w:r>
              <w:rPr>
                <w:rFonts w:ascii="Times New Roman" w:cs="Times New Roman" w:eastAsia="Times New Roman" w:hAnsi="Times New Roman"/>
                <w:sz w:val="15"/>
                <w:szCs w:val="15"/>
                <w:color w:val="auto"/>
                <w:w w:val="93"/>
              </w:rPr>
              <w:t>32</w:t>
            </w:r>
          </w:p>
        </w:tc>
        <w:tc>
          <w:tcPr>
            <w:tcW w:w="22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5"/>
                <w:szCs w:val="15"/>
                <w:color w:val="auto"/>
              </w:rPr>
              <w:t>433,885</w:t>
            </w:r>
          </w:p>
        </w:tc>
        <w:tc>
          <w:tcPr>
            <w:tcW w:w="22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64"/>
              <w:spacing w:after="0" w:line="155" w:lineRule="exact"/>
              <w:rPr>
                <w:sz w:val="20"/>
                <w:szCs w:val="20"/>
                <w:color w:val="auto"/>
              </w:rPr>
            </w:pPr>
            <w:r>
              <w:rPr>
                <w:rFonts w:ascii="Times New Roman" w:cs="Times New Roman" w:eastAsia="Times New Roman" w:hAnsi="Times New Roman"/>
                <w:sz w:val="15"/>
                <w:szCs w:val="15"/>
                <w:color w:val="auto"/>
              </w:rPr>
              <w:t>(276,410 )</w:t>
            </w:r>
          </w:p>
        </w:tc>
        <w:tc>
          <w:tcPr>
            <w:tcW w:w="180" w:type="dxa"/>
            <w:vAlign w:val="bottom"/>
          </w:tcPr>
          <w:p>
            <w:pPr>
              <w:ind w:left="20"/>
              <w:spacing w:after="0" w:line="155"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5"/>
                <w:szCs w:val="15"/>
                <w:color w:val="auto"/>
              </w:rPr>
              <w:t>157,507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40" w:type="dxa"/>
            <w:vAlign w:val="bottom"/>
            <w:shd w:val="clear" w:color="auto" w:fill="CFF0FC"/>
          </w:tcPr>
          <w:p>
            <w:pPr>
              <w:ind w:left="200"/>
              <w:spacing w:after="0" w:line="142" w:lineRule="exact"/>
              <w:rPr>
                <w:sz w:val="20"/>
                <w:szCs w:val="20"/>
                <w:color w:val="auto"/>
              </w:rPr>
            </w:pPr>
            <w:r>
              <w:rPr>
                <w:rFonts w:ascii="Times New Roman" w:cs="Times New Roman" w:eastAsia="Times New Roman" w:hAnsi="Times New Roman"/>
                <w:sz w:val="15"/>
                <w:szCs w:val="15"/>
                <w:color w:val="auto"/>
              </w:rPr>
              <w:t>Stock-based compensation</w:t>
            </w:r>
          </w:p>
        </w:tc>
        <w:tc>
          <w:tcPr>
            <w:tcW w:w="1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93"/>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99,958</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4"/>
              <w:spacing w:after="0" w:line="14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99,958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40" w:type="dxa"/>
            <w:vAlign w:val="bottom"/>
          </w:tcPr>
          <w:p>
            <w:pPr>
              <w:ind w:left="200"/>
              <w:spacing w:after="0" w:line="144" w:lineRule="exact"/>
              <w:rPr>
                <w:sz w:val="20"/>
                <w:szCs w:val="20"/>
                <w:color w:val="auto"/>
              </w:rPr>
            </w:pPr>
            <w:r>
              <w:rPr>
                <w:rFonts w:ascii="Times New Roman" w:cs="Times New Roman" w:eastAsia="Times New Roman" w:hAnsi="Times New Roman"/>
                <w:sz w:val="15"/>
                <w:szCs w:val="15"/>
                <w:color w:val="auto"/>
              </w:rPr>
              <w:t>Issuance of common stock in connection with exercise of stock</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5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options and vesting of restricted stock units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1,125,054</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FF0FC"/>
          </w:tcPr>
          <w:p>
            <w:pPr>
              <w:ind w:left="200"/>
              <w:spacing w:after="0" w:line="161" w:lineRule="exact"/>
              <w:rPr>
                <w:sz w:val="20"/>
                <w:szCs w:val="20"/>
                <w:color w:val="auto"/>
              </w:rPr>
            </w:pPr>
            <w:r>
              <w:rPr>
                <w:rFonts w:ascii="Times New Roman" w:cs="Times New Roman" w:eastAsia="Times New Roman" w:hAnsi="Times New Roman"/>
                <w:sz w:val="15"/>
                <w:szCs w:val="15"/>
                <w:color w:val="auto"/>
              </w:rPr>
              <w:t>Sale of common stock, net of issuance costs of $9,746</w:t>
            </w:r>
          </w:p>
        </w:tc>
        <w:tc>
          <w:tcPr>
            <w:tcW w:w="1040" w:type="dxa"/>
            <w:vAlign w:val="bottom"/>
            <w:gridSpan w:val="2"/>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3,450,000</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148,951</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148,955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540" w:type="dxa"/>
            <w:vAlign w:val="bottom"/>
          </w:tcPr>
          <w:p>
            <w:pPr>
              <w:ind w:left="200"/>
              <w:spacing w:after="0" w:line="144" w:lineRule="exact"/>
              <w:rPr>
                <w:sz w:val="20"/>
                <w:szCs w:val="20"/>
                <w:color w:val="auto"/>
              </w:rPr>
            </w:pPr>
            <w:r>
              <w:rPr>
                <w:rFonts w:ascii="Times New Roman" w:cs="Times New Roman" w:eastAsia="Times New Roman" w:hAnsi="Times New Roman"/>
                <w:sz w:val="15"/>
                <w:szCs w:val="15"/>
                <w:color w:val="auto"/>
              </w:rPr>
              <w:t>Exercise of common stock warrants and pre-funded common stock</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5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warrants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9,450,598</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12,857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12,866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FF0FC"/>
          </w:tcPr>
          <w:p>
            <w:pPr>
              <w:ind w:left="200"/>
              <w:spacing w:after="0" w:line="161" w:lineRule="exact"/>
              <w:rPr>
                <w:sz w:val="20"/>
                <w:szCs w:val="20"/>
                <w:color w:val="auto"/>
              </w:rPr>
            </w:pPr>
            <w:r>
              <w:rPr>
                <w:rFonts w:ascii="Times New Roman" w:cs="Times New Roman" w:eastAsia="Times New Roman" w:hAnsi="Times New Roman"/>
                <w:sz w:val="15"/>
                <w:szCs w:val="15"/>
                <w:color w:val="auto"/>
              </w:rPr>
              <w:t>Unrealized gain on marketable securities</w:t>
            </w: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w w:val="93"/>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361</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361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ind w:left="200"/>
              <w:spacing w:after="0" w:line="161" w:lineRule="exact"/>
              <w:rPr>
                <w:sz w:val="20"/>
                <w:szCs w:val="20"/>
                <w:color w:val="auto"/>
              </w:rPr>
            </w:pPr>
            <w:r>
              <w:rPr>
                <w:rFonts w:ascii="Times New Roman" w:cs="Times New Roman" w:eastAsia="Times New Roman" w:hAnsi="Times New Roman"/>
                <w:sz w:val="15"/>
                <w:szCs w:val="15"/>
                <w:color w:val="auto"/>
              </w:rPr>
              <w:t>Net loss</w:t>
            </w:r>
          </w:p>
        </w:tc>
        <w:tc>
          <w:tcPr>
            <w:tcW w:w="120" w:type="dxa"/>
            <w:vAlign w:val="bottom"/>
          </w:tcPr>
          <w:p>
            <w:pPr>
              <w:spacing w:after="0"/>
              <w:rPr>
                <w:sz w:val="14"/>
                <w:szCs w:val="14"/>
                <w:color w:val="auto"/>
              </w:rPr>
            </w:pPr>
          </w:p>
        </w:tc>
        <w:tc>
          <w:tcPr>
            <w:tcW w:w="92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w w:val="93"/>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64"/>
              <w:spacing w:after="0" w:line="161" w:lineRule="exact"/>
              <w:rPr>
                <w:sz w:val="20"/>
                <w:szCs w:val="20"/>
                <w:color w:val="auto"/>
              </w:rPr>
            </w:pPr>
            <w:r>
              <w:rPr>
                <w:rFonts w:ascii="Times New Roman" w:cs="Times New Roman" w:eastAsia="Times New Roman" w:hAnsi="Times New Roman"/>
                <w:sz w:val="15"/>
                <w:szCs w:val="15"/>
                <w:color w:val="auto"/>
              </w:rPr>
              <w:t>(175,850 )</w:t>
            </w:r>
          </w:p>
        </w:tc>
        <w:tc>
          <w:tcPr>
            <w:tcW w:w="180" w:type="dxa"/>
            <w:vAlign w:val="bottom"/>
          </w:tcPr>
          <w:p>
            <w:pPr>
              <w:spacing w:after="0"/>
              <w:rPr>
                <w:sz w:val="14"/>
                <w:szCs w:val="14"/>
                <w:color w:val="auto"/>
              </w:rPr>
            </w:pPr>
          </w:p>
        </w:tc>
        <w:tc>
          <w:tcPr>
            <w:tcW w:w="880" w:type="dxa"/>
            <w:vAlign w:val="bottom"/>
            <w:gridSpan w:val="2"/>
          </w:tcPr>
          <w:p>
            <w:pPr>
              <w:jc w:val="right"/>
              <w:ind w:right="60"/>
              <w:spacing w:after="0" w:line="161" w:lineRule="exact"/>
              <w:rPr>
                <w:sz w:val="20"/>
                <w:szCs w:val="20"/>
                <w:color w:val="auto"/>
              </w:rPr>
            </w:pPr>
            <w:r>
              <w:rPr>
                <w:rFonts w:ascii="Times New Roman" w:cs="Times New Roman" w:eastAsia="Times New Roman" w:hAnsi="Times New Roman"/>
                <w:sz w:val="15"/>
                <w:szCs w:val="15"/>
                <w:color w:val="auto"/>
              </w:rPr>
              <w:t>(175,850 )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54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5"/>
                <w:szCs w:val="15"/>
                <w:color w:val="auto"/>
              </w:rPr>
              <w:t>Balances at December 31, 2024</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5"/>
                <w:szCs w:val="15"/>
                <w:color w:val="auto"/>
              </w:rPr>
              <w:t>45,703,811</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544"/>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5"/>
                <w:szCs w:val="15"/>
                <w:color w:val="auto"/>
                <w:w w:val="93"/>
              </w:rPr>
              <w:t>46</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5"/>
                <w:szCs w:val="15"/>
                <w:color w:val="auto"/>
              </w:rPr>
              <w:t>696,966</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5"/>
                <w:szCs w:val="15"/>
                <w:color w:val="auto"/>
              </w:rPr>
              <w:t>361</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FF0FC"/>
          </w:tcPr>
          <w:p>
            <w:pPr>
              <w:jc w:val="right"/>
              <w:ind w:right="64"/>
              <w:spacing w:after="0" w:line="155" w:lineRule="exact"/>
              <w:rPr>
                <w:sz w:val="20"/>
                <w:szCs w:val="20"/>
                <w:color w:val="auto"/>
              </w:rPr>
            </w:pPr>
            <w:r>
              <w:rPr>
                <w:rFonts w:ascii="Times New Roman" w:cs="Times New Roman" w:eastAsia="Times New Roman" w:hAnsi="Times New Roman"/>
                <w:sz w:val="15"/>
                <w:szCs w:val="15"/>
                <w:color w:val="auto"/>
              </w:rPr>
              <w:t>(452,260 )</w:t>
            </w:r>
          </w:p>
        </w:tc>
        <w:tc>
          <w:tcPr>
            <w:tcW w:w="18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5"/>
                <w:szCs w:val="15"/>
                <w:color w:val="auto"/>
              </w:rPr>
              <w:t>245,113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-2034540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4238625</wp:posOffset>
            </wp:positionH>
            <wp:positionV relativeFrom="paragraph">
              <wp:posOffset>-2034540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-2034540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5632450</wp:posOffset>
            </wp:positionH>
            <wp:positionV relativeFrom="paragraph">
              <wp:posOffset>-2034540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6333490</wp:posOffset>
            </wp:positionH>
            <wp:positionV relativeFrom="paragraph">
              <wp:posOffset>-2034540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-2034540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-1923415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4238625</wp:posOffset>
            </wp:positionH>
            <wp:positionV relativeFrom="paragraph">
              <wp:posOffset>-1923415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-1923415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5632450</wp:posOffset>
            </wp:positionH>
            <wp:positionV relativeFrom="paragraph">
              <wp:posOffset>-1923415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6333490</wp:posOffset>
            </wp:positionH>
            <wp:positionV relativeFrom="paragraph">
              <wp:posOffset>-1923415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-1923415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-1094105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4238625</wp:posOffset>
            </wp:positionH>
            <wp:positionV relativeFrom="paragraph">
              <wp:posOffset>-1094105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-1094105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5632450</wp:posOffset>
            </wp:positionH>
            <wp:positionV relativeFrom="paragraph">
              <wp:posOffset>-1094105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6333490</wp:posOffset>
            </wp:positionH>
            <wp:positionV relativeFrom="paragraph">
              <wp:posOffset>-1094105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-1094105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4238625</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4238625</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6333490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6333490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-24765</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-7620</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78" w:name="page79"/>
    <w:bookmarkEnd w:id="7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r>
      <w:tr>
        <w:trPr>
          <w:trHeight w:val="202"/>
        </w:trPr>
        <w:tc>
          <w:tcPr>
            <w:tcW w:w="6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2"/>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(175,850 )</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(38,988 )</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(24,067 )</w:t>
            </w:r>
          </w:p>
        </w:tc>
      </w:tr>
      <w:tr>
        <w:trPr>
          <w:trHeight w:val="202"/>
        </w:trPr>
        <w:tc>
          <w:tcPr>
            <w:tcW w:w="6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2"/>
        </w:trPr>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120" w:type="dxa"/>
            <w:vAlign w:val="bottom"/>
          </w:tcPr>
          <w:p>
            <w:pPr>
              <w:spacing w:after="0"/>
              <w:rPr>
                <w:sz w:val="17"/>
                <w:szCs w:val="17"/>
                <w:color w:val="auto"/>
              </w:rPr>
            </w:pPr>
          </w:p>
        </w:tc>
      </w:tr>
      <w:tr>
        <w:trPr>
          <w:trHeight w:val="202"/>
        </w:trPr>
        <w:tc>
          <w:tcPr>
            <w:tcW w:w="66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Accretion of premium/discount on marketable securities</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(4,895 )</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Pr>
          <w:p>
            <w:pPr>
              <w:spacing w:after="0"/>
              <w:rPr>
                <w:sz w:val="17"/>
                <w:szCs w:val="17"/>
                <w:color w:val="auto"/>
              </w:rPr>
            </w:pPr>
          </w:p>
        </w:tc>
      </w:tr>
      <w:tr>
        <w:trPr>
          <w:trHeight w:val="202"/>
        </w:trPr>
        <w:tc>
          <w:tcPr>
            <w:tcW w:w="66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99,958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5,945</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20" w:type="dxa"/>
            <w:vAlign w:val="bottom"/>
            <w:shd w:val="clear" w:color="auto" w:fill="CFF0FC"/>
          </w:tcPr>
          <w:p>
            <w:pPr>
              <w:spacing w:after="0"/>
              <w:rPr>
                <w:sz w:val="17"/>
                <w:szCs w:val="17"/>
                <w:color w:val="auto"/>
              </w:rPr>
            </w:pPr>
          </w:p>
        </w:tc>
      </w:tr>
      <w:tr>
        <w:trPr>
          <w:trHeight w:val="202"/>
        </w:trPr>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Change in fair value of stock warrants</w:t>
            </w:r>
          </w:p>
        </w:tc>
        <w:tc>
          <w:tcPr>
            <w:tcW w:w="30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(30 )</w:t>
            </w:r>
          </w:p>
        </w:tc>
      </w:tr>
      <w:tr>
        <w:trPr>
          <w:trHeight w:val="202"/>
        </w:trPr>
        <w:tc>
          <w:tcPr>
            <w:tcW w:w="66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3,242</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(712 )</w:t>
            </w:r>
          </w:p>
        </w:tc>
      </w:tr>
      <w:tr>
        <w:trPr>
          <w:trHeight w:val="202"/>
        </w:trPr>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66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Prepaid expenses, other current assets and other assets</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(750 )</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(837 )</w:t>
            </w: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FF0FC"/>
          </w:tcPr>
          <w:p>
            <w:pPr>
              <w:spacing w:after="0"/>
              <w:rPr>
                <w:sz w:val="17"/>
                <w:szCs w:val="17"/>
                <w:color w:val="auto"/>
              </w:rPr>
            </w:pPr>
          </w:p>
        </w:tc>
      </w:tr>
      <w:tr>
        <w:trPr>
          <w:trHeight w:val="202"/>
        </w:trPr>
        <w:tc>
          <w:tcPr>
            <w:tcW w:w="66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(1,477 )</w:t>
            </w:r>
          </w:p>
        </w:tc>
      </w:tr>
      <w:tr>
        <w:trPr>
          <w:trHeight w:val="202"/>
        </w:trPr>
        <w:tc>
          <w:tcPr>
            <w:tcW w:w="66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Accrued compensation</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20" w:type="dxa"/>
            <w:vAlign w:val="bottom"/>
            <w:shd w:val="clear" w:color="auto" w:fill="CFF0FC"/>
          </w:tcPr>
          <w:p>
            <w:pPr>
              <w:spacing w:after="0"/>
              <w:rPr>
                <w:sz w:val="17"/>
                <w:szCs w:val="17"/>
                <w:color w:val="auto"/>
              </w:rPr>
            </w:pPr>
          </w:p>
        </w:tc>
      </w:tr>
      <w:tr>
        <w:trPr>
          <w:trHeight w:val="202"/>
        </w:trPr>
        <w:tc>
          <w:tcPr>
            <w:tcW w:w="66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Accrued clinical trial site costs</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(1,567 )</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(198 )</w:t>
            </w:r>
          </w:p>
        </w:tc>
      </w:tr>
      <w:tr>
        <w:trPr>
          <w:trHeight w:val="202"/>
        </w:trPr>
        <w:tc>
          <w:tcPr>
            <w:tcW w:w="66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(183 )</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(309 )</w:t>
            </w: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(302 )</w:t>
            </w:r>
          </w:p>
        </w:tc>
      </w:tr>
      <w:tr>
        <w:trPr>
          <w:trHeight w:val="202"/>
        </w:trPr>
        <w:tc>
          <w:tcPr>
            <w:tcW w:w="66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7"/>
                <w:szCs w:val="17"/>
                <w:color w:val="auto"/>
              </w:rPr>
            </w:pPr>
          </w:p>
        </w:tc>
      </w:tr>
      <w:tr>
        <w:trPr>
          <w:trHeight w:val="195"/>
        </w:trPr>
        <w:tc>
          <w:tcPr>
            <w:tcW w:w="668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(69,096 )</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(24,940 )</w:t>
            </w: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(20,781 )</w:t>
            </w:r>
          </w:p>
        </w:tc>
      </w:tr>
      <w:tr>
        <w:trPr>
          <w:trHeight w:val="195"/>
        </w:trPr>
        <w:tc>
          <w:tcPr>
            <w:tcW w:w="668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2"/>
        </w:trPr>
        <w:tc>
          <w:tcPr>
            <w:tcW w:w="6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(218 )</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(13 )</w:t>
            </w:r>
          </w:p>
        </w:tc>
      </w:tr>
      <w:tr>
        <w:trPr>
          <w:trHeight w:val="202"/>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(356,464 )</w:t>
            </w:r>
          </w:p>
        </w:tc>
        <w:tc>
          <w:tcPr>
            <w:tcW w:w="30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6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131,000</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5"/>
        </w:trPr>
        <w:tc>
          <w:tcPr>
            <w:tcW w:w="668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(225,682 )</w:t>
            </w:r>
          </w:p>
        </w:tc>
        <w:tc>
          <w:tcPr>
            <w:tcW w:w="30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(13 )</w:t>
            </w:r>
          </w:p>
        </w:tc>
      </w:tr>
      <w:tr>
        <w:trPr>
          <w:trHeight w:val="195"/>
        </w:trPr>
        <w:tc>
          <w:tcPr>
            <w:tcW w:w="6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2"/>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Proceeds from issuance of debt, net of issuance costs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49,888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the sale of common stock, net of issuance costs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148,955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Proceeds from the sale of common stock, common stock warrants and pre-funded stock warrants,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of issuance costs</w:t>
            </w: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137,857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14,108</w:t>
            </w:r>
          </w:p>
        </w:tc>
        <w:tc>
          <w:tcPr>
            <w:tcW w:w="120" w:type="dxa"/>
            <w:vAlign w:val="bottom"/>
          </w:tcPr>
          <w:p>
            <w:pPr>
              <w:spacing w:after="0"/>
              <w:rPr>
                <w:sz w:val="18"/>
                <w:szCs w:val="18"/>
                <w:color w:val="auto"/>
              </w:rPr>
            </w:pPr>
          </w:p>
        </w:tc>
      </w:tr>
      <w:tr>
        <w:trPr>
          <w:trHeight w:val="205"/>
        </w:trPr>
        <w:tc>
          <w:tcPr>
            <w:tcW w:w="6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exercise of common stock and pre-funded stock warrants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12,866</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41,815</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 withholding payments for net share-settled equity awards</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(16 )</w:t>
            </w:r>
          </w:p>
        </w:tc>
      </w:tr>
      <w:tr>
        <w:trPr>
          <w:trHeight w:val="195"/>
        </w:trPr>
        <w:tc>
          <w:tcPr>
            <w:tcW w:w="6680" w:type="dxa"/>
            <w:vAlign w:val="bottom"/>
            <w:tcBorders>
              <w:top w:val="single" w:sz="8" w:color="CFF0FC"/>
            </w:tcBorders>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213,025</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180,019</w:t>
            </w:r>
          </w:p>
        </w:tc>
        <w:tc>
          <w:tcPr>
            <w:tcW w:w="24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14,092</w:t>
            </w:r>
          </w:p>
        </w:tc>
        <w:tc>
          <w:tcPr>
            <w:tcW w:w="120" w:type="dxa"/>
            <w:vAlign w:val="bottom"/>
            <w:tcBorders>
              <w:top w:val="single" w:sz="8" w:color="CFF0FC"/>
            </w:tcBorders>
          </w:tcPr>
          <w:p>
            <w:pPr>
              <w:spacing w:after="0"/>
              <w:rPr>
                <w:sz w:val="17"/>
                <w:szCs w:val="17"/>
                <w:color w:val="auto"/>
              </w:rPr>
            </w:pPr>
          </w:p>
        </w:tc>
      </w:tr>
      <w:tr>
        <w:trPr>
          <w:trHeight w:val="195"/>
        </w:trPr>
        <w:tc>
          <w:tcPr>
            <w:tcW w:w="66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(81,753 )</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155,079</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(6,702 )</w:t>
            </w:r>
          </w:p>
        </w:tc>
      </w:tr>
      <w:tr>
        <w:trPr>
          <w:trHeight w:val="202"/>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169,681</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14,602</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21,304</w:t>
            </w:r>
          </w:p>
        </w:tc>
        <w:tc>
          <w:tcPr>
            <w:tcW w:w="120" w:type="dxa"/>
            <w:vAlign w:val="bottom"/>
          </w:tcPr>
          <w:p>
            <w:pPr>
              <w:spacing w:after="0"/>
              <w:rPr>
                <w:sz w:val="17"/>
                <w:szCs w:val="17"/>
                <w:color w:val="auto"/>
              </w:rPr>
            </w:pPr>
          </w:p>
        </w:tc>
      </w:tr>
      <w:tr>
        <w:trPr>
          <w:trHeight w:val="235"/>
        </w:trPr>
        <w:tc>
          <w:tcPr>
            <w:tcW w:w="66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87,928</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169,681</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14,602</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382"/>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operating and financing information</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5"/>
        </w:trPr>
        <w:tc>
          <w:tcPr>
            <w:tcW w:w="66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operating lease obligations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2,835</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82"/>
        </w:trPr>
        <w:tc>
          <w:tcPr>
            <w:tcW w:w="66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6"/>
                <w:szCs w:val="16"/>
                <w:color w:val="auto"/>
              </w:rPr>
              <w:t>Non-cash exercise of 2018 PIPE Warrants</w:t>
            </w:r>
          </w:p>
        </w:tc>
        <w:tc>
          <w:tcPr>
            <w:tcW w:w="300" w:type="dxa"/>
            <w:vAlign w:val="bottom"/>
          </w:tcPr>
          <w:p>
            <w:pPr>
              <w:jc w:val="right"/>
              <w:ind w:right="11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260"/>
              <w:spacing w:after="0" w:line="18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183</w:t>
            </w:r>
          </w:p>
        </w:tc>
        <w:tc>
          <w:tcPr>
            <w:tcW w:w="240" w:type="dxa"/>
            <w:vAlign w:val="bottom"/>
          </w:tcPr>
          <w:p>
            <w:pPr>
              <w:spacing w:after="0"/>
              <w:rPr>
                <w:sz w:val="15"/>
                <w:szCs w:val="15"/>
                <w:color w:val="auto"/>
              </w:rPr>
            </w:pPr>
          </w:p>
        </w:tc>
        <w:tc>
          <w:tcPr>
            <w:tcW w:w="400" w:type="dxa"/>
            <w:vAlign w:val="bottom"/>
          </w:tcPr>
          <w:p>
            <w:pPr>
              <w:jc w:val="right"/>
              <w:ind w:right="21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6560" w:type="dxa"/>
            <w:vAlign w:val="bottom"/>
            <w:tcBorders>
              <w:bottom w:val="single" w:sz="8" w:color="CFF0FC"/>
            </w:tcBorders>
            <w:shd w:val="clear" w:color="auto" w:fill="CFF0FC"/>
          </w:tcPr>
          <w:p>
            <w:pPr>
              <w:ind w:left="20"/>
              <w:spacing w:after="0" w:line="182" w:lineRule="exact"/>
              <w:rPr>
                <w:sz w:val="20"/>
                <w:szCs w:val="20"/>
                <w:color w:val="auto"/>
              </w:rPr>
            </w:pPr>
            <w:r>
              <w:rPr>
                <w:rFonts w:ascii="Times New Roman" w:cs="Times New Roman" w:eastAsia="Times New Roman" w:hAnsi="Times New Roman"/>
                <w:sz w:val="16"/>
                <w:szCs w:val="16"/>
                <w:color w:val="auto"/>
              </w:rPr>
              <w:t>Purchases of property and equipment included in accounts payable</w:t>
            </w:r>
          </w:p>
        </w:tc>
        <w:tc>
          <w:tcPr>
            <w:tcW w:w="120" w:type="dxa"/>
            <w:vAlign w:val="bottom"/>
          </w:tcPr>
          <w:p>
            <w:pPr>
              <w:spacing w:after="0"/>
              <w:rPr>
                <w:sz w:val="19"/>
                <w:szCs w:val="19"/>
                <w:color w:val="auto"/>
              </w:rPr>
            </w:pPr>
          </w:p>
        </w:tc>
        <w:tc>
          <w:tcPr>
            <w:tcW w:w="300" w:type="dxa"/>
            <w:vAlign w:val="bottom"/>
            <w:tcBorders>
              <w:bottom w:val="single" w:sz="8" w:color="auto"/>
            </w:tcBorders>
            <w:shd w:val="clear" w:color="auto" w:fill="CFF0FC"/>
          </w:tcPr>
          <w:p>
            <w:pPr>
              <w:jc w:val="right"/>
              <w:ind w:right="11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182"/>
        </w:trPr>
        <w:tc>
          <w:tcPr>
            <w:tcW w:w="66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6"/>
                <w:szCs w:val="16"/>
                <w:color w:val="auto"/>
              </w:rPr>
              <w:t>Debt issuance costs included in accounts payable</w:t>
            </w:r>
          </w:p>
        </w:tc>
        <w:tc>
          <w:tcPr>
            <w:tcW w:w="300" w:type="dxa"/>
            <w:vAlign w:val="bottom"/>
          </w:tcPr>
          <w:p>
            <w:pPr>
              <w:jc w:val="right"/>
              <w:ind w:right="11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62</w:t>
            </w:r>
          </w:p>
        </w:tc>
        <w:tc>
          <w:tcPr>
            <w:tcW w:w="240" w:type="dxa"/>
            <w:vAlign w:val="bottom"/>
          </w:tcPr>
          <w:p>
            <w:pPr>
              <w:spacing w:after="0"/>
              <w:rPr>
                <w:sz w:val="15"/>
                <w:szCs w:val="15"/>
                <w:color w:val="auto"/>
              </w:rPr>
            </w:pPr>
          </w:p>
        </w:tc>
        <w:tc>
          <w:tcPr>
            <w:tcW w:w="300" w:type="dxa"/>
            <w:vAlign w:val="bottom"/>
          </w:tcPr>
          <w:p>
            <w:pPr>
              <w:jc w:val="right"/>
              <w:ind w:right="11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260"/>
              <w:spacing w:after="0" w:line="182"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1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5076190</wp:posOffset>
            </wp:positionH>
            <wp:positionV relativeFrom="paragraph">
              <wp:posOffset>-3129280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-3129280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-3129280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5076190</wp:posOffset>
            </wp:positionH>
            <wp:positionV relativeFrom="paragraph">
              <wp:posOffset>-2607945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-2607945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-2607945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5076190</wp:posOffset>
            </wp:positionH>
            <wp:positionV relativeFrom="paragraph">
              <wp:posOffset>-1436370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-1436370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-1436370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5076190</wp:posOffset>
            </wp:positionH>
            <wp:positionV relativeFrom="paragraph">
              <wp:posOffset>-897255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5076190</wp:posOffset>
            </wp:positionH>
            <wp:positionV relativeFrom="paragraph">
              <wp:posOffset>-880110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-897255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-880110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-897255</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-880110</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5076190</wp:posOffset>
            </wp:positionH>
            <wp:positionV relativeFrom="paragraph">
              <wp:posOffset>-487045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5076190</wp:posOffset>
            </wp:positionH>
            <wp:positionV relativeFrom="paragraph">
              <wp:posOffset>-469900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-487045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-469900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-487045</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-469900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5076190</wp:posOffset>
            </wp:positionH>
            <wp:positionV relativeFrom="paragraph">
              <wp:posOffset>-179070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5076190</wp:posOffset>
            </wp:positionH>
            <wp:positionV relativeFrom="paragraph">
              <wp:posOffset>-161925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-179070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-161925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-179070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-161925</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79" w:name="page80"/>
    <w:bookmarkEnd w:id="7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w:t>
      </w:r>
    </w:p>
    <w:p>
      <w:pPr>
        <w:spacing w:after="0" w:line="228" w:lineRule="exact"/>
        <w:rPr>
          <w:sz w:val="20"/>
          <w:szCs w:val="20"/>
          <w:color w:val="auto"/>
        </w:rPr>
      </w:pPr>
    </w:p>
    <w:p>
      <w:pPr>
        <w:ind w:right="200" w:firstLine="756"/>
        <w:spacing w:after="0" w:line="255" w:lineRule="auto"/>
        <w:rPr>
          <w:sz w:val="20"/>
          <w:szCs w:val="20"/>
          <w:color w:val="auto"/>
        </w:rPr>
      </w:pPr>
      <w:r>
        <w:rPr>
          <w:rFonts w:ascii="Times New Roman" w:cs="Times New Roman" w:eastAsia="Times New Roman" w:hAnsi="Times New Roman"/>
          <w:sz w:val="18"/>
          <w:szCs w:val="18"/>
          <w:color w:val="auto"/>
        </w:rPr>
        <w:t>Soleno Therapeutics, Inc. (the Company or Soleno) is a biopharmaceutical company developing novel therapeutics for the treatment of rare diseases. The Company has submitted a new drug application (NDA) to the U.S. Food and Drug Administration (FDA) for its lead product candidate, diazoxide choline extended-release tablets (DCCR) for the treatment of Prader-Willi syndrome (PWS) in individuals four years and older who have hyperphagia. On August 27, 2024, the Company announced that the FDA had accepted the NDA for filing, designated the application for priority review and set a Prescription Drug User Fee Act (PDUFA) target action date of December 27, 2024. On November 26, 2024, the Company announced that the FDA had extended the review period for the NDA and set a new PDUFA target action date of March 27, 2025. DCCR previously received Breakthrough Therapy and Fast-Track designations in the United States (U.S.) and Orphan Drug designations in the U.S. and European Union (E.U.).</w:t>
      </w:r>
    </w:p>
    <w:p>
      <w:pPr>
        <w:spacing w:after="0" w:line="184" w:lineRule="exact"/>
        <w:rPr>
          <w:sz w:val="20"/>
          <w:szCs w:val="20"/>
          <w:color w:val="auto"/>
        </w:rPr>
      </w:pPr>
    </w:p>
    <w:p>
      <w:pPr>
        <w:ind w:right="60" w:firstLine="756"/>
        <w:spacing w:after="0" w:line="255" w:lineRule="auto"/>
        <w:rPr>
          <w:sz w:val="20"/>
          <w:szCs w:val="20"/>
          <w:color w:val="auto"/>
        </w:rPr>
      </w:pPr>
      <w:r>
        <w:rPr>
          <w:rFonts w:ascii="Times New Roman" w:cs="Times New Roman" w:eastAsia="Times New Roman" w:hAnsi="Times New Roman"/>
          <w:sz w:val="18"/>
          <w:szCs w:val="18"/>
          <w:color w:val="auto"/>
        </w:rPr>
        <w:t>The Company incorporated in the State of Delaware on August 25, 1999, and is located in Redwood City, California. It initially established its operations as Capnia, a diversified healthcare company that developed and commercialized innovative diagnostics, devices and therapeutics addressing unmet medical needs. During 2017, the Company merged with Essentialis, Inc. (Essentialis) and subsequently received stockholder approval to amend its Amended and Restated Certificate of Incorporation to change its name from “Capnia, Inc.” to “Soleno Therapeutics, Inc.”. Essentialis was a privately held clinical-stage company focused on the development of breakthrough medicines for the treatment of rare diseases where there is increased mortality and risk of cardiovascular and endocrine complications. After the merger, the Company’s primary focus has been the development and commercialization of novel therapeutics for the treatment of rare diseases and the Company divested all prior business efforts.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Liquidity</w:t>
      </w:r>
    </w:p>
    <w:p>
      <w:pPr>
        <w:spacing w:after="0" w:line="228"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The Company used $69.1 million of cash in its operating activities, had a net loss of $175.9 million during 2024 and has an accumulated deficit of $452.3 million at December 31, 2024 resulting from having incurred losses since its inception. The Company had $87.9 million of cash and cash equivalents and $230.7 million of marketable securities on December 31, 2024.</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2024, the Company had $50.0 million outstanding under the loan and security agreement with Oxford Financing LLC and its affiliates (collectively, Oxford) entered into in December 2024. Under the terms of the loan agreement with Oxford, an additional $100 million may become available in three additional tranches, with tranches of $50 million and $25 million contingent upon FDA approval of DCCR for the treatment of PWS and one tranche of $25 million contingent upon certain commercial milestones. A final $50 million may be made available upon the Company's mutual consent with Oxford. The loan carries an interest-only period of 48 months and a total term of 60 months; provided that if specific milestones are achieved prior to September 30, 2026, the interest-only period and maturity date will be extended by 12 months. The term loans accrue interest at a floating rate equal to, subject to certain conditions, (a) 1-month term SOFR plus (b) 5.50%.</w:t>
      </w:r>
    </w:p>
    <w:p>
      <w:pPr>
        <w:spacing w:after="0" w:line="184"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Prior to entering into the Oxford loan and security agreement, the Company had historically financed its operations principally through issuance of equity securities. On May 9, 2024, the Company closed an underwritten public offering of 3,450,000 shares of its common stock at a public offering price of $46.00 per share, which included the exercise in full by the underwriters of their option to purchase additional shares. The gross proceeds of the public offering were $158.7 million, before deducting the underwriter discount and other offering expenses, totaling approximately $9.7 million. On July 19, 2024, the Company entered into an Open Market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(the Sales Agreement) with Jefferies LLC, as sales agent (Jefferies), pursuant to which the Company may offer and sell, from time to time, through Jefferies shares of its common stock having an aggregate offering price of up to $150 million.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80" w:name="page81"/>
    <w:bookmarkEnd w:id="80"/>
    <w:p>
      <w:pPr>
        <w:spacing w:after="0" w:line="190"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In December 2022, the Company entered into a Securities Purchase Agreement providing for the sale of up to $60.0 million in warrants (Tranche A and Tranche B) and the common stock issuable upon the exercise thereof. Cumulative to date through December 31, 2024, the Company has received $10.0 million from the sale of these warrants and $44.8 million in proceeds from the exercise of certain of these warrants. Warrants with an aggregate exercise price of $5.2 million are still outstanding.</w:t>
      </w:r>
    </w:p>
    <w:p>
      <w:pPr>
        <w:spacing w:after="0" w:line="73"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The Company expects to continue incurring losses for the foreseeable future. However, the Company expects that its current cash and cash equivalents and marketable securities balances will be sufficient to enable the Company to meet its obligations for at least the next twelve months from the date of this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Basis of Presentation and Summary of Significant Accounting Policies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0" w:lineRule="exact"/>
        <w:rPr>
          <w:sz w:val="20"/>
          <w:szCs w:val="20"/>
          <w:color w:val="auto"/>
        </w:rPr>
      </w:pPr>
    </w:p>
    <w:p>
      <w:pPr>
        <w:ind w:right="300" w:firstLine="509"/>
        <w:spacing w:after="0" w:line="265"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U.S. generally accepted accounting principles (GAAP), and the applicable rules and regulations of the Securities and Exchange Commission (SEC). Certain reclassifications on the consolidated statements of cash flows have been made to conform to current period presentation.</w:t>
      </w:r>
    </w:p>
    <w:p>
      <w:pPr>
        <w:spacing w:after="0" w:line="176"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intercompany transactions and balances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0" w:lineRule="exact"/>
        <w:rPr>
          <w:sz w:val="20"/>
          <w:szCs w:val="20"/>
          <w:color w:val="auto"/>
        </w:rPr>
      </w:pPr>
    </w:p>
    <w:p>
      <w:pPr>
        <w:ind w:right="120" w:firstLine="509"/>
        <w:spacing w:after="0" w:line="276"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accrued costs for services rendered in connection with third-party contractor clinical trial activities, and the valuation of contingent liabilities for the purchase price of assets obtained through acquisition.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0"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and cash equivalents and marketable securities at U.S. banking institutions. At December 31, 2024 and 2023, the Company’s cash and cash equivalents and marketable securities were held by three and two separate financial institutions, respectively, and at times these balances may exceed the federally-insured limits. Operating cash in excess of federally-insured limits is custodied at a separate financial institution with an overnight sweep feature into a U.S. government money market fund.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0"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Company operates in one segment. Management uses one measurement of profitability and does not segregate its business for internal reporting, making operating decisions, and assessing financial performance. All long-lived assets are maintained in the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0"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Company considers all highly liquid investments, including its money market funds, purchased with an original maturity of three months or less to be cash equivalents. The Company’s cash and cash equivalents are held primarily in institutions in the U.S. and include deposits in a money market funds which were unrestricted as to withdrawal or use.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Company classifies its marketable securities as available-for-sale and records such assets at estimated fair value in the balance sheets, with unrealized gains and non-credit related losses that are determined to be temporary, if any, reported as a component of other comprehensive income (loss) within the statements of operations and comprehensive loss and as a separate component of stockholders’ equity. The Company classifies marketable securities with remaining maturities greater than three months but less than one year as marketable securities, and those with remaining maturities greater than one year are classified as long-term marketable securities. Realized gains and losses are calculated using the specific identification method and recorded as interest income and were immaterial for all periods presented. To the extent the amortized cost basis of the available-for-sale debt securities exceeds the fair value, management assesses the debt securities for credit loss; however, management considers the risk of credit loss to be minimized by the Company's policy of investing in financial instruments issued by highly-rated financial institutions. When assessing the risk of credit loss, management considers factors such as the severity and the reason of the decline in value (i.e., any changes to the rating of the security by a rating agency or other adverse conditions specifically related to the security) and management's intended holding period and time horizon for selling. During the year ended December 31, 2024, the Company did not recognize any credit losses related to its available-for-sale debt securities. Further, as of December 31, 2024, the Company did not record an allowance for credit losses related to its available-for-sale debt securities. During 2023 and 2022, the Company did not hold any marketable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0"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Prepaid expenses and other current assets consist of payments primarily related to clinical trials, insurance and short-term deposits. Prepaid expenses are initially recorded upon payment and are expensed as goods or services are received.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0"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calculated using the straight-line method over the estimated useful lives of the assets, generally between three and five years. Leasehold improvements are amortized on a straight-line basis over the lesser of their useful life or the remaining term of the lease. Maintenance and repairs are charged to expense as incurred, and improvements are capitalized. When assets are retired or otherwise disposed of, the cost and accumulated depreciation are removed from the balance sheet and any resulting gain or loss is reflected in operations in the period realized.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Company determines whether an arrangement is a lease at inception. Specifically, it considers whether it controls the underlying asset and has the right to obtain substantially all the economic benefits or outputs from the asset. If the contractual arrangement contains a lease, the Company then determines whether it is an operating or finance lease. Right-of-Use (ROU) assets represent the Company’s right to use an underlying asset for the lease term and lease liabilities represent the Company’s obligation to make lease payments arising from the lease. ROU assets and lease liabilities are recognized at commencement date based on the present value of lease payments over the lease term. Lease expense for operating lease payments is recognized on a straight-line basis over the lease term. Finance lease classification results in a front-loaded expense recognition pattern over the lease term as it recognizes interest expense and amortization expense as separate components of lease expense.</w:t>
      </w:r>
    </w:p>
    <w:p>
      <w:pPr>
        <w:spacing w:after="0" w:line="77"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The Company does not separate lease components from non-lease components for all classes of underlying assets, and instead accounts for the lease and non-lease components as a single component. Variable lease payments are recognized as they are incurred and primarily include common area maintenance, utilities, real estate taxes, insurance and other operating costs that are passed on from the lessor in proportion to the space leased by the Company. The Company does not recognize lease assets and lease liabilities for leases with an original lease term of less than one year.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0"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The Company reviews its long-lived assets for impairment annually and whenever events or changes in circumstances indicate that the carrying amount of the assets may not be fully recoverable. The Company evaluates assets for potential impairment by comparing estimated future undiscounted net cash flows to the carrying amount of the asset. If the carrying amount of the assets exceeds the estimated future undiscounted cash flows, impairment is measured based on the difference between the carrying amount and the fair value of the assets.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0"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In March 2017, the Company completed the acquisition of Essentialis in accordance with the merger agreement by and between the Company and Essentialis dated December 22, 2016 (the Merger Agreement). The merger transaction was accounted for as an asset acquisition under the acquisition method of accounting and accordingly, the value of $22.0 million was assigned to the identifiable intangible asset relating to the patent for DCCR, which patent is currently set to expire in June 2028.</w:t>
      </w:r>
    </w:p>
    <w:p>
      <w:pPr>
        <w:spacing w:after="0" w:line="73" w:lineRule="exact"/>
        <w:rPr>
          <w:sz w:val="20"/>
          <w:szCs w:val="20"/>
          <w:color w:val="auto"/>
        </w:rPr>
      </w:pPr>
    </w:p>
    <w:p>
      <w:pPr>
        <w:jc w:val="both"/>
        <w:ind w:right="60" w:firstLine="509"/>
        <w:spacing w:after="0" w:line="311" w:lineRule="auto"/>
        <w:rPr>
          <w:sz w:val="20"/>
          <w:szCs w:val="20"/>
          <w:color w:val="auto"/>
        </w:rPr>
      </w:pPr>
      <w:r>
        <w:rPr>
          <w:rFonts w:ascii="Times New Roman" w:cs="Times New Roman" w:eastAsia="Times New Roman" w:hAnsi="Times New Roman"/>
          <w:sz w:val="17"/>
          <w:szCs w:val="17"/>
          <w:color w:val="auto"/>
        </w:rPr>
        <w:t>Intangible assets with finite lives are amortized on a straight-line basis over their estimated useful lives, which for the patent is 11 years. The useful life of the intangible asset is evaluated each reporting period to determine whether events and circumstances warrant a revision to the remaining useful life.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0"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Debt is recognized at its principal amounts upon issuance, net of any issuance costs. The Company categorizes its debt into current and long-term liabilities based on the maturity date. Interest expense on debt is recorded in the period in which it is incurred. Debt issuance costs are accreted into interest expense using the straight-line method over the contractual term of the debt. The Company regularly reviews its debt agreements for compliance with covenants and assesses its ability to meet future obligations.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costs are charged to operations as incurred. Research and development costs consist primarily of salaries, benefits, bonus, stock-based compensation, consultant fees, certain facility costs and other costs associated with clinical trials and the manufacture of our drug product. Clinical trial costs are a significant component of research and development expenses and include costs associated with CROs and other vendors. Invoicing CROs and CMOs for services performed can often occur several months later. The Company accrues the costs incurred for clinical trial activities as measured by patient progression and the timing of various aspects of the trial. For other services the Company accrues the costs in connection with third-party contractor activities based on its estimate of fees and costs associate with the contract that were rendered during the period and they are expensed as incurred.</w:t>
      </w:r>
    </w:p>
    <w:p>
      <w:pPr>
        <w:spacing w:after="0" w:line="77"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Costs to acquire technologies to be used in research and development that have not reached technological feasibility and have no alternative future use are expensed to research and development costs when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120"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The Company recorded the value of contingent future consideration to be paid for the acquisition of Essentialis as a liability in March 2017 at the date of the acquisition. The changes in value of the liability for the contingent consideration since the acquisition date are recorded as operating expense in the consolidated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0" w:lineRule="exact"/>
        <w:rPr>
          <w:sz w:val="20"/>
          <w:szCs w:val="20"/>
          <w:color w:val="auto"/>
        </w:rPr>
      </w:pPr>
    </w:p>
    <w:p>
      <w:pPr>
        <w:ind w:right="280" w:firstLine="509"/>
        <w:spacing w:after="0" w:line="260"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this method, deferred income tax assets and liabilities are recorded based on the estimated future tax effects of differences between the amounts at which assets and liabilities are recorded for financial reporting purposes and the amounts recorded for income tax purposes. A valuation allowance is provided against the Company’s deferred income tax assets when their realization is not reasonably assured.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190"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Purchase Warrants and Other Derivative Financial Instruments</w:t>
      </w:r>
    </w:p>
    <w:p>
      <w:pPr>
        <w:spacing w:after="0" w:line="12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classifies common stock purchase warrants and other free standing derivative financial instruments as equity if the contracts (i) require physical settlement or net-share settlement or (ii) give the Company a choice of net-cash settlement or settlement in its own shares (physical settlement or net-share settlement). The Company classifies any contracts that (i) require net-cash settlement (including a requirement to net cash settle the contract if an event occurs and if that event is outside the control of the Company), (ii) give the counterparty a choice of net-cash settlement or settlement in shares (physical settlement or net-share settlement), or (iii) contain reset provisions as either an asset or a liability. The Company assesses classification of its freestanding derivatives at each reporting date to determine whether a change in classification between equity and liabilities is required.</w:t>
      </w:r>
    </w:p>
    <w:p>
      <w:pPr>
        <w:spacing w:after="0" w:line="76"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The Company determined that certain freestanding derivatives, which principally consist of 2018 PIPE Warrants, do not satisfy the criteria for classification as equity instruments due to the existence of certain cash settlement features that are not within the sole control of the Company or variable settlement provision that cause them to not be indexed to the Company’s own stock.</w:t>
      </w:r>
    </w:p>
    <w:p>
      <w:pPr>
        <w:spacing w:after="0" w:line="69" w:lineRule="exact"/>
        <w:rPr>
          <w:sz w:val="20"/>
          <w:szCs w:val="20"/>
          <w:color w:val="auto"/>
        </w:rPr>
      </w:pPr>
    </w:p>
    <w:p>
      <w:pPr>
        <w:ind w:right="320" w:firstLine="509"/>
        <w:spacing w:after="0" w:line="265" w:lineRule="auto"/>
        <w:rPr>
          <w:sz w:val="20"/>
          <w:szCs w:val="20"/>
          <w:color w:val="auto"/>
        </w:rPr>
      </w:pPr>
      <w:r>
        <w:rPr>
          <w:rFonts w:ascii="Times New Roman" w:cs="Times New Roman" w:eastAsia="Times New Roman" w:hAnsi="Times New Roman"/>
          <w:sz w:val="18"/>
          <w:szCs w:val="18"/>
          <w:color w:val="auto"/>
        </w:rPr>
        <w:t>The Company classified the 2018 PIPE Warrants at their fair value and re-measured them at each balance sheet date until they were exercised or expired. Any changes in the fair value were recognized as Other income (expense), net in the consolidated statements of operations. The 2018 PIPE Warrants expired in December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0" w:lineRule="exact"/>
        <w:rPr>
          <w:sz w:val="20"/>
          <w:szCs w:val="20"/>
          <w:color w:val="auto"/>
        </w:rPr>
      </w:pPr>
    </w:p>
    <w:p>
      <w:pPr>
        <w:ind w:right="60" w:firstLine="509"/>
        <w:spacing w:after="0" w:line="274" w:lineRule="auto"/>
        <w:rPr>
          <w:sz w:val="20"/>
          <w:szCs w:val="20"/>
          <w:color w:val="auto"/>
        </w:rPr>
      </w:pPr>
      <w:r>
        <w:rPr>
          <w:rFonts w:ascii="Times New Roman" w:cs="Times New Roman" w:eastAsia="Times New Roman" w:hAnsi="Times New Roman"/>
          <w:sz w:val="17"/>
          <w:szCs w:val="17"/>
          <w:color w:val="auto"/>
        </w:rPr>
        <w:t>Stock-based compensation costs related to stock options and restricted stock units granted to employees, directors and consultants are measured at the date of grant based on the estimated fair value of the award. For restricted stock units this fair value is based on the Company’s common stock price on the grant date. The Company estimates the grant date fair value of stock options, and the resulting stock-based compensation expense, using the Black-Scholes option-pricing model. The grant date fair value of stock-based awards is recognized on a straight-line basis over the requisite service period, which is generally the vesting period for service-based awards. For performance-based awards the requisite service period is the longest explicit, implicit or derived service period based on management’s estimate of the probability of the performance criteria being satisfied, adjusted at each balance sheet date.</w:t>
      </w:r>
    </w:p>
    <w:p>
      <w:pPr>
        <w:spacing w:after="0" w:line="169" w:lineRule="exact"/>
        <w:rPr>
          <w:sz w:val="20"/>
          <w:szCs w:val="20"/>
          <w:color w:val="auto"/>
        </w:rPr>
      </w:pPr>
    </w:p>
    <w:p>
      <w:pPr>
        <w:ind w:right="260" w:firstLine="509"/>
        <w:spacing w:after="0" w:line="265" w:lineRule="auto"/>
        <w:rPr>
          <w:sz w:val="20"/>
          <w:szCs w:val="20"/>
          <w:color w:val="auto"/>
        </w:rPr>
      </w:pPr>
      <w:r>
        <w:rPr>
          <w:rFonts w:ascii="Times New Roman" w:cs="Times New Roman" w:eastAsia="Times New Roman" w:hAnsi="Times New Roman"/>
          <w:sz w:val="18"/>
          <w:szCs w:val="18"/>
          <w:color w:val="auto"/>
        </w:rPr>
        <w:t>The Black-Scholes option-pricing model requires the use of highly subjective assumptions to estimate the fair value of stock-based awards. If the Company had made different assumptions, its stock-based compensation expense, net loss and net loss per share of common stock could have been significantly different. These assumptions include:</w:t>
      </w:r>
    </w:p>
    <w:p>
      <w:pPr>
        <w:spacing w:after="0" w:line="67" w:lineRule="exact"/>
        <w:rPr>
          <w:sz w:val="20"/>
          <w:szCs w:val="20"/>
          <w:color w:val="auto"/>
        </w:rPr>
      </w:pPr>
    </w:p>
    <w:p>
      <w:pPr>
        <w:ind w:left="900" w:hanging="383"/>
        <w:spacing w:after="0" w:line="258"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life: </w:t>
      </w:r>
      <w:r>
        <w:rPr>
          <w:rFonts w:ascii="Times New Roman" w:cs="Times New Roman" w:eastAsia="Times New Roman" w:hAnsi="Times New Roman"/>
          <w:sz w:val="18"/>
          <w:szCs w:val="18"/>
          <w:color w:val="auto"/>
        </w:rPr>
        <w:t>The expected life of stock options represents the period of time that the options are expected to be outstanding. Due to the lack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exercise history, the expected life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4" w:name="page85"/>
    <w:bookmarkEnd w:id="84"/>
    <w:p>
      <w:pPr>
        <w:spacing w:after="0" w:line="80" w:lineRule="exact"/>
        <w:rPr>
          <w:sz w:val="20"/>
          <w:szCs w:val="20"/>
          <w:color w:val="auto"/>
        </w:rPr>
      </w:pPr>
    </w:p>
    <w:p>
      <w:pPr>
        <w:ind w:left="900" w:right="20" w:hanging="383"/>
        <w:spacing w:after="0" w:line="283"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yields of U.S. Treasury securities with maturities similar to the expected life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 options.</w:t>
      </w:r>
    </w:p>
    <w:p>
      <w:pPr>
        <w:spacing w:after="0" w:line="50" w:lineRule="exact"/>
        <w:rPr>
          <w:rFonts w:ascii="Times New Roman" w:cs="Times New Roman" w:eastAsia="Times New Roman" w:hAnsi="Times New Roman"/>
          <w:sz w:val="18"/>
          <w:szCs w:val="18"/>
          <w:color w:val="auto"/>
        </w:rPr>
      </w:pPr>
    </w:p>
    <w:p>
      <w:pPr>
        <w:ind w:left="900" w:right="60" w:hanging="383"/>
        <w:spacing w:after="0" w:line="283"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The estimated volatility rate is based on the volatilities of the Company’s common stock for a historical period equal to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of the stock options.</w:t>
      </w:r>
    </w:p>
    <w:p>
      <w:pPr>
        <w:spacing w:after="0" w:line="50" w:lineRule="exact"/>
        <w:rPr>
          <w:rFonts w:ascii="Times New Roman" w:cs="Times New Roman" w:eastAsia="Times New Roman" w:hAnsi="Times New Roman"/>
          <w:sz w:val="18"/>
          <w:szCs w:val="18"/>
          <w:color w:val="auto"/>
        </w:rPr>
      </w:pPr>
    </w:p>
    <w:p>
      <w:pPr>
        <w:ind w:left="900" w:right="820" w:hanging="383"/>
        <w:spacing w:after="0" w:line="283"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rate: </w:t>
      </w:r>
      <w:r>
        <w:rPr>
          <w:rFonts w:ascii="Times New Roman" w:cs="Times New Roman" w:eastAsia="Times New Roman" w:hAnsi="Times New Roman"/>
          <w:sz w:val="18"/>
          <w:szCs w:val="18"/>
          <w:color w:val="auto"/>
        </w:rPr>
        <w:t>The Company has never declared or paid any cash dividends and does not presently plan to pay cash dividends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Consequently, the Company used an expected dividend yield of zero.</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accounts for forfeitures as they occur.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Adopted Accounting Pronouncements</w:t>
      </w:r>
    </w:p>
    <w:p>
      <w:pPr>
        <w:spacing w:after="0" w:line="120" w:lineRule="exact"/>
        <w:rPr>
          <w:sz w:val="20"/>
          <w:szCs w:val="20"/>
          <w:color w:val="auto"/>
        </w:rPr>
      </w:pPr>
    </w:p>
    <w:p>
      <w:pPr>
        <w:ind w:right="500" w:firstLine="509"/>
        <w:spacing w:after="0" w:line="277"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are adopted by the Company as of the specified effective date</w:t>
      </w:r>
      <w:r>
        <w:rPr>
          <w:rFonts w:ascii="Times New Roman" w:cs="Times New Roman" w:eastAsia="Times New Roman" w:hAnsi="Times New Roman"/>
          <w:sz w:val="21"/>
          <w:szCs w:val="21"/>
          <w:color w:val="auto"/>
        </w:rPr>
        <w:t>.</w:t>
      </w:r>
    </w:p>
    <w:p>
      <w:pPr>
        <w:spacing w:after="0" w:line="4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 Improvements to Reportable Segment Disclosures</w:t>
      </w:r>
      <w:r>
        <w:rPr>
          <w:rFonts w:ascii="Times New Roman" w:cs="Times New Roman" w:eastAsia="Times New Roman" w:hAnsi="Times New Roman"/>
          <w:sz w:val="18"/>
          <w:szCs w:val="18"/>
          <w:color w:val="auto"/>
        </w:rPr>
        <w:t>, which provides updates to qualitative and quantitative reportable segment disclosure requirements, including enhanced disclosures about significant segment expenses and increased interim disclosure requirements, among others. The ASU requires disclosures to include significant segment expenses that are regularly provided to the chief operating decision maker (CODM), a description of other segment items by reportable segment, and any additional measures of a segment's profit or loss used by the CODM when deciding how to allocate resources. The ASU also requires all annual disclosures to be disclosed in interim periods. This ASU is effective for fiscal years beginning after December 15, 2023, and interim periods in fiscal years beginning after December 15, 2024. The Company adopted ASU 2023-07 on October 1, 2024 for the fiscal year ended December 31, 2024.</w:t>
      </w:r>
    </w:p>
    <w:p>
      <w:pPr>
        <w:spacing w:after="0" w:line="7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which amends the guidance in </w:t>
      </w:r>
      <w:r>
        <w:rPr>
          <w:rFonts w:ascii="Times New Roman" w:cs="Times New Roman" w:eastAsia="Times New Roman" w:hAnsi="Times New Roman"/>
          <w:sz w:val="18"/>
          <w:szCs w:val="18"/>
          <w:i w:val="1"/>
          <w:iCs w:val="1"/>
          <w:color w:val="auto"/>
        </w:rPr>
        <w:t>ASC 740,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This amendment is intended to improve the transparency of income tax disclosures by requiring (1) consistent categories and greater disaggregation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information in the rate reconciliation and (2) income taxes paid disaggregated by jurisdiction. It also includes certain other amendments to improve the effectiveness of income tax disclosures. The amendment is effective for fiscal years beginning after December 15, 2024. Adoption is permitted either prospectively or retrospectively, and the Company will adopt the amendment on a prospective basis. The Company is currently evaluating the impact of adopting this ASU on its consolidated financial statements and disclosures.</w:t>
      </w:r>
    </w:p>
    <w:p>
      <w:pPr>
        <w:spacing w:after="0" w:line="76"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 </w:t>
      </w:r>
      <w:r>
        <w:rPr>
          <w:rFonts w:ascii="Times New Roman" w:cs="Times New Roman" w:eastAsia="Times New Roman" w:hAnsi="Times New Roman"/>
          <w:sz w:val="18"/>
          <w:szCs w:val="18"/>
          <w:color w:val="auto"/>
        </w:rPr>
        <w:t>which requires the disclosure of additional information related to certain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including amounts of inventory purchases, employee compensation, and depreciation and amortization included in each income statement line item. The guidance also requires disclosure of the total amount of selling expenses and the Company’s definition of selling expenses. The guidance is effective for the Company for fiscal years beginning after December 15, 2026, and for interim periods within fiscal years beginning after December 15, 2027. The Company is currently assessing the impacts of the new guidance on its financial statement disclosures.</w:t>
      </w:r>
    </w:p>
    <w:p>
      <w:pPr>
        <w:spacing w:after="0" w:line="78"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Other accounting standards that have been issued or proposed by FASB or other standards-setting bodies that do not require adoption until a future date are not currently expected to have a material impact on the Company’s financial statements upon adoption.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value of the Company’s cash, cash equivalents and accounts payable, approximate fair value due to the short-term nature of these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0"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hierarchy defines a three-level valuation hierarchy for disclosure of fair value measurements as follows:</w:t>
      </w:r>
    </w:p>
    <w:p>
      <w:pPr>
        <w:spacing w:after="0" w:line="116" w:lineRule="exact"/>
        <w:rPr>
          <w:sz w:val="20"/>
          <w:szCs w:val="20"/>
          <w:color w:val="auto"/>
        </w:rPr>
      </w:pPr>
    </w:p>
    <w:p>
      <w:pPr>
        <w:ind w:left="1040" w:hanging="502"/>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 Unadjusted quoted prices in active markets for identical assets or liabilities;</w:t>
      </w:r>
    </w:p>
    <w:p>
      <w:pPr>
        <w:spacing w:after="0" w:line="116" w:lineRule="exact"/>
        <w:rPr>
          <w:rFonts w:ascii="Times New Roman" w:cs="Times New Roman" w:eastAsia="Times New Roman" w:hAnsi="Times New Roman"/>
          <w:sz w:val="18"/>
          <w:szCs w:val="18"/>
          <w:color w:val="auto"/>
        </w:rPr>
      </w:pPr>
    </w:p>
    <w:p>
      <w:pPr>
        <w:ind w:left="1040" w:hanging="502"/>
        <w:spacing w:after="0" w:line="265"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68" w:lineRule="exact"/>
        <w:rPr>
          <w:rFonts w:ascii="Times New Roman" w:cs="Times New Roman" w:eastAsia="Times New Roman" w:hAnsi="Times New Roman"/>
          <w:sz w:val="18"/>
          <w:szCs w:val="18"/>
          <w:color w:val="auto"/>
        </w:rPr>
      </w:pPr>
    </w:p>
    <w:p>
      <w:pPr>
        <w:ind w:left="1040" w:hanging="502"/>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 Unobservable inputs that are supported by little or no market activity for the related assets or liabilities.</w:t>
      </w:r>
    </w:p>
    <w:p>
      <w:pPr>
        <w:spacing w:after="0" w:line="224"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The categorization of a financial instrument within the valuation hierarchy is based upon the lowest level of input that is significant to the fair value measurement.</w:t>
      </w:r>
    </w:p>
    <w:p>
      <w:pPr>
        <w:spacing w:after="0" w:line="162"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The fair value of marketable securities, which are Level 2 financial instruments, is based upon market prices quoted on the last day of the fiscal period or other observable market inputs. The Company obtains pricing information from its investment manager and generally determines the fair value of investment securities using standard observable inputs, including reported trades, broker/dealer quotes, bids and/or offers. Marketable securities, all of which are classified as available-for-sale securities, consisted of the following at December 31, 2024 (in thousands):</w:t>
      </w:r>
    </w:p>
    <w:p>
      <w:pPr>
        <w:spacing w:after="0" w:line="174"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jc w:val="right"/>
              <w:ind w:right="138"/>
              <w:spacing w:after="0" w:line="117" w:lineRule="exact"/>
              <w:rPr>
                <w:sz w:val="20"/>
                <w:szCs w:val="20"/>
                <w:color w:val="auto"/>
              </w:rPr>
            </w:pPr>
            <w:r>
              <w:rPr>
                <w:rFonts w:ascii="Times New Roman" w:cs="Times New Roman" w:eastAsia="Times New Roman" w:hAnsi="Times New Roman"/>
                <w:sz w:val="13"/>
                <w:szCs w:val="13"/>
                <w:b w:val="1"/>
                <w:bCs w:val="1"/>
                <w:color w:val="auto"/>
              </w:rPr>
              <w:t>Estimated Fair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197,678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198,065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 and commercial paper</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(28 )</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230,359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-24765</wp:posOffset>
            </wp:positionV>
            <wp:extent cx="596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596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-24765</wp:posOffset>
            </wp:positionV>
            <wp:extent cx="596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-7620</wp:posOffset>
            </wp:positionV>
            <wp:extent cx="596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-24765</wp:posOffset>
            </wp:positionV>
            <wp:extent cx="596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-7620</wp:posOffset>
            </wp:positionV>
            <wp:extent cx="596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6752590</wp:posOffset>
            </wp:positionH>
            <wp:positionV relativeFrom="paragraph">
              <wp:posOffset>-24765</wp:posOffset>
            </wp:positionV>
            <wp:extent cx="596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6752590</wp:posOffset>
            </wp:positionH>
            <wp:positionV relativeFrom="paragraph">
              <wp:posOffset>-7620</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3" w:lineRule="exact"/>
        <w:rPr>
          <w:sz w:val="20"/>
          <w:szCs w:val="20"/>
          <w:color w:val="auto"/>
        </w:rPr>
      </w:pPr>
    </w:p>
    <w:p>
      <w:pPr>
        <w:ind w:right="38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Company’s financial instruments that were measured at fair value on a recurring basis by level within the fair value hierarchy (in thousands):</w:t>
      </w:r>
    </w:p>
    <w:p>
      <w:pPr>
        <w:spacing w:after="0" w:line="182" w:lineRule="exact"/>
        <w:rPr>
          <w:sz w:val="20"/>
          <w:szCs w:val="20"/>
          <w:color w:val="auto"/>
        </w:rPr>
      </w:pPr>
    </w:p>
    <w:tbl>
      <w:tblPr>
        <w:tblLayout w:type="fixed"/>
        <w:tblInd w:w="36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gridSpan w:val="9"/>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20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4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59,885</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59,885</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59,885</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59,885</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198,065</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198,065</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4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 securities and commercial paper</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32,655</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32,655</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230,720</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230,720</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290,605</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59,885</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230,720</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411"/>
        </w:trPr>
        <w:tc>
          <w:tcPr>
            <w:tcW w:w="5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5"/>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Essentialis purchase price contingency liability</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10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4375150</wp:posOffset>
            </wp:positionH>
            <wp:positionV relativeFrom="paragraph">
              <wp:posOffset>-1615440</wp:posOffset>
            </wp:positionV>
            <wp:extent cx="596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5196205</wp:posOffset>
            </wp:positionH>
            <wp:positionV relativeFrom="paragraph">
              <wp:posOffset>-1615440</wp:posOffset>
            </wp:positionV>
            <wp:extent cx="596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-1615440</wp:posOffset>
            </wp:positionV>
            <wp:extent cx="596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6855460</wp:posOffset>
            </wp:positionH>
            <wp:positionV relativeFrom="paragraph">
              <wp:posOffset>-1615440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-897255</wp:posOffset>
            </wp:positionV>
            <wp:extent cx="596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5196205</wp:posOffset>
            </wp:positionH>
            <wp:positionV relativeFrom="paragraph">
              <wp:posOffset>-897255</wp:posOffset>
            </wp:positionV>
            <wp:extent cx="596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-897255</wp:posOffset>
            </wp:positionV>
            <wp:extent cx="596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6855460</wp:posOffset>
            </wp:positionH>
            <wp:positionV relativeFrom="paragraph">
              <wp:posOffset>-897255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-606425</wp:posOffset>
            </wp:positionV>
            <wp:extent cx="596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-589280</wp:posOffset>
            </wp:positionV>
            <wp:extent cx="596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5196205</wp:posOffset>
            </wp:positionH>
            <wp:positionV relativeFrom="paragraph">
              <wp:posOffset>-606425</wp:posOffset>
            </wp:positionV>
            <wp:extent cx="596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5196205</wp:posOffset>
            </wp:positionH>
            <wp:positionV relativeFrom="paragraph">
              <wp:posOffset>-589280</wp:posOffset>
            </wp:positionV>
            <wp:extent cx="59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-606425</wp:posOffset>
            </wp:positionV>
            <wp:extent cx="596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-589280</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6855460</wp:posOffset>
            </wp:positionH>
            <wp:positionV relativeFrom="paragraph">
              <wp:posOffset>-606425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6855460</wp:posOffset>
            </wp:positionH>
            <wp:positionV relativeFrom="paragraph">
              <wp:posOffset>-589280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-170180</wp:posOffset>
            </wp:positionV>
            <wp:extent cx="596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5196205</wp:posOffset>
            </wp:positionH>
            <wp:positionV relativeFrom="paragraph">
              <wp:posOffset>-170180</wp:posOffset>
            </wp:positionV>
            <wp:extent cx="596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-170180</wp:posOffset>
            </wp:positionV>
            <wp:extent cx="596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6855460</wp:posOffset>
            </wp:positionH>
            <wp:positionV relativeFrom="paragraph">
              <wp:posOffset>-170180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6" w:name="page87"/>
    <w:bookmarkEnd w:id="86"/>
    <w:p>
      <w:pPr>
        <w:spacing w:after="0" w:line="211"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9"/>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209"/>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1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157,281</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157,281</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 and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157,281</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157,281</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Essentialis purchase price contingency liability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tcPr>
          <w:p>
            <w:pPr>
              <w:spacing w:after="0"/>
              <w:rPr>
                <w:sz w:val="18"/>
                <w:szCs w:val="18"/>
                <w:color w:val="auto"/>
              </w:rPr>
            </w:pPr>
          </w:p>
        </w:tc>
      </w:tr>
      <w:tr>
        <w:trPr>
          <w:trHeight w:val="249"/>
        </w:trPr>
        <w:tc>
          <w:tcPr>
            <w:tcW w:w="5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-751840</wp:posOffset>
            </wp:positionV>
            <wp:extent cx="596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5093335</wp:posOffset>
            </wp:positionH>
            <wp:positionV relativeFrom="paragraph">
              <wp:posOffset>-751840</wp:posOffset>
            </wp:positionV>
            <wp:extent cx="596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5888990</wp:posOffset>
            </wp:positionH>
            <wp:positionV relativeFrom="paragraph">
              <wp:posOffset>-751840</wp:posOffset>
            </wp:positionV>
            <wp:extent cx="596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-751840</wp:posOffset>
            </wp:positionV>
            <wp:extent cx="596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-24765</wp:posOffset>
            </wp:positionV>
            <wp:extent cx="596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-7620</wp:posOffset>
            </wp:positionV>
            <wp:extent cx="596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5093335</wp:posOffset>
            </wp:positionH>
            <wp:positionV relativeFrom="paragraph">
              <wp:posOffset>-24765</wp:posOffset>
            </wp:positionV>
            <wp:extent cx="59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5093335</wp:posOffset>
            </wp:positionH>
            <wp:positionV relativeFrom="paragraph">
              <wp:posOffset>-7620</wp:posOffset>
            </wp:positionV>
            <wp:extent cx="596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5888990</wp:posOffset>
            </wp:positionH>
            <wp:positionV relativeFrom="paragraph">
              <wp:posOffset>-24765</wp:posOffset>
            </wp:positionV>
            <wp:extent cx="596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5888990</wp:posOffset>
            </wp:positionH>
            <wp:positionV relativeFrom="paragraph">
              <wp:posOffset>-7620</wp:posOffset>
            </wp:positionV>
            <wp:extent cx="596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-24765</wp:posOffset>
            </wp:positionV>
            <wp:extent cx="596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-7620</wp:posOffset>
            </wp:positionV>
            <wp:extent cx="596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20" w:firstLine="578"/>
        <w:spacing w:after="0" w:line="254" w:lineRule="auto"/>
        <w:rPr>
          <w:sz w:val="20"/>
          <w:szCs w:val="20"/>
          <w:color w:val="auto"/>
        </w:rPr>
      </w:pPr>
      <w:r>
        <w:rPr>
          <w:rFonts w:ascii="Times New Roman" w:cs="Times New Roman" w:eastAsia="Times New Roman" w:hAnsi="Times New Roman"/>
          <w:sz w:val="18"/>
          <w:szCs w:val="18"/>
          <w:color w:val="auto"/>
        </w:rPr>
        <w:t>Based on the terms of the completed merger with Essentialis on March 7, 2017, the Company is obligated to make cash earnout payments of up to a maximum of $21.2 million to the former Essentialis stockholders. The fair value of the Essentialis purchase price contingent liability is estimated using scenario-based methods based upon the Company’s analysis of the likelihood of obtaining specified approvals from the U.S. Food and Drug Administration (FDA) as well as achieving two commercial sales milestones of $100 million and $200 million in cumulative revenue. The Level 3 estimates are based, in part, on subjective assumptions. In determining the likelihood of this occurring, the analysis relied on published research relating to clinical development success rates. Based on management’s assessment, an 88% probability of achieving all three milestones was determined to be reasonable as of both December 31, 2024 and December 31, 2023. During the periods presented, the Company has not changed the manner in which it values its Essentialis purchase price contingent liability.</w:t>
      </w:r>
    </w:p>
    <w:p>
      <w:pPr>
        <w:spacing w:after="0" w:line="187"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The Company recognizes transfers between levels of the fair value hierarchy as of the end of the reporting period. There were no transfers within the hierarchy during the periods presented.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Company’s Level 3 assets and liabilities (dollars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15"/>
        </w:trPr>
        <w:tc>
          <w:tcPr>
            <w:tcW w:w="37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87"/>
        </w:trPr>
        <w:tc>
          <w:tcPr>
            <w:tcW w:w="37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2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value of contingent liability</w:t>
            </w: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5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3720" w:type="dxa"/>
            <w:vAlign w:val="bottom"/>
          </w:tcPr>
          <w:p>
            <w:pPr>
              <w:spacing w:after="0"/>
              <w:rPr>
                <w:sz w:val="24"/>
                <w:szCs w:val="24"/>
                <w:color w:val="auto"/>
              </w:rPr>
            </w:pPr>
          </w:p>
        </w:tc>
        <w:tc>
          <w:tcPr>
            <w:tcW w:w="33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2018 PIPE Warrants</w:t>
            </w:r>
          </w:p>
        </w:tc>
        <w:tc>
          <w:tcPr>
            <w:tcW w:w="1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2780" w:type="dxa"/>
            <w:vAlign w:val="bottom"/>
            <w:gridSpan w:val="2"/>
          </w:tcPr>
          <w:p>
            <w:pPr>
              <w:jc w:val="right"/>
              <w:ind w:right="1180"/>
              <w:spacing w:after="0" w:line="117"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80" w:type="dxa"/>
            <w:vAlign w:val="bottom"/>
          </w:tcPr>
          <w:p>
            <w:pPr>
              <w:spacing w:after="0"/>
              <w:rPr>
                <w:sz w:val="10"/>
                <w:szCs w:val="10"/>
                <w:color w:val="auto"/>
              </w:rPr>
            </w:pPr>
          </w:p>
        </w:tc>
        <w:tc>
          <w:tcPr>
            <w:tcW w:w="184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80" w:type="dxa"/>
            <w:vAlign w:val="bottom"/>
          </w:tcPr>
          <w:p>
            <w:pPr>
              <w:spacing w:after="0"/>
              <w:rPr>
                <w:sz w:val="10"/>
                <w:szCs w:val="10"/>
                <w:color w:val="auto"/>
              </w:rPr>
            </w:pPr>
          </w:p>
        </w:tc>
        <w:tc>
          <w:tcPr>
            <w:tcW w:w="1940" w:type="dxa"/>
            <w:vAlign w:val="bottom"/>
            <w:gridSpan w:val="2"/>
          </w:tcPr>
          <w:p>
            <w:pPr>
              <w:jc w:val="center"/>
              <w:ind w:right="480"/>
              <w:spacing w:after="0" w:line="117" w:lineRule="exact"/>
              <w:rPr>
                <w:sz w:val="20"/>
                <w:szCs w:val="20"/>
                <w:color w:val="auto"/>
              </w:rPr>
            </w:pPr>
            <w:r>
              <w:rPr>
                <w:rFonts w:ascii="Times New Roman" w:cs="Times New Roman" w:eastAsia="Times New Roman" w:hAnsi="Times New Roman"/>
                <w:sz w:val="13"/>
                <w:szCs w:val="13"/>
                <w:b w:val="1"/>
                <w:bCs w:val="1"/>
                <w:color w:val="auto"/>
              </w:rPr>
              <w:t>Contingent</w:t>
            </w: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2780" w:type="dxa"/>
            <w:vAlign w:val="bottom"/>
            <w:gridSpan w:val="2"/>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58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34,241</w:t>
            </w:r>
          </w:p>
        </w:tc>
        <w:tc>
          <w:tcPr>
            <w:tcW w:w="22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value of 2018 PIPE Warrants</w:t>
            </w:r>
          </w:p>
        </w:tc>
        <w:tc>
          <w:tcPr>
            <w:tcW w:w="2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2018 PIPE Warrants</w:t>
            </w:r>
          </w:p>
        </w:tc>
        <w:tc>
          <w:tcPr>
            <w:tcW w:w="2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(21,789 )</w:t>
            </w:r>
          </w:p>
        </w:tc>
        <w:tc>
          <w:tcPr>
            <w:tcW w:w="5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(183 )</w:t>
            </w:r>
          </w:p>
        </w:tc>
        <w:tc>
          <w:tcPr>
            <w:tcW w:w="3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Expiration of 2018 PIPE Warrants</w:t>
            </w:r>
          </w:p>
        </w:tc>
        <w:tc>
          <w:tcPr>
            <w:tcW w:w="2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(12,452 )</w:t>
            </w:r>
          </w:p>
        </w:tc>
        <w:tc>
          <w:tcPr>
            <w:tcW w:w="58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(237 )</w:t>
            </w:r>
          </w:p>
        </w:tc>
        <w:tc>
          <w:tcPr>
            <w:tcW w:w="38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value of contingent liability</w:t>
            </w:r>
          </w:p>
        </w:tc>
        <w:tc>
          <w:tcPr>
            <w:tcW w:w="2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7069455</wp:posOffset>
            </wp:positionH>
            <wp:positionV relativeFrom="paragraph">
              <wp:posOffset>-1316355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-1299210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-170180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5521325</wp:posOffset>
            </wp:positionH>
            <wp:positionV relativeFrom="paragraph">
              <wp:posOffset>-170180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-170180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280" w:firstLine="578"/>
        <w:spacing w:after="0" w:line="281" w:lineRule="auto"/>
        <w:rPr>
          <w:sz w:val="20"/>
          <w:szCs w:val="20"/>
          <w:color w:val="auto"/>
        </w:rPr>
      </w:pPr>
      <w:r>
        <w:rPr>
          <w:rFonts w:ascii="Times New Roman" w:cs="Times New Roman" w:eastAsia="Times New Roman" w:hAnsi="Times New Roman"/>
          <w:sz w:val="18"/>
          <w:szCs w:val="18"/>
          <w:color w:val="auto"/>
        </w:rPr>
        <w:t>The Company’s estimated fair value of the 2018 PIPE Warrants was calculated using a Black-Scholes pricing model. The Black-Scholes pricing model requires the input of highly subjective assumptions including</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5"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the expected stock price volatility, the expected term, the expected dividend yield and the risk-free interest rate. The 2018 PIPE Warrants expired on December 21,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Other Financial Statement Details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are summarized in the following table (in thousands):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18"/>
                <w:szCs w:val="18"/>
                <w:color w:val="auto"/>
              </w:rPr>
            </w:pPr>
          </w:p>
        </w:tc>
      </w:tr>
      <w:tr>
        <w:trPr>
          <w:trHeight w:val="21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r>
      <w:tr>
        <w:trPr>
          <w:trHeight w:val="215"/>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(89 )</w:t>
            </w:r>
          </w:p>
        </w:tc>
      </w:tr>
      <w:tr>
        <w:trPr>
          <w:trHeight w:val="209"/>
        </w:trPr>
        <w:tc>
          <w:tcPr>
            <w:tcW w:w="49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FF0FC"/>
            </w:tcBorders>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5161915</wp:posOffset>
            </wp:positionH>
            <wp:positionV relativeFrom="paragraph">
              <wp:posOffset>-452755</wp:posOffset>
            </wp:positionV>
            <wp:extent cx="596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-452755</wp:posOffset>
            </wp:positionV>
            <wp:extent cx="596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5161915</wp:posOffset>
            </wp:positionH>
            <wp:positionV relativeFrom="paragraph">
              <wp:posOffset>-170180</wp:posOffset>
            </wp:positionV>
            <wp:extent cx="596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-170180</wp:posOffset>
            </wp:positionV>
            <wp:extent cx="596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4"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Depreciation expense was approximately $43 thousand, $14 thousand, and $20 thousand for the years ended December 31, 2024, 2023, and 2022, respectively.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p>
      <w:pPr>
        <w:spacing w:after="0" w:line="245"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3"/>
          </w:tcPr>
          <w:p>
            <w:pPr>
              <w:ind w:left="100"/>
              <w:spacing w:after="0" w:line="117"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760" w:type="dxa"/>
            <w:vAlign w:val="bottom"/>
          </w:tcPr>
          <w:p>
            <w:pPr>
              <w:jc w:val="center"/>
              <w:ind w:right="70"/>
              <w:spacing w:after="0" w:line="117" w:lineRule="exact"/>
              <w:rPr>
                <w:sz w:val="20"/>
                <w:szCs w:val="20"/>
                <w:color w:val="auto"/>
              </w:rPr>
            </w:pPr>
            <w:r>
              <w:rPr>
                <w:rFonts w:ascii="Times New Roman" w:cs="Times New Roman" w:eastAsia="Times New Roman" w:hAnsi="Times New Roman"/>
                <w:sz w:val="13"/>
                <w:szCs w:val="13"/>
                <w:b w:val="1"/>
                <w:bCs w:val="1"/>
                <w:color w:val="auto"/>
              </w:rPr>
              <w:t>Net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3"/>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0"/>
                <w:szCs w:val="10"/>
                <w:color w:val="auto"/>
              </w:rPr>
            </w:pPr>
          </w:p>
        </w:tc>
        <w:tc>
          <w:tcPr>
            <w:tcW w:w="1740" w:type="dxa"/>
            <w:vAlign w:val="bottom"/>
            <w:gridSpan w:val="5"/>
          </w:tcPr>
          <w:p>
            <w:pPr>
              <w:ind w:left="280"/>
              <w:spacing w:after="0" w:line="117"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0" w:type="dxa"/>
            <w:vAlign w:val="bottom"/>
          </w:tcPr>
          <w:p>
            <w:pPr>
              <w:jc w:val="center"/>
              <w:ind w:right="110"/>
              <w:spacing w:after="0" w:line="117"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Patents and merger costs</w:t>
            </w:r>
          </w:p>
        </w:tc>
        <w:tc>
          <w:tcPr>
            <w:tcW w:w="840" w:type="dxa"/>
            <w:vAlign w:val="bottom"/>
            <w:gridSpan w:val="2"/>
            <w:shd w:val="clear" w:color="auto" w:fill="CFF0FC"/>
          </w:tcPr>
          <w:p>
            <w:pPr>
              <w:ind w:left="7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22,003</w:t>
            </w:r>
          </w:p>
        </w:tc>
        <w:tc>
          <w:tcPr>
            <w:tcW w:w="42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(15,198 )  $</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6,805</w:t>
            </w:r>
          </w:p>
        </w:tc>
        <w:tc>
          <w:tcPr>
            <w:tcW w:w="3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22,003</w:t>
            </w:r>
          </w:p>
        </w:tc>
        <w:tc>
          <w:tcPr>
            <w:tcW w:w="1080" w:type="dxa"/>
            <w:vAlign w:val="bottom"/>
            <w:gridSpan w:val="2"/>
            <w:shd w:val="clear" w:color="auto" w:fill="CFF0FC"/>
          </w:tcPr>
          <w:p>
            <w:pPr>
              <w:jc w:val="right"/>
              <w:ind w:right="7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4"/>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(13,254 )  $</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8,749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458"/>
        </w:trPr>
        <w:tc>
          <w:tcPr>
            <w:tcW w:w="8400" w:type="dxa"/>
            <w:vAlign w:val="bottom"/>
            <w:gridSpan w:val="18"/>
          </w:tcPr>
          <w:p>
            <w:pPr>
              <w:jc w:val="right"/>
              <w:ind w:right="370"/>
              <w:spacing w:after="0"/>
              <w:rPr>
                <w:sz w:val="20"/>
                <w:szCs w:val="20"/>
                <w:color w:val="auto"/>
              </w:rPr>
            </w:pPr>
            <w:r>
              <w:rPr>
                <w:rFonts w:ascii="Times New Roman" w:cs="Times New Roman" w:eastAsia="Times New Roman" w:hAnsi="Times New Roman"/>
                <w:sz w:val="18"/>
                <w:szCs w:val="18"/>
                <w:color w:val="auto"/>
                <w:w w:val="99"/>
              </w:rPr>
              <w:t>Future amortization expense for intangible assets over their remaining useful lives is as follows (in thousands):</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Patents and</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80" w:type="dxa"/>
            <w:vAlign w:val="bottom"/>
            <w:tcBorders>
              <w:bottom w:val="single" w:sz="8" w:color="CFF0FC"/>
            </w:tcBorders>
            <w:shd w:val="clear" w:color="auto" w:fill="CFF0FC"/>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5657850</wp:posOffset>
            </wp:positionH>
            <wp:positionV relativeFrom="paragraph">
              <wp:posOffset>-24765</wp:posOffset>
            </wp:positionV>
            <wp:extent cx="514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5657850</wp:posOffset>
            </wp:positionH>
            <wp:positionV relativeFrom="paragraph">
              <wp:posOffset>-7620</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was $1.9 million for the years ended December 31, 2024, 2023 and 2022.</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Warrants</w:t>
      </w:r>
    </w:p>
    <w:p>
      <w:pPr>
        <w:spacing w:after="0" w:line="120" w:lineRule="exact"/>
        <w:rPr>
          <w:sz w:val="20"/>
          <w:szCs w:val="20"/>
          <w:color w:val="auto"/>
        </w:rPr>
      </w:pPr>
    </w:p>
    <w:p>
      <w:pPr>
        <w:jc w:val="both"/>
        <w:ind w:right="320" w:firstLine="509"/>
        <w:spacing w:after="0" w:line="281" w:lineRule="auto"/>
        <w:rPr>
          <w:sz w:val="20"/>
          <w:szCs w:val="20"/>
          <w:color w:val="auto"/>
        </w:rPr>
      </w:pPr>
      <w:r>
        <w:rPr>
          <w:rFonts w:ascii="Times New Roman" w:cs="Times New Roman" w:eastAsia="Times New Roman" w:hAnsi="Times New Roman"/>
          <w:sz w:val="18"/>
          <w:szCs w:val="18"/>
          <w:color w:val="auto"/>
        </w:rPr>
        <w:t xml:space="preserve">The Company has issued multiple warrant series, of which the 2018 PIPE Warrants were determined to be liabilities pursuant to the guidance established by </w:t>
      </w:r>
      <w:r>
        <w:rPr>
          <w:rFonts w:ascii="Times New Roman" w:cs="Times New Roman" w:eastAsia="Times New Roman" w:hAnsi="Times New Roman"/>
          <w:sz w:val="18"/>
          <w:szCs w:val="18"/>
          <w:i w:val="1"/>
          <w:iCs w:val="1"/>
          <w:color w:val="auto"/>
        </w:rPr>
        <w:t>ASC 815 Derivatives and Hedging.</w:t>
      </w:r>
    </w:p>
    <w:p>
      <w:pPr>
        <w:spacing w:after="0" w:line="200" w:lineRule="exact"/>
        <w:rPr>
          <w:sz w:val="20"/>
          <w:szCs w:val="20"/>
          <w:color w:val="auto"/>
        </w:rPr>
      </w:pPr>
    </w:p>
    <w:p>
      <w:pPr>
        <w:spacing w:after="0" w:line="39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sectPr>
      </w:pPr>
    </w:p>
    <w:bookmarkStart w:id="88" w:name="page89"/>
    <w:bookmarkEnd w:id="88"/>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Issued as Part of the Units in the 2018 PIPE Offering</w:t>
      </w:r>
    </w:p>
    <w:p>
      <w:pPr>
        <w:spacing w:after="0" w:line="120"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The 2018 PIPE Warrants were issued on December 19, 2018 in the 2018 PIPE Offering, pursuant to a Warrant Agreement with each of the investors in the 2018 PIPE Offering, and prior to their expiration on December 21, 2023, entitled the holders to purchase 34,241 shares of the Company’s common stock at an exercise price equal to $30.00 per share, subject to adjustments.</w:t>
      </w:r>
    </w:p>
    <w:p>
      <w:pPr>
        <w:spacing w:after="0" w:line="176" w:lineRule="exact"/>
        <w:rPr>
          <w:sz w:val="20"/>
          <w:szCs w:val="20"/>
          <w:color w:val="auto"/>
        </w:rPr>
      </w:pPr>
    </w:p>
    <w:p>
      <w:pPr>
        <w:jc w:val="both"/>
        <w:ind w:right="200" w:firstLine="509"/>
        <w:spacing w:after="0" w:line="265" w:lineRule="auto"/>
        <w:rPr>
          <w:sz w:val="20"/>
          <w:szCs w:val="20"/>
          <w:color w:val="auto"/>
        </w:rPr>
      </w:pPr>
      <w:r>
        <w:rPr>
          <w:rFonts w:ascii="Times New Roman" w:cs="Times New Roman" w:eastAsia="Times New Roman" w:hAnsi="Times New Roman"/>
          <w:sz w:val="18"/>
          <w:szCs w:val="18"/>
          <w:color w:val="auto"/>
        </w:rPr>
        <w:t>In the event of a change of control of the Company, the holders of unexercised warrants had the option to present their unexercised warrants to the Company, or its successor, to be purchased by the Company, or its successor, in an amount equal to the per share value determined by the Black-Scholes methodology.</w:t>
      </w:r>
    </w:p>
    <w:p>
      <w:pPr>
        <w:spacing w:after="0" w:line="176"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Since the Company may have been obligated to settle the 2018 PIPE Warrants in cash, the Company classified the 2018 PIPE Warrants as long-term liabilities at their fair value and re-measured the warrants at each balance sheet date until they were exercised or expire. Any change in the fair value is recognized as Other income (expense), net in the Company’s consolidated statements of operations and comprehensive loss.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2018 PIPE Warrants were either exercised prior to or expired on December 21, 2023.</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Leases</w:t>
      </w:r>
    </w:p>
    <w:p>
      <w:pPr>
        <w:spacing w:after="0" w:line="120" w:lineRule="exact"/>
        <w:rPr>
          <w:sz w:val="20"/>
          <w:szCs w:val="20"/>
          <w:color w:val="auto"/>
        </w:rPr>
      </w:pPr>
    </w:p>
    <w:p>
      <w:pPr>
        <w:ind w:right="120" w:firstLine="509"/>
        <w:spacing w:after="0" w:line="276" w:lineRule="auto"/>
        <w:rPr>
          <w:sz w:val="20"/>
          <w:szCs w:val="20"/>
          <w:color w:val="auto"/>
        </w:rPr>
      </w:pPr>
      <w:r>
        <w:rPr>
          <w:rFonts w:ascii="Times New Roman" w:cs="Times New Roman" w:eastAsia="Times New Roman" w:hAnsi="Times New Roman"/>
          <w:sz w:val="17"/>
          <w:szCs w:val="17"/>
          <w:color w:val="auto"/>
        </w:rPr>
        <w:t>On June 13, 2024, the Company entered into a new office lease in Redwood City, California for office space for its headquarters facility. The lease provides office space of approximately 18,026 square feet and for base monthly rent payments beginning at $57,400 that increase annually by approximately 3.0% over the term of five years from the date of occupancy. In addition to base rent, the Company has agreed to reimburse the landlord for certain operating expenses under the terms of the lease. The lease commencement date was September 1, 2024 when the premises became available for occupancy and the related operating lease ROU assets and liabilities were recorded in the Company's consolidated balance sheet as of December 31, 2024.</w:t>
      </w:r>
    </w:p>
    <w:p>
      <w:pPr>
        <w:spacing w:after="0" w:line="169"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color w:val="auto"/>
        </w:rPr>
        <w:t>The Company's operating lease ROU assets, current operating lease liabilities and long-term operating lease liabilities each appear as a separate line within the Company's consolidated balance sheets. In September 2024, the Company recorded an increase to its right-of-use assets by $2.8 million and an increase to its lease liability of $2.8 million as a result of the June 2024 office lease. As of December 31, 2024 and December 31, 2023, the Company's short-term liabilities were equal to $0.5 million and $0.3 million, respectively, and the long-term operating lease liabilities were equal to $2.5 million and $0.1 million, respectively.</w:t>
      </w:r>
    </w:p>
    <w:p>
      <w:pPr>
        <w:spacing w:after="0" w:line="185"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The Company's prior operating lease for its predecessor headquarters facility office space in Redwood City, California began in June 2021 and expired in May 2023. In April 2023, the Company entered into a twenty-four month lease extension commencing on June 1, 2023. The term of the lease extension expires in May 2025. As a result of the lease extension, in 2023, the Company recorded an increase to its right-of-use assets by $0.6 million and an increase to its lease liability by $0.6 million.</w:t>
      </w:r>
    </w:p>
    <w:p>
      <w:pPr>
        <w:spacing w:after="0" w:line="73"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The weighted average discount rate related to the Company’s lease liabilities was 8.5% as of December 31, 2024 over a remaining term of 4.7 years, and 8.25% as of December 31, 2023 over the remaining term of 17 months. The discount rates were determined based on estimates of the Company's incremental borrowing rate, as the discount rates implicit in the Company’s leases cannot be readily determined.</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0"/>
        </w:trPr>
        <w:tc>
          <w:tcPr>
            <w:tcW w:w="6240" w:type="dxa"/>
            <w:vAlign w:val="bottom"/>
          </w:tcPr>
          <w:p>
            <w:pPr>
              <w:spacing w:after="0"/>
              <w:rPr>
                <w:sz w:val="16"/>
                <w:szCs w:val="16"/>
                <w:color w:val="auto"/>
              </w:rPr>
            </w:pPr>
          </w:p>
        </w:tc>
        <w:tc>
          <w:tcPr>
            <w:tcW w:w="10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15"/>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cost</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3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8"/>
                <w:szCs w:val="18"/>
                <w:color w:val="auto"/>
              </w:rPr>
            </w:pPr>
          </w:p>
        </w:tc>
      </w:tr>
      <w:tr>
        <w:trPr>
          <w:trHeight w:val="215"/>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Variable lease cost</w:t>
            </w:r>
          </w:p>
        </w:tc>
        <w:tc>
          <w:tcPr>
            <w:tcW w:w="10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5"/>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lease cost</w:t>
            </w:r>
          </w:p>
        </w:tc>
        <w:tc>
          <w:tcPr>
            <w:tcW w:w="10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r>
      <w:tr>
        <w:trPr>
          <w:trHeight w:val="249"/>
        </w:trPr>
        <w:tc>
          <w:tcPr>
            <w:tcW w:w="6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4879975</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4879975</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0"/>
        </w:trPr>
        <w:tc>
          <w:tcPr>
            <w:tcW w:w="752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15"/>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3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schedule by year of future maturities of the Company’s operating lease liabilities as of December 31, 2024 (in thousands):</w:t>
      </w:r>
    </w:p>
    <w:p>
      <w:pPr>
        <w:spacing w:after="0" w:line="269" w:lineRule="exact"/>
        <w:rPr>
          <w:sz w:val="20"/>
          <w:szCs w:val="20"/>
          <w:color w:val="auto"/>
        </w:rPr>
      </w:pPr>
    </w:p>
    <w:tbl>
      <w:tblPr>
        <w:tblLayout w:type="fixed"/>
        <w:tblInd w:w="1420" w:type="dxa"/>
        <w:tblCellMar>
          <w:top w:w="0" w:type="dxa"/>
          <w:left w:w="0" w:type="dxa"/>
          <w:bottom w:w="0" w:type="dxa"/>
          <w:right w:w="0" w:type="dxa"/>
        </w:tblCellMar>
      </w:tblPr>
      <w:tr>
        <w:trPr>
          <w:trHeight w:val="215"/>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FF0FC"/>
          </w:tcPr>
          <w:p>
            <w:pPr>
              <w:spacing w:after="0"/>
              <w:rPr>
                <w:sz w:val="18"/>
                <w:szCs w:val="18"/>
                <w:color w:val="auto"/>
              </w:rPr>
            </w:pPr>
          </w:p>
        </w:tc>
      </w:tr>
      <w:tr>
        <w:trPr>
          <w:trHeight w:val="215"/>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8"/>
                <w:szCs w:val="18"/>
                <w:color w:val="auto"/>
              </w:rPr>
            </w:pPr>
          </w:p>
        </w:tc>
      </w:tr>
      <w:tr>
        <w:trPr>
          <w:trHeight w:val="215"/>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0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FF0FC"/>
          </w:tcPr>
          <w:p>
            <w:pPr>
              <w:spacing w:after="0"/>
              <w:rPr>
                <w:sz w:val="18"/>
                <w:szCs w:val="18"/>
                <w:color w:val="auto"/>
              </w:rPr>
            </w:pPr>
          </w:p>
        </w:tc>
      </w:tr>
      <w:tr>
        <w:trPr>
          <w:trHeight w:val="215"/>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8"/>
                <w:szCs w:val="18"/>
                <w:color w:val="auto"/>
              </w:rPr>
            </w:pPr>
          </w:p>
        </w:tc>
      </w:tr>
      <w:tr>
        <w:trPr>
          <w:trHeight w:val="215"/>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0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0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tcPr>
          <w:p>
            <w:pPr>
              <w:spacing w:after="0"/>
              <w:rPr>
                <w:sz w:val="18"/>
                <w:szCs w:val="18"/>
                <w:color w:val="auto"/>
              </w:rPr>
            </w:pPr>
          </w:p>
        </w:tc>
      </w:tr>
      <w:tr>
        <w:trPr>
          <w:trHeight w:val="215"/>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0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(715 )</w:t>
            </w:r>
          </w:p>
        </w:tc>
      </w:tr>
      <w:tr>
        <w:trPr>
          <w:trHeight w:val="209"/>
        </w:trPr>
        <w:tc>
          <w:tcPr>
            <w:tcW w:w="59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tcBorders>
              <w:top w:val="single" w:sz="8" w:color="CFF0FC"/>
            </w:tcBorders>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6188075</wp:posOffset>
            </wp:positionH>
            <wp:positionV relativeFrom="paragraph">
              <wp:posOffset>-452755</wp:posOffset>
            </wp:positionV>
            <wp:extent cx="596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-170180</wp:posOffset>
            </wp:positionV>
            <wp:extent cx="596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20" w:lineRule="exact"/>
        <w:rPr>
          <w:sz w:val="20"/>
          <w:szCs w:val="20"/>
          <w:color w:val="auto"/>
        </w:rPr>
      </w:pPr>
    </w:p>
    <w:p>
      <w:pPr>
        <w:jc w:val="both"/>
        <w:ind w:right="360" w:firstLine="509"/>
        <w:spacing w:after="0" w:line="260" w:lineRule="auto"/>
        <w:rPr>
          <w:sz w:val="20"/>
          <w:szCs w:val="20"/>
          <w:color w:val="auto"/>
        </w:rPr>
      </w:pPr>
      <w:r>
        <w:rPr>
          <w:rFonts w:ascii="Times New Roman" w:cs="Times New Roman" w:eastAsia="Times New Roman" w:hAnsi="Times New Roman"/>
          <w:sz w:val="18"/>
          <w:szCs w:val="18"/>
          <w:color w:val="auto"/>
        </w:rPr>
        <w:t>The Company enters into agreements in the normal course of business, including with contract research organizations for clinical trials, contract manufacturing organizations for certain manufacturing services, and vendors for preclinical studies as well as other services and products for operating purposes, which are generally cancelable upon written notice. As of December 31, 2024, the Company's non-cancelable other commitments aggregated $0.9 million.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0"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Long-term Debt</w:t>
      </w:r>
    </w:p>
    <w:p>
      <w:pPr>
        <w:spacing w:after="0" w:line="120"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On December 17, 2024, the Company entered into a loan and security agreement for up to $200 million with Oxford. The loan is collateralized by substantially all of the Company's assets, including its intellectual property, subject to certain limitations.</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2024, the Company had $50.0 million outstanding under the Oxford loan agreement. An additional $100 million may become available in three tranches, with tranches of $50 million and $25 million contingent upon FDA approval of DCCR for the treatment of PWS and one tranche of $25 million contingent upon certain commercial milestones. A final $50 million may be made available upon the mutual consent of the Company and Oxford. The loan carries an interest-only period of 48 months and a total term of 60 months; provided that if specific milestones are achieved prior to September 30, 2026, the interest-only period and maturity date will be extended by 12 months. The term loans accrue interest, payable monthly, at a floating rate equal to, subject to certain conditions, (a) 1-month term SOFR plus (b) 5.50%. The principal portion of the loan is due in eleven equal monthly installments beginning February 1, 2029, through December 1, 2029. However, if a specified milestone is achieved on or after December 17, 2025, then the term loan will begin to amortize in equal monthly installments beginning on February 1, 2030, and the maturity date will be extended to December 1, 2030. At maturity, the final principal payment will include a fee of 5% of the total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principal borrowed. The $2.5 million final interest payment related to the $50 million borrowed as of December 31, 2024 is accrued over the term of loan as long-term accrued interest payable. However, if a specified milestone is achieved on or after December 17, 2025, then the term loan will begin to amortize in equal monthly installments beginning on February 1, 2030, the maturity date will be extended to December 1, 2030, and the final payment will include a fee of 6.5% of the total principal borrowed. As of December 31, 2024, $21 thousand was accrued as part of other long-term liabilities on the consolidated balance sheet. Loan issuance costs of $174 thousand are recorded as a reduction of the principal loan balance on the consolidated balance sheet and are amortized as interest expense over the term of the loan. For the year ended December 31, 2024, the Company recorded $231 thousand in interest expense and $209 thousand of interest was paid.</w:t>
      </w:r>
    </w:p>
    <w:p>
      <w:pPr>
        <w:spacing w:after="0" w:line="7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loan and security agreement provides for both affirmative and negative covenants. including covenants limiting the ability of the Company and their subsidiaries to, among other things, dispose of assets, incur debt, grant liens, pay dividends and distributions on their capital stock, make investments and acquisitions, and enter into transactions with affiliates, in each case subject to customary exceptions for a loan facility of this size and type. In addition, the loan and security agreement contains (1) a minimum cash covenant commencing on June 30, 2025 if the Company has not obtained FDA approval for DCCR for the treatment of Prader-Willi syndrome and at all times thereafter until such approval is received and (2) a minimum revenue covenant commencing on the earlier of the date that the more than $50 million principal amount of term loans have been funded under the loan and security agreement and June 30, 2026; provided that such minimum revenue covenant shall not be tested during periods when the Company’s market capitalization or unrestricted cash meet certain minimum thresholds. The occurrence of an event of default could result in the acceleration of the Borrowers’ obligations under the loan and security agreement, the termination of the Lenders’ commitments, a 5.0% increase in the applicable rate of interest and the exercise by the Lender of other rights and remedies provided for under the loan and security agreement.</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authorized to issue 10,000,000 shares of Preferred Stock.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 of Common Stock</w:t>
      </w:r>
    </w:p>
    <w:p>
      <w:pPr>
        <w:spacing w:after="0" w:line="120"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On May 9, 2024, the Company closed an underwritten public offering of 3,450,000 shares of its common stock at a public offering price of $46.00 per share, which included the exercise in full by the underwriters of their option to purchase additional shares. The gross proceeds of the public offering were $158.7 million, before deducting the underwriter discount and other offering expenses, totaling approximately $9.7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 of Common Stock and Concurrent Private Placement of Common Stock and Pre-Funded Warrants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1" w:name="page92"/>
    <w:bookmarkEnd w:id="91"/>
    <w:p>
      <w:pPr>
        <w:spacing w:after="0" w:line="19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October 2, 2023, the Company closed an underwritten public offering of 3,450,000 shares of its common stock at a public offering of $20.00 per share, which included the exercise in full by the underwriters of their option to purchase additional shares. The gross proceeds of the public offering were $69.0 million, before deducting the underwriting discount and other offering expenses. Concurrently, the Company also completed the closing of approximately $60.0 million for 1,825,000 shares of its common stock and 1,175,000 pre-funded warrants in a private offering pursuant to a securities purchase agreement with certain investors, including entities affiliated with existing stockholders, at a price per share of common stock equal to the public offering price of $20.00 and a price per per-funded warrant of $19.99. In aggregate, the Company received $129.0 million of gross proceeds less offering costs of $8.2 million The Company is not required under any circumstance to settle any of the pre-funded warrants for cash, and therefore classified the pre-funded warrants as permanent equity.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12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December 16, 2022, the Company entered into a Securities Purchase Agreement for a private placement (Private Placement) with certain entities and members of management (collectively, Purchasers). Pursuant to the Securities Purchase Agreement, the Company agreed to sell to the Purchasers warrants to purchase up to an aggregate of 22,598,870 shares of the Company’s common stock, at a purchase price of $0.4425 per warrant. The closing of the Private Placement occurred on May 8, 2023 (the Issue Date), following the satisfaction of certain closing conditions, including the completion of enrollment in the randomized withdrawal period of Study C602. The Company received gross proceeds of $10.0 million for the sale and issuance of warrants to purchase common stock.</w:t>
      </w:r>
    </w:p>
    <w:p>
      <w:pPr>
        <w:spacing w:after="0" w:line="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warrants were separated into two tranches with 8,598,870 Tranche A warrants with an exercise price of $1.75 and aggregate proceeds of up to approximately $15.0 million, and 14,000,000 Tranche B warrants with an exercise price of $2.50 and aggregate proceeds of up to $35.0 million. The Tranche A warrants were immediately exercisable and were required to be exercised within 30 days of announcement of positive top-line data from the randomized withdrawal period of Study C602. On September 26, 2023, the Company announced positive top-line data and subsequently received $15.0 million from the exercise of the Tranche A warrants. The Tranche B warrants are also immediately exercisable and expire upon the earlier of 3.5 years from the date of issuance or 30 days following receipt of FDA approval of DCCR for the treatment of PWS. Through December 31, 2024, certain investors had exercised their Tranche B warrants and the Company has received $29.8 million. The receipt of the aggregate exercise price of up to $5.2 million for the remaining Tranche B warrants is contingent upon the exercise of such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Public Offering</w:t>
      </w:r>
    </w:p>
    <w:p>
      <w:pPr>
        <w:spacing w:after="0" w:line="120"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On March 31, 2022, the Company sold 2,666,667 shares of its common stock at a public offering price of $3.75, and for certain investors, in lieu of common stock, pre-funded warrants (the March 2022 pre-funded warrants) to purchase 1,333,333 shares of its common stock at a public offering price $3.60 per pre-funded warrant, which represents the per share public offering price for the common stock less the $0.15 per share exercise price for each March 2022 pre-funded warrant. The March 2022 pre-funded warrants are immediately exercisable and may be exercised at any time until all of the March 2022 pre-funded warrants are exercised in full. Each share of common stock or March 2022 pre-funded warrant was sold together with one, immediately exercisable, common warrant (the 2022 common warrants) with a five-year term to purchase one share of common stock at an exercise price of $4.50 per share. The net proceeds of the offering were $13.8 million, after deducting the underwriting discount and other offering expenses. The Company is not required under any circumstance to settle any of the 2022 pre-funded warrants or the 2022 common warrants for cash, and therefore classified both types of warrants as permanent equity.</w:t>
      </w:r>
    </w:p>
    <w:p>
      <w:pPr>
        <w:spacing w:after="0" w:line="187"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In 2024, 254,664 of the March 2022 common warrants were exercised for gross proceeds of $1.1 million and 419,056 warrants were exercised using the cashless exercise option with no proceeds to the Company. In 2023, 2,070,934 March 2022 warrants were exercised for gross proceeds of $9.3 million and the remainder of the March 2022 pre-funded warrants totaling 1,280,965 were exercised using the cashless exercise option with no additional proceeds received by the Company. As of December 31, 2024, 1,255,346 of the March 2022 common warrants remain outstanding.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2" w:name="page93"/>
    <w:bookmarkEnd w:id="92"/>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 Offering</w:t>
      </w:r>
    </w:p>
    <w:p>
      <w:pPr>
        <w:spacing w:after="0" w:line="120"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In July 2024, the Company entered into the Sales Agreement with Jefferies, pursuant to which the Company may offer and sell up to $150.0 million of shares of its common stock, from time to time, through Jefferies.</w:t>
      </w:r>
    </w:p>
    <w:p>
      <w:pPr>
        <w:spacing w:after="0" w:line="54"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The Company will pay Jefferies a commission of 3.0% of the aggregate gross proceeds from the sale of shares and has agreed to provide Jefferies with customary indemnification and contribution rights. The Company has also agreed to reimburse Jefferies for certain specified expenses. The Company is not obligated to sell any shares under the Sales Agreement. The offering of the shares pursuant to the Sales Agreement will terminate upon the termination of the Sales Agreement by Jefferies or the Company, as permitted therein.</w:t>
      </w:r>
    </w:p>
    <w:p>
      <w:pPr>
        <w:spacing w:after="0" w:line="73"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In July 2021, the Company entered into a Controlled Equity Offering Sales Agreement with Cantor Fitzgerald under which the Company may sell shares of its common stock having an aggregate offering price of up to $25.0 million from time to time in any method permitted by law deemed to be an “at the market” Rule 415 under the Securities Act of 1933, as amended. As of December 31, 2023, the Company had sold 1,877,170 shares of common stock through the at the market program, totaling $7.4 million in net proceeds. The Controlled Equity Offering Sales Agreement was terminated in connection with the October 2, 2023 financing.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2023 and 2022, the following table summarizes the Company's outstanding common stock warrants: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40" w:type="dxa"/>
            <w:vAlign w:val="bottom"/>
          </w:tcPr>
          <w:p>
            <w:pPr>
              <w:spacing w:after="0"/>
              <w:rPr>
                <w:sz w:val="15"/>
                <w:szCs w:val="15"/>
                <w:color w:val="auto"/>
              </w:rPr>
            </w:pPr>
          </w:p>
        </w:tc>
        <w:tc>
          <w:tcPr>
            <w:tcW w:w="2540" w:type="dxa"/>
            <w:vAlign w:val="bottom"/>
            <w:tcBorders>
              <w:bottom w:val="single" w:sz="8" w:color="auto"/>
            </w:tcBorders>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Pr>
          <w:p>
            <w:pPr>
              <w:spacing w:after="0"/>
              <w:rPr>
                <w:sz w:val="15"/>
                <w:szCs w:val="15"/>
                <w:color w:val="auto"/>
              </w:rPr>
            </w:pPr>
          </w:p>
        </w:tc>
        <w:tc>
          <w:tcPr>
            <w:tcW w:w="2460" w:type="dxa"/>
            <w:vAlign w:val="bottom"/>
            <w:tcBorders>
              <w:bottom w:val="single" w:sz="8" w:color="auto"/>
            </w:tcBorders>
            <w:gridSpan w:val="4"/>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20" w:type="dxa"/>
            <w:vAlign w:val="bottom"/>
          </w:tcPr>
          <w:p>
            <w:pPr>
              <w:spacing w:after="0"/>
              <w:rPr>
                <w:sz w:val="15"/>
                <w:szCs w:val="15"/>
                <w:color w:val="auto"/>
              </w:rPr>
            </w:pPr>
          </w:p>
        </w:tc>
        <w:tc>
          <w:tcPr>
            <w:tcW w:w="2440" w:type="dxa"/>
            <w:vAlign w:val="bottom"/>
            <w:tcBorders>
              <w:bottom w:val="single" w:sz="8" w:color="auto"/>
            </w:tcBorders>
            <w:gridSpan w:val="4"/>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40" w:type="dxa"/>
            <w:vAlign w:val="bottom"/>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jc w:val="center"/>
              <w:ind w:right="116"/>
              <w:spacing w:after="0" w:line="117"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center"/>
              <w:ind w:right="76"/>
              <w:spacing w:after="0" w:line="117"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center"/>
              <w:ind w:right="116"/>
              <w:spacing w:after="0" w:line="117"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center"/>
              <w:ind w:right="116"/>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Common</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right="76"/>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116"/>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2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Common Warrant</w:t>
            </w:r>
          </w:p>
        </w:tc>
        <w:tc>
          <w:tcPr>
            <w:tcW w:w="120" w:type="dxa"/>
            <w:vAlign w:val="bottom"/>
          </w:tcPr>
          <w:p>
            <w:pPr>
              <w:spacing w:after="0"/>
              <w:rPr>
                <w:sz w:val="12"/>
                <w:szCs w:val="12"/>
                <w:color w:val="auto"/>
              </w:rPr>
            </w:pPr>
          </w:p>
        </w:tc>
        <w:tc>
          <w:tcPr>
            <w:tcW w:w="1160" w:type="dxa"/>
            <w:vAlign w:val="bottom"/>
            <w:gridSpan w:val="2"/>
          </w:tcPr>
          <w:p>
            <w:pPr>
              <w:jc w:val="center"/>
              <w:ind w:left="8"/>
              <w:spacing w:after="0" w:line="148"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120"/>
              <w:spacing w:after="0" w:line="148"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2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Common Warrant</w:t>
            </w:r>
          </w:p>
        </w:tc>
        <w:tc>
          <w:tcPr>
            <w:tcW w:w="100" w:type="dxa"/>
            <w:vAlign w:val="bottom"/>
          </w:tcPr>
          <w:p>
            <w:pPr>
              <w:spacing w:after="0"/>
              <w:rPr>
                <w:sz w:val="12"/>
                <w:szCs w:val="12"/>
                <w:color w:val="auto"/>
              </w:rPr>
            </w:pPr>
          </w:p>
        </w:tc>
        <w:tc>
          <w:tcPr>
            <w:tcW w:w="114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20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 w:type="dxa"/>
            <w:vAlign w:val="bottom"/>
          </w:tcPr>
          <w:p>
            <w:pPr>
              <w:spacing w:after="0"/>
              <w:rPr>
                <w:sz w:val="15"/>
                <w:szCs w:val="15"/>
                <w:color w:val="auto"/>
              </w:rPr>
            </w:pPr>
          </w:p>
        </w:tc>
        <w:tc>
          <w:tcPr>
            <w:tcW w:w="13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Warrant Shares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4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Common stock warrants</w:t>
            </w:r>
          </w:p>
        </w:tc>
        <w:tc>
          <w:tcPr>
            <w:tcW w:w="1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November</w:t>
            </w:r>
          </w:p>
        </w:tc>
        <w:tc>
          <w:tcPr>
            <w:tcW w:w="0" w:type="dxa"/>
            <w:vAlign w:val="bottom"/>
          </w:tcPr>
          <w:p>
            <w:pPr>
              <w:spacing w:after="0"/>
              <w:rPr>
                <w:sz w:val="1"/>
                <w:szCs w:val="1"/>
                <w:color w:val="auto"/>
              </w:rPr>
            </w:pPr>
          </w:p>
        </w:tc>
      </w:tr>
      <w:tr>
        <w:trPr>
          <w:trHeight w:val="234"/>
        </w:trPr>
        <w:tc>
          <w:tcPr>
            <w:tcW w:w="20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388.94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388.94</w:t>
            </w:r>
          </w:p>
        </w:tc>
        <w:tc>
          <w:tcPr>
            <w:tcW w:w="134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197"/>
        </w:trPr>
        <w:tc>
          <w:tcPr>
            <w:tcW w:w="204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2018 PIPE warrants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December</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34,241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3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197"/>
        </w:trPr>
        <w:tc>
          <w:tcPr>
            <w:tcW w:w="2040" w:type="dxa"/>
            <w:vAlign w:val="bottom"/>
            <w:shd w:val="clear" w:color="auto" w:fill="CFF0FC"/>
          </w:tcPr>
          <w:p>
            <w:pPr>
              <w:ind w:left="20"/>
              <w:spacing w:after="0" w:line="197" w:lineRule="exact"/>
              <w:rPr>
                <w:sz w:val="20"/>
                <w:szCs w:val="20"/>
                <w:color w:val="auto"/>
              </w:rPr>
            </w:pPr>
            <w:r>
              <w:rPr>
                <w:rFonts w:ascii="Times New Roman" w:cs="Times New Roman" w:eastAsia="Times New Roman" w:hAnsi="Times New Roman"/>
                <w:sz w:val="18"/>
                <w:szCs w:val="18"/>
                <w:color w:val="auto"/>
              </w:rPr>
              <w:t>March 2022 Common</w:t>
            </w: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1,255,346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1,929,066</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2027</w:t>
            </w:r>
          </w:p>
        </w:tc>
        <w:tc>
          <w:tcPr>
            <w:tcW w:w="0" w:type="dxa"/>
            <w:vAlign w:val="bottom"/>
          </w:tcPr>
          <w:p>
            <w:pPr>
              <w:spacing w:after="0"/>
              <w:rPr>
                <w:sz w:val="1"/>
                <w:szCs w:val="1"/>
                <w:color w:val="auto"/>
              </w:rPr>
            </w:pPr>
          </w:p>
        </w:tc>
      </w:tr>
      <w:tr>
        <w:trPr>
          <w:trHeight w:val="197"/>
        </w:trPr>
        <w:tc>
          <w:tcPr>
            <w:tcW w:w="204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March 2022 Pre-funded</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1,280,965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2027</w:t>
            </w:r>
          </w:p>
        </w:tc>
        <w:tc>
          <w:tcPr>
            <w:tcW w:w="0" w:type="dxa"/>
            <w:vAlign w:val="bottom"/>
          </w:tcPr>
          <w:p>
            <w:pPr>
              <w:spacing w:after="0"/>
              <w:rPr>
                <w:sz w:val="1"/>
                <w:szCs w:val="1"/>
                <w:color w:val="auto"/>
              </w:rPr>
            </w:pPr>
          </w:p>
        </w:tc>
      </w:tr>
      <w:tr>
        <w:trPr>
          <w:trHeight w:val="197"/>
        </w:trPr>
        <w:tc>
          <w:tcPr>
            <w:tcW w:w="2040" w:type="dxa"/>
            <w:vAlign w:val="bottom"/>
            <w:shd w:val="clear" w:color="auto" w:fill="CFF0FC"/>
          </w:tcPr>
          <w:p>
            <w:pPr>
              <w:ind w:left="20"/>
              <w:spacing w:after="0" w:line="197" w:lineRule="exact"/>
              <w:rPr>
                <w:sz w:val="20"/>
                <w:szCs w:val="20"/>
                <w:color w:val="auto"/>
              </w:rPr>
            </w:pPr>
            <w:r>
              <w:rPr>
                <w:rFonts w:ascii="Times New Roman" w:cs="Times New Roman" w:eastAsia="Times New Roman" w:hAnsi="Times New Roman"/>
                <w:sz w:val="18"/>
                <w:szCs w:val="18"/>
                <w:color w:val="auto"/>
              </w:rPr>
              <w:t>May 2023 Tranche A Pre-</w:t>
            </w: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November</w:t>
            </w:r>
          </w:p>
        </w:tc>
        <w:tc>
          <w:tcPr>
            <w:tcW w:w="0" w:type="dxa"/>
            <w:vAlign w:val="bottom"/>
          </w:tcPr>
          <w:p>
            <w:pPr>
              <w:spacing w:after="0"/>
              <w:rPr>
                <w:sz w:val="1"/>
                <w:szCs w:val="1"/>
                <w:color w:val="auto"/>
              </w:rPr>
            </w:pPr>
          </w:p>
        </w:tc>
      </w:tr>
      <w:tr>
        <w:trPr>
          <w:trHeight w:val="234"/>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funded warrants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2,758,281</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177"/>
        </w:trPr>
        <w:tc>
          <w:tcPr>
            <w:tcW w:w="20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May 2023 Tranche B</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November</w:t>
            </w:r>
          </w:p>
        </w:tc>
        <w:tc>
          <w:tcPr>
            <w:tcW w:w="0" w:type="dxa"/>
            <w:vAlign w:val="bottom"/>
          </w:tcPr>
          <w:p>
            <w:pPr>
              <w:spacing w:after="0"/>
              <w:rPr>
                <w:sz w:val="1"/>
                <w:szCs w:val="1"/>
                <w:color w:val="auto"/>
              </w:rPr>
            </w:pPr>
          </w:p>
        </w:tc>
      </w:tr>
      <w:tr>
        <w:trPr>
          <w:trHeight w:val="25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2,065,305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6,750,000</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center"/>
              <w:ind w:left="130"/>
              <w:spacing w:after="0" w:line="253" w:lineRule="exact"/>
              <w:rPr>
                <w:sz w:val="20"/>
                <w:szCs w:val="20"/>
                <w:color w:val="auto"/>
              </w:rPr>
            </w:pPr>
            <w:r>
              <w:rPr>
                <w:rFonts w:ascii="Times New Roman" w:cs="Times New Roman" w:eastAsia="Times New Roman" w:hAnsi="Times New Roman"/>
                <w:sz w:val="18"/>
                <w:szCs w:val="18"/>
                <w:color w:val="auto"/>
                <w:w w:val="87"/>
              </w:rPr>
              <w:t xml:space="preserve">2026 </w:t>
            </w:r>
            <w:r>
              <w:rPr>
                <w:rFonts w:ascii="Times New Roman" w:cs="Times New Roman" w:eastAsia="Times New Roman" w:hAnsi="Times New Roman"/>
                <w:sz w:val="24"/>
                <w:szCs w:val="24"/>
                <w:color w:val="auto"/>
                <w:w w:val="87"/>
                <w:vertAlign w:val="superscript"/>
              </w:rPr>
              <w:t>(1)</w:t>
            </w:r>
          </w:p>
        </w:tc>
        <w:tc>
          <w:tcPr>
            <w:tcW w:w="0" w:type="dxa"/>
            <w:vAlign w:val="bottom"/>
          </w:tcPr>
          <w:p>
            <w:pPr>
              <w:spacing w:after="0"/>
              <w:rPr>
                <w:sz w:val="1"/>
                <w:szCs w:val="1"/>
                <w:color w:val="auto"/>
              </w:rPr>
            </w:pPr>
          </w:p>
        </w:tc>
      </w:tr>
      <w:tr>
        <w:trPr>
          <w:trHeight w:val="197"/>
        </w:trPr>
        <w:tc>
          <w:tcPr>
            <w:tcW w:w="2040" w:type="dxa"/>
            <w:vAlign w:val="bottom"/>
            <w:shd w:val="clear" w:color="auto" w:fill="CFF0FC"/>
          </w:tcPr>
          <w:p>
            <w:pPr>
              <w:ind w:left="20"/>
              <w:spacing w:after="0" w:line="197" w:lineRule="exact"/>
              <w:rPr>
                <w:sz w:val="20"/>
                <w:szCs w:val="20"/>
                <w:color w:val="auto"/>
              </w:rPr>
            </w:pPr>
            <w:r>
              <w:rPr>
                <w:rFonts w:ascii="Times New Roman" w:cs="Times New Roman" w:eastAsia="Times New Roman" w:hAnsi="Times New Roman"/>
                <w:sz w:val="18"/>
                <w:szCs w:val="18"/>
                <w:color w:val="auto"/>
              </w:rPr>
              <w:t>May 2023 Tranche B Pre-</w:t>
            </w: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November</w:t>
            </w:r>
          </w:p>
        </w:tc>
        <w:tc>
          <w:tcPr>
            <w:tcW w:w="0" w:type="dxa"/>
            <w:vAlign w:val="bottom"/>
          </w:tcPr>
          <w:p>
            <w:pPr>
              <w:spacing w:after="0"/>
              <w:rPr>
                <w:sz w:val="1"/>
                <w:szCs w:val="1"/>
                <w:color w:val="auto"/>
              </w:rPr>
            </w:pPr>
          </w:p>
        </w:tc>
      </w:tr>
      <w:tr>
        <w:trPr>
          <w:trHeight w:val="234"/>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funded warrants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451,632</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197"/>
        </w:trPr>
        <w:tc>
          <w:tcPr>
            <w:tcW w:w="204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October 2023 Pre-funded</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vMerge w:val="restart"/>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1,175,000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260" w:type="dxa"/>
            <w:vAlign w:val="bottom"/>
            <w:tcBorders>
              <w:bottom w:val="single" w:sz="8" w:color="auto"/>
            </w:tcBorders>
            <w:vMerge w:val="continue"/>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49"/>
        </w:trPr>
        <w:tc>
          <w:tcPr>
            <w:tcW w:w="2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3,570,651</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13,071,883</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5,323,110</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2091690</wp:posOffset>
            </wp:positionH>
            <wp:positionV relativeFrom="paragraph">
              <wp:posOffset>-24765</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2091690</wp:posOffset>
            </wp:positionH>
            <wp:positionV relativeFrom="paragraph">
              <wp:posOffset>-7620</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3887470</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3887470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5495290</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5495290</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ind w:left="1700" w:hanging="195"/>
        <w:spacing w:after="0"/>
        <w:tabs>
          <w:tab w:leader="none" w:pos="170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Subject to earlier expiration as described above.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Plan</w:t>
      </w:r>
    </w:p>
    <w:p>
      <w:pPr>
        <w:spacing w:after="0" w:line="120"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The Company maintains the 2014 Equity Incentive Plan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7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Board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Performance-based grants have vesting contingent upon the achievement of certain performance criteria related to the Company’s commercialization of its therapeutics.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w:t>
      </w:r>
    </w:p>
    <w:p>
      <w:pPr>
        <w:spacing w:after="0" w:line="76"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On January 17, 2024, the Company filed a Registration Statement on Form S-8 which registered an additional 1 million shares automatically available for issuance under the 2014 Plan as of January 1, 2024. On June 6, 2024, the stockholders approved the Amended and Restated 2014 Plan which included an increase of 2 million shares, which became immediately available for issuance. As of December 31, 2024, a total of 155,517 shares were available for future grant under the 2014 Plan.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Inducement Plan</w:t>
      </w:r>
    </w:p>
    <w:p>
      <w:pPr>
        <w:spacing w:after="0" w:line="147" w:lineRule="exact"/>
        <w:rPr>
          <w:sz w:val="20"/>
          <w:szCs w:val="20"/>
          <w:color w:val="auto"/>
        </w:rPr>
      </w:pPr>
    </w:p>
    <w:p>
      <w:pPr>
        <w:jc w:val="both"/>
        <w:ind w:right="120" w:firstLine="509"/>
        <w:spacing w:after="0" w:line="265" w:lineRule="auto"/>
        <w:rPr>
          <w:sz w:val="20"/>
          <w:szCs w:val="20"/>
          <w:color w:val="auto"/>
        </w:rPr>
      </w:pPr>
      <w:r>
        <w:rPr>
          <w:rFonts w:ascii="Times New Roman" w:cs="Times New Roman" w:eastAsia="Times New Roman" w:hAnsi="Times New Roman"/>
          <w:sz w:val="18"/>
          <w:szCs w:val="18"/>
          <w:color w:val="auto"/>
        </w:rPr>
        <w:t>The Company maintains the 2020 Inducement Equity Incentive Plan (the Inducement Plan). The Inducement Plan provides for the grant of equity-based awards, including non-statutory stock options, restricted stock units, restricted stock, stock appreciation rights, performance shares and performance units, and its terms are substantially similar to the Company’s 2014 Equity Incentive Plan.</w:t>
      </w:r>
    </w:p>
    <w:p>
      <w:pPr>
        <w:spacing w:after="0" w:line="6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Rule 5635(c)(3) of the Nasdaq Listing Rules, in connection with a merger or acquisition. On January 31, 2024, the Company filed a Registration Statement on Form S-8 which registered 500,000 shares available for issuance under the Inducement Plan, which became available for issuance following approval of the Board of Directors on January 24, 2024.</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a total of 5,318 shares were available for future grant under the Inducement Plan.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0"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options and restricted stock units granted to employees, directors and consultants for the years ended December 31, 2024, 2023 and 2022 of $100.0 million, $5.9 million and $2.5 million, respectively. The compensation expense is allocated on a departmental basis, based on the classification of the option holder. For the years ended December 31, 2024, 2023 and 2022, the total income tax benefit related to stock-based compensation was $5.7 million, $1.9 million and zero, respectively, however, due to net operating losses and a full valuation allowance, no tax benefit was recognized in the financial statements.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94" w:name="page95"/>
    <w:bookmarkEnd w:id="94"/>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recognized in the consolidated statements of operations and comprehensive loss as follows (in thousands):</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9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20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33,743</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shd w:val="clear" w:color="auto" w:fill="CFF0FC"/>
          </w:tcPr>
          <w:p>
            <w:pPr>
              <w:spacing w:after="0"/>
              <w:rPr>
                <w:sz w:val="18"/>
                <w:szCs w:val="18"/>
                <w:color w:val="auto"/>
              </w:rPr>
            </w:pPr>
          </w:p>
        </w:tc>
      </w:tr>
      <w:tr>
        <w:trPr>
          <w:trHeight w:val="21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66,215</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20" w:type="dxa"/>
            <w:vAlign w:val="bottom"/>
          </w:tcPr>
          <w:p>
            <w:pPr>
              <w:spacing w:after="0"/>
              <w:rPr>
                <w:sz w:val="18"/>
                <w:szCs w:val="18"/>
                <w:color w:val="auto"/>
              </w:rPr>
            </w:pPr>
          </w:p>
        </w:tc>
      </w:tr>
      <w:tr>
        <w:trPr>
          <w:trHeight w:val="249"/>
        </w:trPr>
        <w:tc>
          <w:tcPr>
            <w:tcW w:w="5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99,958</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4914265</wp:posOffset>
            </wp:positionH>
            <wp:positionV relativeFrom="paragraph">
              <wp:posOffset>-24765</wp:posOffset>
            </wp:positionV>
            <wp:extent cx="596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4914265</wp:posOffset>
            </wp:positionH>
            <wp:positionV relativeFrom="paragraph">
              <wp:posOffset>-7620</wp:posOffset>
            </wp:positionV>
            <wp:extent cx="596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5812155</wp:posOffset>
            </wp:positionH>
            <wp:positionV relativeFrom="paragraph">
              <wp:posOffset>-24765</wp:posOffset>
            </wp:positionV>
            <wp:extent cx="596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5812155</wp:posOffset>
            </wp:positionH>
            <wp:positionV relativeFrom="paragraph">
              <wp:posOffset>-7620</wp:posOffset>
            </wp:positionV>
            <wp:extent cx="596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6710045</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6710045</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0" w:lineRule="exact"/>
        <w:rPr>
          <w:sz w:val="20"/>
          <w:szCs w:val="20"/>
          <w:color w:val="auto"/>
        </w:rPr>
      </w:pPr>
    </w:p>
    <w:p>
      <w:pPr>
        <w:ind w:right="160" w:firstLine="509"/>
        <w:spacing w:after="0" w:line="270" w:lineRule="auto"/>
        <w:rPr>
          <w:sz w:val="20"/>
          <w:szCs w:val="20"/>
          <w:color w:val="auto"/>
        </w:rPr>
      </w:pPr>
      <w:r>
        <w:rPr>
          <w:rFonts w:ascii="Times New Roman" w:cs="Times New Roman" w:eastAsia="Times New Roman" w:hAnsi="Times New Roman"/>
          <w:sz w:val="18"/>
          <w:szCs w:val="18"/>
          <w:color w:val="auto"/>
        </w:rPr>
        <w:t>The Company granted options to purchase 1,819,324 of the Company's common stock to employees and a consultant during year ended December 31, 2024, and 1,821,784 and 283,919 to employees during year ended December 31, 2023 and 2022, respectively. There were no performance-based options granted in 2024, 2023 and 2022. The fair value of each award granted was estimated on the date of grant using the Black-Scholes option pricing model with the following assumptions:</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80" w:type="dxa"/>
            <w:vAlign w:val="bottom"/>
            <w:tcBorders>
              <w:bottom w:val="single" w:sz="8" w:color="auto"/>
            </w:tcBorders>
          </w:tcPr>
          <w:p>
            <w:pPr>
              <w:spacing w:after="0"/>
              <w:rPr>
                <w:sz w:val="15"/>
                <w:szCs w:val="15"/>
                <w:color w:val="auto"/>
              </w:rPr>
            </w:pPr>
          </w:p>
        </w:tc>
      </w:tr>
      <w:tr>
        <w:trPr>
          <w:trHeight w:val="142"/>
        </w:trPr>
        <w:tc>
          <w:tcPr>
            <w:tcW w:w="3620" w:type="dxa"/>
            <w:vAlign w:val="bottom"/>
          </w:tcPr>
          <w:p>
            <w:pPr>
              <w:spacing w:after="0"/>
              <w:rPr>
                <w:sz w:val="12"/>
                <w:szCs w:val="12"/>
                <w:color w:val="auto"/>
              </w:rPr>
            </w:pPr>
          </w:p>
        </w:tc>
        <w:tc>
          <w:tcPr>
            <w:tcW w:w="1220" w:type="dxa"/>
            <w:vAlign w:val="bottom"/>
            <w:tcBorders>
              <w:bottom w:val="single" w:sz="8" w:color="auto"/>
            </w:tcBorders>
          </w:tcPr>
          <w:p>
            <w:pPr>
              <w:jc w:val="center"/>
              <w:ind w:left="1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09"/>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220" w:type="dxa"/>
            <w:vAlign w:val="bottom"/>
            <w:shd w:val="clear" w:color="auto" w:fill="CFF0FC"/>
          </w:tcPr>
          <w:p>
            <w:pPr>
              <w:jc w:val="center"/>
              <w:ind w:left="134"/>
              <w:spacing w:after="0"/>
              <w:rPr>
                <w:sz w:val="20"/>
                <w:szCs w:val="20"/>
                <w:color w:val="auto"/>
              </w:rPr>
            </w:pPr>
            <w:r>
              <w:rPr>
                <w:rFonts w:ascii="Times New Roman" w:cs="Times New Roman" w:eastAsia="Times New Roman" w:hAnsi="Times New Roman"/>
                <w:sz w:val="18"/>
                <w:szCs w:val="18"/>
                <w:color w:val="auto"/>
              </w:rPr>
              <w:t>5.8-6.1</w:t>
            </w:r>
          </w:p>
        </w:tc>
        <w:tc>
          <w:tcPr>
            <w:tcW w:w="1580" w:type="dxa"/>
            <w:vAlign w:val="bottom"/>
            <w:gridSpan w:val="3"/>
            <w:shd w:val="clear" w:color="auto" w:fill="CFF0FC"/>
          </w:tcPr>
          <w:p>
            <w:pPr>
              <w:jc w:val="center"/>
              <w:ind w:left="255"/>
              <w:spacing w:after="0"/>
              <w:rPr>
                <w:sz w:val="20"/>
                <w:szCs w:val="20"/>
                <w:color w:val="auto"/>
              </w:rPr>
            </w:pPr>
            <w:r>
              <w:rPr>
                <w:rFonts w:ascii="Times New Roman" w:cs="Times New Roman" w:eastAsia="Times New Roman" w:hAnsi="Times New Roman"/>
                <w:sz w:val="18"/>
                <w:szCs w:val="18"/>
                <w:color w:val="auto"/>
              </w:rPr>
              <w:t>5.3-6.1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center"/>
              <w:ind w:right="94"/>
              <w:spacing w:after="0"/>
              <w:rPr>
                <w:sz w:val="20"/>
                <w:szCs w:val="20"/>
                <w:color w:val="auto"/>
              </w:rPr>
            </w:pPr>
            <w:r>
              <w:rPr>
                <w:rFonts w:ascii="Times New Roman" w:cs="Times New Roman" w:eastAsia="Times New Roman" w:hAnsi="Times New Roman"/>
                <w:sz w:val="18"/>
                <w:szCs w:val="18"/>
                <w:color w:val="auto"/>
              </w:rPr>
              <w:t>5.5-6.0</w:t>
            </w:r>
          </w:p>
        </w:tc>
      </w:tr>
      <w:tr>
        <w:trPr>
          <w:trHeight w:val="215"/>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2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8"/>
              </w:rPr>
              <w:t>3.7%-4.6%</w:t>
            </w:r>
          </w:p>
        </w:tc>
        <w:tc>
          <w:tcPr>
            <w:tcW w:w="1580" w:type="dxa"/>
            <w:vAlign w:val="bottom"/>
            <w:gridSpan w:val="3"/>
          </w:tcPr>
          <w:p>
            <w:pPr>
              <w:jc w:val="center"/>
              <w:ind w:left="255"/>
              <w:spacing w:after="0"/>
              <w:rPr>
                <w:sz w:val="20"/>
                <w:szCs w:val="20"/>
                <w:color w:val="auto"/>
              </w:rPr>
            </w:pPr>
            <w:r>
              <w:rPr>
                <w:rFonts w:ascii="Times New Roman" w:cs="Times New Roman" w:eastAsia="Times New Roman" w:hAnsi="Times New Roman"/>
                <w:sz w:val="18"/>
                <w:szCs w:val="18"/>
                <w:color w:val="auto"/>
                <w:w w:val="98"/>
              </w:rPr>
              <w:t>3.5%-4.5%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8"/>
              </w:rPr>
              <w:t>1.7%-3.1%</w:t>
            </w:r>
          </w:p>
        </w:tc>
      </w:tr>
      <w:tr>
        <w:trPr>
          <w:trHeight w:val="215"/>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220" w:type="dxa"/>
            <w:vAlign w:val="bottom"/>
            <w:shd w:val="clear" w:color="auto" w:fill="CFF0FC"/>
          </w:tcPr>
          <w:p>
            <w:pPr>
              <w:jc w:val="center"/>
              <w:ind w:left="154"/>
              <w:spacing w:after="0"/>
              <w:rPr>
                <w:sz w:val="20"/>
                <w:szCs w:val="20"/>
                <w:color w:val="auto"/>
              </w:rPr>
            </w:pPr>
            <w:r>
              <w:rPr>
                <w:rFonts w:ascii="Times New Roman" w:cs="Times New Roman" w:eastAsia="Times New Roman" w:hAnsi="Times New Roman"/>
                <w:sz w:val="18"/>
                <w:szCs w:val="18"/>
                <w:color w:val="auto"/>
                <w:w w:val="99"/>
              </w:rPr>
              <w:t>121%-124%</w:t>
            </w:r>
          </w:p>
        </w:tc>
        <w:tc>
          <w:tcPr>
            <w:tcW w:w="1580" w:type="dxa"/>
            <w:vAlign w:val="bottom"/>
            <w:gridSpan w:val="3"/>
            <w:shd w:val="clear" w:color="auto" w:fill="CFF0FC"/>
          </w:tcPr>
          <w:p>
            <w:pPr>
              <w:jc w:val="center"/>
              <w:ind w:left="255"/>
              <w:spacing w:after="0"/>
              <w:rPr>
                <w:sz w:val="20"/>
                <w:szCs w:val="20"/>
                <w:color w:val="auto"/>
              </w:rPr>
            </w:pPr>
            <w:r>
              <w:rPr>
                <w:rFonts w:ascii="Times New Roman" w:cs="Times New Roman" w:eastAsia="Times New Roman" w:hAnsi="Times New Roman"/>
                <w:sz w:val="18"/>
                <w:szCs w:val="18"/>
                <w:color w:val="auto"/>
                <w:w w:val="98"/>
              </w:rPr>
              <w:t>98%-122%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center"/>
              <w:ind w:right="94"/>
              <w:spacing w:after="0"/>
              <w:rPr>
                <w:sz w:val="20"/>
                <w:szCs w:val="20"/>
                <w:color w:val="auto"/>
              </w:rPr>
            </w:pPr>
            <w:r>
              <w:rPr>
                <w:rFonts w:ascii="Times New Roman" w:cs="Times New Roman" w:eastAsia="Times New Roman" w:hAnsi="Times New Roman"/>
                <w:sz w:val="18"/>
                <w:szCs w:val="18"/>
                <w:color w:val="auto"/>
                <w:w w:val="99"/>
              </w:rPr>
              <w:t>88%-95%</w:t>
            </w: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22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rPr>
              <w:t>— %</w:t>
            </w:r>
          </w:p>
        </w:tc>
      </w:tr>
    </w:tbl>
    <w:p>
      <w:pPr>
        <w:spacing w:after="0" w:line="206"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The Black-Scholes option-pricing model requires the use of highly subjective assumptions to estimate the fair value of stock-based awards. These assumptions include the following estimates:</w:t>
      </w:r>
    </w:p>
    <w:p>
      <w:pPr>
        <w:spacing w:after="0" w:line="52" w:lineRule="exact"/>
        <w:rPr>
          <w:sz w:val="20"/>
          <w:szCs w:val="20"/>
          <w:color w:val="auto"/>
        </w:rPr>
      </w:pPr>
    </w:p>
    <w:p>
      <w:pPr>
        <w:ind w:left="900" w:hanging="383"/>
        <w:spacing w:after="0" w:line="258"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life: </w:t>
      </w:r>
      <w:r>
        <w:rPr>
          <w:rFonts w:ascii="Times New Roman" w:cs="Times New Roman" w:eastAsia="Times New Roman" w:hAnsi="Times New Roman"/>
          <w:sz w:val="18"/>
          <w:szCs w:val="18"/>
          <w:color w:val="auto"/>
        </w:rPr>
        <w:t>The expected life of stock options represents the period of time that the options are expected to be outstanding. Due to the lack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exercise history, the expected life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spacing w:after="0" w:line="72" w:lineRule="exact"/>
        <w:rPr>
          <w:rFonts w:ascii="Times New Roman" w:cs="Times New Roman" w:eastAsia="Times New Roman" w:hAnsi="Times New Roman"/>
          <w:sz w:val="18"/>
          <w:szCs w:val="18"/>
          <w:color w:val="auto"/>
        </w:rPr>
      </w:pPr>
    </w:p>
    <w:p>
      <w:pPr>
        <w:ind w:left="900" w:hanging="383"/>
        <w:spacing w:after="0" w:line="283"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yields of U.S. Treasury securities with maturities similar to the expected life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 options.</w:t>
      </w:r>
    </w:p>
    <w:p>
      <w:pPr>
        <w:spacing w:after="0" w:line="50" w:lineRule="exact"/>
        <w:rPr>
          <w:rFonts w:ascii="Times New Roman" w:cs="Times New Roman" w:eastAsia="Times New Roman" w:hAnsi="Times New Roman"/>
          <w:sz w:val="18"/>
          <w:szCs w:val="18"/>
          <w:color w:val="auto"/>
        </w:rPr>
      </w:pPr>
    </w:p>
    <w:p>
      <w:pPr>
        <w:ind w:left="900" w:right="40" w:hanging="383"/>
        <w:spacing w:after="0" w:line="283"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The estimated volatility rate is based on the volatilities of the Company’s common stock for a historical period equal to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of the stock options.</w:t>
      </w:r>
    </w:p>
    <w:p>
      <w:pPr>
        <w:spacing w:after="0" w:line="50" w:lineRule="exact"/>
        <w:rPr>
          <w:rFonts w:ascii="Times New Roman" w:cs="Times New Roman" w:eastAsia="Times New Roman" w:hAnsi="Times New Roman"/>
          <w:sz w:val="18"/>
          <w:szCs w:val="18"/>
          <w:color w:val="auto"/>
        </w:rPr>
      </w:pPr>
    </w:p>
    <w:p>
      <w:pPr>
        <w:ind w:left="900" w:right="800" w:hanging="383"/>
        <w:spacing w:after="0" w:line="283"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rate: </w:t>
      </w:r>
      <w:r>
        <w:rPr>
          <w:rFonts w:ascii="Times New Roman" w:cs="Times New Roman" w:eastAsia="Times New Roman" w:hAnsi="Times New Roman"/>
          <w:sz w:val="18"/>
          <w:szCs w:val="18"/>
          <w:color w:val="auto"/>
        </w:rPr>
        <w:t>The Company has never declared or paid any cash dividends and does not presently plan to pay cash dividends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Consequently, the Company used an expected dividend yield of zero.</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5" w:name="page96"/>
    <w:bookmarkEnd w:id="95"/>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transactions for the year ended December 31, 2024 under the 2014 Plan and the Inducement Plan:</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020" w:type="dxa"/>
            <w:vAlign w:val="bottom"/>
          </w:tcPr>
          <w:p>
            <w:pPr>
              <w:jc w:val="center"/>
              <w:ind w:right="118"/>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2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98"/>
              <w:spacing w:after="0" w:line="148"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12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50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1020" w:type="dxa"/>
            <w:vAlign w:val="bottom"/>
          </w:tcPr>
          <w:p>
            <w:pPr>
              <w:jc w:val="center"/>
              <w:ind w:right="98"/>
              <w:spacing w:after="0" w:line="148"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80" w:type="dxa"/>
            <w:vAlign w:val="bottom"/>
          </w:tcPr>
          <w:p>
            <w:pPr>
              <w:spacing w:after="0"/>
              <w:rPr>
                <w:sz w:val="12"/>
                <w:szCs w:val="12"/>
                <w:color w:val="auto"/>
              </w:rPr>
            </w:pPr>
          </w:p>
        </w:tc>
        <w:tc>
          <w:tcPr>
            <w:tcW w:w="12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280"/>
              <w:spacing w:after="0" w:line="148"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2,369,665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1,819,324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(171,520 )</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canceled/forfeited</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(45,671 )</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3,971,798</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79,578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at December 31, 2024</w:t>
            </w: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1,301,183</w:t>
            </w:r>
          </w:p>
        </w:tc>
        <w:tc>
          <w:tcPr>
            <w:tcW w:w="22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14.45</w:t>
            </w:r>
          </w:p>
        </w:tc>
        <w:tc>
          <w:tcPr>
            <w:tcW w:w="1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7.33</w:t>
            </w:r>
          </w:p>
        </w:tc>
        <w:tc>
          <w:tcPr>
            <w:tcW w:w="36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41,417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40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Options vested and expected to vest at</w:t>
            </w: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3,971,798</w:t>
            </w:r>
          </w:p>
        </w:tc>
        <w:tc>
          <w:tcPr>
            <w:tcW w:w="220" w:type="dxa"/>
            <w:vAlign w:val="bottom"/>
            <w:shd w:val="clear" w:color="auto" w:fill="CFF0FC"/>
          </w:tcPr>
          <w:p>
            <w:pPr>
              <w:spacing w:after="0"/>
              <w:rPr>
                <w:sz w:val="15"/>
                <w:szCs w:val="15"/>
                <w:color w:val="auto"/>
              </w:rPr>
            </w:pP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80" w:type="dxa"/>
            <w:vAlign w:val="bottom"/>
            <w:vMerge w:val="restart"/>
            <w:shd w:val="clear" w:color="auto" w:fill="CFF0FC"/>
          </w:tcPr>
          <w:p>
            <w:pPr>
              <w:spacing w:after="0"/>
              <w:rPr>
                <w:sz w:val="15"/>
                <w:szCs w:val="15"/>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20" w:type="dxa"/>
            <w:vAlign w:val="bottom"/>
            <w:vMerge w:val="restart"/>
            <w:shd w:val="clear" w:color="auto" w:fill="CFF0FC"/>
          </w:tcPr>
          <w:p>
            <w:pPr>
              <w:spacing w:after="0"/>
              <w:rPr>
                <w:sz w:val="15"/>
                <w:szCs w:val="15"/>
                <w:color w:val="auto"/>
              </w:rPr>
            </w:pPr>
          </w:p>
        </w:tc>
        <w:tc>
          <w:tcPr>
            <w:tcW w:w="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79,578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40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December 31, 2024</w:t>
            </w:r>
          </w:p>
        </w:tc>
        <w:tc>
          <w:tcPr>
            <w:tcW w:w="128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vMerge w:val="continue"/>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vMerge w:val="continue"/>
            <w:shd w:val="clear" w:color="auto" w:fill="CFF0FC"/>
          </w:tcPr>
          <w:p>
            <w:pPr>
              <w:spacing w:after="0"/>
              <w:rPr>
                <w:sz w:val="20"/>
                <w:szCs w:val="20"/>
                <w:color w:val="auto"/>
              </w:rPr>
            </w:pPr>
          </w:p>
        </w:tc>
        <w:tc>
          <w:tcPr>
            <w:tcW w:w="126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vMerge w:val="continue"/>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3973195</wp:posOffset>
            </wp:positionH>
            <wp:positionV relativeFrom="paragraph">
              <wp:posOffset>-461010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-443865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4888230</wp:posOffset>
            </wp:positionH>
            <wp:positionV relativeFrom="paragraph">
              <wp:posOffset>-461010</wp:posOffset>
            </wp:positionV>
            <wp:extent cx="596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4888230</wp:posOffset>
            </wp:positionH>
            <wp:positionV relativeFrom="paragraph">
              <wp:posOffset>-443865</wp:posOffset>
            </wp:positionV>
            <wp:extent cx="596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5803265</wp:posOffset>
            </wp:positionH>
            <wp:positionV relativeFrom="paragraph">
              <wp:posOffset>-461010</wp:posOffset>
            </wp:positionV>
            <wp:extent cx="596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5803265</wp:posOffset>
            </wp:positionH>
            <wp:positionV relativeFrom="paragraph">
              <wp:posOffset>-443865</wp:posOffset>
            </wp:positionV>
            <wp:extent cx="596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6718300</wp:posOffset>
            </wp:positionH>
            <wp:positionV relativeFrom="paragraph">
              <wp:posOffset>-461010</wp:posOffset>
            </wp:positionV>
            <wp:extent cx="596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6718300</wp:posOffset>
            </wp:positionH>
            <wp:positionV relativeFrom="paragraph">
              <wp:posOffset>-443865</wp:posOffset>
            </wp:positionV>
            <wp:extent cx="596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-24765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4888230</wp:posOffset>
            </wp:positionH>
            <wp:positionV relativeFrom="paragraph">
              <wp:posOffset>-24765</wp:posOffset>
            </wp:positionV>
            <wp:extent cx="596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4888230</wp:posOffset>
            </wp:positionH>
            <wp:positionV relativeFrom="paragraph">
              <wp:posOffset>-7620</wp:posOffset>
            </wp:positionV>
            <wp:extent cx="596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5803265</wp:posOffset>
            </wp:positionH>
            <wp:positionV relativeFrom="paragraph">
              <wp:posOffset>-24765</wp:posOffset>
            </wp:positionV>
            <wp:extent cx="596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5803265</wp:posOffset>
            </wp:positionH>
            <wp:positionV relativeFrom="paragraph">
              <wp:posOffset>-7620</wp:posOffset>
            </wp:positionV>
            <wp:extent cx="596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6718300</wp:posOffset>
            </wp:positionH>
            <wp:positionV relativeFrom="paragraph">
              <wp:posOffset>-24765</wp:posOffset>
            </wp:positionV>
            <wp:extent cx="596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6718300</wp:posOffset>
            </wp:positionH>
            <wp:positionV relativeFrom="paragraph">
              <wp:posOffset>-7620</wp:posOffset>
            </wp:positionV>
            <wp:extent cx="596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4"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The weighted-average grant date fair value of employee options granted was $40.13, $5.04 and $2.62 per share for the years ended December 31, 2024, 2023 and 2022, respectively. The intrinsic value of the stock options exercised was $6.7 million, $2.2 million and zero for the years ended December 31, 2024, 2023 and 2022, respectively. At December 31, 2024, total unrecognized employee stock-based compensation for options that are expected to vest was $65.4 million, which is expected to be recognized over the weighted-average remaining vesting period of 2.7 years.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0"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There were 1,249,375 performance-based restricted stock units and 763,270 restricted stock units granted to employees and directors during the year ended December 31, 2024. During the year ended December 31, 2023, the Company granted 420,710 restricted stock units, of which 414,710 were granted to employees with a six-month vesting period, and all such restricted stock units vested during 2023. The Company granted 8,965 restricted stock units to employees and certain directors during the year ended December 31, 2022. The restricted stock units granted to certain directors in 2022 were 100% vested on the grant date and represent compensation for past board services.</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restricted stock unit transactions for the year ended December 31, 2024 under the 2014 Plan: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5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3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8340" w:type="dxa"/>
            <w:vAlign w:val="bottom"/>
          </w:tcPr>
          <w:p>
            <w:pPr>
              <w:spacing w:after="0"/>
              <w:rPr>
                <w:sz w:val="12"/>
                <w:szCs w:val="12"/>
                <w:color w:val="auto"/>
              </w:rPr>
            </w:pPr>
          </w:p>
        </w:tc>
        <w:tc>
          <w:tcPr>
            <w:tcW w:w="158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320" w:type="dxa"/>
            <w:vAlign w:val="bottom"/>
            <w:gridSpan w:val="3"/>
          </w:tcPr>
          <w:p>
            <w:pPr>
              <w:jc w:val="center"/>
              <w:ind w:right="140"/>
              <w:spacing w:after="0" w:line="148" w:lineRule="exact"/>
              <w:rPr>
                <w:sz w:val="20"/>
                <w:szCs w:val="20"/>
                <w:color w:val="auto"/>
              </w:rPr>
            </w:pPr>
            <w:r>
              <w:rPr>
                <w:rFonts w:ascii="Times New Roman" w:cs="Times New Roman" w:eastAsia="Times New Roman" w:hAnsi="Times New Roman"/>
                <w:sz w:val="14"/>
                <w:szCs w:val="14"/>
                <w:b w:val="1"/>
                <w:bCs w:val="1"/>
                <w:color w:val="auto"/>
              </w:rPr>
              <w:t>Grant-Date Fair</w:t>
            </w:r>
          </w:p>
        </w:tc>
        <w:tc>
          <w:tcPr>
            <w:tcW w:w="0" w:type="dxa"/>
            <w:vAlign w:val="bottom"/>
          </w:tcPr>
          <w:p>
            <w:pPr>
              <w:spacing w:after="0"/>
              <w:rPr>
                <w:sz w:val="1"/>
                <w:szCs w:val="1"/>
                <w:color w:val="auto"/>
              </w:rPr>
            </w:pPr>
          </w:p>
        </w:tc>
      </w:tr>
      <w:tr>
        <w:trPr>
          <w:trHeight w:val="173"/>
        </w:trPr>
        <w:tc>
          <w:tcPr>
            <w:tcW w:w="8340" w:type="dxa"/>
            <w:vAlign w:val="bottom"/>
          </w:tcPr>
          <w:p>
            <w:pPr>
              <w:spacing w:after="0"/>
              <w:rPr>
                <w:sz w:val="15"/>
                <w:szCs w:val="15"/>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09"/>
        </w:trPr>
        <w:tc>
          <w:tcPr>
            <w:tcW w:w="8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3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2,012,645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(1,088,314 )</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 cancelled/forfeited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939,865</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6111240</wp:posOffset>
            </wp:positionH>
            <wp:positionV relativeFrom="paragraph">
              <wp:posOffset>-24765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The weighted-average grant-date fair value of all restricted stock units granted was $46.47, $5.49, and $5.33 per share during the year ended December 31, 2024, 2023 and 2022, respectively. The fair value of all restricted stock units vested during the year ended December 31, 2024, 2023 and 2022, was $50.9 million, $12.0 million and $0.1 million, respectively. At December 31, 2024, total unrecognized employee stock-based compensation related to restricted stock units was $10.9 million, which is expected to be recognized over the weighted-average remaining vesting period of 0.7 years. 137,780 restricted stock units vested on December 31, 2024 and are included in the Restricted stock units vested line item above. The shares of common stock were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subsequently issued after December 31, 2024 and therefore are not included in the outstanding common stock as of December 31,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Employee Stock Purchase Plan</w:t>
      </w:r>
    </w:p>
    <w:p>
      <w:pPr>
        <w:spacing w:after="0" w:line="120"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The Company’s board of directors and stockholders have adopted the 2014 Employee Stock Purchase Plan (the ESPP). The ESPP has become effective, and the board of directors will implement commencement of offers thereunder in its discretion. A total of 1,864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p>
    <w:p>
      <w:pPr>
        <w:spacing w:after="0" w:line="77" w:lineRule="exact"/>
        <w:rPr>
          <w:sz w:val="20"/>
          <w:szCs w:val="20"/>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outstanding shares of the Company’s common stock on the first day of such year;</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3,729 shares; or</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as determined by the board of directors.</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there were no purchases by employees under this plan.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geographical distribution of loss before income taxes are summarized below (in thousands):</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8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(175,921 )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(39,180 )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(24,173 )</w:t>
            </w:r>
          </w:p>
        </w:tc>
      </w:tr>
      <w:tr>
        <w:trPr>
          <w:trHeight w:val="215"/>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r>
      <w:tr>
        <w:trPr>
          <w:trHeight w:val="229"/>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(175,850 )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(38,988 )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(24,067 )</w:t>
            </w: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4512310</wp:posOffset>
            </wp:positionH>
            <wp:positionV relativeFrom="paragraph">
              <wp:posOffset>-24765</wp:posOffset>
            </wp:positionV>
            <wp:extent cx="596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4512310</wp:posOffset>
            </wp:positionH>
            <wp:positionV relativeFrom="paragraph">
              <wp:posOffset>-7620</wp:posOffset>
            </wp:positionV>
            <wp:extent cx="596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5281930</wp:posOffset>
            </wp:positionH>
            <wp:positionV relativeFrom="paragraph">
              <wp:posOffset>-24765</wp:posOffset>
            </wp:positionV>
            <wp:extent cx="596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5281930</wp:posOffset>
            </wp:positionH>
            <wp:positionV relativeFrom="paragraph">
              <wp:posOffset>-7620</wp:posOffset>
            </wp:positionV>
            <wp:extent cx="596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-24765</wp:posOffset>
            </wp:positionV>
            <wp:extent cx="596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-7620</wp:posOffset>
            </wp:positionV>
            <wp:extent cx="596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The provision for income tax benefit differs from the amount estimated by applying the statutory federal income tax rate to the operating loss due to the following (in thousands):</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5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91"/>
        </w:trPr>
        <w:tc>
          <w:tcPr>
            <w:tcW w:w="454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Tax (benefit) on the loss before income tax expense</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computed at the federal statutory rate</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(36,928 )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(8,187 )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(5,055 )</w:t>
            </w:r>
          </w:p>
        </w:tc>
      </w:tr>
      <w:tr>
        <w:trPr>
          <w:trHeight w:val="21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 (benefit) at statutory rate, net of federal benefit</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(1,083 )</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(505 )</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(527 )</w:t>
            </w:r>
          </w:p>
        </w:tc>
      </w:tr>
      <w:tr>
        <w:trPr>
          <w:trHeight w:val="215"/>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(5 )</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100" w:type="dxa"/>
            <w:vAlign w:val="bottom"/>
          </w:tcPr>
          <w:p>
            <w:pPr>
              <w:spacing w:after="0"/>
              <w:rPr>
                <w:sz w:val="18"/>
                <w:szCs w:val="18"/>
                <w:color w:val="auto"/>
              </w:rPr>
            </w:pPr>
          </w:p>
        </w:tc>
      </w:tr>
      <w:tr>
        <w:trPr>
          <w:trHeight w:val="215"/>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research and development credits</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(7,052 )</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(1,631 )</w:t>
            </w: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(652 )</w:t>
            </w:r>
          </w:p>
        </w:tc>
      </w:tr>
      <w:tr>
        <w:trPr>
          <w:trHeight w:val="21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(600 )</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(734 )</w:t>
            </w:r>
          </w:p>
        </w:tc>
      </w:tr>
      <w:tr>
        <w:trPr>
          <w:trHeight w:val="215"/>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21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(150 )</w:t>
            </w:r>
          </w:p>
        </w:tc>
      </w:tr>
      <w:tr>
        <w:trPr>
          <w:trHeight w:val="215"/>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Section 162(m) limitation</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net operating loss true up</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8"/>
                <w:szCs w:val="18"/>
                <w:color w:val="auto"/>
              </w:rPr>
            </w:pPr>
          </w:p>
        </w:tc>
      </w:tr>
      <w:tr>
        <w:trPr>
          <w:trHeight w:val="215"/>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capital losses</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FF0FC"/>
          </w:tcPr>
          <w:p>
            <w:pPr>
              <w:spacing w:after="0"/>
              <w:rPr>
                <w:sz w:val="18"/>
                <w:szCs w:val="18"/>
                <w:color w:val="auto"/>
              </w:rPr>
            </w:pPr>
          </w:p>
        </w:tc>
      </w:tr>
      <w:tr>
        <w:trPr>
          <w:trHeight w:val="21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state rates</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(424 )</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8"/>
                <w:szCs w:val="18"/>
                <w:color w:val="auto"/>
              </w:rPr>
            </w:pPr>
          </w:p>
        </w:tc>
      </w:tr>
      <w:tr>
        <w:trPr>
          <w:trHeight w:val="215"/>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(97 )</w:t>
            </w:r>
          </w:p>
        </w:tc>
      </w:tr>
      <w:tr>
        <w:trPr>
          <w:trHeight w:val="209"/>
        </w:trPr>
        <w:tc>
          <w:tcPr>
            <w:tcW w:w="4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 benefit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4554855</wp:posOffset>
            </wp:positionH>
            <wp:positionV relativeFrom="paragraph">
              <wp:posOffset>-170180</wp:posOffset>
            </wp:positionV>
            <wp:extent cx="596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5281930</wp:posOffset>
            </wp:positionH>
            <wp:positionV relativeFrom="paragraph">
              <wp:posOffset>-170180</wp:posOffset>
            </wp:positionV>
            <wp:extent cx="596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-170180</wp:posOffset>
            </wp:positionV>
            <wp:extent cx="596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257" w:lineRule="exact"/>
        <w:rPr>
          <w:sz w:val="20"/>
          <w:szCs w:val="20"/>
          <w:color w:val="auto"/>
        </w:rPr>
      </w:pPr>
    </w:p>
    <w:p>
      <w:pPr>
        <w:ind w:right="540" w:firstLine="509"/>
        <w:spacing w:after="0" w:line="265"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at December 31, 2024 and 2023 (in thousands):</w:t>
      </w:r>
    </w:p>
    <w:p>
      <w:pPr>
        <w:spacing w:after="0" w:line="19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deferred tax assets: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and state net operating loss carryforwards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44,319</w:t>
            </w:r>
          </w:p>
        </w:tc>
        <w:tc>
          <w:tcPr>
            <w:tcW w:w="2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51,481</w:t>
            </w:r>
          </w:p>
        </w:tc>
        <w:tc>
          <w:tcPr>
            <w:tcW w:w="100" w:type="dxa"/>
            <w:vAlign w:val="bottom"/>
          </w:tcPr>
          <w:p>
            <w:pPr>
              <w:spacing w:after="0"/>
              <w:rPr>
                <w:sz w:val="18"/>
                <w:szCs w:val="18"/>
                <w:color w:val="auto"/>
              </w:rPr>
            </w:pPr>
          </w:p>
        </w:tc>
      </w:tr>
      <w:tr>
        <w:trPr>
          <w:trHeight w:val="215"/>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other credits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14,127</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100" w:type="dxa"/>
            <w:vAlign w:val="bottom"/>
            <w:shd w:val="clear" w:color="auto" w:fill="CFF0FC"/>
          </w:tcPr>
          <w:p>
            <w:pPr>
              <w:spacing w:after="0"/>
              <w:rPr>
                <w:sz w:val="18"/>
                <w:szCs w:val="18"/>
                <w:color w:val="auto"/>
              </w:rPr>
            </w:pPr>
          </w:p>
        </w:tc>
      </w:tr>
      <w:tr>
        <w:trPr>
          <w:trHeight w:val="215"/>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00" w:type="dxa"/>
            <w:vAlign w:val="bottom"/>
          </w:tcPr>
          <w:p>
            <w:pPr>
              <w:spacing w:after="0"/>
              <w:rPr>
                <w:sz w:val="18"/>
                <w:szCs w:val="18"/>
                <w:color w:val="auto"/>
              </w:rPr>
            </w:pPr>
          </w:p>
        </w:tc>
      </w:tr>
      <w:tr>
        <w:trPr>
          <w:trHeight w:val="215"/>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Reserves and accruals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FF0FC"/>
          </w:tcPr>
          <w:p>
            <w:pPr>
              <w:spacing w:after="0"/>
              <w:rPr>
                <w:sz w:val="18"/>
                <w:szCs w:val="18"/>
                <w:color w:val="auto"/>
              </w:rPr>
            </w:pPr>
          </w:p>
        </w:tc>
      </w:tr>
      <w:tr>
        <w:trPr>
          <w:trHeight w:val="215"/>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Fixed assets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r>
      <w:tr>
        <w:trPr>
          <w:trHeight w:val="215"/>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loss carryover</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FF0FC"/>
          </w:tcPr>
          <w:p>
            <w:pPr>
              <w:spacing w:after="0"/>
              <w:rPr>
                <w:sz w:val="18"/>
                <w:szCs w:val="18"/>
                <w:color w:val="auto"/>
              </w:rPr>
            </w:pPr>
          </w:p>
        </w:tc>
      </w:tr>
      <w:tr>
        <w:trPr>
          <w:trHeight w:val="215"/>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18"/>
                <w:szCs w:val="18"/>
                <w:color w:val="auto"/>
              </w:rPr>
            </w:pPr>
          </w:p>
        </w:tc>
      </w:tr>
      <w:tr>
        <w:trPr>
          <w:trHeight w:val="215"/>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8"/>
                <w:szCs w:val="18"/>
                <w:color w:val="auto"/>
              </w:rPr>
            </w:pPr>
          </w:p>
        </w:tc>
      </w:tr>
      <w:tr>
        <w:trPr>
          <w:trHeight w:val="215"/>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r>
      <w:tr>
        <w:trPr>
          <w:trHeight w:val="209"/>
        </w:trPr>
        <w:tc>
          <w:tcPr>
            <w:tcW w:w="5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Gross non-current deferred tax assets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85,545</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67,879</w:t>
            </w:r>
          </w:p>
        </w:tc>
        <w:tc>
          <w:tcPr>
            <w:tcW w:w="100" w:type="dxa"/>
            <w:vAlign w:val="bottom"/>
            <w:shd w:val="clear" w:color="auto" w:fill="CFF0FC"/>
          </w:tcPr>
          <w:p>
            <w:pPr>
              <w:spacing w:after="0"/>
              <w:rPr>
                <w:sz w:val="18"/>
                <w:szCs w:val="18"/>
                <w:color w:val="auto"/>
              </w:rPr>
            </w:pPr>
          </w:p>
        </w:tc>
      </w:tr>
      <w:tr>
        <w:trPr>
          <w:trHeight w:val="215"/>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(1,445 )</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(1,837 )</w:t>
            </w:r>
          </w:p>
        </w:tc>
      </w:tr>
      <w:tr>
        <w:trPr>
          <w:trHeight w:val="215"/>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(594 )</w:t>
            </w:r>
          </w:p>
        </w:tc>
        <w:tc>
          <w:tcPr>
            <w:tcW w:w="3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(86 )</w:t>
            </w:r>
          </w:p>
        </w:tc>
      </w:tr>
      <w:tr>
        <w:trPr>
          <w:trHeight w:val="20"/>
        </w:trPr>
        <w:tc>
          <w:tcPr>
            <w:tcW w:w="5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non-current deferred tax liabilities</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(2,039 )</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(1,923 )</w:t>
            </w:r>
          </w:p>
        </w:tc>
      </w:tr>
      <w:tr>
        <w:trPr>
          <w:trHeight w:val="215"/>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83,506</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(83,506 )</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(65,956 )</w:t>
            </w:r>
          </w:p>
        </w:tc>
      </w:tr>
      <w:tr>
        <w:trPr>
          <w:trHeight w:val="249"/>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5170805</wp:posOffset>
            </wp:positionH>
            <wp:positionV relativeFrom="paragraph">
              <wp:posOffset>-598170</wp:posOffset>
            </wp:positionV>
            <wp:extent cx="596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-598170</wp:posOffset>
            </wp:positionV>
            <wp:extent cx="596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-315595</wp:posOffset>
            </wp:positionV>
            <wp:extent cx="596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-315595</wp:posOffset>
            </wp:positionV>
            <wp:extent cx="596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-24765</wp:posOffset>
            </wp:positionV>
            <wp:extent cx="596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-7620</wp:posOffset>
            </wp:positionV>
            <wp:extent cx="596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-24765</wp:posOffset>
            </wp:positionV>
            <wp:extent cx="596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-7620</wp:posOffset>
            </wp:positionV>
            <wp:extent cx="596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12" w:lineRule="exact"/>
        <w:rPr>
          <w:sz w:val="20"/>
          <w:szCs w:val="20"/>
          <w:color w:val="auto"/>
        </w:rPr>
      </w:pPr>
    </w:p>
    <w:p>
      <w:pPr>
        <w:ind w:right="320" w:firstLine="509"/>
        <w:spacing w:after="0" w:line="260" w:lineRule="auto"/>
        <w:rPr>
          <w:sz w:val="20"/>
          <w:szCs w:val="20"/>
          <w:color w:val="auto"/>
        </w:rPr>
      </w:pPr>
      <w:r>
        <w:rPr>
          <w:rFonts w:ascii="Times New Roman" w:cs="Times New Roman" w:eastAsia="Times New Roman" w:hAnsi="Times New Roman"/>
          <w:sz w:val="18"/>
          <w:szCs w:val="18"/>
          <w:color w:val="auto"/>
        </w:rPr>
        <w:t>The Company has recorded a full valuation allowance against its net deferred tax assets due to the uncertainty as to whether such assets will be realized. The valuation allowance increased by $17.6 million from December 31, 2023 to December 31, 2024 primarily due to the generation of current year net operating losses, research and development and orphan drug tax credits claimed, capitalized research and experimental costs, and stock-based compensation.</w:t>
      </w:r>
    </w:p>
    <w:p>
      <w:pPr>
        <w:spacing w:after="0" w:line="73"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As of December 31, 2024, the Company had $173.5 million of federal, $113.5 million of state and no foreign net operating losses available to offset future taxable income. The Federal net operating loss carryforwards arising from years prior to 2018 began to expire in 2022, however post 2017 federal net operating loss carryforwards of $152.6 million may be carried forward indefinitely. The state net operating loss carryforwards will begin to expire in 2028. As of December 31, 2024, the Company also had $16.3 million of federal orphan drug and research and development credits and $5.0 million of state research and development credit carryforwards. The federal research and development credit carryforward begin to expire in 2024 and the state research and development credit can be carried forward indefinitely. Beginning in fiscal year 2023, the Tax Cuts and Jobs Act of 2017 eliminates the option to deduct research and development expenditures currently and requires taxpayers to amortize such costs over a period of five or fifteen years. While it is possible that Congress may modify, defer, or repeal such provision, we have no assurance that the provision will be modified, deferred or repealed.</w:t>
      </w:r>
    </w:p>
    <w:p>
      <w:pPr>
        <w:spacing w:after="0" w:line="6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Utilization of net operating loss and tax credit carryforwards may be subject to certain limitations under Section 382 of the Internal Revenue Code of 1986, as amended, in the event of a change in the Company’s ownership, as defined. The annual limitation may result in the expiration of the net operating loss and tax credit before utilization. The Company has completed a Section 382 analysis from January 1, 2017 through December 31, 2023 and determined that a change in ownership has occurred on March 7, 2017, December 21, 2018, June 30, 2020 and September 26, 2023. As a result, the net operating loss carryforwards generated on or prior to September 26, 2023 are subject to annual limitations before being applied to reduce future income tax liabilities. Of the $214.7 million net operating loss carryforwards generated on or before December 31, 2023, approximately $90 million are expected to be unavailable for future utilizations. For years ended after</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8" w:name="page99"/>
    <w:bookmarkEnd w:id="98"/>
    <w:p>
      <w:pPr>
        <w:spacing w:after="0" w:line="82"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December 31, 2023, the utilization of such net operating losses and tax credit carryforwards maybe subject to further limitation in the event an additional ownership change were to occur for tax purposes.</w:t>
      </w:r>
    </w:p>
    <w:p>
      <w:pPr>
        <w:spacing w:after="0" w:line="54" w:lineRule="exact"/>
        <w:rPr>
          <w:sz w:val="20"/>
          <w:szCs w:val="20"/>
          <w:color w:val="auto"/>
        </w:rPr>
      </w:pPr>
    </w:p>
    <w:p>
      <w:pPr>
        <w:ind w:right="360" w:firstLine="509"/>
        <w:spacing w:after="0" w:line="281" w:lineRule="auto"/>
        <w:rPr>
          <w:sz w:val="20"/>
          <w:szCs w:val="20"/>
          <w:color w:val="auto"/>
        </w:rPr>
      </w:pPr>
      <w:r>
        <w:rPr>
          <w:rFonts w:ascii="Times New Roman" w:cs="Times New Roman" w:eastAsia="Times New Roman" w:hAnsi="Times New Roman"/>
          <w:sz w:val="18"/>
          <w:szCs w:val="18"/>
          <w:color w:val="auto"/>
        </w:rPr>
        <w:t>U.S. taxes and foreign withholding taxes have not been provided on undistributed earnings for certain non-U.S. subsidiaries as of December 31, 2024, as the earnings, if any, are intended to be indefinitely reinvested.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activities of gross unrecognized tax benefits (in thousands):</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5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80" w:type="dxa"/>
            <w:vAlign w:val="bottom"/>
            <w:shd w:val="clear" w:color="auto" w:fill="CFF0FC"/>
          </w:tcPr>
          <w:p>
            <w:pPr>
              <w:spacing w:after="0"/>
              <w:rPr>
                <w:sz w:val="18"/>
                <w:szCs w:val="18"/>
                <w:color w:val="auto"/>
              </w:rPr>
            </w:pPr>
          </w:p>
        </w:tc>
      </w:tr>
      <w:tr>
        <w:trPr>
          <w:trHeight w:val="21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Pr>
          <w:p>
            <w:pPr>
              <w:spacing w:after="0"/>
              <w:rPr>
                <w:sz w:val="18"/>
                <w:szCs w:val="18"/>
                <w:color w:val="auto"/>
              </w:rPr>
            </w:pPr>
          </w:p>
        </w:tc>
      </w:tr>
      <w:tr>
        <w:trPr>
          <w:trHeight w:val="215"/>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related to prior year tax positions</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related to prior year tax positions</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(787 )</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4572000</wp:posOffset>
            </wp:positionH>
            <wp:positionV relativeFrom="paragraph">
              <wp:posOffset>-24765</wp:posOffset>
            </wp:positionV>
            <wp:extent cx="596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-7620</wp:posOffset>
            </wp:positionV>
            <wp:extent cx="596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5299075</wp:posOffset>
            </wp:positionH>
            <wp:positionV relativeFrom="paragraph">
              <wp:posOffset>-24765</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5299075</wp:posOffset>
            </wp:positionH>
            <wp:positionV relativeFrom="paragraph">
              <wp:posOffset>-7620</wp:posOffset>
            </wp:positionV>
            <wp:extent cx="514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6017260</wp:posOffset>
            </wp:positionH>
            <wp:positionV relativeFrom="paragraph">
              <wp:posOffset>-24765</wp:posOffset>
            </wp:positionV>
            <wp:extent cx="514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6017260</wp:posOffset>
            </wp:positionH>
            <wp:positionV relativeFrom="paragraph">
              <wp:posOffset>-7620</wp:posOffset>
            </wp:positionV>
            <wp:extent cx="514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color w:val="auto"/>
        </w:rPr>
        <w:t>The Company uses the “more likely than not” criterion for recognizing the tax benefit of uncertain tax positions and to establish measurement criteria for income tax benefits. The Company has determined it has $6.4 million of unrecognized assets and liabilities related to uncertain tax positions as of December 31, 2024. Changes in the unrecognized tax benefits within the next 12 months are expected to be similar to prior years and should not significantly increase or decrease. In the event the Company should need to recognize interest and penalties related to unrecognized tax liabilities, this amount will be recorded as a component of other expense.</w:t>
      </w:r>
    </w:p>
    <w:p>
      <w:pPr>
        <w:spacing w:after="0" w:line="77"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There were no unrecognized tax benefits that would impact the effective tax rate as of December 31, 2024 and December 31, 2023. As of December 31, 2024, unrecognized tax benefits of $6.4 million would be offset by a change in valuation allowance.</w:t>
      </w:r>
    </w:p>
    <w:p>
      <w:pPr>
        <w:spacing w:after="0" w:line="54"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certain state jurisdictions, United Kingdom and Ireland. The Company paid minimal foreign taxes in 2024 and zero in each of 2023 and 2022. In the normal course of business, the Company is subject to examination by federal, state, local and foreign jurisdictions, where applicable. In the U.S federal jurisdiction, tax years 2003 forward remain open to examination, in the state tax jurisdiction, years 2008 forward remain open to examination and in the foreign jurisdiction, years 2015 forward remain open to examination. The Company is currently not under audit by any federal, state, local or foreign jurisdiction.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Loss per Share</w:t>
      </w:r>
    </w:p>
    <w:p>
      <w:pPr>
        <w:spacing w:after="0" w:line="12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 xml:space="preserve">Basic net loss per share is computed by dividing net loss by the weighted-average number of common stock outstanding during the period. Shares of common stock that are potentially issuable for little or no cash consideration at issuance, such as the Company's pre-funded warrants issued in March 2022 and October 2023 and in connection with the exercise of certain May 2023 Tranche A and Tranche B warrants, are considered outstanding common stock and are included in the calculation of basic and diluted net loss per share in connection with </w:t>
      </w:r>
      <w:r>
        <w:rPr>
          <w:rFonts w:ascii="Times New Roman" w:cs="Times New Roman" w:eastAsia="Times New Roman" w:hAnsi="Times New Roman"/>
          <w:sz w:val="18"/>
          <w:szCs w:val="18"/>
          <w:i w:val="1"/>
          <w:iCs w:val="1"/>
          <w:color w:val="auto"/>
        </w:rPr>
        <w:t>ASC 260 Earnings Per Shares</w:t>
      </w:r>
      <w:r>
        <w:rPr>
          <w:rFonts w:ascii="Times New Roman" w:cs="Times New Roman" w:eastAsia="Times New Roman" w:hAnsi="Times New Roman"/>
          <w:sz w:val="18"/>
          <w:szCs w:val="18"/>
          <w:color w:val="auto"/>
        </w:rPr>
        <w:t>. Diluted net loss per share is computed by dividing net loss by the weighted-average number of common stock outstanding and dilutive potential common stock that would be issued upon the exercise or vesting of common stock awards and exercise of common stock warrants that are not pre-funded. The Company applies the two-class method to calculate basic and diluted earnings per share as its warrants issued in March 2022, May 2023 and October 2023 are participating securities. However, the two-class method does not impact the net loss per share of common stock as the March 2022, May 2023 and October 2023 common warrants issued do not participate in losses</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For the years ended December 31, 2024, 2023 and 2022, the effect of issuing the respective potential common stock is anti-dilutive due to the net losses in those periods and therefore the number of shares used to compute basic and diluted net loss per share are the same in each of those periods.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9" w:name="page100"/>
    <w:bookmarkEnd w:id="99"/>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securities are included in the weighted-average common shares outstanding used to calculate basic and diluted net loss per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w:t>
      </w:r>
    </w:p>
    <w:p>
      <w:pPr>
        <w:spacing w:after="0" w:line="200" w:lineRule="exact"/>
        <w:rPr>
          <w:sz w:val="20"/>
          <w:szCs w:val="20"/>
          <w:color w:val="auto"/>
        </w:rPr>
      </w:pPr>
    </w:p>
    <w:p>
      <w:pPr>
        <w:spacing w:after="0" w:line="215"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3200" w:type="dxa"/>
            <w:vAlign w:val="bottom"/>
            <w:tcBorders>
              <w:bottom w:val="single" w:sz="8" w:color="auto"/>
            </w:tcBorders>
            <w:gridSpan w:val="4"/>
          </w:tcPr>
          <w:p>
            <w:pPr>
              <w:ind w:left="1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020" w:type="dxa"/>
            <w:vAlign w:val="bottom"/>
          </w:tcPr>
          <w:p>
            <w:pPr>
              <w:spacing w:after="0"/>
              <w:rPr>
                <w:sz w:val="12"/>
                <w:szCs w:val="12"/>
                <w:color w:val="auto"/>
              </w:rPr>
            </w:pPr>
          </w:p>
        </w:tc>
        <w:tc>
          <w:tcPr>
            <w:tcW w:w="136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440" w:type="dxa"/>
            <w:vAlign w:val="bottom"/>
            <w:tcBorders>
              <w:bottom w:val="single" w:sz="8" w:color="auto"/>
            </w:tcBorders>
          </w:tcPr>
          <w:p>
            <w:pPr>
              <w:jc w:val="right"/>
              <w:ind w:right="4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12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20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37,689,804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15,040,036</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7,409,165</w:t>
            </w:r>
          </w:p>
        </w:tc>
        <w:tc>
          <w:tcPr>
            <w:tcW w:w="80" w:type="dxa"/>
            <w:vAlign w:val="bottom"/>
            <w:shd w:val="clear" w:color="auto" w:fill="CFF0FC"/>
          </w:tcPr>
          <w:p>
            <w:pPr>
              <w:spacing w:after="0"/>
              <w:rPr>
                <w:sz w:val="18"/>
                <w:szCs w:val="18"/>
                <w:color w:val="auto"/>
              </w:rPr>
            </w:pPr>
          </w:p>
        </w:tc>
      </w:tr>
      <w:tr>
        <w:trPr>
          <w:trHeight w:val="215"/>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March 2022 pre-funded warrants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290,665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987,923</w:t>
            </w:r>
          </w:p>
        </w:tc>
        <w:tc>
          <w:tcPr>
            <w:tcW w:w="80" w:type="dxa"/>
            <w:vAlign w:val="bottom"/>
          </w:tcPr>
          <w:p>
            <w:pPr>
              <w:spacing w:after="0"/>
              <w:rPr>
                <w:sz w:val="18"/>
                <w:szCs w:val="18"/>
                <w:color w:val="auto"/>
              </w:rPr>
            </w:pPr>
          </w:p>
        </w:tc>
      </w:tr>
      <w:tr>
        <w:trPr>
          <w:trHeight w:val="197"/>
        </w:trPr>
        <w:tc>
          <w:tcPr>
            <w:tcW w:w="402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8"/>
                <w:szCs w:val="18"/>
                <w:color w:val="auto"/>
              </w:rPr>
              <w:t>May 2023 Tranche A pre-funded exchange</w:t>
            </w: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1,685,181</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778,904</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r>
      <w:tr>
        <w:trPr>
          <w:trHeight w:val="197"/>
        </w:trPr>
        <w:tc>
          <w:tcPr>
            <w:tcW w:w="40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May 2023 Tranche B pre-funded exchange</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373,892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92,801</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5"/>
        </w:trPr>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2023 pre-funded warrants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427,049</w:t>
            </w:r>
          </w:p>
        </w:tc>
        <w:tc>
          <w:tcPr>
            <w:tcW w:w="18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289,726</w:t>
            </w: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40,175,926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16,492,132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8,397,088</w:t>
            </w:r>
          </w:p>
        </w:tc>
        <w:tc>
          <w:tcPr>
            <w:tcW w:w="80" w:type="dxa"/>
            <w:vAlign w:val="bottom"/>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4315460</wp:posOffset>
            </wp:positionH>
            <wp:positionV relativeFrom="paragraph">
              <wp:posOffset>-170180</wp:posOffset>
            </wp:positionV>
            <wp:extent cx="514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5341620</wp:posOffset>
            </wp:positionH>
            <wp:positionV relativeFrom="paragraph">
              <wp:posOffset>-170180</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-170180</wp:posOffset>
            </wp:positionV>
            <wp:extent cx="514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The following potentially dilutive securities outstanding have been excluded from the computations of diluted weighted-average shares outstanding because such securities have an antidilutive impact due to losses reported (in common stock equivalent shares):</w:t>
      </w:r>
    </w:p>
    <w:p>
      <w:pPr>
        <w:spacing w:after="0" w:line="182"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3020" w:type="dxa"/>
            <w:vAlign w:val="bottom"/>
            <w:tcBorders>
              <w:bottom w:val="single" w:sz="8" w:color="auto"/>
            </w:tcBorders>
            <w:gridSpan w:val="4"/>
          </w:tcPr>
          <w:p>
            <w:pPr>
              <w:ind w:left="1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820" w:type="dxa"/>
            <w:vAlign w:val="bottom"/>
          </w:tcPr>
          <w:p>
            <w:pPr>
              <w:spacing w:after="0"/>
              <w:rPr>
                <w:sz w:val="12"/>
                <w:szCs w:val="12"/>
                <w:color w:val="auto"/>
              </w:rPr>
            </w:pPr>
          </w:p>
        </w:tc>
        <w:tc>
          <w:tcPr>
            <w:tcW w:w="1380" w:type="dxa"/>
            <w:vAlign w:val="bottom"/>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60" w:type="dxa"/>
            <w:vAlign w:val="bottom"/>
            <w:gridSpan w:val="2"/>
          </w:tcPr>
          <w:p>
            <w:pPr>
              <w:jc w:val="right"/>
              <w:ind w:right="39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18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91"/>
        </w:trPr>
        <w:tc>
          <w:tcPr>
            <w:tcW w:w="482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Warrants issued to 2010/2012 convertible note holders to</w:t>
            </w:r>
          </w:p>
        </w:tc>
        <w:tc>
          <w:tcPr>
            <w:tcW w:w="13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4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34"/>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common stock</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80" w:type="dxa"/>
            <w:vAlign w:val="bottom"/>
            <w:shd w:val="clear" w:color="auto" w:fill="CFF0FC"/>
          </w:tcPr>
          <w:p>
            <w:pPr>
              <w:spacing w:after="0"/>
              <w:rPr>
                <w:sz w:val="20"/>
                <w:szCs w:val="20"/>
                <w:color w:val="auto"/>
              </w:rPr>
            </w:pPr>
          </w:p>
        </w:tc>
      </w:tr>
      <w:tr>
        <w:trPr>
          <w:trHeight w:val="21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issued to underwriter to purchase common stock</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Pr>
          <w:p>
            <w:pPr>
              <w:spacing w:after="0"/>
              <w:rPr>
                <w:sz w:val="18"/>
                <w:szCs w:val="18"/>
                <w:color w:val="auto"/>
              </w:rPr>
            </w:pPr>
          </w:p>
        </w:tc>
      </w:tr>
      <w:tr>
        <w:trPr>
          <w:trHeight w:val="21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2018 PIPE warrants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34,241</w:t>
            </w:r>
          </w:p>
        </w:tc>
        <w:tc>
          <w:tcPr>
            <w:tcW w:w="80" w:type="dxa"/>
            <w:vAlign w:val="bottom"/>
            <w:shd w:val="clear" w:color="auto" w:fill="CFF0FC"/>
          </w:tcPr>
          <w:p>
            <w:pPr>
              <w:spacing w:after="0"/>
              <w:rPr>
                <w:sz w:val="18"/>
                <w:szCs w:val="18"/>
                <w:color w:val="auto"/>
              </w:rPr>
            </w:pPr>
          </w:p>
        </w:tc>
      </w:tr>
      <w:tr>
        <w:trPr>
          <w:trHeight w:val="21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2022 common warrants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1,255,346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1,929,066</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80" w:type="dxa"/>
            <w:vAlign w:val="bottom"/>
          </w:tcPr>
          <w:p>
            <w:pPr>
              <w:spacing w:after="0"/>
              <w:rPr>
                <w:sz w:val="18"/>
                <w:szCs w:val="18"/>
                <w:color w:val="auto"/>
              </w:rPr>
            </w:pPr>
          </w:p>
        </w:tc>
      </w:tr>
      <w:tr>
        <w:trPr>
          <w:trHeight w:val="21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May 2023 Tranche B warrants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2,065,305</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6,750,000</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3,971,798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2,369,665</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686,574</w:t>
            </w:r>
          </w:p>
        </w:tc>
        <w:tc>
          <w:tcPr>
            <w:tcW w:w="80" w:type="dxa"/>
            <w:vAlign w:val="bottom"/>
          </w:tcPr>
          <w:p>
            <w:pPr>
              <w:spacing w:after="0"/>
              <w:rPr>
                <w:sz w:val="18"/>
                <w:szCs w:val="18"/>
                <w:color w:val="auto"/>
              </w:rPr>
            </w:pPr>
          </w:p>
        </w:tc>
      </w:tr>
      <w:tr>
        <w:trPr>
          <w:trHeight w:val="215"/>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restricted stock units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939,865</w:t>
            </w:r>
          </w:p>
        </w:tc>
        <w:tc>
          <w:tcPr>
            <w:tcW w:w="2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18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8,232,314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11,072,169</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4,747,787</w:t>
            </w:r>
          </w:p>
        </w:tc>
        <w:tc>
          <w:tcPr>
            <w:tcW w:w="8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4623435</wp:posOffset>
            </wp:positionH>
            <wp:positionV relativeFrom="paragraph">
              <wp:posOffset>-170180</wp:posOffset>
            </wp:positionV>
            <wp:extent cx="596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5546725</wp:posOffset>
            </wp:positionH>
            <wp:positionV relativeFrom="paragraph">
              <wp:posOffset>-170180</wp:posOffset>
            </wp:positionV>
            <wp:extent cx="514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6410325</wp:posOffset>
            </wp:positionH>
            <wp:positionV relativeFrom="paragraph">
              <wp:posOffset>-170180</wp:posOffset>
            </wp:positionV>
            <wp:extent cx="514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Defined Contribution Plan</w:t>
      </w:r>
    </w:p>
    <w:p>
      <w:pPr>
        <w:spacing w:after="0" w:line="120"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The Company sponsors a 401(k) Plan, which stipulates that eligible employees can elect to contribute to the 401(k) Plan, subject to certain limitations of eligible compensation. The Company may match employee contributions in amounts to be determined at the Company’s sole discretion. In 2024, the Company made matching contributions of $0.2 million and no matching contributions in 2023 or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Segment Reporting</w:t>
      </w:r>
    </w:p>
    <w:p>
      <w:pPr>
        <w:spacing w:after="0" w:line="120"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The Company has one operating and reporting segment focused on the development and commercialization of its lead therapeutic candidate, DCCR. The Company’s chief operating decision maker (CODM) is the chief executive officer who reviews cash operating expenses on a consolidated basis to make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0" w:name="page101"/>
    <w:bookmarkEnd w:id="100"/>
    <w:p>
      <w:pPr>
        <w:spacing w:after="0" w:line="82"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decisions about allocating resources and assessing performance for the entire Company. The CODM does not review assets at a level or category different than the amounts disclosed in the consolidated balance sheet.</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Cash operating expenses reconciled to net loss on a consolidated basis were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6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operating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(175,850 )</w:t>
            </w:r>
          </w:p>
        </w:tc>
        <w:tc>
          <w:tcPr>
            <w:tcW w:w="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(38,988 )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(24,067 )</w:t>
            </w:r>
          </w:p>
        </w:tc>
      </w:tr>
      <w:tr>
        <w:trPr>
          <w:trHeight w:val="215"/>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total other income, net</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18"/>
                <w:szCs w:val="18"/>
                <w:color w:val="auto"/>
              </w:rPr>
            </w:pP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(187,671 )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(41,384 )</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(24,397 )</w:t>
            </w:r>
          </w:p>
        </w:tc>
      </w:tr>
      <w:tr>
        <w:trPr>
          <w:trHeight w:val="209"/>
        </w:trPr>
        <w:tc>
          <w:tcPr>
            <w:tcW w:w="6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187,671</w:t>
            </w: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41,384</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24,397</w:t>
            </w:r>
          </w:p>
        </w:tc>
        <w:tc>
          <w:tcPr>
            <w:tcW w:w="120" w:type="dxa"/>
            <w:vAlign w:val="bottom"/>
            <w:tcBorders>
              <w:top w:val="single" w:sz="8" w:color="CFF0FC"/>
            </w:tcBorders>
          </w:tcPr>
          <w:p>
            <w:pPr>
              <w:spacing w:after="0"/>
              <w:rPr>
                <w:sz w:val="18"/>
                <w:szCs w:val="18"/>
                <w:color w:val="auto"/>
              </w:rPr>
            </w:pP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non-cash expenses</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(1,987 )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(1,958 )</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(1,964 )</w:t>
            </w:r>
          </w:p>
        </w:tc>
      </w:tr>
      <w:tr>
        <w:trPr>
          <w:trHeight w:val="215"/>
        </w:trPr>
        <w:tc>
          <w:tcPr>
            <w:tcW w:w="6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(321 )</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(290 )</w:t>
            </w:r>
          </w:p>
        </w:tc>
      </w:tr>
      <w:tr>
        <w:trPr>
          <w:trHeight w:val="215"/>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(3,242 )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(2,714 )</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spacing w:after="0"/>
              <w:rPr>
                <w:sz w:val="18"/>
                <w:szCs w:val="18"/>
                <w:color w:val="auto"/>
              </w:rPr>
            </w:pPr>
          </w:p>
        </w:tc>
      </w:tr>
      <w:tr>
        <w:trPr>
          <w:trHeight w:val="215"/>
        </w:trPr>
        <w:tc>
          <w:tcPr>
            <w:tcW w:w="6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(99,958 )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(5,945 )</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(2,530 )</w:t>
            </w:r>
          </w:p>
        </w:tc>
      </w:tr>
      <w:tr>
        <w:trPr>
          <w:trHeight w:val="209"/>
        </w:trPr>
        <w:tc>
          <w:tcPr>
            <w:tcW w:w="6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operating expenses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82,040</w:t>
            </w: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30,446</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20,325</w:t>
            </w:r>
          </w:p>
        </w:tc>
        <w:tc>
          <w:tcPr>
            <w:tcW w:w="120" w:type="dxa"/>
            <w:vAlign w:val="bottom"/>
            <w:tcBorders>
              <w:top w:val="single" w:sz="8" w:color="CFF0FC"/>
            </w:tcBorders>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5067935</wp:posOffset>
            </wp:positionH>
            <wp:positionV relativeFrom="paragraph">
              <wp:posOffset>-1008380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-1008380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-1008380</wp:posOffset>
            </wp:positionV>
            <wp:extent cx="768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5067935</wp:posOffset>
            </wp:positionH>
            <wp:positionV relativeFrom="paragraph">
              <wp:posOffset>-170180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-170180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-170180</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120"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The Company has evaluated its subsequent events from December 31, 2024 through the date these condensed consolidated financial statements were issued and has determined that there are no subsequent events disclosure required.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ind w:left="520" w:right="480" w:hanging="36"/>
        <w:spacing w:after="0" w:line="410"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DISCLOSURES </w:t>
      </w:r>
      <w:r>
        <w:rPr>
          <w:rFonts w:ascii="Times New Roman" w:cs="Times New Roman" w:eastAsia="Times New Roman" w:hAnsi="Times New Roman"/>
          <w:sz w:val="18"/>
          <w:szCs w:val="18"/>
          <w:color w:val="auto"/>
        </w:rPr>
        <w:t>None.</w:t>
      </w:r>
    </w:p>
    <w:p>
      <w:pPr>
        <w:spacing w:after="0" w:line="15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12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management, including our Chief Executive Officer (principal executive officer) and Chief Financial Officer (principal financial officer), as appropriate, to allow timely decisions regarding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7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required by Rule 13a-15(b) under the Exchange Act, our management, with the participation of our Chief Executive Officer and Chief Financial Officer, evaluated the effectiveness of our disclosure controls and procedures (as defined in Rule 13a-15(e) under the Exchange Act) as of December 31, 2024. Based on that evaluation, our Chief Executive Officer and Chief Financial Officer concluded that our disclosure controls and procedures were not effective as of December 31, 2024 because of the material weakness in internal controls discussed below. Notwithstanding the material weakness, our management, including our Chief Executive Officer and Chief Financial Officer, has concluded that our consolidated financial statements included in this Annual Report on Form 10-K fairly present, in all material respects, our financial condition, results of operations and cash flows for the periods presented in conformity with generally accepted accounting principles.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or 15d-15(f) of the Exchange Act). Our management assessed the effectiveness of the Company’s internal control over financial reporting based on certain criteria established in the Internal Control-Integrated Framework issued by the Committee of Sponsoring Organizations (COSO) of the Treadway Commission in 2013. Based on this assessment, our management concluded that our internal control over financial reporting was not effective as of December 31, 2024, due to the material weakness described below.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Specifically:</w:t>
      </w:r>
    </w:p>
    <w:p>
      <w:pPr>
        <w:spacing w:after="0" w:line="77" w:lineRule="exact"/>
        <w:rPr>
          <w:sz w:val="20"/>
          <w:szCs w:val="20"/>
          <w:color w:val="auto"/>
        </w:rPr>
      </w:pPr>
    </w:p>
    <w:p>
      <w:pPr>
        <w:ind w:left="1020" w:right="80" w:hanging="504"/>
        <w:spacing w:after="0" w:line="25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ineffective design and operation of controls over certain information technology general controls (ITGCs), including segregation of incompatible duties, program change management, and user access controls to ensure: (i) that access to applications and data, and the ability to perform program changes, were adequately restricted to appropriate personnel and (ii) that the activities of individuals with access to modify data and make program changes were appropriately monitored and restricted. Automated process-level and manual controls that are dependent upon the information derived from such financially relevant systems were also determined to be ineffective as a result of such deficiency.</w:t>
      </w:r>
    </w:p>
    <w:p>
      <w:pPr>
        <w:spacing w:after="0" w:line="76"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The material weakness described above did not result in a material misstatement to the Company’s previously issued consolidated financial statements, nor in the consolidated financial statements included in this Annual Report.</w:t>
      </w:r>
    </w:p>
    <w:p>
      <w:pPr>
        <w:spacing w:after="0" w:line="54"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The registered public accounting firm that audited our consolidated financial statements within this Annual Report has issued an attestation report on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02" w:name="page103"/>
    <w:bookmarkEnd w:id="102"/>
    <w:p>
      <w:pPr>
        <w:spacing w:after="0" w:line="82"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Our management is committed to maintaining a strong internal control environment. Management intends to take comprehensive actions to remediate the material weakness in internal control over financial reporting, which include the following:</w:t>
      </w:r>
    </w:p>
    <w:p>
      <w:pPr>
        <w:spacing w:after="0" w:line="54" w:lineRule="exact"/>
        <w:rPr>
          <w:sz w:val="20"/>
          <w:szCs w:val="20"/>
          <w:color w:val="auto"/>
        </w:rPr>
      </w:pPr>
    </w:p>
    <w:p>
      <w:pPr>
        <w:ind w:left="1020" w:right="40" w:hanging="504"/>
        <w:spacing w:after="0" w:line="265"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in the accounting and financial reporting function that would allow for appropriate segregation of duties, both systematically and operationally. We will continue to reassess staffing and add additional resources, as required, with the requisite experience and training, to support our system of internal control;</w:t>
      </w:r>
    </w:p>
    <w:p>
      <w:pPr>
        <w:spacing w:after="0" w:line="68" w:lineRule="exact"/>
        <w:rPr>
          <w:rFonts w:ascii="Times New Roman" w:cs="Times New Roman" w:eastAsia="Times New Roman" w:hAnsi="Times New Roman"/>
          <w:sz w:val="18"/>
          <w:szCs w:val="18"/>
          <w:color w:val="auto"/>
        </w:rPr>
      </w:pPr>
    </w:p>
    <w:p>
      <w:pPr>
        <w:ind w:left="1020" w:right="140" w:hanging="504"/>
        <w:spacing w:after="0" w:line="260"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 training program for all personnel responsible for internal controls over financial reporting, including educating control owners regarding the requirements of each control. For control owners with IT responsibilities, develop and implement additional training and awareness programs addressing ITGC policy and requirements, with a specific focus on user access and change management processes and controls;</w:t>
      </w:r>
    </w:p>
    <w:p>
      <w:pPr>
        <w:spacing w:after="0" w:line="72" w:lineRule="exact"/>
        <w:rPr>
          <w:rFonts w:ascii="Times New Roman" w:cs="Times New Roman" w:eastAsia="Times New Roman" w:hAnsi="Times New Roman"/>
          <w:sz w:val="18"/>
          <w:szCs w:val="18"/>
          <w:color w:val="auto"/>
        </w:rPr>
      </w:pPr>
    </w:p>
    <w:p>
      <w:pPr>
        <w:ind w:left="1020" w:right="100" w:hanging="504"/>
        <w:spacing w:after="0" w:line="288" w:lineRule="auto"/>
        <w:tabs>
          <w:tab w:leader="none" w:pos="10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enhance, standardize and monitor the ongoing improvements in design and operating effectiveness of our controls and the adherence of our personnel to any enhancements in controls, policies, and procedures. Moreover, within our IT environment, increase the extent of oversight and verification checks included in the operation of user access and program change management controls and processes;</w:t>
      </w:r>
    </w:p>
    <w:p>
      <w:pPr>
        <w:spacing w:after="0" w:line="50" w:lineRule="exact"/>
        <w:rPr>
          <w:rFonts w:ascii="Times New Roman" w:cs="Times New Roman" w:eastAsia="Times New Roman" w:hAnsi="Times New Roman"/>
          <w:sz w:val="17"/>
          <w:szCs w:val="17"/>
          <w:color w:val="auto"/>
        </w:rPr>
      </w:pPr>
    </w:p>
    <w:p>
      <w:pPr>
        <w:ind w:left="1020" w:right="220" w:hanging="504"/>
        <w:spacing w:after="0" w:line="281"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report regularly to the audit committee on the progress and results of the remediation plan, including the identification, status and resolution of internal control deficiencies.</w:t>
      </w:r>
    </w:p>
    <w:p>
      <w:pPr>
        <w:spacing w:after="0" w:line="54"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We believe the foregoing efforts will effectively remediate the identified material weakness in internal controls over financial reporting. Because the reliability of the internal control process requires repeatable execution, the successful remediation will require review and evidence of effectiveness prior to management concluding that the Company’s internal controls over financial reporting are effective. We may also conclude that the additional measures may be required to remediate the material weakness which may necessitate additional implementation and evaluation time. We will continue to assess the effectiveness of our internal control over financial reporting and take steps to remediate the material weakness expeditiously.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0"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Except as described above, there were no changes in our internal control over financial reporting (as defined in Rules 13a-15(f) and 15d 15(f) under the Exchange Act) that occurred during the quarter ended December 31, 2024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ON INTERNAL CONTROL OVER FINANCIAL REPORTING</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Soleno Therapeutics, Inc.</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Opinion on Internal Control over Financial Reporting</w:t>
      </w:r>
    </w:p>
    <w:p>
      <w:pPr>
        <w:spacing w:after="0" w:line="3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have audited Soleno Therapeutics Inc.’s (the Company)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because of the effect of the material weakness described in the following paragraph on the achievement of the objectives of the control criteria, the Company has not maintained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 xml:space="preserve">Internal Control-Integrated 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 material weakness is a control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have been identified and included in Management's Annual Report on Internal Control Over Financial Reporting:</w:t>
      </w:r>
    </w:p>
    <w:p>
      <w:pPr>
        <w:spacing w:after="0" w:line="69" w:lineRule="exact"/>
        <w:rPr>
          <w:sz w:val="20"/>
          <w:szCs w:val="20"/>
          <w:color w:val="auto"/>
        </w:rPr>
      </w:pPr>
    </w:p>
    <w:p>
      <w:pPr>
        <w:ind w:left="1020" w:right="60" w:hanging="504"/>
        <w:spacing w:after="0" w:line="256"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formal and effective controls over certain information technology general controls (ITGCs) for IT systems that are relevant to the preparation of the financial statements. Specifically, (a) user access controls to ensure appropriate segregation of duties and adequate restriction of user and privileged access to financial applications, programs, and data (b) program change management controls to ensure that IT program and data changes affecting financially significant IT applications and underlying accounting records are identified, tested, authorized and implemented appropriately. Automated process-level and manual controls that are dependent upon the information derived from such financially relevant systems were also determined to be ineffective as a result of such deficiency.</w:t>
      </w:r>
    </w:p>
    <w:p>
      <w:pPr>
        <w:spacing w:after="0" w:line="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This material weakness was considered in determining the nature, timing and extent of audit tests applied in our audit of the fiscal December 31, 2024 consolidated financial statements, and this report does not affect our report dated February 28, 2025 on those financial statements.</w:t>
      </w:r>
    </w:p>
    <w:p>
      <w:pPr>
        <w:spacing w:after="0" w:line="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balance sheets as of December 31, 2024 and 2023 and the related consolidated statements of operations and comprehensive loss, stockholders’ equity, and cash flows for each of the three years in the period ended December 31, 2024 of the Company and our report dated February 28, 2025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degree of compliance with the policies or procedures may deteriorate.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0"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We have social media posts at Twitter (X) - @SolenoTX and LinkedIn - Soleno Therapeutics, Inc. It is possible that information we post on social media channels could be deemed to be material information. The information on, or that may be accessed through, our website and social media channels is not incorporated by reference into this Annual Report on Form 10-K and should not be considered a part of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8"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During the three months ended December 31, 2024, the Company did not adopt, modify or terminate and no directors or officers, as defined in Rule 16a-1(f), adopted, modified or terminated a Rule 10b5-1 trading arrangement or a non-Rule 10b5-1 trading arrangement, each as defined in Regulation S-K Item 408.</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0"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2025 Annual Meeting of Stockholders. The Definitive Proxy Statement will be filed with the Securities and Exchange Commission within 120 days after the end of the fiscal year covered by this Annual Report on Form 10-K.</w:t>
      </w:r>
    </w:p>
    <w:p>
      <w:pPr>
        <w:spacing w:after="0" w:line="69"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is posted on the Corporate Governance portion of our website at https://investors.soleno.life/. We will post amendments to our Code of Business Conduct and Ethics or waivers of our Code of Business Conduct and Ethics for directors and executive officers on the same website.</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0"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2025 Annual Meeting of Stockholders. The Definitive Proxy Statement will be filed with the Securities and Exchange Commission within 120 days after the end of the fiscal year covered by this Annual Report on Form 10-K.</w:t>
      </w:r>
    </w:p>
    <w:p>
      <w:pPr>
        <w:spacing w:after="0" w:line="280" w:lineRule="exact"/>
        <w:rPr>
          <w:sz w:val="20"/>
          <w:szCs w:val="20"/>
          <w:color w:val="auto"/>
        </w:rPr>
      </w:pPr>
    </w:p>
    <w:p>
      <w:pPr>
        <w:jc w:val="center"/>
        <w:spacing w:after="0" w:line="285"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2025 Annual Meeting of Stockholders. The Definitive Proxy Statement will be filed with the Securities and Exchange Commission within 120 days after the end of the fiscal year covered by this Annual Report on Form 10-K.</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TRANSACTIONS,AND DIRECTOR INDEPENDENCE</w:t>
      </w:r>
    </w:p>
    <w:p>
      <w:pPr>
        <w:spacing w:after="0" w:line="120"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2025 Annual Meeting of Stockholders. The Definitive Proxy Statement will be filed with the Securities and Exchange Commission within 120 days after the end of the fiscal year covered by this Annual Report on Form 10-K.</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0"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2025 Annual Meeting of Stockholders. The Definitive Proxy Statement will be filed with the Securities and Exchange Commission within 120 days after the end of the fiscal year covered by this Annual Report on Form 10-K.</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410" w:right="379" w:bottom="1440" w:gutter="0" w:footer="0" w:header="0"/>
        </w:sectPr>
      </w:pPr>
    </w:p>
    <w:bookmarkStart w:id="107" w:name="page108"/>
    <w:bookmarkEnd w:id="10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0" w:lineRule="exact"/>
        <w:rPr>
          <w:sz w:val="20"/>
          <w:szCs w:val="20"/>
          <w:color w:val="auto"/>
        </w:rPr>
      </w:pPr>
    </w:p>
    <w:p>
      <w:pPr>
        <w:ind w:left="380" w:hanging="372"/>
        <w:spacing w:after="0"/>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See “Index to Financial Statements” in Part II, Item 8 of this Annual Report on Form 10-K</w:t>
      </w:r>
    </w:p>
    <w:p>
      <w:pPr>
        <w:spacing w:after="0" w:line="116" w:lineRule="exact"/>
        <w:rPr>
          <w:rFonts w:ascii="Times New Roman" w:cs="Times New Roman" w:eastAsia="Times New Roman" w:hAnsi="Times New Roman"/>
          <w:sz w:val="18"/>
          <w:szCs w:val="18"/>
          <w:color w:val="auto"/>
        </w:rPr>
      </w:pPr>
    </w:p>
    <w:p>
      <w:pPr>
        <w:ind w:left="380" w:right="60" w:hanging="372"/>
        <w:spacing w:after="0" w:line="281"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Schedules: All schedules have been omitted because the information called for is not required or is shown either in the financial statements or in the notes thereto.</w:t>
      </w:r>
    </w:p>
    <w:p>
      <w:pPr>
        <w:spacing w:after="0" w:line="5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 The exhibits listed in the accompanying index to exhibits are filed or incorporated by reference as part of this Annual Report on Form 10-K.</w:t>
      </w: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1410" w:right="439" w:bottom="1440" w:gutter="0" w:footer="0" w:header="0"/>
        </w:sectPr>
      </w:pPr>
    </w:p>
    <w:bookmarkStart w:id="108" w:name="page109"/>
    <w:bookmarkEnd w:id="10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10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360" w:type="dxa"/>
            <w:vAlign w:val="bottom"/>
            <w:gridSpan w:val="20"/>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tcPr>
          <w:p>
            <w:pPr>
              <w:ind w:left="180"/>
              <w:spacing w:after="0" w:line="97" w:lineRule="exact"/>
              <w:rPr>
                <w:sz w:val="20"/>
                <w:szCs w:val="20"/>
                <w:color w:val="auto"/>
              </w:rPr>
            </w:pPr>
            <w:r>
              <w:rPr>
                <w:rFonts w:ascii="Times New Roman" w:cs="Times New Roman" w:eastAsia="Times New Roman" w:hAnsi="Times New Roman"/>
                <w:sz w:val="11"/>
                <w:szCs w:val="11"/>
                <w:b w:val="1"/>
                <w:bCs w:val="1"/>
                <w:color w:val="auto"/>
              </w:rPr>
              <w:t>Registrant’s</w:t>
            </w:r>
          </w:p>
        </w:tc>
        <w:tc>
          <w:tcPr>
            <w:tcW w:w="120" w:type="dxa"/>
            <w:vAlign w:val="bottom"/>
          </w:tcPr>
          <w:p>
            <w:pPr>
              <w:spacing w:after="0"/>
              <w:rPr>
                <w:sz w:val="8"/>
                <w:szCs w:val="8"/>
                <w:color w:val="auto"/>
              </w:rPr>
            </w:pPr>
          </w:p>
        </w:tc>
        <w:tc>
          <w:tcPr>
            <w:tcW w:w="2020" w:type="dxa"/>
            <w:vAlign w:val="bottom"/>
          </w:tcPr>
          <w:p>
            <w:pPr>
              <w:ind w:left="680"/>
              <w:spacing w:after="0" w:line="97" w:lineRule="exact"/>
              <w:rPr>
                <w:sz w:val="20"/>
                <w:szCs w:val="20"/>
                <w:color w:val="auto"/>
              </w:rPr>
            </w:pPr>
            <w:r>
              <w:rPr>
                <w:rFonts w:ascii="Times New Roman" w:cs="Times New Roman" w:eastAsia="Times New Roman" w:hAnsi="Times New Roman"/>
                <w:sz w:val="11"/>
                <w:szCs w:val="11"/>
                <w:b w:val="1"/>
                <w:bCs w:val="1"/>
                <w:color w:val="auto"/>
              </w:rPr>
              <w:t>Date Filed</w:t>
            </w:r>
          </w:p>
        </w:tc>
        <w:tc>
          <w:tcPr>
            <w:tcW w:w="100" w:type="dxa"/>
            <w:vAlign w:val="bottom"/>
          </w:tcPr>
          <w:p>
            <w:pPr>
              <w:spacing w:after="0"/>
              <w:rPr>
                <w:sz w:val="8"/>
                <w:szCs w:val="8"/>
                <w:color w:val="auto"/>
              </w:rPr>
            </w:pPr>
          </w:p>
        </w:tc>
        <w:tc>
          <w:tcPr>
            <w:tcW w:w="78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Exhibit</w:t>
            </w:r>
          </w:p>
        </w:tc>
        <w:tc>
          <w:tcPr>
            <w:tcW w:w="120" w:type="dxa"/>
            <w:vAlign w:val="bottom"/>
          </w:tcPr>
          <w:p>
            <w:pPr>
              <w:spacing w:after="0"/>
              <w:rPr>
                <w:sz w:val="8"/>
                <w:szCs w:val="8"/>
                <w:color w:val="auto"/>
              </w:rPr>
            </w:pPr>
          </w:p>
        </w:tc>
        <w:tc>
          <w:tcPr>
            <w:tcW w:w="92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20"/>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5"/>
                <w:szCs w:val="15"/>
                <w:color w:val="auto"/>
              </w:rPr>
            </w:pPr>
          </w:p>
        </w:tc>
        <w:tc>
          <w:tcPr>
            <w:tcW w:w="2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9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Pr>
          <w:p>
            <w:pPr>
              <w:spacing w:after="0"/>
              <w:rPr>
                <w:sz w:val="24"/>
                <w:szCs w:val="24"/>
                <w:color w:val="auto"/>
              </w:rPr>
            </w:pPr>
          </w:p>
        </w:tc>
        <w:tc>
          <w:tcPr>
            <w:tcW w:w="46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Agreement and Plan of Merger and Reorganization, dated as of</w:t>
              </w:r>
            </w:hyperlink>
          </w:p>
        </w:tc>
        <w:tc>
          <w:tcPr>
            <w:tcW w:w="10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Borders>
              <w:bottom w:val="single" w:sz="8" w:color="0000FF"/>
            </w:tcBorders>
            <w:gridSpan w:val="16"/>
          </w:tcPr>
          <w:p>
            <w:pPr>
              <w:spacing w:after="0" w:line="195"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December 22, 2016, by and among Soleno Therapeutics, Inc.,</w:t>
              </w:r>
            </w:hyperlink>
          </w:p>
        </w:tc>
        <w:tc>
          <w:tcPr>
            <w:tcW w:w="12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tcBorders>
              <w:bottom w:val="single" w:sz="8" w:color="0000FF"/>
            </w:tcBorders>
            <w:gridSpan w:val="21"/>
          </w:tcPr>
          <w:p>
            <w:pPr>
              <w:spacing w:after="0" w:line="195"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Essentialis, Inc., Company E Merger Sub, Inc., a wholly-owned</w:t>
              </w:r>
            </w:hyperlink>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0" w:type="dxa"/>
            <w:vAlign w:val="bottom"/>
            <w:tcBorders>
              <w:bottom w:val="single" w:sz="8" w:color="0000FF"/>
            </w:tcBorders>
            <w:gridSpan w:val="11"/>
          </w:tcPr>
          <w:p>
            <w:pPr>
              <w:spacing w:after="0" w:line="195"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subsidiary of Soleno Therapeutics, and Neil Cowen as the</w:t>
              </w:r>
            </w:hyperlink>
          </w:p>
        </w:tc>
        <w:tc>
          <w:tcPr>
            <w:tcW w:w="50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5"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stockholders’ representative.</w:t>
              </w:r>
            </w:hyperlink>
          </w:p>
        </w:tc>
        <w:tc>
          <w:tcPr>
            <w:tcW w:w="2600" w:type="dxa"/>
            <w:vAlign w:val="bottom"/>
            <w:gridSpan w:val="18"/>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17"/>
                <w:szCs w:val="17"/>
                <w:color w:val="auto"/>
              </w:rPr>
            </w:pPr>
          </w:p>
        </w:tc>
        <w:tc>
          <w:tcPr>
            <w:tcW w:w="20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December 27, 2016</w:t>
            </w:r>
          </w:p>
        </w:tc>
        <w:tc>
          <w:tcPr>
            <w:tcW w:w="880" w:type="dxa"/>
            <w:vAlign w:val="bottom"/>
            <w:gridSpan w:val="2"/>
          </w:tcPr>
          <w:p>
            <w:pPr>
              <w:jc w:val="center"/>
              <w:ind w:left="10"/>
              <w:spacing w:after="0" w:line="195" w:lineRule="exact"/>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44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Amended and Restated Certificate of Incorporation of Soleno</w:t>
              </w:r>
            </w:hyperlink>
          </w:p>
        </w:tc>
        <w:tc>
          <w:tcPr>
            <w:tcW w:w="24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0000EE"/>
            </w:tcBorders>
          </w:tcPr>
          <w:p>
            <w:pPr>
              <w:spacing w:after="0" w:line="195"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Therapeutics, Inc.</w:t>
              </w:r>
            </w:hyperlink>
          </w:p>
        </w:tc>
        <w:tc>
          <w:tcPr>
            <w:tcW w:w="3360" w:type="dxa"/>
            <w:vAlign w:val="bottom"/>
            <w:gridSpan w:val="20"/>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17"/>
                <w:szCs w:val="17"/>
                <w:color w:val="auto"/>
              </w:rPr>
            </w:pPr>
          </w:p>
        </w:tc>
        <w:tc>
          <w:tcPr>
            <w:tcW w:w="20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August 7, 2014</w:t>
            </w:r>
          </w:p>
        </w:tc>
        <w:tc>
          <w:tcPr>
            <w:tcW w:w="880" w:type="dxa"/>
            <w:vAlign w:val="bottom"/>
            <w:gridSpan w:val="2"/>
          </w:tcPr>
          <w:p>
            <w:pPr>
              <w:jc w:val="center"/>
              <w:ind w:left="10"/>
              <w:spacing w:after="0" w:line="195"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4380" w:type="dxa"/>
            <w:vAlign w:val="bottom"/>
            <w:tcBorders>
              <w:bottom w:val="single" w:sz="8" w:color="0000EE"/>
            </w:tcBorders>
            <w:gridSpan w:val="13"/>
          </w:tcPr>
          <w:p>
            <w:pPr>
              <w:spacing w:after="0"/>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Amended and Restated Bylaws of Soleno Therapeutics, Inc.</w:t>
              </w:r>
            </w:hyperlink>
          </w:p>
        </w:tc>
        <w:tc>
          <w:tcPr>
            <w:tcW w:w="320" w:type="dxa"/>
            <w:vAlign w:val="bottom"/>
            <w:gridSpan w:val="8"/>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July 1, 2014</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4"/>
                <w:szCs w:val="24"/>
                <w:color w:val="auto"/>
              </w:rPr>
            </w:pPr>
          </w:p>
        </w:tc>
        <w:tc>
          <w:tcPr>
            <w:tcW w:w="1920" w:type="dxa"/>
            <w:vAlign w:val="bottom"/>
            <w:tcBorders>
              <w:bottom w:val="single" w:sz="8" w:color="0000EE"/>
            </w:tcBorders>
            <w:gridSpan w:val="2"/>
          </w:tcPr>
          <w:p>
            <w:pPr>
              <w:spacing w:after="0"/>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Certificate of Amendment</w:t>
              </w:r>
            </w:hyperlink>
          </w:p>
        </w:tc>
        <w:tc>
          <w:tcPr>
            <w:tcW w:w="2780" w:type="dxa"/>
            <w:vAlign w:val="bottom"/>
            <w:gridSpan w:val="19"/>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May 11, 2017</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24"/>
                <w:szCs w:val="24"/>
                <w:color w:val="auto"/>
              </w:rPr>
            </w:pPr>
          </w:p>
        </w:tc>
        <w:tc>
          <w:tcPr>
            <w:tcW w:w="4400" w:type="dxa"/>
            <w:vAlign w:val="bottom"/>
            <w:tcBorders>
              <w:bottom w:val="single" w:sz="8" w:color="0000EE"/>
            </w:tcBorders>
            <w:gridSpan w:val="14"/>
          </w:tcPr>
          <w:p>
            <w:pPr>
              <w:spacing w:after="0"/>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Certificate of Amendment to the Certificate of Incorporation</w:t>
              </w:r>
            </w:hyperlink>
          </w:p>
        </w:tc>
        <w:tc>
          <w:tcPr>
            <w:tcW w:w="30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October 6, 2017</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20" w:type="dxa"/>
            <w:vAlign w:val="bottom"/>
          </w:tcPr>
          <w:p>
            <w:pPr>
              <w:spacing w:after="0"/>
              <w:rPr>
                <w:sz w:val="24"/>
                <w:szCs w:val="24"/>
                <w:color w:val="auto"/>
              </w:rPr>
            </w:pPr>
          </w:p>
        </w:tc>
        <w:tc>
          <w:tcPr>
            <w:tcW w:w="43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370">
              <w:r>
                <w:rPr>
                  <w:rFonts w:ascii="Times New Roman" w:cs="Times New Roman" w:eastAsia="Times New Roman" w:hAnsi="Times New Roman"/>
                  <w:sz w:val="18"/>
                  <w:szCs w:val="18"/>
                  <w:color w:val="0000FF"/>
                  <w:w w:val="99"/>
                </w:rPr>
                <w:t>Certificate of Amendment to the Certificate of Incorporation</w:t>
              </w:r>
            </w:hyperlink>
          </w:p>
        </w:tc>
        <w:tc>
          <w:tcPr>
            <w:tcW w:w="34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August 25, 2022</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3680" w:type="dxa"/>
            <w:vAlign w:val="bottom"/>
            <w:tcBorders>
              <w:bottom w:val="single" w:sz="8" w:color="0000EE"/>
            </w:tcBorders>
            <w:gridSpan w:val="6"/>
          </w:tcPr>
          <w:p>
            <w:pPr>
              <w:spacing w:after="0"/>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Form of the Registrant's common stock certificate.</w:t>
              </w:r>
            </w:hyperlink>
          </w:p>
        </w:tc>
        <w:tc>
          <w:tcPr>
            <w:tcW w:w="1020" w:type="dxa"/>
            <w:vAlign w:val="bottom"/>
            <w:gridSpan w:val="15"/>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August 5, 2014</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46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Description of the Registrant’s Securities Registered Pursuant to</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21"/>
          </w:tcPr>
          <w:p>
            <w:pPr>
              <w:spacing w:after="0" w:line="195"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Section 12 of the Securities Exchange Act of 1934</w:t>
              </w:r>
            </w:hyperlink>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10-K</w:t>
            </w:r>
          </w:p>
        </w:tc>
        <w:tc>
          <w:tcPr>
            <w:tcW w:w="120" w:type="dxa"/>
            <w:vAlign w:val="bottom"/>
          </w:tcPr>
          <w:p>
            <w:pPr>
              <w:spacing w:after="0"/>
              <w:rPr>
                <w:sz w:val="17"/>
                <w:szCs w:val="17"/>
                <w:color w:val="auto"/>
              </w:rPr>
            </w:pPr>
          </w:p>
        </w:tc>
        <w:tc>
          <w:tcPr>
            <w:tcW w:w="20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March 4, 2020</w:t>
            </w:r>
          </w:p>
        </w:tc>
        <w:tc>
          <w:tcPr>
            <w:tcW w:w="880" w:type="dxa"/>
            <w:vAlign w:val="bottom"/>
            <w:gridSpan w:val="2"/>
          </w:tcPr>
          <w:p>
            <w:pPr>
              <w:jc w:val="center"/>
              <w:spacing w:after="0" w:line="195" w:lineRule="exact"/>
              <w:rPr>
                <w:sz w:val="20"/>
                <w:szCs w:val="20"/>
                <w:color w:val="auto"/>
              </w:rPr>
            </w:pPr>
            <w:r>
              <w:rPr>
                <w:rFonts w:ascii="Times New Roman" w:cs="Times New Roman" w:eastAsia="Times New Roman" w:hAnsi="Times New Roman"/>
                <w:sz w:val="18"/>
                <w:szCs w:val="18"/>
                <w:color w:val="auto"/>
                <w:w w:val="95"/>
              </w:rPr>
              <w:t>4.29</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4"/>
                <w:szCs w:val="24"/>
                <w:color w:val="auto"/>
              </w:rPr>
            </w:pPr>
          </w:p>
        </w:tc>
        <w:tc>
          <w:tcPr>
            <w:tcW w:w="41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373">
              <w:r>
                <w:rPr>
                  <w:rFonts w:ascii="Times New Roman" w:cs="Times New Roman" w:eastAsia="Times New Roman" w:hAnsi="Times New Roman"/>
                  <w:sz w:val="18"/>
                  <w:szCs w:val="18"/>
                  <w:color w:val="0000FF"/>
                  <w:w w:val="99"/>
                </w:rPr>
                <w:t>Form of Common Warrant To Purchase Common Stock.</w:t>
              </w:r>
            </w:hyperlink>
          </w:p>
        </w:tc>
        <w:tc>
          <w:tcPr>
            <w:tcW w:w="600" w:type="dxa"/>
            <w:vAlign w:val="bottom"/>
            <w:gridSpan w:val="12"/>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March 30, 2022</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4"/>
                <w:szCs w:val="24"/>
                <w:color w:val="auto"/>
              </w:rPr>
            </w:pPr>
          </w:p>
        </w:tc>
        <w:tc>
          <w:tcPr>
            <w:tcW w:w="406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374">
              <w:r>
                <w:rPr>
                  <w:rFonts w:ascii="Times New Roman" w:cs="Times New Roman" w:eastAsia="Times New Roman" w:hAnsi="Times New Roman"/>
                  <w:sz w:val="18"/>
                  <w:szCs w:val="18"/>
                  <w:color w:val="0000FF"/>
                  <w:w w:val="99"/>
                </w:rPr>
                <w:t>Form of Tranche B Warrant to Purchase Common Stock</w:t>
              </w:r>
            </w:hyperlink>
          </w:p>
        </w:tc>
        <w:tc>
          <w:tcPr>
            <w:tcW w:w="20" w:type="dxa"/>
            <w:vAlign w:val="bottom"/>
            <w:tcBorders>
              <w:bottom w:val="single" w:sz="8" w:color="0000EE"/>
            </w:tcBorders>
          </w:tcPr>
          <w:p>
            <w:pPr>
              <w:spacing w:after="0"/>
              <w:rPr>
                <w:sz w:val="24"/>
                <w:szCs w:val="24"/>
                <w:color w:val="auto"/>
              </w:rPr>
            </w:pPr>
          </w:p>
        </w:tc>
        <w:tc>
          <w:tcPr>
            <w:tcW w:w="620" w:type="dxa"/>
            <w:vAlign w:val="bottom"/>
            <w:gridSpan w:val="13"/>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December 19, 2022</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10.3</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24"/>
                <w:szCs w:val="24"/>
                <w:color w:val="auto"/>
              </w:rPr>
            </w:pPr>
          </w:p>
        </w:tc>
        <w:tc>
          <w:tcPr>
            <w:tcW w:w="4700" w:type="dxa"/>
            <w:vAlign w:val="bottom"/>
            <w:gridSpan w:val="21"/>
          </w:tcPr>
          <w:p>
            <w:pPr>
              <w:spacing w:after="0"/>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Form of Pre-Funded Warrant to Purchase Common Stock</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September 28, 2023</w:t>
            </w:r>
          </w:p>
        </w:tc>
        <w:tc>
          <w:tcPr>
            <w:tcW w:w="88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1040" w:type="dxa"/>
            <w:vAlign w:val="bottom"/>
            <w:tcBorders>
              <w:right w:val="single" w:sz="8" w:color="0000EE"/>
            </w:tcBorders>
            <w:gridSpan w:val="6"/>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r>
              <w:rPr>
                <w:rFonts w:ascii="Times New Roman" w:cs="Times New Roman" w:eastAsia="Times New Roman" w:hAnsi="Times New Roman"/>
                <w:sz w:val="14"/>
                <w:szCs w:val="14"/>
                <w:color w:val="auto"/>
                <w:w w:val="98"/>
              </w:rPr>
              <w:t>†</w:t>
            </w:r>
          </w:p>
        </w:tc>
        <w:tc>
          <w:tcPr>
            <w:tcW w:w="120" w:type="dxa"/>
            <w:vAlign w:val="bottom"/>
          </w:tcPr>
          <w:p>
            <w:pPr>
              <w:spacing w:after="0"/>
              <w:rPr>
                <w:sz w:val="24"/>
                <w:szCs w:val="24"/>
                <w:color w:val="auto"/>
              </w:rPr>
            </w:pPr>
          </w:p>
        </w:tc>
        <w:tc>
          <w:tcPr>
            <w:tcW w:w="46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Form of Indemnification Agreement between the Registrant and</w:t>
              </w:r>
            </w:hyperlink>
          </w:p>
        </w:tc>
        <w:tc>
          <w:tcPr>
            <w:tcW w:w="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21"/>
          </w:tcPr>
          <w:p>
            <w:pPr>
              <w:spacing w:after="0" w:line="195" w:lineRule="exact"/>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each of its directors and executive officers.</w:t>
              </w:r>
            </w:hyperlink>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17"/>
                <w:szCs w:val="17"/>
                <w:color w:val="auto"/>
              </w:rPr>
            </w:pPr>
          </w:p>
        </w:tc>
        <w:tc>
          <w:tcPr>
            <w:tcW w:w="20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June 10, 2014</w:t>
            </w:r>
          </w:p>
        </w:tc>
        <w:tc>
          <w:tcPr>
            <w:tcW w:w="880" w:type="dxa"/>
            <w:vAlign w:val="bottom"/>
            <w:gridSpan w:val="2"/>
          </w:tcPr>
          <w:p>
            <w:pPr>
              <w:jc w:val="center"/>
              <w:ind w:left="10"/>
              <w:spacing w:after="0" w:line="195" w:lineRule="exact"/>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EE"/>
            </w:tcBorders>
            <w:gridSpan w:val="4"/>
            <w:shd w:val="clear" w:color="auto" w:fill="0000FF"/>
          </w:tcPr>
          <w:p>
            <w:pPr>
              <w:spacing w:after="0" w:line="20" w:lineRule="exact"/>
              <w:rPr>
                <w:sz w:val="1"/>
                <w:szCs w:val="1"/>
                <w:color w:val="auto"/>
              </w:rPr>
            </w:pPr>
          </w:p>
        </w:tc>
        <w:tc>
          <w:tcPr>
            <w:tcW w:w="1340" w:type="dxa"/>
            <w:vAlign w:val="bottom"/>
            <w:gridSpan w:val="11"/>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r>
              <w:rPr>
                <w:rFonts w:ascii="Times New Roman" w:cs="Times New Roman" w:eastAsia="Times New Roman" w:hAnsi="Times New Roman"/>
                <w:sz w:val="14"/>
                <w:szCs w:val="14"/>
                <w:color w:val="auto"/>
                <w:w w:val="98"/>
              </w:rPr>
              <w:t>†</w:t>
            </w:r>
          </w:p>
        </w:tc>
        <w:tc>
          <w:tcPr>
            <w:tcW w:w="120" w:type="dxa"/>
            <w:vAlign w:val="bottom"/>
          </w:tcPr>
          <w:p>
            <w:pPr>
              <w:spacing w:after="0"/>
              <w:rPr>
                <w:sz w:val="24"/>
                <w:szCs w:val="24"/>
                <w:color w:val="auto"/>
              </w:rPr>
            </w:pPr>
          </w:p>
        </w:tc>
        <w:tc>
          <w:tcPr>
            <w:tcW w:w="4620" w:type="dxa"/>
            <w:vAlign w:val="bottom"/>
            <w:tcBorders>
              <w:bottom w:val="single" w:sz="8" w:color="0000EE"/>
            </w:tcBorders>
            <w:gridSpan w:val="18"/>
          </w:tcPr>
          <w:p>
            <w:pPr>
              <w:spacing w:after="0"/>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1999 Incentive Stock Plan and forms of agreements thereunder.</w:t>
              </w:r>
            </w:hyperlink>
          </w:p>
        </w:tc>
        <w:tc>
          <w:tcPr>
            <w:tcW w:w="8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r>
              <w:rPr>
                <w:rFonts w:ascii="Times New Roman" w:cs="Times New Roman" w:eastAsia="Times New Roman" w:hAnsi="Times New Roman"/>
                <w:sz w:val="14"/>
                <w:szCs w:val="14"/>
                <w:color w:val="auto"/>
                <w:w w:val="98"/>
              </w:rPr>
              <w:t>†</w:t>
            </w:r>
          </w:p>
        </w:tc>
        <w:tc>
          <w:tcPr>
            <w:tcW w:w="120" w:type="dxa"/>
            <w:vAlign w:val="bottom"/>
          </w:tcPr>
          <w:p>
            <w:pPr>
              <w:spacing w:after="0"/>
              <w:rPr>
                <w:sz w:val="24"/>
                <w:szCs w:val="24"/>
                <w:color w:val="auto"/>
              </w:rPr>
            </w:pPr>
          </w:p>
        </w:tc>
        <w:tc>
          <w:tcPr>
            <w:tcW w:w="4680" w:type="dxa"/>
            <w:vAlign w:val="bottom"/>
            <w:tcBorders>
              <w:bottom w:val="single" w:sz="8" w:color="0000EE"/>
            </w:tcBorders>
            <w:gridSpan w:val="20"/>
          </w:tcPr>
          <w:p>
            <w:pPr>
              <w:spacing w:after="0"/>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2010 Equity Incentive Plan and forms of agreements thereunder.</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10.3</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r>
              <w:rPr>
                <w:rFonts w:ascii="Times New Roman" w:cs="Times New Roman" w:eastAsia="Times New Roman" w:hAnsi="Times New Roman"/>
                <w:sz w:val="14"/>
                <w:szCs w:val="14"/>
                <w:color w:val="auto"/>
                <w:w w:val="98"/>
              </w:rPr>
              <w:t>†</w:t>
            </w:r>
          </w:p>
        </w:tc>
        <w:tc>
          <w:tcPr>
            <w:tcW w:w="120" w:type="dxa"/>
            <w:vAlign w:val="bottom"/>
          </w:tcPr>
          <w:p>
            <w:pPr>
              <w:spacing w:after="0"/>
              <w:rPr>
                <w:sz w:val="24"/>
                <w:szCs w:val="24"/>
                <w:color w:val="auto"/>
              </w:rPr>
            </w:pPr>
          </w:p>
        </w:tc>
        <w:tc>
          <w:tcPr>
            <w:tcW w:w="4680" w:type="dxa"/>
            <w:vAlign w:val="bottom"/>
            <w:tcBorders>
              <w:bottom w:val="single" w:sz="8" w:color="0000EE"/>
            </w:tcBorders>
            <w:gridSpan w:val="20"/>
          </w:tcPr>
          <w:p>
            <w:pPr>
              <w:spacing w:after="0"/>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2014 Equity Incentive Plan and forms of agreements thereunder.</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July 1, 2014</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2"/>
        </w:trPr>
        <w:tc>
          <w:tcPr>
            <w:tcW w:w="1020" w:type="dxa"/>
            <w:vAlign w:val="bottom"/>
          </w:tcPr>
          <w:p>
            <w:pPr>
              <w:spacing w:after="0"/>
              <w:rPr>
                <w:sz w:val="24"/>
                <w:szCs w:val="24"/>
                <w:color w:val="auto"/>
              </w:rPr>
            </w:pPr>
          </w:p>
        </w:tc>
        <w:tc>
          <w:tcPr>
            <w:tcW w:w="4780" w:type="dxa"/>
            <w:vAlign w:val="bottom"/>
            <w:gridSpan w:val="20"/>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1"/>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09" w:name="page110"/>
    <w:bookmarkEnd w:id="109"/>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80" w:type="dxa"/>
            <w:vAlign w:val="bottom"/>
            <w:gridSpan w:val="18"/>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1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10.5</w:t>
            </w:r>
            <w:r>
              <w:rPr>
                <w:rFonts w:ascii="Times New Roman" w:cs="Times New Roman" w:eastAsia="Times New Roman" w:hAnsi="Times New Roman"/>
                <w:sz w:val="14"/>
                <w:szCs w:val="14"/>
                <w:color w:val="auto"/>
                <w:w w:val="98"/>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80" w:type="dxa"/>
            <w:vAlign w:val="bottom"/>
            <w:gridSpan w:val="23"/>
          </w:tcPr>
          <w:p>
            <w:pPr>
              <w:spacing w:after="0" w:line="169"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2014 Employee Stock Purchase Plan and forms of agreements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80" w:type="dxa"/>
            <w:vAlign w:val="bottom"/>
            <w:gridSpan w:val="23"/>
          </w:tcPr>
          <w:p>
            <w:pPr>
              <w:spacing w:after="0" w:line="195"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thereunder.</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r>
              <w:rPr>
                <w:rFonts w:ascii="Times New Roman" w:cs="Times New Roman" w:eastAsia="Times New Roman" w:hAnsi="Times New Roman"/>
                <w:sz w:val="14"/>
                <w:szCs w:val="14"/>
                <w:color w:val="auto"/>
                <w:w w:val="98"/>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gridSpan w:val="23"/>
          </w:tcPr>
          <w:p>
            <w:pPr>
              <w:spacing w:after="0"/>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2020 Inducement Equity Incentive Plan, as amended on January</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80" w:type="dxa"/>
            <w:vAlign w:val="bottom"/>
            <w:gridSpan w:val="23"/>
          </w:tcPr>
          <w:p>
            <w:pPr>
              <w:spacing w:after="0" w:line="195"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24, 2024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w:t>
            </w:r>
            <w:r>
              <w:rPr>
                <w:rFonts w:ascii="Times New Roman" w:cs="Times New Roman" w:eastAsia="Times New Roman" w:hAnsi="Times New Roman"/>
                <w:sz w:val="14"/>
                <w:szCs w:val="14"/>
                <w:color w:val="auto"/>
                <w:w w:val="98"/>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gridSpan w:val="23"/>
          </w:tcPr>
          <w:p>
            <w:pPr>
              <w:spacing w:after="0"/>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Employment Agreement, dated April 6, 2010, by and between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80" w:type="dxa"/>
            <w:vAlign w:val="bottom"/>
            <w:gridSpan w:val="23"/>
          </w:tcPr>
          <w:p>
            <w:pPr>
              <w:spacing w:after="0" w:line="195" w:lineRule="exact"/>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Soleno Therapeutics, Inc. and Anish Bhatnagar.</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w:t>
            </w:r>
            <w:r>
              <w:rPr>
                <w:rFonts w:ascii="Times New Roman" w:cs="Times New Roman" w:eastAsia="Times New Roman" w:hAnsi="Times New Roman"/>
                <w:sz w:val="14"/>
                <w:szCs w:val="14"/>
                <w:color w:val="auto"/>
                <w:w w:val="98"/>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gridSpan w:val="23"/>
          </w:tcPr>
          <w:p>
            <w:pPr>
              <w:spacing w:after="0"/>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Employment Agreement by and between the Company and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80" w:type="dxa"/>
            <w:vAlign w:val="bottom"/>
            <w:gridSpan w:val="23"/>
          </w:tcPr>
          <w:p>
            <w:pPr>
              <w:spacing w:after="0" w:line="195"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James Mackaness, dated as of November 11, 2020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w:t>
            </w:r>
            <w:r>
              <w:rPr>
                <w:rFonts w:ascii="Times New Roman" w:cs="Times New Roman" w:eastAsia="Times New Roman" w:hAnsi="Times New Roman"/>
                <w:sz w:val="14"/>
                <w:szCs w:val="14"/>
                <w:color w:val="auto"/>
                <w:w w:val="98"/>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gridSpan w:val="23"/>
          </w:tcPr>
          <w:p>
            <w:pPr>
              <w:spacing w:after="0"/>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Amendment to Employment Agreement by and between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80" w:type="dxa"/>
            <w:vAlign w:val="bottom"/>
            <w:gridSpan w:val="23"/>
          </w:tcPr>
          <w:p>
            <w:pPr>
              <w:spacing w:after="0" w:line="195"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Company and James Mackaness, dated as of January 8,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Employment Agreement by and between the Company and</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8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FF"/>
              </w:rPr>
              <w:t>Patricia Hirano, dated January 1, 2019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10.11</w:t>
            </w: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gridSpan w:val="23"/>
          </w:tcPr>
          <w:p>
            <w:pPr>
              <w:spacing w:after="0"/>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Amendment to Employment Agreement by and between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80" w:type="dxa"/>
            <w:vAlign w:val="bottom"/>
            <w:gridSpan w:val="23"/>
          </w:tcPr>
          <w:p>
            <w:pPr>
              <w:spacing w:after="0" w:line="195"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Company and Patricia Hirano, dated as of January 8,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Employment Agreement by and between the Company and</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8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FF"/>
              </w:rPr>
              <w:t>Meredith Manning, dated January 23, 2024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gridSpan w:val="23"/>
          </w:tcPr>
          <w:p>
            <w:pPr>
              <w:spacing w:after="0"/>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License Agreement for Space and Services, dated February 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80" w:type="dxa"/>
            <w:vAlign w:val="bottom"/>
            <w:gridSpan w:val="23"/>
          </w:tcPr>
          <w:p>
            <w:pPr>
              <w:spacing w:after="0" w:line="195"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2024, by and between Soleno Therapeutics, Inc. and Hudson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80" w:type="dxa"/>
            <w:vAlign w:val="bottom"/>
            <w:gridSpan w:val="23"/>
          </w:tcPr>
          <w:p>
            <w:pPr>
              <w:spacing w:after="0" w:line="195"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Towers at Shore Center, LLC</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gridSpan w:val="23"/>
          </w:tcPr>
          <w:p>
            <w:pPr>
              <w:spacing w:after="0"/>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Lease agreement between the Company and 1 Twin Property</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80" w:type="dxa"/>
            <w:vAlign w:val="bottom"/>
            <w:gridSpan w:val="23"/>
          </w:tcPr>
          <w:p>
            <w:pPr>
              <w:spacing w:after="0" w:line="195"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Owner, LLC dated June 13, 2024 Owner, LLC dated June 13,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20" w:type="dxa"/>
            <w:vAlign w:val="bottom"/>
          </w:tcPr>
          <w:p>
            <w:pPr>
              <w:spacing w:after="0"/>
              <w:rPr>
                <w:sz w:val="17"/>
                <w:szCs w:val="17"/>
                <w:color w:val="auto"/>
              </w:rPr>
            </w:pPr>
          </w:p>
        </w:tc>
        <w:tc>
          <w:tcPr>
            <w:tcW w:w="500" w:type="dxa"/>
            <w:vAlign w:val="bottom"/>
            <w:gridSpan w:val="3"/>
          </w:tcPr>
          <w:p>
            <w:pPr>
              <w:ind w:left="120"/>
              <w:spacing w:after="0" w:line="195" w:lineRule="exact"/>
              <w:rPr>
                <w:sz w:val="20"/>
                <w:szCs w:val="20"/>
                <w:color w:val="auto"/>
              </w:rPr>
            </w:pPr>
            <w:r>
              <w:rPr>
                <w:rFonts w:ascii="Times New Roman" w:cs="Times New Roman" w:eastAsia="Times New Roman" w:hAnsi="Times New Roman"/>
                <w:sz w:val="18"/>
                <w:szCs w:val="18"/>
                <w:color w:val="0000FF"/>
                <w:w w:val="94"/>
              </w:rPr>
              <w:t>2024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vMerge w:val="restart"/>
          </w:tcPr>
          <w:p>
            <w:pPr>
              <w:spacing w:after="0"/>
              <w:rPr>
                <w:rFonts w:ascii="Times New Roman" w:cs="Times New Roman" w:eastAsia="Times New Roman" w:hAnsi="Times New Roman"/>
                <w:sz w:val="12"/>
                <w:szCs w:val="12"/>
                <w:color w:val="0000FF"/>
                <w:w w:val="80"/>
              </w:rPr>
            </w:pPr>
            <w:hyperlink r:id="rId390">
              <w:r>
                <w:rPr>
                  <w:rFonts w:ascii="Times New Roman" w:cs="Times New Roman" w:eastAsia="Times New Roman" w:hAnsi="Times New Roman"/>
                  <w:sz w:val="12"/>
                  <w:szCs w:val="12"/>
                  <w:color w:val="0000FF"/>
                  <w:w w:val="80"/>
                </w:rPr>
                <w:t>SM</w:t>
              </w:r>
            </w:hyperlink>
          </w:p>
        </w:tc>
        <w:tc>
          <w:tcPr>
            <w:tcW w:w="15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gridSpan w:val="7"/>
            <w:vMerge w:val="restart"/>
          </w:tcPr>
          <w:p>
            <w:pPr>
              <w:spacing w:after="0"/>
              <w:rPr>
                <w:rFonts w:ascii="Times New Roman" w:cs="Times New Roman" w:eastAsia="Times New Roman" w:hAnsi="Times New Roman"/>
                <w:sz w:val="18"/>
                <w:szCs w:val="18"/>
                <w:color w:val="0000FF"/>
                <w:w w:val="97"/>
              </w:rPr>
            </w:pPr>
            <w:hyperlink r:id="rId390">
              <w:r>
                <w:rPr>
                  <w:rFonts w:ascii="Times New Roman" w:cs="Times New Roman" w:eastAsia="Times New Roman" w:hAnsi="Times New Roman"/>
                  <w:sz w:val="18"/>
                  <w:szCs w:val="18"/>
                  <w:color w:val="0000FF"/>
                  <w:w w:val="97"/>
                </w:rPr>
                <w:t>Open Market Sale Agreement</w:t>
              </w:r>
            </w:hyperlink>
          </w:p>
        </w:tc>
        <w:tc>
          <w:tcPr>
            <w:tcW w:w="160" w:type="dxa"/>
            <w:vAlign w:val="bottom"/>
            <w:tcBorders>
              <w:bottom w:val="single" w:sz="8" w:color="0000FF"/>
            </w:tcBorders>
            <w:vMerge w:val="continue"/>
          </w:tcPr>
          <w:p>
            <w:pPr>
              <w:spacing w:after="0"/>
              <w:rPr>
                <w:sz w:val="24"/>
                <w:szCs w:val="24"/>
                <w:color w:val="auto"/>
              </w:rPr>
            </w:pPr>
          </w:p>
        </w:tc>
        <w:tc>
          <w:tcPr>
            <w:tcW w:w="2380" w:type="dxa"/>
            <w:vAlign w:val="bottom"/>
            <w:gridSpan w:val="15"/>
            <w:vMerge w:val="restart"/>
          </w:tcPr>
          <w:p>
            <w:pPr>
              <w:spacing w:after="0"/>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 dated July 19, 2024, by and</w:t>
              </w:r>
            </w:hyperlink>
          </w:p>
        </w:tc>
        <w:tc>
          <w:tcPr>
            <w:tcW w:w="0" w:type="dxa"/>
            <w:vAlign w:val="bottom"/>
          </w:tcPr>
          <w:p>
            <w:pPr>
              <w:spacing w:after="0"/>
              <w:rPr>
                <w:sz w:val="1"/>
                <w:szCs w:val="1"/>
                <w:color w:val="auto"/>
              </w:rPr>
            </w:pPr>
          </w:p>
        </w:tc>
      </w:tr>
      <w:tr>
        <w:trPr>
          <w:trHeight w:val="61"/>
        </w:trPr>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140" w:type="dxa"/>
            <w:vAlign w:val="bottom"/>
            <w:gridSpan w:val="7"/>
            <w:vMerge w:val="continue"/>
          </w:tcPr>
          <w:p>
            <w:pPr>
              <w:spacing w:after="0"/>
              <w:rPr>
                <w:sz w:val="5"/>
                <w:szCs w:val="5"/>
                <w:color w:val="auto"/>
              </w:rPr>
            </w:pPr>
          </w:p>
        </w:tc>
        <w:tc>
          <w:tcPr>
            <w:tcW w:w="160" w:type="dxa"/>
            <w:vAlign w:val="bottom"/>
          </w:tcPr>
          <w:p>
            <w:pPr>
              <w:spacing w:after="0"/>
              <w:rPr>
                <w:sz w:val="5"/>
                <w:szCs w:val="5"/>
                <w:color w:val="auto"/>
              </w:rPr>
            </w:pPr>
          </w:p>
        </w:tc>
        <w:tc>
          <w:tcPr>
            <w:tcW w:w="2380" w:type="dxa"/>
            <w:vAlign w:val="bottom"/>
            <w:gridSpan w:val="1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80" w:type="dxa"/>
            <w:vAlign w:val="bottom"/>
            <w:gridSpan w:val="23"/>
          </w:tcPr>
          <w:p>
            <w:pPr>
              <w:spacing w:after="0" w:line="195"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between Soleno Therapeutics, Inc. and Jefferies LLC</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20" w:type="dxa"/>
            <w:vAlign w:val="bottom"/>
            <w:tcBorders>
              <w:right w:val="single" w:sz="8" w:color="0000EE"/>
            </w:tcBorders>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Loan and Security Agreement by and between Soleno</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300" w:type="dxa"/>
            <w:vAlign w:val="bottom"/>
            <w:gridSpan w:val="9"/>
            <w:shd w:val="clear" w:color="auto" w:fill="0000FF"/>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8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FF"/>
                <w:w w:val="99"/>
              </w:rPr>
              <w:t>Therapeutics, Inc. and Oxford Finance LLC, dated December 17,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20" w:type="dxa"/>
            <w:vAlign w:val="bottom"/>
          </w:tcPr>
          <w:p>
            <w:pPr>
              <w:spacing w:after="0"/>
              <w:rPr>
                <w:sz w:val="17"/>
                <w:szCs w:val="17"/>
                <w:color w:val="auto"/>
              </w:rPr>
            </w:pPr>
          </w:p>
        </w:tc>
        <w:tc>
          <w:tcPr>
            <w:tcW w:w="500" w:type="dxa"/>
            <w:vAlign w:val="bottom"/>
            <w:gridSpan w:val="3"/>
          </w:tcPr>
          <w:p>
            <w:pPr>
              <w:ind w:left="120"/>
              <w:spacing w:after="0" w:line="195" w:lineRule="exact"/>
              <w:rPr>
                <w:sz w:val="20"/>
                <w:szCs w:val="20"/>
                <w:color w:val="auto"/>
              </w:rPr>
            </w:pPr>
            <w:r>
              <w:rPr>
                <w:rFonts w:ascii="Times New Roman" w:cs="Times New Roman" w:eastAsia="Times New Roman" w:hAnsi="Times New Roman"/>
                <w:sz w:val="18"/>
                <w:szCs w:val="18"/>
                <w:color w:val="0000FF"/>
                <w:w w:val="94"/>
              </w:rPr>
              <w:t>2024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80" w:type="dxa"/>
            <w:vAlign w:val="bottom"/>
            <w:gridSpan w:val="1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Amended and Restated Outside Director Compensation Policy</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80" w:type="dxa"/>
            <w:vAlign w:val="bottom"/>
            <w:gridSpan w:val="16"/>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8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Subsidiaries</w:t>
            </w:r>
          </w:p>
        </w:tc>
        <w:tc>
          <w:tcPr>
            <w:tcW w:w="0" w:type="dxa"/>
            <w:vAlign w:val="bottom"/>
          </w:tcPr>
          <w:p>
            <w:pPr>
              <w:spacing w:after="0"/>
              <w:rPr>
                <w:sz w:val="1"/>
                <w:szCs w:val="1"/>
                <w:color w:val="auto"/>
              </w:rPr>
            </w:pPr>
          </w:p>
        </w:tc>
      </w:tr>
      <w:tr>
        <w:trPr>
          <w:trHeight w:val="667"/>
        </w:trPr>
        <w:tc>
          <w:tcPr>
            <w:tcW w:w="10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860" w:type="dxa"/>
            <w:vAlign w:val="bottom"/>
            <w:tcBorders>
              <w:top w:val="single" w:sz="8" w:color="0000FF"/>
            </w:tcBorders>
            <w:gridSpan w:val="4"/>
          </w:tcPr>
          <w:p>
            <w:pPr>
              <w:spacing w:after="0"/>
              <w:rPr>
                <w:sz w:val="24"/>
                <w:szCs w:val="24"/>
                <w:color w:val="auto"/>
              </w:rPr>
            </w:pPr>
          </w:p>
        </w:tc>
        <w:tc>
          <w:tcPr>
            <w:tcW w:w="3780" w:type="dxa"/>
            <w:vAlign w:val="bottom"/>
            <w:gridSpan w:val="18"/>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71583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2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77"/>
        </w:trPr>
        <w:tc>
          <w:tcPr>
            <w:tcW w:w="120" w:type="dxa"/>
            <w:vAlign w:val="bottom"/>
          </w:tcPr>
          <w:p>
            <w:pPr>
              <w:spacing w:after="0"/>
              <w:rPr>
                <w:sz w:val="6"/>
                <w:szCs w:val="6"/>
                <w:color w:val="auto"/>
              </w:rPr>
            </w:pPr>
          </w:p>
        </w:tc>
        <w:tc>
          <w:tcPr>
            <w:tcW w:w="1120" w:type="dxa"/>
            <w:vAlign w:val="bottom"/>
            <w:gridSpan w:val="2"/>
          </w:tcPr>
          <w:p>
            <w:pPr>
              <w:ind w:left="180"/>
              <w:spacing w:after="0" w:line="77" w:lineRule="exact"/>
              <w:rPr>
                <w:sz w:val="20"/>
                <w:szCs w:val="20"/>
                <w:color w:val="auto"/>
              </w:rPr>
            </w:pPr>
            <w:r>
              <w:rPr>
                <w:rFonts w:ascii="Times New Roman" w:cs="Times New Roman" w:eastAsia="Times New Roman" w:hAnsi="Times New Roman"/>
                <w:sz w:val="8"/>
                <w:szCs w:val="8"/>
                <w:b w:val="1"/>
                <w:bCs w:val="1"/>
                <w:color w:val="auto"/>
              </w:rPr>
              <w:t>Registrant’s</w:t>
            </w:r>
          </w:p>
        </w:tc>
        <w:tc>
          <w:tcPr>
            <w:tcW w:w="120" w:type="dxa"/>
            <w:vAlign w:val="bottom"/>
          </w:tcPr>
          <w:p>
            <w:pPr>
              <w:spacing w:after="0"/>
              <w:rPr>
                <w:sz w:val="6"/>
                <w:szCs w:val="6"/>
                <w:color w:val="auto"/>
              </w:rPr>
            </w:pPr>
          </w:p>
        </w:tc>
        <w:tc>
          <w:tcPr>
            <w:tcW w:w="2020" w:type="dxa"/>
            <w:vAlign w:val="bottom"/>
          </w:tcPr>
          <w:p>
            <w:pPr>
              <w:ind w:left="680"/>
              <w:spacing w:after="0" w:line="77" w:lineRule="exact"/>
              <w:rPr>
                <w:sz w:val="20"/>
                <w:szCs w:val="20"/>
                <w:color w:val="auto"/>
              </w:rPr>
            </w:pPr>
            <w:r>
              <w:rPr>
                <w:rFonts w:ascii="Times New Roman" w:cs="Times New Roman" w:eastAsia="Times New Roman" w:hAnsi="Times New Roman"/>
                <w:sz w:val="8"/>
                <w:szCs w:val="8"/>
                <w:b w:val="1"/>
                <w:bCs w:val="1"/>
                <w:color w:val="auto"/>
              </w:rPr>
              <w:t>Date Filed</w:t>
            </w:r>
          </w:p>
        </w:tc>
        <w:tc>
          <w:tcPr>
            <w:tcW w:w="100" w:type="dxa"/>
            <w:vAlign w:val="bottom"/>
          </w:tcPr>
          <w:p>
            <w:pPr>
              <w:spacing w:after="0"/>
              <w:rPr>
                <w:sz w:val="6"/>
                <w:szCs w:val="6"/>
                <w:color w:val="auto"/>
              </w:rPr>
            </w:pPr>
          </w:p>
        </w:tc>
        <w:tc>
          <w:tcPr>
            <w:tcW w:w="780" w:type="dxa"/>
            <w:vAlign w:val="bottom"/>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Exhibit</w:t>
            </w:r>
          </w:p>
        </w:tc>
        <w:tc>
          <w:tcPr>
            <w:tcW w:w="120" w:type="dxa"/>
            <w:vAlign w:val="bottom"/>
          </w:tcPr>
          <w:p>
            <w:pPr>
              <w:spacing w:after="0"/>
              <w:rPr>
                <w:sz w:val="6"/>
                <w:szCs w:val="6"/>
                <w:color w:val="auto"/>
              </w:rPr>
            </w:pPr>
          </w:p>
        </w:tc>
        <w:tc>
          <w:tcPr>
            <w:tcW w:w="920" w:type="dxa"/>
            <w:vAlign w:val="bottom"/>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Filed</w:t>
            </w:r>
          </w:p>
        </w:tc>
      </w:tr>
      <w:tr>
        <w:trPr>
          <w:trHeight w:val="173"/>
        </w:trPr>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5"/>
                <w:szCs w:val="15"/>
                <w:color w:val="auto"/>
              </w:rPr>
            </w:pPr>
          </w:p>
        </w:tc>
        <w:tc>
          <w:tcPr>
            <w:tcW w:w="2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r>
      <w:tr>
        <w:trPr>
          <w:trHeight w:val="425"/>
        </w:trPr>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July 1, 2014</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10.5</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46"/>
        </w:trPr>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January 30, 2024</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46"/>
        </w:trPr>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10.7</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46"/>
        </w:trPr>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2020</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46"/>
        </w:trPr>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January 13, 2021</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46"/>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646"/>
        </w:trPr>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January 13, 2021</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10.3</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46"/>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862"/>
        </w:trPr>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10-K</w:t>
            </w:r>
          </w:p>
        </w:tc>
        <w:tc>
          <w:tcPr>
            <w:tcW w:w="120" w:type="dxa"/>
            <w:vAlign w:val="bottom"/>
          </w:tcPr>
          <w:p>
            <w:pPr>
              <w:spacing w:after="0"/>
              <w:rPr>
                <w:sz w:val="24"/>
                <w:szCs w:val="24"/>
                <w:color w:val="auto"/>
              </w:rPr>
            </w:pP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7, 2024</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10.58</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62"/>
        </w:trPr>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10-Q</w:t>
            </w:r>
          </w:p>
        </w:tc>
        <w:tc>
          <w:tcPr>
            <w:tcW w:w="120" w:type="dxa"/>
            <w:vAlign w:val="bottom"/>
          </w:tcPr>
          <w:p>
            <w:pPr>
              <w:spacing w:after="0"/>
              <w:rPr>
                <w:sz w:val="24"/>
                <w:szCs w:val="24"/>
                <w:color w:val="auto"/>
              </w:rPr>
            </w:pP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7, 2024</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46"/>
        </w:trPr>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July 19, 2024</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62"/>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19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X</w:t>
      </w:r>
    </w:p>
    <w:p>
      <w:pPr>
        <w:spacing w:after="0" w:line="22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X</w:t>
      </w:r>
    </w:p>
    <w:p>
      <w:pPr>
        <w:spacing w:after="0" w:line="22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5840" w:space="100"/>
            <w:col w:w="5300"/>
          </w:cols>
          <w:pgMar w:left="320" w:top="1408"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93"/>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10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360" w:type="dxa"/>
            <w:vAlign w:val="bottom"/>
            <w:gridSpan w:val="1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Registrant’s</w:t>
            </w:r>
          </w:p>
        </w:tc>
        <w:tc>
          <w:tcPr>
            <w:tcW w:w="120" w:type="dxa"/>
            <w:vAlign w:val="bottom"/>
          </w:tcPr>
          <w:p>
            <w:pPr>
              <w:spacing w:after="0"/>
              <w:rPr>
                <w:sz w:val="8"/>
                <w:szCs w:val="8"/>
                <w:color w:val="auto"/>
              </w:rPr>
            </w:pPr>
          </w:p>
        </w:tc>
        <w:tc>
          <w:tcPr>
            <w:tcW w:w="202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Date Filed</w:t>
            </w:r>
          </w:p>
        </w:tc>
        <w:tc>
          <w:tcPr>
            <w:tcW w:w="100" w:type="dxa"/>
            <w:vAlign w:val="bottom"/>
          </w:tcPr>
          <w:p>
            <w:pPr>
              <w:spacing w:after="0"/>
              <w:rPr>
                <w:sz w:val="8"/>
                <w:szCs w:val="8"/>
                <w:color w:val="auto"/>
              </w:rPr>
            </w:pPr>
          </w:p>
        </w:tc>
        <w:tc>
          <w:tcPr>
            <w:tcW w:w="78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Exhibit</w:t>
            </w:r>
          </w:p>
        </w:tc>
        <w:tc>
          <w:tcPr>
            <w:tcW w:w="120" w:type="dxa"/>
            <w:vAlign w:val="bottom"/>
          </w:tcPr>
          <w:p>
            <w:pPr>
              <w:spacing w:after="0"/>
              <w:rPr>
                <w:sz w:val="8"/>
                <w:szCs w:val="8"/>
                <w:color w:val="auto"/>
              </w:rPr>
            </w:pPr>
          </w:p>
        </w:tc>
        <w:tc>
          <w:tcPr>
            <w:tcW w:w="92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1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84"/>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18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Consent of Marcum LLP</w:t>
            </w:r>
          </w:p>
        </w:tc>
        <w:tc>
          <w:tcPr>
            <w:tcW w:w="2900" w:type="dxa"/>
            <w:vAlign w:val="bottom"/>
            <w:gridSpan w:val="11"/>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Under</w:t>
            </w:r>
          </w:p>
        </w:tc>
        <w:tc>
          <w:tcPr>
            <w:tcW w:w="3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80" w:type="dxa"/>
            <w:vAlign w:val="bottom"/>
            <w:tcBorders>
              <w:bottom w:val="single" w:sz="8" w:color="0000FF"/>
            </w:tcBorders>
            <w:gridSpan w:val="12"/>
          </w:tcPr>
          <w:p>
            <w:pPr>
              <w:spacing w:after="0" w:line="195" w:lineRule="exact"/>
              <w:rPr>
                <w:sz w:val="20"/>
                <w:szCs w:val="20"/>
                <w:color w:val="auto"/>
              </w:rPr>
            </w:pPr>
            <w:r>
              <w:rPr>
                <w:rFonts w:ascii="Times New Roman" w:cs="Times New Roman" w:eastAsia="Times New Roman" w:hAnsi="Times New Roman"/>
                <w:sz w:val="18"/>
                <w:szCs w:val="18"/>
                <w:color w:val="0000FF"/>
              </w:rPr>
              <w:t>Rule 13a-14(a) and 15d-14(a) of the Securities Exchange Act of</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1340" w:type="dxa"/>
            <w:vAlign w:val="bottom"/>
            <w:tcBorders>
              <w:bottom w:val="single" w:sz="8" w:color="0000EE"/>
            </w:tcBorders>
          </w:tcPr>
          <w:p>
            <w:pPr>
              <w:spacing w:after="0" w:line="195" w:lineRule="exact"/>
              <w:rPr>
                <w:sz w:val="20"/>
                <w:szCs w:val="20"/>
                <w:color w:val="auto"/>
              </w:rPr>
            </w:pPr>
            <w:r>
              <w:rPr>
                <w:rFonts w:ascii="Times New Roman" w:cs="Times New Roman" w:eastAsia="Times New Roman" w:hAnsi="Times New Roman"/>
                <w:sz w:val="18"/>
                <w:szCs w:val="18"/>
                <w:color w:val="0000FF"/>
              </w:rPr>
              <w:t>1934, as amended</w:t>
            </w:r>
          </w:p>
        </w:tc>
        <w:tc>
          <w:tcPr>
            <w:tcW w:w="3360" w:type="dxa"/>
            <w:vAlign w:val="bottom"/>
            <w:gridSpan w:val="12"/>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43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 Officer</w:t>
            </w:r>
          </w:p>
        </w:tc>
        <w:tc>
          <w:tcPr>
            <w:tcW w:w="40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tcBorders>
              <w:bottom w:val="single" w:sz="8" w:color="0000FF"/>
            </w:tcBorders>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Required Under Rule 13a-14(a) and 15d-14(a) of the Securities</w:t>
            </w:r>
          </w:p>
        </w:tc>
        <w:tc>
          <w:tcPr>
            <w:tcW w:w="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580" w:type="dxa"/>
            <w:vAlign w:val="bottom"/>
            <w:tcBorders>
              <w:bottom w:val="single" w:sz="8" w:color="0000EE"/>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FF"/>
              </w:rPr>
              <w:t>Exchange Act of 1934, as amended</w:t>
            </w:r>
          </w:p>
        </w:tc>
        <w:tc>
          <w:tcPr>
            <w:tcW w:w="212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Under</w:t>
            </w:r>
          </w:p>
        </w:tc>
        <w:tc>
          <w:tcPr>
            <w:tcW w:w="3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Rule 13a-14(b) of the Securities Exchange Act of 1934, as</w:t>
            </w:r>
          </w:p>
        </w:tc>
        <w:tc>
          <w:tcPr>
            <w:tcW w:w="42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320" w:type="dxa"/>
            <w:vAlign w:val="bottom"/>
            <w:tcBorders>
              <w:bottom w:val="single" w:sz="8" w:color="0000EE"/>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FF"/>
              </w:rPr>
              <w:t>amended, and 18 U.S.C. §1350</w:t>
            </w:r>
          </w:p>
        </w:tc>
        <w:tc>
          <w:tcPr>
            <w:tcW w:w="238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 Officer</w:t>
            </w:r>
          </w:p>
        </w:tc>
        <w:tc>
          <w:tcPr>
            <w:tcW w:w="40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tcBorders>
              <w:bottom w:val="single" w:sz="8" w:color="0000FF"/>
            </w:tcBorders>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Required Under Rule 13a-14(b) of the Securities Exchange Act</w:t>
            </w:r>
          </w:p>
        </w:tc>
        <w:tc>
          <w:tcPr>
            <w:tcW w:w="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3120" w:type="dxa"/>
            <w:vAlign w:val="bottom"/>
            <w:tcBorders>
              <w:bottom w:val="single" w:sz="8" w:color="0000EE"/>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of 1934, as amended, and 18 U.S.C. §1350</w:t>
            </w:r>
          </w:p>
        </w:tc>
        <w:tc>
          <w:tcPr>
            <w:tcW w:w="158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41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97.1</w:t>
            </w:r>
            <w:r>
              <w:rPr>
                <w:rFonts w:ascii="Times New Roman" w:cs="Times New Roman" w:eastAsia="Times New Roman" w:hAnsi="Times New Roman"/>
                <w:sz w:val="14"/>
                <w:szCs w:val="14"/>
                <w:color w:val="auto"/>
                <w:w w:val="98"/>
              </w:rPr>
              <w:t>†</w:t>
            </w:r>
          </w:p>
        </w:tc>
        <w:tc>
          <w:tcPr>
            <w:tcW w:w="10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228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388">
              <w:r>
                <w:rPr>
                  <w:rFonts w:ascii="Times New Roman" w:cs="Times New Roman" w:eastAsia="Times New Roman" w:hAnsi="Times New Roman"/>
                  <w:sz w:val="18"/>
                  <w:szCs w:val="18"/>
                  <w:color w:val="0000FF"/>
                  <w:w w:val="99"/>
                </w:rPr>
                <w:t>Compensation Recovery Policy</w:t>
              </w:r>
            </w:hyperlink>
          </w:p>
        </w:tc>
        <w:tc>
          <w:tcPr>
            <w:tcW w:w="20" w:type="dxa"/>
            <w:vAlign w:val="bottom"/>
            <w:tcBorders>
              <w:bottom w:val="single" w:sz="8" w:color="0000EE"/>
            </w:tcBorders>
          </w:tcPr>
          <w:p>
            <w:pPr>
              <w:spacing w:after="0"/>
              <w:rPr>
                <w:sz w:val="24"/>
                <w:szCs w:val="24"/>
                <w:color w:val="auto"/>
              </w:rPr>
            </w:pPr>
          </w:p>
        </w:tc>
        <w:tc>
          <w:tcPr>
            <w:tcW w:w="240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 w:type="dxa"/>
            <w:vAlign w:val="bottom"/>
          </w:tcPr>
          <w:p>
            <w:pPr>
              <w:spacing w:after="0"/>
              <w:rPr>
                <w:sz w:val="24"/>
                <w:szCs w:val="24"/>
                <w:color w:val="auto"/>
              </w:rPr>
            </w:pP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7, 2024</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97.1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not appear in the Interactive Data file because XBRL tags 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413"/>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26"/>
        </w:trPr>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0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auto"/>
              </w:rPr>
              <w:t>Linkbase Documents.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00" w:type="dxa"/>
            <w:vAlign w:val="bottom"/>
            <w:gridSpan w:val="13"/>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140" w:right="5680" w:hanging="762"/>
        <w:spacing w:after="0" w:line="256" w:lineRule="auto"/>
        <w:tabs>
          <w:tab w:leader="none" w:pos="11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 w:lineRule="exact"/>
        <w:rPr>
          <w:rFonts w:ascii="Times New Roman" w:cs="Times New Roman" w:eastAsia="Times New Roman" w:hAnsi="Times New Roman"/>
          <w:sz w:val="18"/>
          <w:szCs w:val="18"/>
          <w:color w:val="auto"/>
        </w:rPr>
      </w:pPr>
    </w:p>
    <w:p>
      <w:pPr>
        <w:spacing w:after="0" w:line="2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Furnished and not filed herewith.</w:t>
      </w:r>
    </w:p>
    <w:p>
      <w:pPr>
        <w:spacing w:after="0" w:line="221" w:lineRule="auto"/>
        <w:rPr>
          <w:sz w:val="20"/>
          <w:szCs w:val="20"/>
          <w:color w:val="auto"/>
        </w:rPr>
      </w:pPr>
      <w:r>
        <w:rPr>
          <w:rFonts w:ascii="Times New Roman" w:cs="Times New Roman" w:eastAsia="Times New Roman" w:hAnsi="Times New Roman"/>
          <w:sz w:val="14"/>
          <w:szCs w:val="14"/>
          <w:color w:val="auto"/>
        </w:rPr>
        <w:t>† Indicates management contract or compensatory plan.</w:t>
      </w:r>
    </w:p>
    <w:p>
      <w:pPr>
        <w:ind w:left="40"/>
        <w:spacing w:after="0"/>
        <w:rPr>
          <w:sz w:val="20"/>
          <w:szCs w:val="20"/>
          <w:color w:val="auto"/>
        </w:rPr>
      </w:pPr>
      <w:r>
        <w:rPr>
          <w:rFonts w:ascii="Times New Roman" w:cs="Times New Roman" w:eastAsia="Times New Roman" w:hAnsi="Times New Roman"/>
          <w:sz w:val="14"/>
          <w:szCs w:val="14"/>
          <w:color w:val="auto"/>
        </w:rPr>
        <w:t># Confidential treatment has been requested for portions of this exhibit. These portions have been omitted and have been filed separately  with the Securities and Exchange Commission.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1" w:name="page112"/>
    <w:bookmarkEnd w:id="1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0"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80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Soleno Therapeutics, Inc.</w:t>
            </w:r>
          </w:p>
        </w:tc>
      </w:tr>
      <w:tr>
        <w:trPr>
          <w:trHeight w:val="431"/>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2025</w:t>
            </w:r>
          </w:p>
        </w:tc>
        <w:tc>
          <w:tcPr>
            <w:tcW w:w="800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By:  /S/ ANISH BHATNAGAR</w:t>
            </w:r>
          </w:p>
        </w:tc>
      </w:tr>
      <w:tr>
        <w:trPr>
          <w:trHeight w:val="227"/>
        </w:trPr>
        <w:tc>
          <w:tcPr>
            <w:tcW w:w="32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3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Anish Bhatnagar and James Mackaness, with full power of substitution and resubstitution and full power to act,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84"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080" w:type="dxa"/>
            <w:vAlign w:val="bottom"/>
          </w:tcPr>
          <w:p>
            <w:pPr>
              <w:ind w:left="20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8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16"/>
        </w:trPr>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ANISH BHATNAGAR</w:t>
            </w: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7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February 28, 2025</w:t>
            </w:r>
          </w:p>
        </w:tc>
        <w:tc>
          <w:tcPr>
            <w:tcW w:w="0" w:type="dxa"/>
            <w:vAlign w:val="bottom"/>
          </w:tcPr>
          <w:p>
            <w:pPr>
              <w:spacing w:after="0"/>
              <w:rPr>
                <w:sz w:val="1"/>
                <w:szCs w:val="1"/>
                <w:color w:val="auto"/>
              </w:rPr>
            </w:pPr>
          </w:p>
        </w:tc>
      </w:tr>
      <w:tr>
        <w:trPr>
          <w:trHeight w:val="214"/>
        </w:trPr>
        <w:tc>
          <w:tcPr>
            <w:tcW w:w="5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Anish Bhatnagar</w:t>
            </w: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00" w:type="dxa"/>
            <w:vAlign w:val="bottom"/>
            <w:vMerge w:val="continue"/>
          </w:tcPr>
          <w:p>
            <w:pPr>
              <w:spacing w:after="0"/>
              <w:rPr>
                <w:sz w:val="19"/>
                <w:szCs w:val="19"/>
                <w:color w:val="auto"/>
              </w:rPr>
            </w:pPr>
          </w:p>
        </w:tc>
        <w:tc>
          <w:tcPr>
            <w:tcW w:w="40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MACKANESS</w:t>
            </w: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17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February 28, 2025</w:t>
            </w:r>
          </w:p>
        </w:tc>
        <w:tc>
          <w:tcPr>
            <w:tcW w:w="0" w:type="dxa"/>
            <w:vAlign w:val="bottom"/>
          </w:tcPr>
          <w:p>
            <w:pPr>
              <w:spacing w:after="0"/>
              <w:rPr>
                <w:sz w:val="1"/>
                <w:szCs w:val="1"/>
                <w:color w:val="auto"/>
              </w:rPr>
            </w:pPr>
          </w:p>
        </w:tc>
      </w:tr>
      <w:tr>
        <w:trPr>
          <w:trHeight w:val="214"/>
        </w:trPr>
        <w:tc>
          <w:tcPr>
            <w:tcW w:w="5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James Mackaness</w:t>
            </w: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Accounting Officer)</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00" w:type="dxa"/>
            <w:vAlign w:val="bottom"/>
            <w:vMerge w:val="continue"/>
          </w:tcPr>
          <w:p>
            <w:pPr>
              <w:spacing w:after="0"/>
              <w:rPr>
                <w:sz w:val="19"/>
                <w:szCs w:val="19"/>
                <w:color w:val="auto"/>
              </w:rPr>
            </w:pPr>
          </w:p>
        </w:tc>
        <w:tc>
          <w:tcPr>
            <w:tcW w:w="40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MATTHEW PAULS</w:t>
            </w: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7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February 28, 2025</w:t>
            </w:r>
          </w:p>
        </w:tc>
        <w:tc>
          <w:tcPr>
            <w:tcW w:w="0" w:type="dxa"/>
            <w:vAlign w:val="bottom"/>
          </w:tcPr>
          <w:p>
            <w:pPr>
              <w:spacing w:after="0"/>
              <w:rPr>
                <w:sz w:val="1"/>
                <w:szCs w:val="1"/>
                <w:color w:val="auto"/>
              </w:rPr>
            </w:pPr>
          </w:p>
        </w:tc>
      </w:tr>
      <w:tr>
        <w:trPr>
          <w:trHeight w:val="438"/>
        </w:trPr>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Matthew Pauls</w:t>
            </w:r>
          </w:p>
        </w:tc>
        <w:tc>
          <w:tcPr>
            <w:tcW w:w="40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ANDREW SINCLAIR</w:t>
            </w: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February 28, 2025</w:t>
            </w:r>
          </w:p>
        </w:tc>
        <w:tc>
          <w:tcPr>
            <w:tcW w:w="0" w:type="dxa"/>
            <w:vAlign w:val="bottom"/>
          </w:tcPr>
          <w:p>
            <w:pPr>
              <w:spacing w:after="0"/>
              <w:rPr>
                <w:sz w:val="1"/>
                <w:szCs w:val="1"/>
                <w:color w:val="auto"/>
              </w:rPr>
            </w:pPr>
          </w:p>
        </w:tc>
      </w:tr>
      <w:tr>
        <w:trPr>
          <w:trHeight w:val="438"/>
        </w:trPr>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Sinclair</w:t>
            </w:r>
          </w:p>
        </w:tc>
        <w:tc>
          <w:tcPr>
            <w:tcW w:w="40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G. HARRIS</w:t>
            </w: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February 28, 2025</w:t>
            </w:r>
          </w:p>
        </w:tc>
        <w:tc>
          <w:tcPr>
            <w:tcW w:w="0" w:type="dxa"/>
            <w:vAlign w:val="bottom"/>
          </w:tcPr>
          <w:p>
            <w:pPr>
              <w:spacing w:after="0"/>
              <w:rPr>
                <w:sz w:val="1"/>
                <w:szCs w:val="1"/>
                <w:color w:val="auto"/>
              </w:rPr>
            </w:pPr>
          </w:p>
        </w:tc>
      </w:tr>
      <w:tr>
        <w:trPr>
          <w:trHeight w:val="438"/>
        </w:trPr>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William G. Harris</w:t>
            </w:r>
          </w:p>
        </w:tc>
        <w:tc>
          <w:tcPr>
            <w:tcW w:w="40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DAWN BIR</w:t>
            </w: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February 28, 2025</w:t>
            </w:r>
          </w:p>
        </w:tc>
        <w:tc>
          <w:tcPr>
            <w:tcW w:w="0" w:type="dxa"/>
            <w:vAlign w:val="bottom"/>
          </w:tcPr>
          <w:p>
            <w:pPr>
              <w:spacing w:after="0"/>
              <w:rPr>
                <w:sz w:val="1"/>
                <w:szCs w:val="1"/>
                <w:color w:val="auto"/>
              </w:rPr>
            </w:pPr>
          </w:p>
        </w:tc>
      </w:tr>
      <w:tr>
        <w:trPr>
          <w:trHeight w:val="438"/>
        </w:trPr>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Dawn Bir</w:t>
            </w:r>
          </w:p>
        </w:tc>
        <w:tc>
          <w:tcPr>
            <w:tcW w:w="40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BIRGITTE VOLCK</w:t>
            </w: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February 28, 2025</w:t>
            </w:r>
          </w:p>
        </w:tc>
        <w:tc>
          <w:tcPr>
            <w:tcW w:w="0" w:type="dxa"/>
            <w:vAlign w:val="bottom"/>
          </w:tcPr>
          <w:p>
            <w:pPr>
              <w:spacing w:after="0"/>
              <w:rPr>
                <w:sz w:val="1"/>
                <w:szCs w:val="1"/>
                <w:color w:val="auto"/>
              </w:rPr>
            </w:pPr>
          </w:p>
        </w:tc>
      </w:tr>
      <w:tr>
        <w:trPr>
          <w:trHeight w:val="438"/>
        </w:trPr>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Birgitte Volck</w:t>
            </w:r>
          </w:p>
        </w:tc>
        <w:tc>
          <w:tcPr>
            <w:tcW w:w="40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83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12" w:name="page113"/>
    <w:bookmarkEnd w:id="112"/>
    <w:p>
      <w:pPr>
        <w:ind w:left="9120"/>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SOLENO THERAPEUTICS, INC. (FKA CAPNIA,</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INC.) EMPLOYMENT AGREEMENT</w:t>
      </w:r>
    </w:p>
    <w:p>
      <w:pPr>
        <w:ind w:firstLine="768"/>
        <w:spacing w:after="0" w:line="229" w:lineRule="auto"/>
        <w:rPr>
          <w:sz w:val="20"/>
          <w:szCs w:val="20"/>
          <w:color w:val="auto"/>
        </w:rPr>
      </w:pPr>
      <w:r>
        <w:rPr>
          <w:rFonts w:ascii="Times New Roman" w:cs="Times New Roman" w:eastAsia="Times New Roman" w:hAnsi="Times New Roman"/>
          <w:sz w:val="22"/>
          <w:szCs w:val="22"/>
          <w:color w:val="auto"/>
        </w:rPr>
        <w:t xml:space="preserve">This Employment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xml:space="preserve"> is entered into effective as of January 1, 2019, (the </w:t>
      </w:r>
      <w:r>
        <w:rPr>
          <w:rFonts w:ascii="Times New Roman" w:cs="Times New Roman" w:eastAsia="Times New Roman" w:hAnsi="Times New Roman"/>
          <w:sz w:val="22"/>
          <w:szCs w:val="22"/>
          <w:b w:val="1"/>
          <w:bCs w:val="1"/>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Date") </w:t>
      </w:r>
      <w:r>
        <w:rPr>
          <w:rFonts w:ascii="Times New Roman" w:cs="Times New Roman" w:eastAsia="Times New Roman" w:hAnsi="Times New Roman"/>
          <w:sz w:val="22"/>
          <w:szCs w:val="22"/>
          <w:color w:val="auto"/>
        </w:rPr>
        <w:t>by and between Soleno Therapeutics, Inc. (FKA Capnia, Inc.) (the</w:t>
      </w:r>
      <w:r>
        <w:rPr>
          <w:rFonts w:ascii="Times New Roman" w:cs="Times New Roman" w:eastAsia="Times New Roman" w:hAnsi="Times New Roman"/>
          <w:sz w:val="22"/>
          <w:szCs w:val="22"/>
          <w:b w:val="1"/>
          <w:bCs w:val="1"/>
          <w:color w:val="auto"/>
        </w:rPr>
        <w:t xml:space="preserve"> "Company"), </w:t>
      </w:r>
      <w:r>
        <w:rPr>
          <w:rFonts w:ascii="Times New Roman" w:cs="Times New Roman" w:eastAsia="Times New Roman" w:hAnsi="Times New Roman"/>
          <w:sz w:val="22"/>
          <w:szCs w:val="22"/>
          <w:color w:val="auto"/>
        </w:rPr>
        <w:t>and Patricia C. Hirano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181" w:lineRule="exact"/>
        <w:rPr>
          <w:sz w:val="20"/>
          <w:szCs w:val="20"/>
          <w:color w:val="auto"/>
        </w:rPr>
      </w:pPr>
    </w:p>
    <w:p>
      <w:pPr>
        <w:ind w:left="1160" w:hanging="374"/>
        <w:spacing w:after="0"/>
        <w:tabs>
          <w:tab w:leader="none" w:pos="11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and Scope of Employment.</w:t>
      </w:r>
    </w:p>
    <w:p>
      <w:pPr>
        <w:spacing w:after="0" w:line="204" w:lineRule="exact"/>
        <w:rPr>
          <w:rFonts w:ascii="Times New Roman" w:cs="Times New Roman" w:eastAsia="Times New Roman" w:hAnsi="Times New Roman"/>
          <w:sz w:val="22"/>
          <w:szCs w:val="22"/>
          <w:color w:val="auto"/>
        </w:rPr>
      </w:pPr>
    </w:p>
    <w:p>
      <w:pPr>
        <w:jc w:val="both"/>
        <w:ind w:left="1900" w:firstLine="1508"/>
        <w:spacing w:after="0" w:line="233" w:lineRule="auto"/>
        <w:tabs>
          <w:tab w:leader="none" w:pos="3959"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Positions and Duties.</w:t>
      </w:r>
      <w:r>
        <w:rPr>
          <w:rFonts w:ascii="Times New Roman" w:cs="Times New Roman" w:eastAsia="Times New Roman" w:hAnsi="Times New Roman"/>
          <w:sz w:val="22"/>
          <w:szCs w:val="22"/>
          <w:color w:val="auto"/>
        </w:rPr>
        <w:t xml:space="preserve"> This employment agreement between the Executive and the Company will commence on the Effective Date, as defined above. Executive will serve as Vice President, Regulatory Affairs of the Company. Executive will render such business and professional services in the performance of her duties, consistent with Executive's position within the Company, as will reasonably be assigned to him by the Company's CEO. The CEO may modify Executive's job title and duties as it deems necessary and appropriate in light of the Company's needs and interests from time to time. The period of Executive's employment under this Agreement is referred to herein as the</w:t>
      </w:r>
    </w:p>
    <w:p>
      <w:pPr>
        <w:spacing w:after="0" w:line="1" w:lineRule="exact"/>
        <w:rPr>
          <w:rFonts w:ascii="Times New Roman" w:cs="Times New Roman" w:eastAsia="Times New Roman" w:hAnsi="Times New Roman"/>
          <w:sz w:val="22"/>
          <w:szCs w:val="22"/>
          <w:color w:val="auto"/>
        </w:rPr>
      </w:pPr>
    </w:p>
    <w:p>
      <w:pPr>
        <w:ind w:left="19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"Employment Term."</w:t>
      </w:r>
    </w:p>
    <w:p>
      <w:pPr>
        <w:spacing w:after="0" w:line="180" w:lineRule="exact"/>
        <w:rPr>
          <w:rFonts w:ascii="Times New Roman" w:cs="Times New Roman" w:eastAsia="Times New Roman" w:hAnsi="Times New Roman"/>
          <w:sz w:val="22"/>
          <w:szCs w:val="22"/>
          <w:color w:val="auto"/>
        </w:rPr>
      </w:pPr>
    </w:p>
    <w:p>
      <w:pPr>
        <w:jc w:val="both"/>
        <w:ind w:left="1900" w:right="20" w:firstLine="1492"/>
        <w:spacing w:after="0" w:line="235" w:lineRule="auto"/>
        <w:tabs>
          <w:tab w:leader="none" w:pos="3958"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xml:space="preserve"> During the Employment Term, Executive will perform her duties faithfully and to the best of her ability and will devote substantially all of Executive's business efforts and time to the Company. For the duration of the Employment Term, Executive agrees not to actively engage in any other employment, occupation or consulting activity for any direct or indirect remuneration that would impact in any material respect Executive's ability to perform Executive's duties and obligations hereunder.</w:t>
      </w:r>
    </w:p>
    <w:p>
      <w:pPr>
        <w:spacing w:after="0" w:line="197" w:lineRule="exact"/>
        <w:rPr>
          <w:sz w:val="20"/>
          <w:szCs w:val="20"/>
          <w:color w:val="auto"/>
        </w:rPr>
      </w:pPr>
    </w:p>
    <w:p>
      <w:pPr>
        <w:jc w:val="both"/>
        <w:ind w:left="20" w:firstLine="764"/>
        <w:spacing w:after="0" w:line="235" w:lineRule="auto"/>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xml:space="preserve"> The parties agree that Executive's employment with the Company will be "at-will" employment and may be terminated at any time with or without Cause or notice. Executive understands and agrees that neither her job performance nor promotions, commendations, bonuses or the like from the Company give rise to or in any way serve as the basis for modification, amendment, or extension, by implication or otherwise, of her employment with the Company. However, as described in this Agreement, Executive may be entitled to severance benefits depending on the circumstances of Executive's termination of employment with the Company.</w:t>
      </w:r>
    </w:p>
    <w:p>
      <w:pPr>
        <w:spacing w:after="0" w:line="184" w:lineRule="exact"/>
        <w:rPr>
          <w:sz w:val="20"/>
          <w:szCs w:val="20"/>
          <w:color w:val="auto"/>
        </w:rPr>
      </w:pPr>
    </w:p>
    <w:p>
      <w:pPr>
        <w:jc w:val="both"/>
        <w:ind w:left="20" w:right="20" w:firstLine="740"/>
        <w:spacing w:after="0" w:line="235" w:lineRule="auto"/>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xml:space="preserve"> This Agreement will have a term running from the Effective Date through the first anniversary of the Effective Date (the </w:t>
      </w:r>
      <w:r>
        <w:rPr>
          <w:rFonts w:ascii="Times New Roman" w:cs="Times New Roman" w:eastAsia="Times New Roman" w:hAnsi="Times New Roman"/>
          <w:sz w:val="22"/>
          <w:szCs w:val="22"/>
          <w:b w:val="1"/>
          <w:bCs w:val="1"/>
          <w:color w:val="auto"/>
        </w:rPr>
        <w:t>"Initial Term").</w:t>
      </w:r>
      <w:r>
        <w:rPr>
          <w:rFonts w:ascii="Times New Roman" w:cs="Times New Roman" w:eastAsia="Times New Roman" w:hAnsi="Times New Roman"/>
          <w:sz w:val="22"/>
          <w:szCs w:val="22"/>
          <w:color w:val="auto"/>
        </w:rPr>
        <w:t xml:space="preserve"> On the first anniversary of the Effective Date, this Agreement will renew automatically for additional one (1) year terms (each an </w:t>
      </w:r>
      <w:r>
        <w:rPr>
          <w:rFonts w:ascii="Times New Roman" w:cs="Times New Roman" w:eastAsia="Times New Roman" w:hAnsi="Times New Roman"/>
          <w:sz w:val="22"/>
          <w:szCs w:val="22"/>
          <w:b w:val="1"/>
          <w:bCs w:val="1"/>
          <w:color w:val="auto"/>
        </w:rPr>
        <w:t>"Additional Term"),</w:t>
      </w:r>
      <w:r>
        <w:rPr>
          <w:rFonts w:ascii="Times New Roman" w:cs="Times New Roman" w:eastAsia="Times New Roman" w:hAnsi="Times New Roman"/>
          <w:sz w:val="22"/>
          <w:szCs w:val="22"/>
          <w:color w:val="auto"/>
        </w:rPr>
        <w:t xml:space="preserve"> unless either party provides the other party with written notice of non­renewal at least thirty (30) days prior to the date of automatic renewal. If Executive becomes entitled to benefits under Section 8 during the term of this Agreement, the Agreement will not terminate until all of the obligations of the parties hereto with respect to this Agreement have been satisfied.</w:t>
      </w:r>
    </w:p>
    <w:p>
      <w:pPr>
        <w:spacing w:after="0" w:line="36" w:lineRule="exact"/>
        <w:rPr>
          <w:sz w:val="20"/>
          <w:szCs w:val="20"/>
          <w:color w:val="auto"/>
        </w:rPr>
      </w:pPr>
    </w:p>
    <w:p>
      <w:pPr>
        <w:ind w:left="1160" w:hanging="374"/>
        <w:spacing w:after="0"/>
        <w:tabs>
          <w:tab w:leader="none" w:pos="11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614045</wp:posOffset>
            </wp:positionV>
            <wp:extent cx="71583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00"/>
          </w:cols>
          <w:pgMar w:left="440" w:top="1397" w:right="459" w:bottom="1440" w:gutter="0" w:footer="0" w:header="0"/>
        </w:sectPr>
      </w:pPr>
    </w:p>
    <w:bookmarkStart w:id="113" w:name="page114"/>
    <w:bookmarkEnd w:id="113"/>
    <w:p>
      <w:pPr>
        <w:spacing w:after="0" w:line="16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xml:space="preserve"> Commencing on the date of this Agreement, the</w:t>
      </w:r>
    </w:p>
    <w:p>
      <w:pPr>
        <w:spacing w:after="0" w:line="13" w:lineRule="exact"/>
        <w:rPr>
          <w:sz w:val="20"/>
          <w:szCs w:val="20"/>
          <w:color w:val="auto"/>
        </w:rPr>
      </w:pPr>
    </w:p>
    <w:p>
      <w:pPr>
        <w:jc w:val="both"/>
        <w:ind w:left="1880"/>
        <w:spacing w:after="0" w:line="262" w:lineRule="auto"/>
        <w:rPr>
          <w:sz w:val="20"/>
          <w:szCs w:val="20"/>
          <w:color w:val="auto"/>
        </w:rPr>
      </w:pPr>
      <w:r>
        <w:rPr>
          <w:rFonts w:ascii="Times New Roman" w:cs="Times New Roman" w:eastAsia="Times New Roman" w:hAnsi="Times New Roman"/>
          <w:sz w:val="20"/>
          <w:szCs w:val="20"/>
          <w:color w:val="auto"/>
        </w:rPr>
        <w:t xml:space="preserve">Company will pay Executive an annual salary of $250,000 as compensation for her services (the </w:t>
      </w:r>
      <w:r>
        <w:rPr>
          <w:rFonts w:ascii="Times New Roman" w:cs="Times New Roman" w:eastAsia="Times New Roman" w:hAnsi="Times New Roman"/>
          <w:sz w:val="20"/>
          <w:szCs w:val="20"/>
          <w:b w:val="1"/>
          <w:bCs w:val="1"/>
          <w:color w:val="auto"/>
        </w:rPr>
        <w:t>"Base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Salary"). </w:t>
      </w:r>
      <w:r>
        <w:rPr>
          <w:rFonts w:ascii="Times New Roman" w:cs="Times New Roman" w:eastAsia="Times New Roman" w:hAnsi="Times New Roman"/>
          <w:sz w:val="20"/>
          <w:szCs w:val="20"/>
          <w:color w:val="auto"/>
        </w:rPr>
        <w:t>The Base Salary will be paid periodically in accordance with the Company's normal payroll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practices and be subject to the usual, required withholding. Executive's Base Salary will be subject to review and adjustments will be made based upon the Company's normal performance review practices.</w:t>
      </w:r>
    </w:p>
    <w:p>
      <w:pPr>
        <w:spacing w:after="0" w:line="170" w:lineRule="exact"/>
        <w:rPr>
          <w:sz w:val="20"/>
          <w:szCs w:val="20"/>
          <w:color w:val="auto"/>
        </w:rPr>
      </w:pPr>
    </w:p>
    <w:p>
      <w:pPr>
        <w:jc w:val="both"/>
        <w:ind w:left="1880" w:firstLine="1508"/>
        <w:spacing w:after="0" w:line="259" w:lineRule="auto"/>
        <w:tabs>
          <w:tab w:leader="none" w:pos="393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Bonus.</w:t>
      </w:r>
      <w:r>
        <w:rPr>
          <w:rFonts w:ascii="Times New Roman" w:cs="Times New Roman" w:eastAsia="Times New Roman" w:hAnsi="Times New Roman"/>
          <w:sz w:val="20"/>
          <w:szCs w:val="20"/>
          <w:color w:val="auto"/>
        </w:rPr>
        <w:t xml:space="preserve"> Executive will be eligible to participate in any bonus plans or programs maintained from time to time by the Company on such terms and conditions as determined by the Company's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xml:space="preserve"> or its compensation committee (the </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xml:space="preserve"> including eligibility for a bonus of up to twenty five percent (25%) of Executive's Base Salary, upon achievement of performance objectives to be determined by the Board in its good faith discretion (the </w:t>
      </w:r>
      <w:r>
        <w:rPr>
          <w:rFonts w:ascii="Times New Roman" w:cs="Times New Roman" w:eastAsia="Times New Roman" w:hAnsi="Times New Roman"/>
          <w:sz w:val="20"/>
          <w:szCs w:val="20"/>
          <w:b w:val="1"/>
          <w:bCs w:val="1"/>
          <w:color w:val="auto"/>
        </w:rPr>
        <w:t xml:space="preserve">"Target Bonus"). </w:t>
      </w:r>
      <w:r>
        <w:rPr>
          <w:rFonts w:ascii="Times New Roman" w:cs="Times New Roman" w:eastAsia="Times New Roman" w:hAnsi="Times New Roman"/>
          <w:sz w:val="20"/>
          <w:szCs w:val="20"/>
          <w:color w:val="auto"/>
        </w:rPr>
        <w:t>Any earned bonus will be paid in the next regular payroll period after the Board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Committee determines that it has been earned, but in no event shall the bonus be paid after the later of (i) the fifteenth (15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day of the third (3</w:t>
      </w:r>
      <w:r>
        <w:rPr>
          <w:rFonts w:ascii="Times New Roman" w:cs="Times New Roman" w:eastAsia="Times New Roman" w:hAnsi="Times New Roman"/>
          <w:sz w:val="13"/>
          <w:szCs w:val="13"/>
          <w:color w:val="auto"/>
        </w:rPr>
        <w:t>rd</w:t>
      </w:r>
      <w:r>
        <w:rPr>
          <w:rFonts w:ascii="Times New Roman" w:cs="Times New Roman" w:eastAsia="Times New Roman" w:hAnsi="Times New Roman"/>
          <w:sz w:val="20"/>
          <w:szCs w:val="20"/>
          <w:color w:val="auto"/>
        </w:rPr>
        <w:t>) month following the close of the Company's fiscal year in which the bonus is earned, or (ii) March 15 following the calendar year in which the bonus is earned.</w:t>
      </w:r>
    </w:p>
    <w:p>
      <w:pPr>
        <w:spacing w:after="0" w:line="177" w:lineRule="exact"/>
        <w:rPr>
          <w:rFonts w:ascii="Times New Roman" w:cs="Times New Roman" w:eastAsia="Times New Roman" w:hAnsi="Times New Roman"/>
          <w:sz w:val="20"/>
          <w:szCs w:val="20"/>
          <w:color w:val="auto"/>
        </w:rPr>
      </w:pPr>
    </w:p>
    <w:p>
      <w:pPr>
        <w:jc w:val="both"/>
        <w:ind w:left="1880" w:firstLine="1522"/>
        <w:spacing w:after="0" w:line="237" w:lineRule="auto"/>
        <w:tabs>
          <w:tab w:leader="none" w:pos="392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xml:space="preserve"> Executive will be eligible to receive awards of stock options, restricted stock units or other equity awards pursuant to any plans or arrangements the Company may have in effect from time to time. The Board or the Committee will determine in its discretion within Executive will be granted any such equity awards and the terms of any such award in accordance with the terms of any applicable plan or arrangement that may be in effect from time to time.</w:t>
      </w:r>
    </w:p>
    <w:p>
      <w:pPr>
        <w:spacing w:after="0" w:line="179" w:lineRule="exact"/>
        <w:rPr>
          <w:sz w:val="20"/>
          <w:szCs w:val="20"/>
          <w:color w:val="auto"/>
        </w:rPr>
      </w:pPr>
    </w:p>
    <w:p>
      <w:pPr>
        <w:jc w:val="both"/>
        <w:ind w:firstLine="740"/>
        <w:spacing w:after="0" w:line="237" w:lineRule="auto"/>
        <w:rPr>
          <w:sz w:val="20"/>
          <w:szCs w:val="20"/>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xml:space="preserve"> During the Employment Term, Executive will be entitled to participate in the employee benefit plans currently and hereafter maintained by the Company of general applicability to other senior executives of the Company, including, without limitation, the Company's group medical, dental, vision, disability, life insurance, and flexible-spending account plans. The Company reserves the right to cancel or change the benefit plans and programs it offers to its employees at any time.</w:t>
      </w:r>
    </w:p>
    <w:p>
      <w:pPr>
        <w:spacing w:after="0" w:line="179" w:lineRule="exact"/>
        <w:rPr>
          <w:sz w:val="20"/>
          <w:szCs w:val="20"/>
          <w:color w:val="auto"/>
        </w:rPr>
      </w:pPr>
    </w:p>
    <w:p>
      <w:pPr>
        <w:ind w:left="20" w:right="20" w:firstLine="739"/>
        <w:spacing w:after="0" w:line="255" w:lineRule="auto"/>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xml:space="preserve"> Executive will be entitled to receive paid annual vacation in accordance with Company policy for other senior executive officers.</w:t>
      </w:r>
    </w:p>
    <w:p>
      <w:pPr>
        <w:spacing w:after="0" w:line="163" w:lineRule="exact"/>
        <w:rPr>
          <w:sz w:val="20"/>
          <w:szCs w:val="20"/>
          <w:color w:val="auto"/>
        </w:rPr>
      </w:pPr>
    </w:p>
    <w:p>
      <w:pPr>
        <w:jc w:val="both"/>
        <w:ind w:left="20" w:firstLine="749"/>
        <w:spacing w:after="0" w:line="238" w:lineRule="auto"/>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The Company will reimburse Executive for reasonable travel, entertainment or other expenses incurred by Executive in the furtherance of or in connection with the performance of Executive's duties hereunder, in accordance with the Company's expense reimbursement policy as in effect from time to time. Such expenses must be pre-approved by the Company.</w:t>
      </w:r>
    </w:p>
    <w:p>
      <w:pPr>
        <w:spacing w:after="0" w:line="195" w:lineRule="exact"/>
        <w:rPr>
          <w:sz w:val="20"/>
          <w:szCs w:val="20"/>
          <w:color w:val="auto"/>
        </w:rPr>
      </w:pPr>
    </w:p>
    <w:p>
      <w:pPr>
        <w:ind w:left="1140" w:hanging="374"/>
        <w:spacing w:after="0"/>
        <w:tabs>
          <w:tab w:leader="none" w:pos="11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p>
    <w:p>
      <w:pPr>
        <w:spacing w:after="0" w:line="43" w:lineRule="exact"/>
        <w:rPr>
          <w:sz w:val="20"/>
          <w:szCs w:val="20"/>
          <w:color w:val="auto"/>
        </w:rPr>
      </w:pPr>
    </w:p>
    <w:p>
      <w:pPr>
        <w:jc w:val="both"/>
        <w:ind w:left="1900" w:firstLine="1502"/>
        <w:spacing w:after="0" w:line="238" w:lineRule="auto"/>
        <w:tabs>
          <w:tab w:leader="none" w:pos="392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terminates Executive's employment with the Company without Cause (excluding death or Disability) or if Executive resigns from such employment for Good Reason, and if such termination or resignation occurs prior to three (3) months before a Change in Control of the Company, then Executive will receive, in addition to Executive's salary payable through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598805</wp:posOffset>
            </wp:positionV>
            <wp:extent cx="71583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60"/>
          </w:cols>
          <w:pgMar w:left="460" w:top="1440" w:right="479" w:bottom="1440" w:gutter="0" w:footer="0" w:header="0"/>
        </w:sectPr>
      </w:pPr>
    </w:p>
    <w:bookmarkStart w:id="114" w:name="page115"/>
    <w:bookmarkEnd w:id="114"/>
    <w:p>
      <w:pPr>
        <w:spacing w:after="0" w:line="6" w:lineRule="exact"/>
        <w:rPr>
          <w:sz w:val="20"/>
          <w:szCs w:val="20"/>
          <w:color w:val="auto"/>
        </w:rPr>
      </w:pPr>
    </w:p>
    <w:p>
      <w:pPr>
        <w:ind w:left="1900" w:right="20"/>
        <w:spacing w:after="0" w:line="255" w:lineRule="auto"/>
        <w:rPr>
          <w:sz w:val="20"/>
          <w:szCs w:val="20"/>
          <w:color w:val="auto"/>
        </w:rPr>
      </w:pPr>
      <w:r>
        <w:rPr>
          <w:rFonts w:ascii="Times New Roman" w:cs="Times New Roman" w:eastAsia="Times New Roman" w:hAnsi="Times New Roman"/>
          <w:sz w:val="22"/>
          <w:szCs w:val="22"/>
          <w:color w:val="auto"/>
        </w:rPr>
        <w:t>of termination of employment and any other employee benefits earned and owed through the date of termination, the following benefits from the Company:</w:t>
      </w:r>
    </w:p>
    <w:p>
      <w:pPr>
        <w:spacing w:after="0" w:line="176" w:lineRule="exact"/>
        <w:rPr>
          <w:sz w:val="20"/>
          <w:szCs w:val="20"/>
          <w:color w:val="auto"/>
        </w:rPr>
      </w:pPr>
    </w:p>
    <w:p>
      <w:pPr>
        <w:jc w:val="both"/>
        <w:ind w:left="20" w:right="20" w:firstLine="2394"/>
        <w:spacing w:after="0" w:line="242" w:lineRule="auto"/>
        <w:tabs>
          <w:tab w:leader="none" w:pos="291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 payments of severance pay in accordance with the Company's normal payroll policies at a rate equal to Executive's Base Salary rate, as is then in effect, for three (3) months from the date of such termination without Cause or resignation for Good Reason; and</w:t>
      </w:r>
    </w:p>
    <w:p>
      <w:pPr>
        <w:spacing w:after="0" w:line="177" w:lineRule="exact"/>
        <w:rPr>
          <w:rFonts w:ascii="Times New Roman" w:cs="Times New Roman" w:eastAsia="Times New Roman" w:hAnsi="Times New Roman"/>
          <w:sz w:val="22"/>
          <w:szCs w:val="22"/>
          <w:color w:val="auto"/>
        </w:rPr>
      </w:pPr>
    </w:p>
    <w:p>
      <w:pPr>
        <w:jc w:val="both"/>
        <w:ind w:left="20" w:firstLine="2334"/>
        <w:spacing w:after="0" w:line="256" w:lineRule="auto"/>
        <w:tabs>
          <w:tab w:leader="none" w:pos="29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Executive elects continuation coverage pursuant to the Consolidated Budget Reconciliation Act of 1985 </w:t>
      </w:r>
      <w:r>
        <w:rPr>
          <w:rFonts w:ascii="Times New Roman" w:cs="Times New Roman" w:eastAsia="Times New Roman" w:hAnsi="Times New Roman"/>
          <w:sz w:val="20"/>
          <w:szCs w:val="20"/>
          <w:b w:val="1"/>
          <w:bCs w:val="1"/>
          <w:color w:val="auto"/>
        </w:rPr>
        <w:t>("COBRA")</w:t>
      </w:r>
      <w:r>
        <w:rPr>
          <w:rFonts w:ascii="Times New Roman" w:cs="Times New Roman" w:eastAsia="Times New Roman" w:hAnsi="Times New Roman"/>
          <w:sz w:val="20"/>
          <w:szCs w:val="20"/>
          <w:color w:val="auto"/>
        </w:rPr>
        <w:t xml:space="preserve"> within the time period prescribed pursuant to COBRA for Executive and Executive's eligible dependents, then the Company will reimburse Executive on the last day of each month after her employment termination date for the COBRA premiums paid during such period for such coverage (at the coverage levels in effect immediately prior to Executive's termination) for a period ending three (3) months following such termination or resignation; provided, that such coverage shall end upon such earlier date that Executive and/or Executive's eligible dependents become covered under similar plans. Notwithstanding the foregoing, if the Company determines in its sole discretion that it cannot provide the benefit described in this Section 8(b)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within Executive elects COBRA continuation coverage arid will commence on the month following Executive's termination of employment and will end on the earlier of (A) the date upon which Executive obtains other employment or (B) the date the Company has paid an amount equal to three (3) payments, per the terms of this agreement. For the avoidance of doubt, the taxable payments in lieu of COBRA reimbursements may be used for any purpose, including, but not limited to continuation coverage under COBRA, and will be subject to all applicable tax withholdings.</w:t>
      </w:r>
    </w:p>
    <w:p>
      <w:pPr>
        <w:spacing w:after="0" w:line="200" w:lineRule="exact"/>
        <w:rPr>
          <w:rFonts w:ascii="Times New Roman" w:cs="Times New Roman" w:eastAsia="Times New Roman" w:hAnsi="Times New Roman"/>
          <w:sz w:val="20"/>
          <w:szCs w:val="20"/>
          <w:color w:val="auto"/>
        </w:rPr>
      </w:pPr>
    </w:p>
    <w:p>
      <w:pPr>
        <w:spacing w:after="0" w:line="225" w:lineRule="exact"/>
        <w:rPr>
          <w:rFonts w:ascii="Times New Roman" w:cs="Times New Roman" w:eastAsia="Times New Roman" w:hAnsi="Times New Roman"/>
          <w:sz w:val="20"/>
          <w:szCs w:val="20"/>
          <w:color w:val="auto"/>
        </w:rPr>
      </w:pPr>
    </w:p>
    <w:p>
      <w:pPr>
        <w:jc w:val="both"/>
        <w:ind w:left="1880" w:right="20" w:firstLine="1507"/>
        <w:spacing w:after="0" w:line="235" w:lineRule="auto"/>
        <w:tabs>
          <w:tab w:leader="none" w:pos="3923"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terminates Executive's employment with the Company without Cause (excluding death or Disability) or if Executive resigns from such employment for Good Reason, and if such termination or resignation occurs within three (3) months prior to, or six (6) months following, a Change in Control of the Company, then Executive will receive, in addition to Executive's salary payable through the date of termination of employment and any other employee benefits earned and owed through the date of termination, the following benefits from the Company:</w:t>
      </w:r>
    </w:p>
    <w:p>
      <w:pPr>
        <w:spacing w:after="0" w:line="183" w:lineRule="exact"/>
        <w:rPr>
          <w:rFonts w:ascii="Times New Roman" w:cs="Times New Roman" w:eastAsia="Times New Roman" w:hAnsi="Times New Roman"/>
          <w:sz w:val="22"/>
          <w:szCs w:val="22"/>
          <w:color w:val="auto"/>
        </w:rPr>
      </w:pPr>
    </w:p>
    <w:p>
      <w:pPr>
        <w:ind w:left="20" w:firstLine="2393"/>
        <w:spacing w:after="0" w:line="255" w:lineRule="auto"/>
        <w:tabs>
          <w:tab w:leader="none" w:pos="292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 payments of severance pay in accordance with the Company's normal payroll policies at a rate equal to Executive's Base Salary rate, as is then in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 for six (6) months from the date of such termination without Cause or resignation for Good Reason;</w:t>
      </w:r>
    </w:p>
    <w:p>
      <w:pPr>
        <w:spacing w:after="0" w:line="205" w:lineRule="exact"/>
        <w:rPr>
          <w:sz w:val="20"/>
          <w:szCs w:val="20"/>
          <w:color w:val="auto"/>
        </w:rPr>
      </w:pPr>
    </w:p>
    <w:p>
      <w:pPr>
        <w:jc w:val="both"/>
        <w:ind w:right="20" w:firstLine="2308"/>
        <w:spacing w:after="0" w:line="237" w:lineRule="auto"/>
        <w:rPr>
          <w:sz w:val="20"/>
          <w:szCs w:val="20"/>
          <w:color w:val="auto"/>
        </w:rPr>
      </w:pPr>
      <w:r>
        <w:rPr>
          <w:rFonts w:ascii="Times New Roman" w:cs="Times New Roman" w:eastAsia="Times New Roman" w:hAnsi="Times New Roman"/>
          <w:sz w:val="22"/>
          <w:szCs w:val="22"/>
          <w:color w:val="auto"/>
        </w:rPr>
        <w:t xml:space="preserve">(ii)if Executive elects continuation coverage pursuant to the Consolidated Budget Reconciliation Act of 1985 </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xml:space="preserve"> within the time period prescribed pursuant to COBRA for Executive and Executive's eligible dependents, then the Company will reimburse Executive on the last day of each month after her employment termination date for the COBRA premiums paid during such period for such coverage (at the coverage levels in effect immediately prior to Executive's termination) for a period ending six (6) months following such termination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596900</wp:posOffset>
            </wp:positionV>
            <wp:extent cx="71583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80"/>
          </w:cols>
          <w:pgMar w:left="460" w:top="1440" w:right="459" w:bottom="1440" w:gutter="0" w:footer="0" w:header="0"/>
        </w:sectPr>
      </w:pPr>
    </w:p>
    <w:bookmarkStart w:id="115" w:name="page116"/>
    <w:bookmarkEnd w:id="115"/>
    <w:p>
      <w:pPr>
        <w:spacing w:after="0" w:line="18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resignation; provided, that such coverage shall end upon such earlier date that Executive and/or Executive's eligible dependents become covered under similar plans. Notwithstanding the foregoing, if the Company determines in its sole discretion that it cannot provide the benefit described in this Section 8(b)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within Executive elects COBRA continuation coverage and will commence on the month following Executive's termination of employment and will end on the earlier of (A) the date upon which Executive obtains other employment or (B) the date the Company has paid an amount equal to six (6) payments, per the terms of this agreement. For the avoidance of doubt, the taxable payments in lieu of COBRA reimbursements may be used for any purpose, including, but not limited to continuation coverage under COBRA, and will be subject to all applicable tax withholdings;</w:t>
      </w:r>
    </w:p>
    <w:p>
      <w:pPr>
        <w:spacing w:after="0" w:line="201" w:lineRule="exact"/>
        <w:rPr>
          <w:sz w:val="20"/>
          <w:szCs w:val="20"/>
          <w:color w:val="auto"/>
        </w:rPr>
      </w:pPr>
    </w:p>
    <w:p>
      <w:pPr>
        <w:ind w:right="580" w:firstLine="2247"/>
        <w:spacing w:after="0" w:line="255" w:lineRule="auto"/>
        <w:rPr>
          <w:sz w:val="20"/>
          <w:szCs w:val="20"/>
          <w:color w:val="auto"/>
        </w:rPr>
      </w:pPr>
      <w:r>
        <w:rPr>
          <w:rFonts w:ascii="Times New Roman" w:cs="Times New Roman" w:eastAsia="Times New Roman" w:hAnsi="Times New Roman"/>
          <w:sz w:val="22"/>
          <w:szCs w:val="22"/>
          <w:color w:val="auto"/>
        </w:rPr>
        <w:t>(iii)fifty percent (50%) the annual Target Bonus opportunity for the year in which employee is terminated without Cause or resigns for Good Reason; and</w:t>
      </w:r>
    </w:p>
    <w:p>
      <w:pPr>
        <w:spacing w:after="0" w:line="163" w:lineRule="exact"/>
        <w:rPr>
          <w:sz w:val="20"/>
          <w:szCs w:val="20"/>
          <w:color w:val="auto"/>
        </w:rPr>
      </w:pPr>
    </w:p>
    <w:p>
      <w:pPr>
        <w:ind w:right="480" w:firstLine="2261"/>
        <w:spacing w:after="0" w:line="242" w:lineRule="auto"/>
        <w:rPr>
          <w:sz w:val="20"/>
          <w:szCs w:val="20"/>
          <w:color w:val="auto"/>
        </w:rPr>
      </w:pPr>
      <w:r>
        <w:rPr>
          <w:rFonts w:ascii="Times New Roman" w:cs="Times New Roman" w:eastAsia="Times New Roman" w:hAnsi="Times New Roman"/>
          <w:sz w:val="22"/>
          <w:szCs w:val="22"/>
          <w:color w:val="auto"/>
        </w:rPr>
        <w:t>(iv)one hundred percent (100%) of any Equity Awards held by Executive as of the date of such termination without Cause or resignation for Good Reason shall immediately vest and become fully exercisable (to the extent applicable).</w:t>
      </w:r>
    </w:p>
    <w:p>
      <w:pPr>
        <w:spacing w:after="0" w:line="178" w:lineRule="exact"/>
        <w:rPr>
          <w:sz w:val="20"/>
          <w:szCs w:val="20"/>
          <w:color w:val="auto"/>
        </w:rPr>
      </w:pPr>
    </w:p>
    <w:p>
      <w:pPr>
        <w:ind w:left="1120" w:hanging="368"/>
        <w:spacing w:after="0"/>
        <w:tabs>
          <w:tab w:leader="none" w:pos="11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Receipt of Severance; No Duty to Mitigate.</w:t>
      </w:r>
    </w:p>
    <w:p>
      <w:pPr>
        <w:spacing w:after="0" w:line="204" w:lineRule="exact"/>
        <w:rPr>
          <w:rFonts w:ascii="Times New Roman" w:cs="Times New Roman" w:eastAsia="Times New Roman" w:hAnsi="Times New Roman"/>
          <w:sz w:val="22"/>
          <w:szCs w:val="22"/>
          <w:color w:val="auto"/>
        </w:rPr>
      </w:pPr>
    </w:p>
    <w:p>
      <w:pPr>
        <w:jc w:val="both"/>
        <w:ind w:left="1880" w:firstLine="1492"/>
        <w:spacing w:after="0" w:line="233" w:lineRule="auto"/>
        <w:tabs>
          <w:tab w:leader="none" w:pos="3938"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Agreement and Release of Claims.</w:t>
      </w:r>
      <w:r>
        <w:rPr>
          <w:rFonts w:ascii="Times New Roman" w:cs="Times New Roman" w:eastAsia="Times New Roman" w:hAnsi="Times New Roman"/>
          <w:sz w:val="22"/>
          <w:szCs w:val="22"/>
          <w:color w:val="auto"/>
        </w:rPr>
        <w:t xml:space="preserve"> The payment of any severance set forth in Section 8 above is contingent upon Executive signing and not revoking the Company's standard separation and release of claims agreement upon Executive's termination of employment and such agreement becoming effective no later than sixty (60) days following Executive's employment termination date (such deadline, the </w:t>
      </w:r>
      <w:r>
        <w:rPr>
          <w:rFonts w:ascii="Times New Roman" w:cs="Times New Roman" w:eastAsia="Times New Roman" w:hAnsi="Times New Roman"/>
          <w:sz w:val="22"/>
          <w:szCs w:val="22"/>
          <w:b w:val="1"/>
          <w:bCs w:val="1"/>
          <w:color w:val="auto"/>
        </w:rPr>
        <w:t>"Release Deadline").</w:t>
      </w:r>
      <w:r>
        <w:rPr>
          <w:rFonts w:ascii="Times New Roman" w:cs="Times New Roman" w:eastAsia="Times New Roman" w:hAnsi="Times New Roman"/>
          <w:sz w:val="22"/>
          <w:szCs w:val="22"/>
          <w:color w:val="auto"/>
        </w:rPr>
        <w:t xml:space="preserve"> In no event will severance payments be paid or provided until the release actually becomes effective. Any severance payments or benefits under this Agreement will be paid on, or, in the case of installments, will not commence until, the sixtieth (60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day following Executive's separation from service, or if later, such time as required by Section 9(c). Except as required by Section 9(c), any installment payments that would have been made to Executive during the sixty</w:t>
      </w:r>
    </w:p>
    <w:p>
      <w:pPr>
        <w:spacing w:after="0" w:line="35" w:lineRule="exact"/>
        <w:rPr>
          <w:rFonts w:ascii="Times New Roman" w:cs="Times New Roman" w:eastAsia="Times New Roman" w:hAnsi="Times New Roman"/>
          <w:sz w:val="22"/>
          <w:szCs w:val="22"/>
          <w:color w:val="auto"/>
        </w:rPr>
      </w:pPr>
    </w:p>
    <w:p>
      <w:pPr>
        <w:jc w:val="both"/>
        <w:ind w:left="1880" w:right="20" w:hanging="5"/>
        <w:spacing w:after="0" w:line="229" w:lineRule="auto"/>
        <w:tabs>
          <w:tab w:leader="none" w:pos="241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 period immediately following her separation from service but for the preceding sentence will be paid to Executive on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Executive's separation from service and the remaining payments will be made as provided in the Agreement.</w:t>
      </w:r>
    </w:p>
    <w:p>
      <w:pPr>
        <w:spacing w:after="0" w:line="193" w:lineRule="exact"/>
        <w:rPr>
          <w:rFonts w:ascii="Times New Roman" w:cs="Times New Roman" w:eastAsia="Times New Roman" w:hAnsi="Times New Roman"/>
          <w:sz w:val="22"/>
          <w:szCs w:val="22"/>
          <w:color w:val="auto"/>
        </w:rPr>
      </w:pPr>
    </w:p>
    <w:p>
      <w:pPr>
        <w:jc w:val="both"/>
        <w:ind w:left="1880" w:right="20" w:firstLine="1492"/>
        <w:spacing w:after="0" w:line="238" w:lineRule="auto"/>
        <w:tabs>
          <w:tab w:leader="none" w:pos="3937"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 Agreement.</w:t>
      </w:r>
      <w:r>
        <w:rPr>
          <w:rFonts w:ascii="Times New Roman" w:cs="Times New Roman" w:eastAsia="Times New Roman" w:hAnsi="Times New Roman"/>
          <w:sz w:val="22"/>
          <w:szCs w:val="22"/>
          <w:color w:val="auto"/>
        </w:rPr>
        <w:t xml:space="preserve"> Executive's receipt of any payments or benefits under Section 8 will be subject to Executive continuing to comply with the terms of her Confidential Information Agreement (as defined in Section 12), unless Executive is engaged in Protected Activity (as discussed in Section 23).</w:t>
      </w:r>
    </w:p>
    <w:p>
      <w:pPr>
        <w:spacing w:after="0" w:line="181" w:lineRule="exact"/>
        <w:rPr>
          <w:rFonts w:ascii="Times New Roman" w:cs="Times New Roman" w:eastAsia="Times New Roman" w:hAnsi="Times New Roman"/>
          <w:sz w:val="22"/>
          <w:szCs w:val="22"/>
          <w:color w:val="auto"/>
        </w:rPr>
      </w:pPr>
    </w:p>
    <w:p>
      <w:pPr>
        <w:ind w:left="3740" w:hanging="367"/>
        <w:spacing w:after="0"/>
        <w:tabs>
          <w:tab w:leader="none" w:pos="3740"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614045</wp:posOffset>
            </wp:positionV>
            <wp:extent cx="71583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60"/>
          </w:cols>
          <w:pgMar w:left="460" w:top="1440" w:right="479" w:bottom="1440" w:gutter="0" w:footer="0" w:header="0"/>
        </w:sectPr>
      </w:pPr>
    </w:p>
    <w:bookmarkStart w:id="116" w:name="page117"/>
    <w:bookmarkEnd w:id="116"/>
    <w:p>
      <w:pPr>
        <w:spacing w:after="0" w:line="168" w:lineRule="exact"/>
        <w:rPr>
          <w:sz w:val="20"/>
          <w:szCs w:val="20"/>
          <w:color w:val="auto"/>
        </w:rPr>
      </w:pPr>
    </w:p>
    <w:p>
      <w:pPr>
        <w:jc w:val="both"/>
        <w:ind w:firstLine="2403"/>
        <w:spacing w:after="0" w:line="235" w:lineRule="auto"/>
        <w:tabs>
          <w:tab w:leader="none" w:pos="292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no severance pay or benefits payable upon separation that is payable to Executive, if any, pursuant to this Agreement, when considered together with any other severance payments or separation benefits that are considered deferred compensation (together, the </w:t>
      </w:r>
      <w:r>
        <w:rPr>
          <w:rFonts w:ascii="Times New Roman" w:cs="Times New Roman" w:eastAsia="Times New Roman" w:hAnsi="Times New Roman"/>
          <w:sz w:val="22"/>
          <w:szCs w:val="22"/>
          <w:b w:val="1"/>
          <w:bCs w:val="1"/>
          <w:color w:val="auto"/>
        </w:rPr>
        <w:t>"Deferred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Payments") </w:t>
      </w:r>
      <w:r>
        <w:rPr>
          <w:rFonts w:ascii="Times New Roman" w:cs="Times New Roman" w:eastAsia="Times New Roman" w:hAnsi="Times New Roman"/>
          <w:sz w:val="22"/>
          <w:szCs w:val="22"/>
          <w:color w:val="auto"/>
        </w:rPr>
        <w:t>under Section 409A of the Internal Revenue Code, as amended (the</w:t>
      </w:r>
      <w:r>
        <w:rPr>
          <w:rFonts w:ascii="Times New Roman" w:cs="Times New Roman" w:eastAsia="Times New Roman" w:hAnsi="Times New Roman"/>
          <w:sz w:val="22"/>
          <w:szCs w:val="22"/>
          <w:b w:val="1"/>
          <w:bCs w:val="1"/>
          <w:color w:val="auto"/>
        </w:rPr>
        <w:t xml:space="preserve"> "Code") </w:t>
      </w:r>
      <w:r>
        <w:rPr>
          <w:rFonts w:ascii="Times New Roman" w:cs="Times New Roman" w:eastAsia="Times New Roman" w:hAnsi="Times New Roman"/>
          <w:sz w:val="22"/>
          <w:szCs w:val="22"/>
          <w:color w:val="auto"/>
        </w:rPr>
        <w:t>and the final regulations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official guidance thereunder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xml:space="preserve"> will be payable until Executive has a "separation from service" within the meaning of Section 409A.</w:t>
      </w:r>
    </w:p>
    <w:p>
      <w:pPr>
        <w:spacing w:after="0" w:line="197" w:lineRule="exact"/>
        <w:rPr>
          <w:sz w:val="20"/>
          <w:szCs w:val="20"/>
          <w:color w:val="auto"/>
        </w:rPr>
      </w:pPr>
    </w:p>
    <w:p>
      <w:pPr>
        <w:jc w:val="both"/>
        <w:ind w:right="20" w:firstLine="2336"/>
        <w:spacing w:after="0" w:line="233" w:lineRule="auto"/>
        <w:rPr>
          <w:sz w:val="20"/>
          <w:szCs w:val="20"/>
          <w:color w:val="auto"/>
        </w:rPr>
      </w:pPr>
      <w:r>
        <w:rPr>
          <w:rFonts w:ascii="Times New Roman" w:cs="Times New Roman" w:eastAsia="Times New Roman" w:hAnsi="Times New Roman"/>
          <w:sz w:val="22"/>
          <w:szCs w:val="22"/>
          <w:color w:val="auto"/>
        </w:rPr>
        <w:t>(ii)Notwithstanding anything to the contrary in this Agreement, if Executive is a "specified employee" within the meaning of Section 409A at the time of her termination (other than due to death), then the Deferred Payments, if any, that are payable within the first six (6) months following her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her separation from service, but prior to the six (6) month anniversary of the separation from service, then any payments delayed in accordance with this Section 9(c)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1.409A- 2(b)(2) of the Treasury Regulations.</w:t>
      </w:r>
    </w:p>
    <w:p>
      <w:pPr>
        <w:spacing w:after="0" w:line="181" w:lineRule="exact"/>
        <w:rPr>
          <w:sz w:val="20"/>
          <w:szCs w:val="20"/>
          <w:color w:val="auto"/>
        </w:rPr>
      </w:pPr>
    </w:p>
    <w:p>
      <w:pPr>
        <w:jc w:val="both"/>
        <w:ind w:firstLine="2261"/>
        <w:spacing w:after="0" w:line="237" w:lineRule="auto"/>
        <w:rPr>
          <w:sz w:val="20"/>
          <w:szCs w:val="20"/>
          <w:color w:val="auto"/>
        </w:rPr>
      </w:pPr>
      <w:r>
        <w:rPr>
          <w:rFonts w:ascii="Times New Roman" w:cs="Times New Roman" w:eastAsia="Times New Roman" w:hAnsi="Times New Roman"/>
          <w:sz w:val="22"/>
          <w:szCs w:val="22"/>
          <w:color w:val="auto"/>
        </w:rPr>
        <w:t>(iii)Any severance payment that satisfies the requirements of the "short- term deferral" rule set forth in Section l.409A-l(b)(4) of the Treasury Regulations shall not constitute Deferred Payments for purposes herein. Any amount paid under this Agreement that qualifies as a payment made as a result of an involuntary separation from service pursuant to Section l.409A-l(b)(9)(iii) of the Treasury Regulations that does not exceed the Section 409A Limit (as defined below) will not constitute Deferred Payments for purposes herein.</w:t>
      </w:r>
    </w:p>
    <w:p>
      <w:pPr>
        <w:spacing w:after="0" w:line="175" w:lineRule="exact"/>
        <w:rPr>
          <w:sz w:val="20"/>
          <w:szCs w:val="20"/>
          <w:color w:val="auto"/>
        </w:rPr>
      </w:pPr>
    </w:p>
    <w:p>
      <w:pPr>
        <w:jc w:val="both"/>
        <w:ind w:right="20" w:firstLine="2276"/>
        <w:spacing w:after="0" w:line="239" w:lineRule="auto"/>
        <w:rPr>
          <w:sz w:val="20"/>
          <w:szCs w:val="20"/>
          <w:color w:val="auto"/>
        </w:rPr>
      </w:pPr>
      <w:r>
        <w:rPr>
          <w:rFonts w:ascii="Times New Roman" w:cs="Times New Roman" w:eastAsia="Times New Roman" w:hAnsi="Times New Roman"/>
          <w:sz w:val="22"/>
          <w:szCs w:val="22"/>
          <w:color w:val="auto"/>
        </w:rPr>
        <w:t xml:space="preserve">(iv)For purposes of this Agreement, </w:t>
      </w:r>
      <w:r>
        <w:rPr>
          <w:rFonts w:ascii="Times New Roman" w:cs="Times New Roman" w:eastAsia="Times New Roman" w:hAnsi="Times New Roman"/>
          <w:sz w:val="22"/>
          <w:szCs w:val="22"/>
          <w:b w:val="1"/>
          <w:bCs w:val="1"/>
          <w:color w:val="auto"/>
        </w:rPr>
        <w:t>"Section 409A Limit"</w:t>
      </w:r>
      <w:r>
        <w:rPr>
          <w:rFonts w:ascii="Times New Roman" w:cs="Times New Roman" w:eastAsia="Times New Roman" w:hAnsi="Times New Roman"/>
          <w:sz w:val="22"/>
          <w:szCs w:val="22"/>
          <w:color w:val="auto"/>
        </w:rPr>
        <w:t xml:space="preserve"> means the lesser of two (2) times: (x) Executive's annualized compensation based upon the annual rate of pay paid to Executive during Executive's taxable year preceding Executive's taxable year of Executive's termination of employment as determined under Treasury Regulation l.409A-l(b)(9)(iii)(A)(l) and</w:t>
      </w:r>
    </w:p>
    <w:p>
      <w:pPr>
        <w:spacing w:after="0" w:line="33" w:lineRule="exact"/>
        <w:rPr>
          <w:sz w:val="20"/>
          <w:szCs w:val="20"/>
          <w:color w:val="auto"/>
        </w:rPr>
      </w:pPr>
    </w:p>
    <w:p>
      <w:pPr>
        <w:jc w:val="both"/>
        <w:ind w:left="20" w:firstLine="3"/>
        <w:spacing w:after="0" w:line="305" w:lineRule="auto"/>
        <w:rPr>
          <w:sz w:val="20"/>
          <w:szCs w:val="20"/>
          <w:color w:val="auto"/>
        </w:rPr>
      </w:pPr>
      <w:r>
        <w:rPr>
          <w:rFonts w:ascii="Times New Roman" w:cs="Times New Roman" w:eastAsia="Times New Roman" w:hAnsi="Times New Roman"/>
          <w:sz w:val="20"/>
          <w:szCs w:val="20"/>
          <w:color w:val="auto"/>
        </w:rPr>
        <w:t>any Internal Revenue Service guidance issued with respect thereto, or (y) the maximum amount that may be taken into account under a qualified plan pursuant to Section 401(a)(l 7) of the Code for the year in which Executive's employment is terminated.</w:t>
      </w:r>
    </w:p>
    <w:p>
      <w:pPr>
        <w:spacing w:after="0" w:line="116" w:lineRule="exact"/>
        <w:rPr>
          <w:sz w:val="20"/>
          <w:szCs w:val="20"/>
          <w:color w:val="auto"/>
        </w:rPr>
      </w:pPr>
    </w:p>
    <w:p>
      <w:pPr>
        <w:jc w:val="both"/>
        <w:ind w:left="20" w:firstLine="2308"/>
        <w:spacing w:after="0" w:line="235" w:lineRule="auto"/>
        <w:rPr>
          <w:sz w:val="20"/>
          <w:szCs w:val="20"/>
          <w:color w:val="auto"/>
        </w:rPr>
      </w:pPr>
      <w:r>
        <w:rPr>
          <w:rFonts w:ascii="Times New Roman" w:cs="Times New Roman" w:eastAsia="Times New Roman" w:hAnsi="Times New Roman"/>
          <w:sz w:val="22"/>
          <w:szCs w:val="22"/>
          <w:color w:val="auto"/>
        </w:rPr>
        <w:t>(v)The foregoing provisions are intended to comply with or be exempt from the requirements of Section 409A so that none of the severance payments and benefits to be provided hereunder will be subject to the additional tax imposed under Section 409A, and any ambiguities herein will be interpreted to so comply. Executive and the Company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97" w:lineRule="exact"/>
        <w:rPr>
          <w:sz w:val="20"/>
          <w:szCs w:val="20"/>
          <w:color w:val="auto"/>
        </w:rPr>
      </w:pPr>
    </w:p>
    <w:p>
      <w:pPr>
        <w:jc w:val="both"/>
        <w:ind w:left="1900" w:right="20" w:firstLine="1492"/>
        <w:spacing w:after="0" w:line="242" w:lineRule="auto"/>
        <w:tabs>
          <w:tab w:leader="none" w:pos="395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Duty to Mitigate.</w:t>
      </w:r>
      <w:r>
        <w:rPr>
          <w:rFonts w:ascii="Times New Roman" w:cs="Times New Roman" w:eastAsia="Times New Roman" w:hAnsi="Times New Roman"/>
          <w:sz w:val="22"/>
          <w:szCs w:val="22"/>
          <w:color w:val="auto"/>
        </w:rPr>
        <w:t xml:space="preserve"> Executive will not be required to mitigate the amount of any payment contemplated by this Agreement, nor will any earnings that Executive may receive from any other source reduce any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596265</wp:posOffset>
            </wp:positionV>
            <wp:extent cx="71583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80"/>
          </w:cols>
          <w:pgMar w:left="440" w:top="1440" w:right="479" w:bottom="1440" w:gutter="0" w:footer="0" w:header="0"/>
        </w:sectPr>
      </w:pPr>
    </w:p>
    <w:bookmarkStart w:id="117" w:name="page118"/>
    <w:bookmarkEnd w:id="117"/>
    <w:p>
      <w:pPr>
        <w:spacing w:after="0" w:line="168" w:lineRule="exact"/>
        <w:rPr>
          <w:sz w:val="20"/>
          <w:szCs w:val="20"/>
          <w:color w:val="auto"/>
        </w:rPr>
      </w:pPr>
    </w:p>
    <w:p>
      <w:pPr>
        <w:ind w:left="368" w:hanging="368"/>
        <w:spacing w:after="0"/>
        <w:tabs>
          <w:tab w:leader="none" w:pos="36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p>
    <w:p>
      <w:pPr>
        <w:spacing w:after="0" w:line="201" w:lineRule="exact"/>
        <w:rPr>
          <w:sz w:val="20"/>
          <w:szCs w:val="20"/>
          <w:color w:val="auto"/>
        </w:rPr>
      </w:pPr>
    </w:p>
    <w:p>
      <w:pPr>
        <w:jc w:val="both"/>
        <w:ind w:left="1128" w:firstLine="1492"/>
        <w:spacing w:after="0" w:line="239" w:lineRule="auto"/>
        <w:tabs>
          <w:tab w:leader="none" w:pos="3185" w:val="left"/>
        </w:tabs>
        <w:numPr>
          <w:ilvl w:val="2"/>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xml:space="preserve"> For purposes of this Agreement,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xml:space="preserve"> means: (i) Executive's act of personal dishonesty in connection with her responsibilities as an employee that is intended to result in Executive's substantial personal enrichment; (ii) Executive being convicted of, or pleading no contest or guilty to,</w:t>
      </w:r>
    </w:p>
    <w:p>
      <w:pPr>
        <w:spacing w:after="0" w:line="3" w:lineRule="exact"/>
        <w:rPr>
          <w:rFonts w:ascii="Times New Roman" w:cs="Times New Roman" w:eastAsia="Times New Roman" w:hAnsi="Times New Roman"/>
          <w:sz w:val="22"/>
          <w:szCs w:val="22"/>
          <w:color w:val="auto"/>
        </w:rPr>
      </w:pPr>
    </w:p>
    <w:p>
      <w:pPr>
        <w:jc w:val="both"/>
        <w:ind w:left="1128" w:hanging="3"/>
        <w:spacing w:after="0" w:line="231" w:lineRule="auto"/>
        <w:tabs>
          <w:tab w:leader="none" w:pos="146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misdemeanor that the Company reasonably believes has had or will have a material detrimental effect on the Company, or (y) any felony; (iii) Executive's gross misconduct; (iv) Executive's willful and continued failure to perform the duties and responsibilities of her position after there has been delivered to Executive a written demand for performance from the Company that describes the basis for the Company's belief that Executive has not substantially performed her duties and Executive has not corrected such failure within thirty (30) days of such written demand; or (v) Executive's material violation of any written Company employment policy or standard of conduct, including a material breach of the Confidential Information Agreement.</w:t>
      </w:r>
    </w:p>
    <w:p>
      <w:pPr>
        <w:spacing w:after="0" w:line="178" w:lineRule="exact"/>
        <w:rPr>
          <w:rFonts w:ascii="Times New Roman" w:cs="Times New Roman" w:eastAsia="Times New Roman" w:hAnsi="Times New Roman"/>
          <w:sz w:val="22"/>
          <w:szCs w:val="22"/>
          <w:color w:val="auto"/>
        </w:rPr>
      </w:pPr>
    </w:p>
    <w:p>
      <w:pPr>
        <w:ind w:left="1128" w:right="20" w:firstLine="1492"/>
        <w:spacing w:after="0" w:line="259" w:lineRule="auto"/>
        <w:tabs>
          <w:tab w:leader="none" w:pos="3185"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xml:space="preserve"> For purposes of this Agreement, </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xml:space="preserve"> has the same meaning assigned to such term in the 2014 Plan.</w:t>
      </w:r>
    </w:p>
    <w:p>
      <w:pPr>
        <w:spacing w:after="0" w:line="154" w:lineRule="exact"/>
        <w:rPr>
          <w:rFonts w:ascii="Times New Roman" w:cs="Times New Roman" w:eastAsia="Times New Roman" w:hAnsi="Times New Roman"/>
          <w:sz w:val="22"/>
          <w:szCs w:val="22"/>
          <w:color w:val="auto"/>
        </w:rPr>
      </w:pPr>
    </w:p>
    <w:p>
      <w:pPr>
        <w:jc w:val="both"/>
        <w:ind w:left="1128" w:firstLine="1492"/>
        <w:spacing w:after="0" w:line="281" w:lineRule="auto"/>
        <w:tabs>
          <w:tab w:leader="none" w:pos="3186"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xml:space="preserve"> For purposes of this Agreement, </w:t>
      </w:r>
      <w:r>
        <w:rPr>
          <w:rFonts w:ascii="Times New Roman" w:cs="Times New Roman" w:eastAsia="Times New Roman" w:hAnsi="Times New Roman"/>
          <w:sz w:val="20"/>
          <w:szCs w:val="20"/>
          <w:b w:val="1"/>
          <w:bCs w:val="1"/>
          <w:color w:val="auto"/>
        </w:rPr>
        <w:t>"Disability"</w:t>
      </w:r>
      <w:r>
        <w:rPr>
          <w:rFonts w:ascii="Times New Roman" w:cs="Times New Roman" w:eastAsia="Times New Roman" w:hAnsi="Times New Roman"/>
          <w:sz w:val="20"/>
          <w:szCs w:val="20"/>
          <w:color w:val="auto"/>
        </w:rPr>
        <w:t xml:space="preserve"> means Executive's inability to perform Executive's duties due to Executive's physical or mental incapacity, as reasonably determined by the Board or its designee, for an aggregate of 180 days in any 365 consecutive day period.</w:t>
      </w:r>
    </w:p>
    <w:p>
      <w:pPr>
        <w:spacing w:after="0" w:line="121" w:lineRule="exact"/>
        <w:rPr>
          <w:rFonts w:ascii="Times New Roman" w:cs="Times New Roman" w:eastAsia="Times New Roman" w:hAnsi="Times New Roman"/>
          <w:sz w:val="20"/>
          <w:szCs w:val="20"/>
          <w:color w:val="auto"/>
        </w:rPr>
      </w:pPr>
    </w:p>
    <w:p>
      <w:pPr>
        <w:jc w:val="both"/>
        <w:ind w:left="1128" w:firstLine="1522"/>
        <w:spacing w:after="0" w:line="244" w:lineRule="auto"/>
        <w:tabs>
          <w:tab w:leader="none" w:pos="3172" w:val="left"/>
        </w:tabs>
        <w:numPr>
          <w:ilvl w:val="4"/>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xml:space="preserve"> For purposes of this Agreement, </w:t>
      </w:r>
      <w:r>
        <w:rPr>
          <w:rFonts w:ascii="Times New Roman" w:cs="Times New Roman" w:eastAsia="Times New Roman" w:hAnsi="Times New Roman"/>
          <w:sz w:val="22"/>
          <w:szCs w:val="22"/>
          <w:b w:val="1"/>
          <w:bCs w:val="1"/>
          <w:color w:val="auto"/>
        </w:rPr>
        <w:t>"Equity Awards"</w:t>
      </w:r>
      <w:r>
        <w:rPr>
          <w:rFonts w:ascii="Times New Roman" w:cs="Times New Roman" w:eastAsia="Times New Roman" w:hAnsi="Times New Roman"/>
          <w:sz w:val="22"/>
          <w:szCs w:val="22"/>
          <w:color w:val="auto"/>
        </w:rPr>
        <w:t xml:space="preserve"> means Executive's outstanding stock options, stock appreciation rights, restricted stock units, performance shares, performance stock units and any other Company equity compensation awards.</w:t>
      </w:r>
    </w:p>
    <w:p>
      <w:pPr>
        <w:spacing w:after="0" w:line="23" w:lineRule="exact"/>
        <w:rPr>
          <w:rFonts w:ascii="Times New Roman" w:cs="Times New Roman" w:eastAsia="Times New Roman" w:hAnsi="Times New Roman"/>
          <w:sz w:val="22"/>
          <w:szCs w:val="22"/>
          <w:color w:val="auto"/>
        </w:rPr>
      </w:pPr>
    </w:p>
    <w:p>
      <w:pPr>
        <w:jc w:val="both"/>
        <w:ind w:left="1128" w:firstLine="1507"/>
        <w:spacing w:after="0" w:line="256" w:lineRule="auto"/>
        <w:tabs>
          <w:tab w:leader="none" w:pos="3172" w:val="left"/>
        </w:tabs>
        <w:numPr>
          <w:ilvl w:val="3"/>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xml:space="preserve"> For purposes of this Agreement, </w:t>
      </w:r>
      <w:r>
        <w:rPr>
          <w:rFonts w:ascii="Times New Roman" w:cs="Times New Roman" w:eastAsia="Times New Roman" w:hAnsi="Times New Roman"/>
          <w:sz w:val="20"/>
          <w:szCs w:val="20"/>
          <w:b w:val="1"/>
          <w:bCs w:val="1"/>
          <w:color w:val="auto"/>
        </w:rPr>
        <w:t>"Good Reason"</w:t>
      </w:r>
      <w:r>
        <w:rPr>
          <w:rFonts w:ascii="Times New Roman" w:cs="Times New Roman" w:eastAsia="Times New Roman" w:hAnsi="Times New Roman"/>
          <w:sz w:val="20"/>
          <w:szCs w:val="20"/>
          <w:color w:val="auto"/>
        </w:rPr>
        <w:t xml:space="preserve"> means Executive's resignation within thirty (30) days following the expiration of any Company cure period (discussed below) following the occurrence of one or more of the following, without Executive's consent: (i) a material reduction in Executive's Base Salary, excluding the substitution of substantially equivalent compensation and benefits, that is not generally applicable to all Company senior management or employees of the Company generally; (ii) a material reduction of Executive's authority, duties or responsibilities, unless Executive is provided with a comparable position; provided, however, that a reduction in authority, duties, or responsibilities solely by virtue of the Company being acquired and made part of a larger entity within as a subsidiary, business unit or otherwise (as, for example, when the Chief Executive Officer of the Company remains as such following an acquisition where the Company becomes a wholly owned subsidiary of the acquirer, but is not made the Chief Executive Officer of the acquiring corporation) will not constitute "Good Reason"; or (iii) a material change in the geographic location of Executive's primary work facility or location; provided, that a relocation of fifty</w:t>
      </w:r>
    </w:p>
    <w:p>
      <w:pPr>
        <w:spacing w:after="0" w:line="235" w:lineRule="exact"/>
        <w:rPr>
          <w:rFonts w:ascii="Times New Roman" w:cs="Times New Roman" w:eastAsia="Times New Roman" w:hAnsi="Times New Roman"/>
          <w:sz w:val="20"/>
          <w:szCs w:val="20"/>
          <w:color w:val="auto"/>
        </w:rPr>
      </w:pPr>
    </w:p>
    <w:p>
      <w:pPr>
        <w:ind w:left="1548" w:hanging="412"/>
        <w:spacing w:after="0"/>
        <w:tabs>
          <w:tab w:leader="none" w:pos="1548"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miles or less from Executive's then present location or to Executive's home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598805</wp:posOffset>
            </wp:positionV>
            <wp:extent cx="71583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208"/>
          </w:cols>
          <w:pgMar w:left="1212" w:top="1440" w:right="479" w:bottom="1440" w:gutter="0" w:footer="0" w:header="0"/>
        </w:sectPr>
      </w:pPr>
    </w:p>
    <w:bookmarkStart w:id="118" w:name="page119"/>
    <w:bookmarkEnd w:id="118"/>
    <w:p>
      <w:pPr>
        <w:jc w:val="both"/>
        <w:ind w:left="1880" w:right="20" w:firstLine="7"/>
        <w:spacing w:after="0" w:line="235" w:lineRule="auto"/>
        <w:rPr>
          <w:sz w:val="20"/>
          <w:szCs w:val="20"/>
          <w:color w:val="auto"/>
        </w:rPr>
      </w:pPr>
      <w:r>
        <w:rPr>
          <w:rFonts w:ascii="Times New Roman" w:cs="Times New Roman" w:eastAsia="Times New Roman" w:hAnsi="Times New Roman"/>
          <w:sz w:val="22"/>
          <w:szCs w:val="22"/>
          <w:color w:val="auto"/>
        </w:rPr>
        <w:t>as her primary work location will not be considered a material change in geographic location. 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 and such grounds must not have been cured during such time.</w:t>
      </w:r>
    </w:p>
    <w:p>
      <w:pPr>
        <w:spacing w:after="0" w:line="184" w:lineRule="exact"/>
        <w:rPr>
          <w:sz w:val="20"/>
          <w:szCs w:val="20"/>
          <w:color w:val="auto"/>
        </w:rPr>
      </w:pPr>
    </w:p>
    <w:p>
      <w:pPr>
        <w:jc w:val="both"/>
        <w:ind w:right="20" w:firstLine="754"/>
        <w:spacing w:after="0" w:line="238"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Limitation on Payments.</w:t>
      </w:r>
      <w:r>
        <w:rPr>
          <w:rFonts w:ascii="Times New Roman" w:cs="Times New Roman" w:eastAsia="Times New Roman" w:hAnsi="Times New Roman"/>
          <w:sz w:val="22"/>
          <w:szCs w:val="22"/>
          <w:color w:val="auto"/>
        </w:rPr>
        <w:t xml:space="preserve"> In the event that the payments or benefits provided for in this Agreement or otherwise payable to Executive (collectively, the </w:t>
      </w:r>
      <w:r>
        <w:rPr>
          <w:rFonts w:ascii="Times New Roman" w:cs="Times New Roman" w:eastAsia="Times New Roman" w:hAnsi="Times New Roman"/>
          <w:sz w:val="22"/>
          <w:szCs w:val="22"/>
          <w:b w:val="1"/>
          <w:bCs w:val="1"/>
          <w:color w:val="auto"/>
        </w:rPr>
        <w:t>"Payments")</w:t>
      </w:r>
      <w:r>
        <w:rPr>
          <w:rFonts w:ascii="Times New Roman" w:cs="Times New Roman" w:eastAsia="Times New Roman" w:hAnsi="Times New Roman"/>
          <w:sz w:val="22"/>
          <w:szCs w:val="22"/>
          <w:color w:val="auto"/>
        </w:rPr>
        <w:t xml:space="preserve"> (i) constitute "parachute payments" within the meaning of Section 280G of the Code and (ii) but for this Section 11, would be subject to the excise tax imposed by Section 4999 of the Code, then Executive's the Payments will be either:</w:t>
      </w:r>
    </w:p>
    <w:p>
      <w:pPr>
        <w:spacing w:after="0" w:line="182" w:lineRule="exact"/>
        <w:rPr>
          <w:sz w:val="20"/>
          <w:szCs w:val="20"/>
          <w:color w:val="auto"/>
        </w:rPr>
      </w:pPr>
    </w:p>
    <w:p>
      <w:pPr>
        <w:ind w:left="3760" w:hanging="373"/>
        <w:spacing w:after="0"/>
        <w:tabs>
          <w:tab w:leader="none" w:pos="37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in full, or</w:t>
      </w:r>
    </w:p>
    <w:p>
      <w:pPr>
        <w:spacing w:after="0" w:line="204" w:lineRule="exact"/>
        <w:rPr>
          <w:rFonts w:ascii="Times New Roman" w:cs="Times New Roman" w:eastAsia="Times New Roman" w:hAnsi="Times New Roman"/>
          <w:sz w:val="22"/>
          <w:szCs w:val="22"/>
          <w:color w:val="auto"/>
        </w:rPr>
      </w:pPr>
    </w:p>
    <w:p>
      <w:pPr>
        <w:ind w:left="1880" w:right="20" w:firstLine="1507"/>
        <w:spacing w:after="0" w:line="255" w:lineRule="auto"/>
        <w:tabs>
          <w:tab w:leader="none" w:pos="392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as to such lesser extent which would result in no portion of such Payments being subject to excise tax under Section 4999 of the Code,</w:t>
      </w:r>
    </w:p>
    <w:p>
      <w:pPr>
        <w:spacing w:after="0" w:line="163" w:lineRule="exact"/>
        <w:rPr>
          <w:sz w:val="20"/>
          <w:szCs w:val="20"/>
          <w:color w:val="auto"/>
        </w:rPr>
      </w:pPr>
    </w:p>
    <w:p>
      <w:pPr>
        <w:jc w:val="both"/>
        <w:ind w:right="20" w:firstLine="9"/>
        <w:spacing w:after="0" w:line="235" w:lineRule="auto"/>
        <w:rPr>
          <w:sz w:val="20"/>
          <w:szCs w:val="20"/>
          <w:color w:val="auto"/>
        </w:rPr>
      </w:pPr>
      <w:r>
        <w:rPr>
          <w:rFonts w:ascii="Times New Roman" w:cs="Times New Roman" w:eastAsia="Times New Roman" w:hAnsi="Times New Roman"/>
          <w:sz w:val="22"/>
          <w:szCs w:val="22"/>
          <w:color w:val="auto"/>
        </w:rPr>
        <w:t>whichever of the foregoing amounts, taking into account the applicable federal, state and local income taxes and the excise tax imposed by Section 4999, results in the receipt by Executive on an after-tax basis, of the greatest amount of Payments, notwithstanding that all or some portion of such Payments may be taxable under Section 4999 of the Code. If a reduction in Payments constituting "parachute payments" is necessary so that the Payments are delivered to a lesser extent, reduction will occur in the following order: (i) reduction of cash payments, which shall occur in reverse chronological order such that the cash payment owed on the latest date following the occurrence of the event triggering such excise tax will be the first cash payment to be reduced; (ii) reduction of</w:t>
      </w:r>
    </w:p>
    <w:p>
      <w:pPr>
        <w:spacing w:after="0" w:line="30" w:lineRule="exact"/>
        <w:rPr>
          <w:sz w:val="20"/>
          <w:szCs w:val="20"/>
          <w:color w:val="auto"/>
        </w:rPr>
      </w:pPr>
    </w:p>
    <w:p>
      <w:pPr>
        <w:jc w:val="both"/>
        <w:ind w:left="20"/>
        <w:spacing w:after="0" w:line="235" w:lineRule="auto"/>
        <w:rPr>
          <w:sz w:val="20"/>
          <w:szCs w:val="20"/>
          <w:color w:val="auto"/>
        </w:rPr>
      </w:pPr>
      <w:r>
        <w:rPr>
          <w:rFonts w:ascii="Times New Roman" w:cs="Times New Roman" w:eastAsia="Times New Roman" w:hAnsi="Times New Roman"/>
          <w:sz w:val="22"/>
          <w:szCs w:val="22"/>
          <w:color w:val="auto"/>
        </w:rPr>
        <w:t>acceleration of vesting of equity awards, which shall occur in the reverse order of the date of grant for such stock awards (i.e., the vesting of the most recently granted stock awards will be reduced first); and (iii) reduction of other benefits paid or provided to the Executive, which shall occur in reverse chronological order such that the benefit owed on the latest date following the occurrence of the event triggering such excise tax will be the first benefit to be reduced. If more than one equity award was made to the Executive on the same date of grant, all such awards shall have their acceleration of vesting reduced pro rata. In no event shall the Executive have any discretion with respect to the ordering of payment reductions.</w:t>
      </w:r>
    </w:p>
    <w:p>
      <w:pPr>
        <w:spacing w:after="0" w:line="170" w:lineRule="exact"/>
        <w:rPr>
          <w:sz w:val="20"/>
          <w:szCs w:val="20"/>
          <w:color w:val="auto"/>
        </w:rPr>
      </w:pPr>
    </w:p>
    <w:p>
      <w:pPr>
        <w:jc w:val="both"/>
        <w:ind w:left="20" w:firstLine="761"/>
        <w:spacing w:after="0" w:line="260" w:lineRule="auto"/>
        <w:rPr>
          <w:sz w:val="20"/>
          <w:szCs w:val="20"/>
          <w:color w:val="auto"/>
        </w:rPr>
      </w:pPr>
      <w:r>
        <w:rPr>
          <w:rFonts w:ascii="Times New Roman" w:cs="Times New Roman" w:eastAsia="Times New Roman" w:hAnsi="Times New Roman"/>
          <w:sz w:val="20"/>
          <w:szCs w:val="20"/>
          <w:color w:val="auto"/>
        </w:rPr>
        <w:t xml:space="preserve">Unless the Company and Executive otherwise agree in writing, any determination required under this Section 11 will be made in writing by a nationally recognized firm of independent public accountants selected by the Company (the </w:t>
      </w:r>
      <w:r>
        <w:rPr>
          <w:rFonts w:ascii="Times New Roman" w:cs="Times New Roman" w:eastAsia="Times New Roman" w:hAnsi="Times New Roman"/>
          <w:sz w:val="20"/>
          <w:szCs w:val="20"/>
          <w:b w:val="1"/>
          <w:bCs w:val="1"/>
          <w:color w:val="auto"/>
        </w:rPr>
        <w:t xml:space="preserve">"Accountants"), </w:t>
      </w:r>
      <w:r>
        <w:rPr>
          <w:rFonts w:ascii="Times New Roman" w:cs="Times New Roman" w:eastAsia="Times New Roman" w:hAnsi="Times New Roman"/>
          <w:sz w:val="20"/>
          <w:szCs w:val="20"/>
          <w:color w:val="auto"/>
        </w:rPr>
        <w:t>whose determination will be conclusive and binding upon Executive and the Company for all purposes.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purposes of making the calculations required by this Section 11, the Accountants may make reasonable assumptions and approximations concerning applicable taxes and may rely on reasonable, good faith interpretations concerning the application of Sections 280G and 4999 of the Code. The Company and Executive will furnish to the Accountants such information and documents as the Accountants may reasonably request in order to make a determination under this Section. The Company will bear all costs the Accountants may reasonably incur in connection with any calculations contemplated by this Section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586105</wp:posOffset>
            </wp:positionV>
            <wp:extent cx="71583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80"/>
          </w:cols>
          <w:pgMar w:left="460" w:top="1392" w:right="459" w:bottom="1440" w:gutter="0" w:footer="0" w:header="0"/>
        </w:sectPr>
      </w:pPr>
    </w:p>
    <w:bookmarkStart w:id="119" w:name="page120"/>
    <w:bookmarkEnd w:id="119"/>
    <w:p>
      <w:pPr>
        <w:spacing w:after="0" w:line="181" w:lineRule="exact"/>
        <w:rPr>
          <w:sz w:val="20"/>
          <w:szCs w:val="20"/>
          <w:color w:val="auto"/>
        </w:rPr>
      </w:pPr>
    </w:p>
    <w:p>
      <w:pPr>
        <w:jc w:val="both"/>
        <w:ind w:left="40" w:firstLine="749"/>
        <w:spacing w:after="0" w:line="242"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Executive confirms her continuing obligations under the Company's standard At-Will Employment, Proprietary Information and Invention Assignment Agreement (the </w:t>
      </w:r>
      <w:r>
        <w:rPr>
          <w:rFonts w:ascii="Times New Roman" w:cs="Times New Roman" w:eastAsia="Times New Roman" w:hAnsi="Times New Roman"/>
          <w:sz w:val="22"/>
          <w:szCs w:val="22"/>
          <w:b w:val="1"/>
          <w:bCs w:val="1"/>
          <w:color w:val="auto"/>
        </w:rPr>
        <w:t>"Confidential Information Agreement")</w:t>
      </w:r>
      <w:r>
        <w:rPr>
          <w:rFonts w:ascii="Times New Roman" w:cs="Times New Roman" w:eastAsia="Times New Roman" w:hAnsi="Times New Roman"/>
          <w:sz w:val="22"/>
          <w:szCs w:val="22"/>
          <w:color w:val="auto"/>
        </w:rPr>
        <w:t xml:space="preserve"> dated on or about the date hereof.</w:t>
      </w:r>
    </w:p>
    <w:p>
      <w:pPr>
        <w:spacing w:after="0" w:line="178" w:lineRule="exact"/>
        <w:rPr>
          <w:sz w:val="20"/>
          <w:szCs w:val="20"/>
          <w:color w:val="auto"/>
        </w:rPr>
      </w:pPr>
    </w:p>
    <w:p>
      <w:pPr>
        <w:jc w:val="both"/>
        <w:ind w:left="40" w:firstLine="764"/>
        <w:spacing w:after="0" w:line="234"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This Agreement will be binding upon and inure to the benefit of (a) the heirs, executors and legal representatives of Executive upon Executive's death and (b) any successor of the Company. Any such successor of the Company will be deemed substituted for the Company under the tern1s of this Agreement for all purposes. For this purpose, </w:t>
      </w:r>
      <w:r>
        <w:rPr>
          <w:rFonts w:ascii="Times New Roman" w:cs="Times New Roman" w:eastAsia="Times New Roman" w:hAnsi="Times New Roman"/>
          <w:sz w:val="22"/>
          <w:szCs w:val="22"/>
          <w:b w:val="1"/>
          <w:bCs w:val="1"/>
          <w:color w:val="auto"/>
        </w:rPr>
        <w:t xml:space="preserve">"successor" </w:t>
      </w:r>
      <w:r>
        <w:rPr>
          <w:rFonts w:ascii="Times New Roman" w:cs="Times New Roman" w:eastAsia="Times New Roman" w:hAnsi="Times New Roman"/>
          <w:sz w:val="22"/>
          <w:szCs w:val="22"/>
          <w:color w:val="auto"/>
        </w:rPr>
        <w:t>means any person, firm, corporation or other business entity which at any time, within by purchase, merger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82" w:lineRule="exact"/>
        <w:rPr>
          <w:sz w:val="20"/>
          <w:szCs w:val="20"/>
          <w:color w:val="auto"/>
        </w:rPr>
      </w:pPr>
    </w:p>
    <w:p>
      <w:pPr>
        <w:jc w:val="both"/>
        <w:ind w:left="40" w:firstLine="749"/>
        <w:spacing w:after="0" w:line="237"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All notices, requests, demands and other communications called for hereunder will be in writing and will be deemed given (i) on the date of delivery if delivered personally; (ii) one (1) day after being sent by a well-established commercial overnight service; or (iii) four (4) days after being mailed by registered or certified mail, return receipt requested, prepaid and addressed to the parties or their successors at the following addresses, or at such other addresses as the parties may later designate in writing:</w:t>
      </w:r>
    </w:p>
    <w:p>
      <w:pPr>
        <w:spacing w:after="0" w:line="8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If to the Company: Soleno</w:t>
      </w:r>
    </w:p>
    <w:p>
      <w:pPr>
        <w:spacing w:after="0" w:line="1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Therapeutics, Inc.</w:t>
      </w:r>
    </w:p>
    <w:p>
      <w:pPr>
        <w:ind w:left="1560"/>
        <w:spacing w:after="0" w:line="232" w:lineRule="auto"/>
        <w:rPr>
          <w:sz w:val="20"/>
          <w:szCs w:val="20"/>
          <w:color w:val="auto"/>
        </w:rPr>
      </w:pPr>
      <w:r>
        <w:rPr>
          <w:rFonts w:ascii="Times New Roman" w:cs="Times New Roman" w:eastAsia="Times New Roman" w:hAnsi="Times New Roman"/>
          <w:sz w:val="22"/>
          <w:szCs w:val="22"/>
          <w:color w:val="auto"/>
        </w:rPr>
        <w:t>Attn: Chief Executive Officer 1235 Radio Rd,</w:t>
      </w:r>
    </w:p>
    <w:p>
      <w:pPr>
        <w:spacing w:after="0" w:line="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Suite 110</w:t>
      </w:r>
    </w:p>
    <w:p>
      <w:pPr>
        <w:spacing w:after="0" w:line="1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Redwood City, CA 94065 If to</w:t>
      </w:r>
    </w:p>
    <w:p>
      <w:pPr>
        <w:spacing w:after="0" w:line="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Executive:</w:t>
      </w:r>
    </w:p>
    <w:p>
      <w:pPr>
        <w:ind w:left="1500"/>
        <w:spacing w:after="0"/>
        <w:rPr>
          <w:sz w:val="20"/>
          <w:szCs w:val="20"/>
          <w:color w:val="auto"/>
        </w:rPr>
      </w:pPr>
      <w:r>
        <w:rPr>
          <w:rFonts w:ascii="Times New Roman" w:cs="Times New Roman" w:eastAsia="Times New Roman" w:hAnsi="Times New Roman"/>
          <w:sz w:val="22"/>
          <w:szCs w:val="22"/>
          <w:color w:val="auto"/>
        </w:rPr>
        <w:t>at the last residential address known by the Company.</w:t>
      </w:r>
    </w:p>
    <w:p>
      <w:pPr>
        <w:spacing w:after="0" w:line="181" w:lineRule="exact"/>
        <w:rPr>
          <w:sz w:val="20"/>
          <w:szCs w:val="20"/>
          <w:color w:val="auto"/>
        </w:rPr>
      </w:pPr>
    </w:p>
    <w:p>
      <w:pPr>
        <w:jc w:val="both"/>
        <w:ind w:right="40" w:firstLine="749"/>
        <w:spacing w:after="0" w:line="255"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In the event that any provision hereof becomes or is declared by a court of competent jurisdiction to be illegal, unenforceable or void, this Agreement will continue in full force and effect without said provision.</w:t>
      </w:r>
    </w:p>
    <w:p>
      <w:pPr>
        <w:spacing w:after="0" w:line="163" w:lineRule="exact"/>
        <w:rPr>
          <w:sz w:val="20"/>
          <w:szCs w:val="20"/>
          <w:color w:val="auto"/>
        </w:rPr>
      </w:pPr>
    </w:p>
    <w:p>
      <w:pPr>
        <w:jc w:val="both"/>
        <w:ind w:right="40" w:firstLine="749"/>
        <w:spacing w:after="0" w:line="270" w:lineRule="auto"/>
        <w:rPr>
          <w:sz w:val="20"/>
          <w:szCs w:val="20"/>
          <w:color w:val="auto"/>
        </w:rPr>
      </w:pPr>
      <w:r>
        <w:rPr>
          <w:rFonts w:ascii="Times New Roman" w:cs="Times New Roman" w:eastAsia="Times New Roman" w:hAnsi="Times New Roman"/>
          <w:sz w:val="20"/>
          <w:szCs w:val="20"/>
          <w:color w:val="auto"/>
        </w:rPr>
        <w:t>16.</w:t>
      </w:r>
      <w:r>
        <w:rPr>
          <w:rFonts w:ascii="Times New Roman" w:cs="Times New Roman" w:eastAsia="Times New Roman" w:hAnsi="Times New Roman"/>
          <w:sz w:val="20"/>
          <w:szCs w:val="20"/>
          <w:u w:val="single" w:color="auto"/>
          <w:color w:val="auto"/>
        </w:rPr>
        <w:t>Integration.</w:t>
      </w:r>
      <w:r>
        <w:rPr>
          <w:rFonts w:ascii="Times New Roman" w:cs="Times New Roman" w:eastAsia="Times New Roman" w:hAnsi="Times New Roman"/>
          <w:sz w:val="20"/>
          <w:szCs w:val="20"/>
          <w:color w:val="auto"/>
        </w:rPr>
        <w:t xml:space="preserve"> This Agreement, together with the 2014 Plan, Option Agreement and the Confidential Information Agreement represents the entire agreement and understanding between the parties as to the subject matter herein and supersedes all prior or contemporaneous agreements within written or oral. This Agreement may be modified only by agreement of the parties by a written instrument executed by the parties that is designated as an amendment to this Agreement.</w:t>
      </w:r>
    </w:p>
    <w:p>
      <w:pPr>
        <w:spacing w:after="0" w:line="150" w:lineRule="exact"/>
        <w:rPr>
          <w:sz w:val="20"/>
          <w:szCs w:val="20"/>
          <w:color w:val="auto"/>
        </w:rPr>
      </w:pPr>
    </w:p>
    <w:p>
      <w:pPr>
        <w:jc w:val="both"/>
        <w:ind w:right="40" w:firstLine="749"/>
        <w:spacing w:after="0" w:line="255"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Waiver of Breach.</w:t>
      </w:r>
      <w:r>
        <w:rPr>
          <w:rFonts w:ascii="Times New Roman" w:cs="Times New Roman" w:eastAsia="Times New Roman" w:hAnsi="Times New Roman"/>
          <w:sz w:val="22"/>
          <w:szCs w:val="22"/>
          <w:color w:val="auto"/>
        </w:rPr>
        <w:t xml:space="preserve"> The waiver of a breach of any term or provision of this Agreement, which must be in writing, will not operate as or be construed to be a waiver of any other previous or subsequent breach of this Agreement.</w:t>
      </w:r>
    </w:p>
    <w:p>
      <w:pPr>
        <w:spacing w:after="0" w:line="149"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xml:space="preserve"> All captions and section headings used in this Agreement are for convenient reference only and do not form a 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586740</wp:posOffset>
            </wp:positionV>
            <wp:extent cx="71583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20" w:name="page121"/>
    <w:bookmarkEnd w:id="120"/>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xml:space="preserve"> All payments made pursuant to this Agreement will be subject to withholding of applicable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taxes.</w:t>
      </w:r>
    </w:p>
    <w:p>
      <w:pPr>
        <w:spacing w:after="0" w:line="16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This Agreement will be governed by the laws of the State of California (with the exception of its conflict of laws provisions).</w:t>
      </w:r>
    </w:p>
    <w:p>
      <w:pPr>
        <w:spacing w:after="0" w:line="16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Acknowledgment.</w:t>
      </w:r>
      <w:r>
        <w:rPr>
          <w:rFonts w:ascii="Times New Roman" w:cs="Times New Roman" w:eastAsia="Times New Roman" w:hAnsi="Times New Roman"/>
          <w:sz w:val="22"/>
          <w:szCs w:val="22"/>
          <w:color w:val="auto"/>
        </w:rPr>
        <w:t xml:space="preserve"> Executive acknowledges that she has had the opportunity to discuss this matter with and obtain advice from her private attorney, has had sufficient time to, and has carefully read and fully understands all the provisions of this Agreement, and is knowingly and voluntarily entering into this Agreement.</w:t>
      </w:r>
    </w:p>
    <w:p>
      <w:pPr>
        <w:spacing w:after="0" w:line="178"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xml:space="preserve"> This Agreement may be executed in counterparts, and each counterpart will have the same force and effect as an original and will constitute an effective, binding agreement on the part of each of the undersigned.</w:t>
      </w:r>
    </w:p>
    <w:p>
      <w:pPr>
        <w:spacing w:after="0" w:line="149" w:lineRule="exact"/>
        <w:rPr>
          <w:sz w:val="20"/>
          <w:szCs w:val="20"/>
          <w:color w:val="auto"/>
        </w:rPr>
      </w:pPr>
    </w:p>
    <w:p>
      <w:pPr>
        <w:jc w:val="both"/>
        <w:ind w:right="60" w:firstLine="749"/>
        <w:spacing w:after="0" w:line="233"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u w:val="single" w:color="auto"/>
          <w:color w:val="auto"/>
        </w:rPr>
        <w:t>Protected Activity.</w:t>
      </w:r>
      <w:r>
        <w:rPr>
          <w:rFonts w:ascii="Times New Roman" w:cs="Times New Roman" w:eastAsia="Times New Roman" w:hAnsi="Times New Roman"/>
          <w:sz w:val="22"/>
          <w:szCs w:val="22"/>
          <w:color w:val="auto"/>
        </w:rPr>
        <w:t xml:space="preserve"> Nothing in this Agreement limits or prohibits Executive from filing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cs="Times New Roman" w:eastAsia="Times New Roman" w:hAnsi="Times New Roman"/>
          <w:sz w:val="22"/>
          <w:szCs w:val="22"/>
          <w:b w:val="1"/>
          <w:bCs w:val="1"/>
          <w:color w:val="auto"/>
        </w:rPr>
        <w:t>("Government Agencies"),</w:t>
      </w:r>
      <w:r>
        <w:rPr>
          <w:rFonts w:ascii="Times New Roman" w:cs="Times New Roman" w:eastAsia="Times New Roman" w:hAnsi="Times New Roman"/>
          <w:sz w:val="22"/>
          <w:szCs w:val="22"/>
          <w:color w:val="auto"/>
        </w:rPr>
        <w:t xml:space="preserve"> including disclosing documents or other information as permitted by law, without giving notice to, or receiving authorization from, the Company. Notwithstanding, in making any such disclosures or communications, Executive must take all reasonable precautions to prevent any unauthorized use or disclosure of any information that may constitute confidential information of the Company to any parties other than the Government</w:t>
      </w:r>
    </w:p>
    <w:p>
      <w:pPr>
        <w:spacing w:after="0" w:line="39" w:lineRule="exact"/>
        <w:rPr>
          <w:sz w:val="20"/>
          <w:szCs w:val="20"/>
          <w:color w:val="auto"/>
        </w:rPr>
      </w:pPr>
    </w:p>
    <w:p>
      <w:pPr>
        <w:ind w:right="260" w:firstLine="1"/>
        <w:spacing w:after="0" w:line="255" w:lineRule="auto"/>
        <w:rPr>
          <w:sz w:val="20"/>
          <w:szCs w:val="20"/>
          <w:color w:val="auto"/>
        </w:rPr>
      </w:pPr>
      <w:r>
        <w:rPr>
          <w:rFonts w:ascii="Times New Roman" w:cs="Times New Roman" w:eastAsia="Times New Roman" w:hAnsi="Times New Roman"/>
          <w:sz w:val="22"/>
          <w:szCs w:val="22"/>
          <w:color w:val="auto"/>
        </w:rPr>
        <w:t>Agencies. Executive is not permitted to disclose the Company's attorney-client privileged communications or attorney work product.</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754380</wp:posOffset>
            </wp:positionV>
            <wp:extent cx="71583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60"/>
          </w:cols>
          <w:pgMar w:left="440" w:top="1440" w:right="499" w:bottom="1440" w:gutter="0" w:footer="0" w:header="0"/>
        </w:sectPr>
      </w:pPr>
    </w:p>
    <w:bookmarkStart w:id="121" w:name="page122"/>
    <w:bookmarkEnd w:id="121"/>
    <w:p>
      <w:pPr>
        <w:spacing w:after="0" w:line="19" w:lineRule="exact"/>
        <w:rPr>
          <w:sz w:val="20"/>
          <w:szCs w:val="20"/>
          <w:color w:val="auto"/>
        </w:rPr>
      </w:pPr>
    </w:p>
    <w:p>
      <w:pPr>
        <w:ind w:firstLine="755"/>
        <w:spacing w:after="0" w:line="255" w:lineRule="auto"/>
        <w:rPr>
          <w:sz w:val="20"/>
          <w:szCs w:val="20"/>
          <w:color w:val="auto"/>
        </w:rPr>
      </w:pPr>
      <w:r>
        <w:rPr>
          <w:rFonts w:ascii="Times New Roman" w:cs="Times New Roman" w:eastAsia="Times New Roman" w:hAnsi="Times New Roman"/>
          <w:sz w:val="22"/>
          <w:szCs w:val="22"/>
          <w:color w:val="1C1A21"/>
        </w:rPr>
        <w:t>IN WITNESS WHEREOF, each of the parties has executed this Agreement, in the case of the Company by their duly authorized officers, as of the day and year first above written.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C1A21"/>
        </w:rPr>
        <w:t>COMPANY: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C1A21"/>
        </w:rPr>
        <w:t>SOLENO THERAPEUTICS, INC.</w:t>
      </w:r>
    </w:p>
    <w:p>
      <w:pPr>
        <w:spacing w:after="0" w:line="218" w:lineRule="exact"/>
        <w:rPr>
          <w:sz w:val="20"/>
          <w:szCs w:val="20"/>
          <w:color w:val="auto"/>
        </w:rPr>
      </w:pPr>
    </w:p>
    <w:p>
      <w:pPr>
        <w:spacing w:after="0"/>
        <w:tabs>
          <w:tab w:leader="none" w:pos="620" w:val="left"/>
          <w:tab w:leader="none" w:pos="3860" w:val="left"/>
        </w:tabs>
        <w:rPr>
          <w:sz w:val="20"/>
          <w:szCs w:val="20"/>
          <w:color w:val="auto"/>
        </w:rPr>
      </w:pPr>
      <w:r>
        <w:rPr>
          <w:rFonts w:ascii="Times New Roman" w:cs="Times New Roman" w:eastAsia="Times New Roman" w:hAnsi="Times New Roman"/>
          <w:sz w:val="22"/>
          <w:szCs w:val="22"/>
          <w:color w:val="1C1A21"/>
        </w:rPr>
        <w:t>By:</w:t>
        <w:tab/>
        <w:t>/s/ Anish Bhatnagar</w:t>
      </w:r>
      <w:r>
        <w:rPr>
          <w:sz w:val="20"/>
          <w:szCs w:val="20"/>
          <w:color w:val="auto"/>
        </w:rPr>
        <w:tab/>
      </w:r>
      <w:r>
        <w:rPr>
          <w:rFonts w:ascii="Times New Roman" w:cs="Times New Roman" w:eastAsia="Times New Roman" w:hAnsi="Times New Roman"/>
          <w:sz w:val="22"/>
          <w:szCs w:val="22"/>
          <w:color w:val="1C1A21"/>
        </w:rPr>
        <w:t>Date:  January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-14605</wp:posOffset>
            </wp:positionV>
            <wp:extent cx="39071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3">
                      <a:extLst>
                        <a:ext uri="{28A0092B-C50C-407E-A947-70E740481C1C}"/>
                      </a:extLst>
                    </a:blip>
                    <a:srcRect/>
                    <a:stretch>
                      <a:fillRect/>
                    </a:stretch>
                  </pic:blipFill>
                  <pic:spPr bwMode="auto">
                    <a:xfrm>
                      <a:off x="0" y="0"/>
                      <a:ext cx="3907155"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C1A21"/>
        </w:rPr>
        <w:t>Anish Bhatnagar, MD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C1A21"/>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C1A21"/>
        </w:rPr>
        <w:t>EXECUTIVE: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3860" w:val="left"/>
          <w:tab w:leader="none" w:pos="4540" w:val="left"/>
        </w:tabs>
        <w:rPr>
          <w:sz w:val="20"/>
          <w:szCs w:val="20"/>
          <w:color w:val="auto"/>
        </w:rPr>
      </w:pPr>
      <w:r>
        <w:rPr>
          <w:rFonts w:ascii="Times New Roman" w:cs="Times New Roman" w:eastAsia="Times New Roman" w:hAnsi="Times New Roman"/>
          <w:sz w:val="22"/>
          <w:szCs w:val="22"/>
          <w:color w:val="1C1A21"/>
        </w:rPr>
        <w:t>By: /s/ Patricia C. Hirano</w:t>
      </w:r>
      <w:r>
        <w:rPr>
          <w:sz w:val="20"/>
          <w:szCs w:val="20"/>
          <w:color w:val="auto"/>
        </w:rPr>
        <w:tab/>
      </w:r>
      <w:r>
        <w:rPr>
          <w:rFonts w:ascii="Times New Roman" w:cs="Times New Roman" w:eastAsia="Times New Roman" w:hAnsi="Times New Roman"/>
          <w:sz w:val="22"/>
          <w:szCs w:val="22"/>
          <w:color w:val="1C1A21"/>
        </w:rPr>
        <w:t>Date:</w:t>
      </w:r>
      <w:r>
        <w:rPr>
          <w:sz w:val="20"/>
          <w:szCs w:val="20"/>
          <w:color w:val="auto"/>
        </w:rPr>
        <w:tab/>
      </w:r>
      <w:r>
        <w:rPr>
          <w:rFonts w:ascii="Times New Roman" w:cs="Times New Roman" w:eastAsia="Times New Roman" w:hAnsi="Times New Roman"/>
          <w:sz w:val="20"/>
          <w:szCs w:val="20"/>
          <w:color w:val="1C1A21"/>
        </w:rPr>
        <w:t>January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-14605</wp:posOffset>
            </wp:positionV>
            <wp:extent cx="418084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4">
                      <a:extLst>
                        <a:ext uri="{28A0092B-C50C-407E-A947-70E740481C1C}"/>
                      </a:extLst>
                    </a:blip>
                    <a:srcRect/>
                    <a:stretch>
                      <a:fillRect/>
                    </a:stretch>
                  </pic:blipFill>
                  <pic:spPr bwMode="auto">
                    <a:xfrm>
                      <a:off x="0" y="0"/>
                      <a:ext cx="418084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C1A21"/>
        </w:rPr>
        <w:t>Patricia C. Hirano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4462145</wp:posOffset>
            </wp:positionV>
            <wp:extent cx="71583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440" w:top="1440" w:right="55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1C1A21"/>
        </w:rPr>
        <w:t>[SIGNATURE PAGE TO PATRICIA HIRANO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631190</wp:posOffset>
            </wp:positionV>
            <wp:extent cx="71583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1387" w:right="1440" w:bottom="1440" w:gutter="0" w:footer="0" w:header="0"/>
        </w:sectPr>
      </w:pPr>
    </w:p>
    <w:bookmarkStart w:id="123" w:name="page124"/>
    <w:bookmarkEnd w:id="123"/>
    <w:p>
      <w:pPr>
        <w:ind w:left="9240"/>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SOLENO THERAPEUTICS, INC.</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EMPLOYMENT AGREEMENT</w:t>
      </w:r>
    </w:p>
    <w:p>
      <w:pPr>
        <w:spacing w:after="0" w:line="205" w:lineRule="exact"/>
        <w:rPr>
          <w:sz w:val="20"/>
          <w:szCs w:val="20"/>
          <w:color w:val="auto"/>
        </w:rPr>
      </w:pPr>
    </w:p>
    <w:p>
      <w:pPr>
        <w:ind w:firstLine="749"/>
        <w:spacing w:after="0" w:line="259" w:lineRule="auto"/>
        <w:rPr>
          <w:sz w:val="20"/>
          <w:szCs w:val="20"/>
          <w:color w:val="auto"/>
        </w:rPr>
      </w:pPr>
      <w:r>
        <w:rPr>
          <w:rFonts w:ascii="Times New Roman" w:cs="Times New Roman" w:eastAsia="Times New Roman" w:hAnsi="Times New Roman"/>
          <w:sz w:val="22"/>
          <w:szCs w:val="22"/>
          <w:color w:val="auto"/>
        </w:rPr>
        <w:t>This Executive Employment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into effective as of January 23, 2024,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by and between Soleno Therapeutics,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Meredith Manning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020" w:hanging="264"/>
        <w:spacing w:after="0"/>
        <w:tabs>
          <w:tab w:leader="none" w:pos="102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and Scope of Employment</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left="1880" w:firstLine="1498"/>
        <w:spacing w:after="0" w:line="234"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Positions and Duties</w:t>
      </w:r>
      <w:r>
        <w:rPr>
          <w:rFonts w:ascii="Times New Roman" w:cs="Times New Roman" w:eastAsia="Times New Roman" w:hAnsi="Times New Roman"/>
          <w:sz w:val="22"/>
          <w:szCs w:val="22"/>
          <w:color w:val="auto"/>
        </w:rPr>
        <w:t>. This employment agreement between the Executive and the Company will commence on the Effective Date, as defined above. Executive will serve as Chief Commercial Officer of the Company. Executive will render such business and professional services in the performance of Executive’s duties, consistent with Executive’s position within the Company, as will reasonably be assigned to Executive by the Company’s Chief Executive Officer (“</w:t>
      </w:r>
      <w:r>
        <w:rPr>
          <w:rFonts w:ascii="Times New Roman" w:cs="Times New Roman" w:eastAsia="Times New Roman" w:hAnsi="Times New Roman"/>
          <w:sz w:val="22"/>
          <w:szCs w:val="22"/>
          <w:b w:val="1"/>
          <w:bCs w:val="1"/>
          <w:color w:val="auto"/>
        </w:rPr>
        <w:t>CEO</w:t>
      </w:r>
      <w:r>
        <w:rPr>
          <w:rFonts w:ascii="Times New Roman" w:cs="Times New Roman" w:eastAsia="Times New Roman" w:hAnsi="Times New Roman"/>
          <w:sz w:val="22"/>
          <w:szCs w:val="22"/>
          <w:color w:val="auto"/>
        </w:rPr>
        <w:t>”). The Company may modify Executive’s job title and duties as it deems necessary and appropriate in light of the Company’s needs and interests from time to time. The period of Executive’s employment under this Agreement is referred to herein as the “</w:t>
      </w:r>
      <w:r>
        <w:rPr>
          <w:rFonts w:ascii="Times New Roman" w:cs="Times New Roman" w:eastAsia="Times New Roman" w:hAnsi="Times New Roman"/>
          <w:sz w:val="22"/>
          <w:szCs w:val="22"/>
          <w:b w:val="1"/>
          <w:bCs w:val="1"/>
          <w:color w:val="auto"/>
        </w:rPr>
        <w:t>Employment Term</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left="1880" w:firstLine="1498"/>
        <w:spacing w:after="0" w:line="258"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During the Employment Term, Executive will perform Executive’s duties faithfully and to the best of Executive’s ability and will devote substantially all of Executive’s business efforts and time to the Company. For the duration of the Employment Term, Executive agrees not to actively engage in any other employment, occupation or consulting activity for any direct or indirect remuneration that would impact in any material respect Executive’s ability to perform Executive’s duties and obligations hereunder. Executive further agrees to comply with all Company policies currently in existence or that may be adopted by the Company during the Employment Term. For avoidance of doubt, Executive hereby agrees that, during the Employment Term with the Company, Executive will not engage in any other employment, occupation, consulting, or other business activity directly related to the business in which the Company is now involved or becomes involved during the Employment Term, nor will Executive engage in any other activities that conflict with Executive’s obligations to the Company.</w:t>
      </w:r>
    </w:p>
    <w:p>
      <w:pPr>
        <w:spacing w:after="0" w:line="200" w:lineRule="exact"/>
        <w:rPr>
          <w:sz w:val="20"/>
          <w:szCs w:val="20"/>
          <w:color w:val="auto"/>
        </w:rPr>
      </w:pPr>
    </w:p>
    <w:p>
      <w:pPr>
        <w:spacing w:after="0" w:line="210" w:lineRule="exact"/>
        <w:rPr>
          <w:sz w:val="20"/>
          <w:szCs w:val="20"/>
          <w:color w:val="auto"/>
        </w:rPr>
      </w:pPr>
    </w:p>
    <w:p>
      <w:pPr>
        <w:jc w:val="both"/>
        <w:ind w:left="1880" w:firstLine="1498"/>
        <w:spacing w:after="0" w:line="23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Prior Agreements</w:t>
      </w:r>
      <w:r>
        <w:rPr>
          <w:rFonts w:ascii="Times New Roman" w:cs="Times New Roman" w:eastAsia="Times New Roman" w:hAnsi="Times New Roman"/>
          <w:sz w:val="22"/>
          <w:szCs w:val="22"/>
          <w:color w:val="auto"/>
        </w:rPr>
        <w:t>. Executive hereby represents and warrants to the Company that Executive is not party to any contract, understanding, agreement, or policy, written or otherwise, which would be breached by Executive’s entering into, or performing services under, this Agreement. Executive agrees to disclose to the Company any and all agreements relating to Executive’s prior employment that may affect Executive’s eligibility to be employed by the Company or limit the manner in which Executive may be employed. Executive hereby represents and warrants that any such agreements will not prevent Executive from performing the duties of Executive’s position. Executive hereby agrees not to bring any third-party confidential information to the Company, including that of Executive’s former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83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24" w:name="page125"/>
    <w:bookmarkEnd w:id="124"/>
    <w:p>
      <w:pPr>
        <w:spacing w:after="0" w:line="181" w:lineRule="exact"/>
        <w:rPr>
          <w:sz w:val="20"/>
          <w:szCs w:val="20"/>
          <w:color w:val="auto"/>
        </w:rPr>
      </w:pPr>
    </w:p>
    <w:p>
      <w:pPr>
        <w:ind w:left="1440"/>
        <w:spacing w:after="0" w:line="255" w:lineRule="auto"/>
        <w:rPr>
          <w:sz w:val="20"/>
          <w:szCs w:val="20"/>
          <w:color w:val="auto"/>
        </w:rPr>
      </w:pPr>
      <w:r>
        <w:rPr>
          <w:rFonts w:ascii="Times New Roman" w:cs="Times New Roman" w:eastAsia="Times New Roman" w:hAnsi="Times New Roman"/>
          <w:sz w:val="22"/>
          <w:szCs w:val="22"/>
          <w:color w:val="auto"/>
        </w:rPr>
        <w:t>employer, and that Executive will not in any way utilize any such information in performing Executive’s duties for the Company.</w:t>
      </w:r>
    </w:p>
    <w:p>
      <w:pPr>
        <w:spacing w:after="0" w:line="163" w:lineRule="exact"/>
        <w:rPr>
          <w:sz w:val="20"/>
          <w:szCs w:val="20"/>
          <w:color w:val="auto"/>
        </w:rPr>
      </w:pPr>
    </w:p>
    <w:p>
      <w:pPr>
        <w:jc w:val="both"/>
        <w:ind w:left="-440" w:firstLine="756"/>
        <w:spacing w:after="0" w:line="235" w:lineRule="auto"/>
        <w:tabs>
          <w:tab w:leader="none" w:pos="57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The parties agree that Executive’s employment with the Company will be “at-will” employment and may be terminated at any time with or without Cause or notice. Executive understands and agrees that neither Executive’s job performance nor promotions, commendations, bonuses or the like from the Company give rise to or in any way serve as the basis for modification, amendment, or extension, by implication or otherwise, of Executive’s employment with the Company. However, as described in this Agreement, Executive may be entitled to severance benefits depending on the circumstances of Executive’s termination of employment with the Company.</w:t>
      </w:r>
    </w:p>
    <w:p>
      <w:pPr>
        <w:spacing w:after="0" w:line="183" w:lineRule="exact"/>
        <w:rPr>
          <w:rFonts w:ascii="Times New Roman" w:cs="Times New Roman" w:eastAsia="Times New Roman" w:hAnsi="Times New Roman"/>
          <w:sz w:val="22"/>
          <w:szCs w:val="22"/>
          <w:color w:val="auto"/>
        </w:rPr>
      </w:pPr>
    </w:p>
    <w:p>
      <w:pPr>
        <w:ind w:left="580" w:hanging="264"/>
        <w:spacing w:after="0"/>
        <w:tabs>
          <w:tab w:leader="none" w:pos="5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left="1440" w:firstLine="1498"/>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Employment Term, the Company will pay Executive an annual salary of $440,000 as compensation for Executive’s services (the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The Base Salary will be paid periodically in accordance with the Company’s normal payroll practices and be subject to the usual, required withholdings. Executive’s Base Salary will be subject to review and adjustments will be made based upon the Company’s normal performance review practices, in the Company’s sole discretion. Moreover, the Company may modify salaries and benefits from time to time as it deems necessary.</w:t>
      </w:r>
    </w:p>
    <w:p>
      <w:pPr>
        <w:spacing w:after="0" w:line="184" w:lineRule="exact"/>
        <w:rPr>
          <w:sz w:val="20"/>
          <w:szCs w:val="20"/>
          <w:color w:val="auto"/>
        </w:rPr>
      </w:pPr>
    </w:p>
    <w:p>
      <w:pPr>
        <w:jc w:val="both"/>
        <w:ind w:left="1440" w:firstLine="1498"/>
        <w:spacing w:after="0" w:line="233"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Executive will be eligible to receive an annual discretionary target bonus of up to forty percent (40%) of Executive’s Base Salary, upon the achievement of performance objectives to be determined in its good faith discretion by the Company’s Board of Directors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or its compensation committee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Target Bonus</w:t>
      </w:r>
      <w:r>
        <w:rPr>
          <w:rFonts w:ascii="Times New Roman" w:cs="Times New Roman" w:eastAsia="Times New Roman" w:hAnsi="Times New Roman"/>
          <w:sz w:val="22"/>
          <w:szCs w:val="22"/>
          <w:color w:val="auto"/>
        </w:rPr>
        <w:t>”). The Target Bonus, or any portion thereof, will be paid as soon as practicable after the Board determines that the Target Bonus has been earned, but in no event will the Target Bonus be paid after the later of (i) the fifteenth (15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day of the third (3</w:t>
      </w:r>
      <w:r>
        <w:rPr>
          <w:rFonts w:ascii="Times New Roman" w:cs="Times New Roman" w:eastAsia="Times New Roman" w:hAnsi="Times New Roman"/>
          <w:sz w:val="14"/>
          <w:szCs w:val="14"/>
          <w:color w:val="auto"/>
        </w:rPr>
        <w:t>rd</w:t>
      </w:r>
      <w:r>
        <w:rPr>
          <w:rFonts w:ascii="Times New Roman" w:cs="Times New Roman" w:eastAsia="Times New Roman" w:hAnsi="Times New Roman"/>
          <w:sz w:val="22"/>
          <w:szCs w:val="22"/>
          <w:color w:val="auto"/>
        </w:rPr>
        <w:t>) month following the close of the Company’s fiscal year in which the Target Bonus is earned or (ii) March 15 following the calendar year in which the Target Bonus is earned. Executive must be employed by Company on the date a Target Bonus is paid to earn such a bonus.</w:t>
      </w:r>
    </w:p>
    <w:p>
      <w:pPr>
        <w:spacing w:after="0" w:line="187" w:lineRule="exact"/>
        <w:rPr>
          <w:sz w:val="20"/>
          <w:szCs w:val="20"/>
          <w:color w:val="auto"/>
        </w:rPr>
      </w:pPr>
    </w:p>
    <w:p>
      <w:pPr>
        <w:jc w:val="both"/>
        <w:ind w:left="1440" w:firstLine="1498"/>
        <w:spacing w:after="0" w:line="233"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Following the Effective Date, it will be recommended to the Board that Executive be granted a stock option to purchase 128,000 shares of the Company’s common stock at an exercise price equal to the fair market value of Company common stock per share on the date of grant (the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Subject to the acceleration provisions below, the Option will vest as to 1/4th of the shares subject to the Option on the one year anniversary of the Effective Date, and as to 1/48th of the shares subject to the Option monthly thereafter on the same day of each month as the Effective Date (and if there is no corresponding day, the last day of the month), so that the Option will be fully vested and exercisable on the fourth anniversary from the Effective Date, subject to Executive continuing to provide services to the Company through the relevant vesting dates. The Option will be</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374650</wp:posOffset>
            </wp:positionV>
            <wp:extent cx="715835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125" w:name="page126"/>
    <w:bookmarkEnd w:id="125"/>
    <w:p>
      <w:pPr>
        <w:spacing w:after="0" w:line="181" w:lineRule="exact"/>
        <w:rPr>
          <w:sz w:val="20"/>
          <w:szCs w:val="20"/>
          <w:color w:val="auto"/>
        </w:rPr>
      </w:pPr>
    </w:p>
    <w:p>
      <w:pPr>
        <w:jc w:val="both"/>
        <w:ind w:left="1440"/>
        <w:spacing w:after="0" w:line="234" w:lineRule="auto"/>
        <w:rPr>
          <w:sz w:val="20"/>
          <w:szCs w:val="20"/>
          <w:color w:val="auto"/>
        </w:rPr>
      </w:pPr>
      <w:r>
        <w:rPr>
          <w:rFonts w:ascii="Times New Roman" w:cs="Times New Roman" w:eastAsia="Times New Roman" w:hAnsi="Times New Roman"/>
          <w:sz w:val="22"/>
          <w:szCs w:val="22"/>
          <w:color w:val="auto"/>
        </w:rPr>
        <w:t>subject to the terms, definitions and provisions of the Company’s 2020 Inducement Equity Incentive Plan (the “</w:t>
      </w:r>
      <w:r>
        <w:rPr>
          <w:rFonts w:ascii="Times New Roman" w:cs="Times New Roman" w:eastAsia="Times New Roman" w:hAnsi="Times New Roman"/>
          <w:sz w:val="22"/>
          <w:szCs w:val="22"/>
          <w:b w:val="1"/>
          <w:bCs w:val="1"/>
          <w:color w:val="auto"/>
        </w:rPr>
        <w:t>2020 Plan</w:t>
      </w:r>
      <w:r>
        <w:rPr>
          <w:rFonts w:ascii="Times New Roman" w:cs="Times New Roman" w:eastAsia="Times New Roman" w:hAnsi="Times New Roman"/>
          <w:sz w:val="22"/>
          <w:szCs w:val="22"/>
          <w:color w:val="auto"/>
        </w:rPr>
        <w:t>”) and the stock option agreement between Executive and the Company (the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both of which documents are incorporated herein by reference. Executive will be eligible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 additional awards of stock options, restricted stock units or other equity awards pursuant to any plans or arrangements the Company may have in effect from time to time. The Board or the Committee of the Board will determine in its discretion within Executive will be granted any such equity awards and the terms of any such award in accordance with the terms of any applicable plan or arrangement that may be in effect from time to time.</w:t>
      </w:r>
    </w:p>
    <w:p>
      <w:pPr>
        <w:spacing w:after="0" w:line="182" w:lineRule="exact"/>
        <w:rPr>
          <w:sz w:val="20"/>
          <w:szCs w:val="20"/>
          <w:color w:val="auto"/>
        </w:rPr>
      </w:pPr>
    </w:p>
    <w:p>
      <w:pPr>
        <w:jc w:val="both"/>
        <w:ind w:left="-440" w:firstLine="756"/>
        <w:spacing w:after="0" w:line="235" w:lineRule="auto"/>
        <w:tabs>
          <w:tab w:leader="none" w:pos="57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During the Employment Term, Executive will be entitled to participate in the employee benefit plans currently and hereafter maintained by the Company of general applicability to other senior executives of the Company, including, without limitation, the Company’s group medical, dental, vision, disability, life insurance, and flexible-spending account plans. The Company reserves the right to cancel or change the benefit plans and programs it offers to its employees at any time. Notwithstanding the foregoing, the Company shall enter an indemnification agreement with Executive and maintain coverage under the Company’s directors’ and officers’ liability insurance to the same extent as other senior executives during the Employment Term.</w:t>
      </w:r>
    </w:p>
    <w:p>
      <w:pPr>
        <w:spacing w:after="0" w:line="178" w:lineRule="exact"/>
        <w:rPr>
          <w:rFonts w:ascii="Times New Roman" w:cs="Times New Roman" w:eastAsia="Times New Roman" w:hAnsi="Times New Roman"/>
          <w:sz w:val="22"/>
          <w:szCs w:val="22"/>
          <w:color w:val="auto"/>
        </w:rPr>
      </w:pPr>
    </w:p>
    <w:p>
      <w:pPr>
        <w:ind w:left="-440" w:firstLine="756"/>
        <w:spacing w:after="0" w:line="255" w:lineRule="auto"/>
        <w:tabs>
          <w:tab w:leader="none" w:pos="57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Executive will be entitled to receive paid annual vacation in accordance with Company policy for other senior executives of the Company.</w:t>
      </w:r>
    </w:p>
    <w:p>
      <w:pPr>
        <w:spacing w:after="0" w:line="162" w:lineRule="exact"/>
        <w:rPr>
          <w:rFonts w:ascii="Times New Roman" w:cs="Times New Roman" w:eastAsia="Times New Roman" w:hAnsi="Times New Roman"/>
          <w:sz w:val="22"/>
          <w:szCs w:val="22"/>
          <w:color w:val="auto"/>
        </w:rPr>
      </w:pPr>
    </w:p>
    <w:p>
      <w:pPr>
        <w:jc w:val="both"/>
        <w:ind w:left="-440" w:firstLine="756"/>
        <w:spacing w:after="0" w:line="242" w:lineRule="auto"/>
        <w:tabs>
          <w:tab w:leader="none" w:pos="57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of Relocation Expenses</w:t>
      </w:r>
      <w:r>
        <w:rPr>
          <w:rFonts w:ascii="Times New Roman" w:cs="Times New Roman" w:eastAsia="Times New Roman" w:hAnsi="Times New Roman"/>
          <w:sz w:val="22"/>
          <w:szCs w:val="22"/>
          <w:color w:val="auto"/>
        </w:rPr>
        <w:t>. The Company shall reimburse Executive for up to $10,000 in relocation expenses for Executive’s move to the San Francisco Bay Area, subject to Executive submitting valid receipts to the Company and any applicable Company policy.</w:t>
      </w:r>
    </w:p>
    <w:p>
      <w:pPr>
        <w:spacing w:after="0" w:line="177" w:lineRule="exact"/>
        <w:rPr>
          <w:rFonts w:ascii="Times New Roman" w:cs="Times New Roman" w:eastAsia="Times New Roman" w:hAnsi="Times New Roman"/>
          <w:sz w:val="22"/>
          <w:szCs w:val="22"/>
          <w:color w:val="auto"/>
        </w:rPr>
      </w:pPr>
    </w:p>
    <w:p>
      <w:pPr>
        <w:jc w:val="both"/>
        <w:ind w:left="-440" w:firstLine="756"/>
        <w:spacing w:after="0" w:line="238" w:lineRule="auto"/>
        <w:tabs>
          <w:tab w:leader="none" w:pos="57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The Company will reimburse Executive for reasonable travel, entertainment or other expenses incurred by Executive in the furtherance of or in connection with the performance of Executive’s duties hereunder, in accordance with the Company’s expense reimbursement policy as in effect from time to time. To the extent possible, such expenses must be pre-approved by the Company.</w:t>
      </w:r>
    </w:p>
    <w:p>
      <w:pPr>
        <w:spacing w:after="0" w:line="181" w:lineRule="exact"/>
        <w:rPr>
          <w:rFonts w:ascii="Times New Roman" w:cs="Times New Roman" w:eastAsia="Times New Roman" w:hAnsi="Times New Roman"/>
          <w:sz w:val="22"/>
          <w:szCs w:val="22"/>
          <w:color w:val="auto"/>
        </w:rPr>
      </w:pPr>
    </w:p>
    <w:p>
      <w:pPr>
        <w:ind w:left="580" w:hanging="264"/>
        <w:spacing w:after="0"/>
        <w:tabs>
          <w:tab w:leader="none" w:pos="5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left="1440" w:firstLine="1498"/>
        <w:spacing w:after="0" w:line="237"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Non-CIC Qualified Termination</w:t>
      </w:r>
      <w:r>
        <w:rPr>
          <w:rFonts w:ascii="Times New Roman" w:cs="Times New Roman" w:eastAsia="Times New Roman" w:hAnsi="Times New Roman"/>
          <w:sz w:val="22"/>
          <w:szCs w:val="22"/>
          <w:color w:val="auto"/>
        </w:rPr>
        <w:t>. If, after six (6) months after the Effective Date, the Company terminates Executive’s employment with the Company outside of the Change in Control Period (as defined below) other than for Cause (as defined below), death or Disability (as defined below), or if Executive resigns from employment for Good Reason (as defined below) (such a termination, a “</w:t>
      </w:r>
      <w:r>
        <w:rPr>
          <w:rFonts w:ascii="Times New Roman" w:cs="Times New Roman" w:eastAsia="Times New Roman" w:hAnsi="Times New Roman"/>
          <w:sz w:val="22"/>
          <w:szCs w:val="22"/>
          <w:b w:val="1"/>
          <w:bCs w:val="1"/>
          <w:color w:val="auto"/>
        </w:rPr>
        <w:t>Qualified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Termination</w:t>
      </w:r>
      <w:r>
        <w:rPr>
          <w:rFonts w:ascii="Times New Roman" w:cs="Times New Roman" w:eastAsia="Times New Roman" w:hAnsi="Times New Roman"/>
          <w:sz w:val="22"/>
          <w:szCs w:val="22"/>
          <w:color w:val="auto"/>
        </w:rPr>
        <w:t>”), then, subject to Section 9, Executive will be entitled to the following:</w:t>
      </w:r>
    </w:p>
    <w:p>
      <w:pPr>
        <w:spacing w:after="0" w:line="179" w:lineRule="exact"/>
        <w:rPr>
          <w:sz w:val="20"/>
          <w:szCs w:val="20"/>
          <w:color w:val="auto"/>
        </w:rPr>
      </w:pPr>
    </w:p>
    <w:p>
      <w:pPr>
        <w:jc w:val="both"/>
        <w:ind w:left="-440" w:firstLine="2629"/>
        <w:spacing w:after="0" w:line="242" w:lineRule="auto"/>
        <w:tabs>
          <w:tab w:leader="none" w:pos="261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continued payment of Executive’s annual Base Salary, at the level in effect immediately prior to Executive’s termination date, for a period of nine (9) months following the date of the Qualified Termination, with the first payment paid on the first Company payroll date</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374650</wp:posOffset>
            </wp:positionV>
            <wp:extent cx="71583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126" w:name="page127"/>
    <w:bookmarkEnd w:id="126"/>
    <w:p>
      <w:pPr>
        <w:spacing w:after="0" w:line="1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2"/>
          <w:szCs w:val="22"/>
          <w:color w:val="auto"/>
        </w:rPr>
        <w:t>following the effective date of the Release (as defined below) (and to include any amounts that otherwise would have been paid between the termination date and the payment date); and</w:t>
      </w:r>
    </w:p>
    <w:p>
      <w:pPr>
        <w:spacing w:after="0" w:line="163" w:lineRule="exact"/>
        <w:rPr>
          <w:sz w:val="20"/>
          <w:szCs w:val="20"/>
          <w:color w:val="auto"/>
        </w:rPr>
      </w:pPr>
    </w:p>
    <w:p>
      <w:pPr>
        <w:jc w:val="both"/>
        <w:ind w:firstLine="2629"/>
        <w:spacing w:after="0" w:line="257" w:lineRule="auto"/>
        <w:tabs>
          <w:tab w:leader="none" w:pos="3055"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reimbursement by the Company for the cost of premiums for Executive and Executive’s covered dependents, if any, for group health insurance continuation coverage under Title X of the Consolidated Omnibus Budget Reconciliation Act of 1985, as amended (“</w:t>
      </w:r>
      <w:r>
        <w:rPr>
          <w:rFonts w:ascii="Times New Roman" w:cs="Times New Roman" w:eastAsia="Times New Roman" w:hAnsi="Times New Roman"/>
          <w:sz w:val="20"/>
          <w:szCs w:val="20"/>
          <w:b w:val="1"/>
          <w:bCs w:val="1"/>
          <w:color w:val="auto"/>
        </w:rPr>
        <w:t>COBRA</w:t>
      </w:r>
      <w:r>
        <w:rPr>
          <w:rFonts w:ascii="Times New Roman" w:cs="Times New Roman" w:eastAsia="Times New Roman" w:hAnsi="Times New Roman"/>
          <w:sz w:val="20"/>
          <w:szCs w:val="20"/>
          <w:color w:val="auto"/>
        </w:rPr>
        <w:t>”) for up to nine (9) months following Executive’s termination of employment (the “COBRA Premium Reimbursement”), provided that (x) Executive and Executive’s covered dependents timely elect and remain eligible for continued coverage under COBRA and (y) such COBRA Premium Reimbursement does not result in excise tax penalties for the Company under applicable laws (including, without limitation, Section 2716 of the Public Health Service Act). Notwithstanding the preceding, if the Company determines in its sole discretion that it cannot provide COBRA reimbursement benefits without potentially violating applicable law (including, without limitation, Section 2716 of the Public Health Service Act), the Company will instead provide the Executive a taxable payment in an amount equal to the monthly COBRA premium that the Executive would be required to pay to continue the Executive’s group health coverage in effect on the date of termination of employment (which amount will be based on the premium for the first month of COBRA coverage), which payments will be made regardless of whether the Executive elects COBRA continuation coverage and will commence in the month following the month of the termination date and continue for the period of months indicated in this section.</w:t>
      </w:r>
    </w:p>
    <w:p>
      <w:pPr>
        <w:spacing w:after="0" w:line="200" w:lineRule="exact"/>
        <w:rPr>
          <w:sz w:val="20"/>
          <w:szCs w:val="20"/>
          <w:color w:val="auto"/>
        </w:rPr>
      </w:pPr>
    </w:p>
    <w:p>
      <w:pPr>
        <w:spacing w:after="0" w:line="212" w:lineRule="exact"/>
        <w:rPr>
          <w:sz w:val="20"/>
          <w:szCs w:val="20"/>
          <w:color w:val="auto"/>
        </w:rPr>
      </w:pPr>
    </w:p>
    <w:p>
      <w:pPr>
        <w:jc w:val="both"/>
        <w:ind w:left="1880" w:firstLine="1498"/>
        <w:spacing w:after="0" w:line="238"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CIC Qualified Termination</w:t>
      </w:r>
      <w:r>
        <w:rPr>
          <w:rFonts w:ascii="Times New Roman" w:cs="Times New Roman" w:eastAsia="Times New Roman" w:hAnsi="Times New Roman"/>
          <w:sz w:val="22"/>
          <w:szCs w:val="22"/>
          <w:color w:val="auto"/>
        </w:rPr>
        <w:t>. Upon a Qualified Termination occurring after the Effective Date and during the period beginning three (3) months prior to a Change in Control (as defined below) and ending six (6) months following a Change in Control (the “</w:t>
      </w:r>
      <w:r>
        <w:rPr>
          <w:rFonts w:ascii="Times New Roman" w:cs="Times New Roman" w:eastAsia="Times New Roman" w:hAnsi="Times New Roman"/>
          <w:sz w:val="22"/>
          <w:szCs w:val="22"/>
          <w:b w:val="1"/>
          <w:bCs w:val="1"/>
          <w:color w:val="auto"/>
        </w:rPr>
        <w:t>Change in Control Period</w:t>
      </w:r>
      <w:r>
        <w:rPr>
          <w:rFonts w:ascii="Times New Roman" w:cs="Times New Roman" w:eastAsia="Times New Roman" w:hAnsi="Times New Roman"/>
          <w:sz w:val="22"/>
          <w:szCs w:val="22"/>
          <w:color w:val="auto"/>
        </w:rPr>
        <w:t>”), then, subject to Section 9, Executive will be entitled to the following:</w:t>
      </w:r>
    </w:p>
    <w:p>
      <w:pPr>
        <w:spacing w:after="0" w:line="182" w:lineRule="exact"/>
        <w:rPr>
          <w:sz w:val="20"/>
          <w:szCs w:val="20"/>
          <w:color w:val="auto"/>
        </w:rPr>
      </w:pPr>
    </w:p>
    <w:p>
      <w:pPr>
        <w:jc w:val="both"/>
        <w:ind w:firstLine="2629"/>
        <w:spacing w:after="0" w:line="242" w:lineRule="auto"/>
        <w:tabs>
          <w:tab w:leader="none" w:pos="305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payment equal to twelve (12) months of Executive’s annual Base Salary, at the level in effect immediately prior to Executive’s termination date, paid on the first Company payroll date following the effective date of the Release;</w:t>
      </w:r>
    </w:p>
    <w:p>
      <w:pPr>
        <w:spacing w:after="0" w:line="177" w:lineRule="exact"/>
        <w:rPr>
          <w:rFonts w:ascii="Times New Roman" w:cs="Times New Roman" w:eastAsia="Times New Roman" w:hAnsi="Times New Roman"/>
          <w:sz w:val="22"/>
          <w:szCs w:val="22"/>
          <w:color w:val="auto"/>
        </w:rPr>
      </w:pPr>
    </w:p>
    <w:p>
      <w:pPr>
        <w:ind w:firstLine="2629"/>
        <w:spacing w:after="0" w:line="255" w:lineRule="auto"/>
        <w:tabs>
          <w:tab w:leader="none" w:pos="305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payment equal to fifty percent (50%) of Executive’s target bonus for the year in such the Qualified Termination occurred, paid on the first Company payroll date following the effective date of the Release;</w:t>
      </w:r>
    </w:p>
    <w:p>
      <w:pPr>
        <w:spacing w:after="0" w:line="162" w:lineRule="exact"/>
        <w:rPr>
          <w:rFonts w:ascii="Times New Roman" w:cs="Times New Roman" w:eastAsia="Times New Roman" w:hAnsi="Times New Roman"/>
          <w:sz w:val="22"/>
          <w:szCs w:val="22"/>
          <w:color w:val="auto"/>
        </w:rPr>
      </w:pPr>
    </w:p>
    <w:p>
      <w:pPr>
        <w:jc w:val="both"/>
        <w:ind w:firstLine="2629"/>
        <w:spacing w:after="0" w:line="233" w:lineRule="auto"/>
        <w:tabs>
          <w:tab w:leader="none" w:pos="305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COBRA Premium Reimbursement for up to twelve (12) months following Executive’s termination of employment, provided that (x) Executive and Executive’s covered dependents timely elect and remain eligible for continued coverage under COBRA and (y) such COBRA Premium Reimbursement does not result in excise tax penalties for the Company under applicable laws (including, without limitation, Section 2716 of the Public Health Service Act). Notwithstanding the preceding, if the Company determines in its sole discretion that it cannot provide COBRA reimbursement benefits without potentially violating applicable law (including, without limitation, Section 2716 of the Public Health Service Act), the Company will instead provide the Executive a taxable payment in an amount equal to the monthly COBRA premium that the Executive would be required to pay to continue the Executive’s group health coverage in effect on the date of termination of employment (which amount will be based on the premium for the first month of COBRA coverage), which payments will be made regardless of whether the Executive elects COBRA</w:t>
      </w:r>
    </w:p>
    <w:p>
      <w:pPr>
        <w:spacing w:after="0" w:line="200" w:lineRule="exact"/>
        <w:rPr>
          <w:sz w:val="20"/>
          <w:szCs w:val="20"/>
          <w:color w:val="auto"/>
        </w:rPr>
      </w:pPr>
    </w:p>
    <w:p>
      <w:pPr>
        <w:spacing w:after="0" w:line="3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1583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2"/>
          <w:szCs w:val="22"/>
          <w:color w:val="auto"/>
        </w:rPr>
        <w:t>continuation coverage and will commence in the month following the month of the termination date and continue for the period of months indicated in this section; and</w:t>
      </w:r>
    </w:p>
    <w:p>
      <w:pPr>
        <w:spacing w:after="0" w:line="163" w:lineRule="exact"/>
        <w:rPr>
          <w:sz w:val="20"/>
          <w:szCs w:val="20"/>
          <w:color w:val="auto"/>
        </w:rPr>
      </w:pPr>
    </w:p>
    <w:p>
      <w:pPr>
        <w:jc w:val="both"/>
        <w:ind w:firstLine="2629"/>
        <w:spacing w:after="0" w:line="235" w:lineRule="auto"/>
        <w:tabs>
          <w:tab w:leader="none" w:pos="305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hundred percent (100%) of the unvested portion of any Equity Awards held by Executive that remain outstanding as of immediately prior to the date of such Qualified Termination shall immediately vest and become exercisable (but, in no case, will more than 100% of the shares subject to any award vest and become exercisable); provided, however, that any stock options or other equity award held by Executive that, at any time such equity award is outstanding, is subject to performance-based vesting, will vest assuming target performance. For purposes of clarity, any Equity Awards held by Executive as of any Qualified Termination not within the Change in Control Period will remain outstanding for three (3) months following such Qualified Termination in order to give effect to this provision.</w:t>
      </w:r>
    </w:p>
    <w:p>
      <w:pPr>
        <w:spacing w:after="0" w:line="179" w:lineRule="exact"/>
        <w:rPr>
          <w:sz w:val="20"/>
          <w:szCs w:val="20"/>
          <w:color w:val="auto"/>
        </w:rPr>
      </w:pPr>
    </w:p>
    <w:p>
      <w:pPr>
        <w:jc w:val="both"/>
        <w:ind w:left="1880" w:firstLine="1498"/>
        <w:spacing w:after="0" w:line="238"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Non-Duplication of Payment or Benefits</w:t>
      </w:r>
      <w:r>
        <w:rPr>
          <w:rFonts w:ascii="Times New Roman" w:cs="Times New Roman" w:eastAsia="Times New Roman" w:hAnsi="Times New Roman"/>
          <w:sz w:val="22"/>
          <w:szCs w:val="22"/>
          <w:color w:val="auto"/>
        </w:rPr>
        <w:t>. For purposes of clarity, in the event of that a Change in Control occurs within three (3) months following a Qualified Termination, any severance payments and benefits to be provided to the Executive under Section 8(b) will be reduced by any amounts that already were provided to the Executive under Section 8(a).</w:t>
      </w:r>
    </w:p>
    <w:p>
      <w:pPr>
        <w:spacing w:after="0" w:line="182" w:lineRule="exact"/>
        <w:rPr>
          <w:sz w:val="20"/>
          <w:szCs w:val="20"/>
          <w:color w:val="auto"/>
        </w:rPr>
      </w:pPr>
    </w:p>
    <w:p>
      <w:pPr>
        <w:jc w:val="both"/>
        <w:ind w:left="1880" w:firstLine="1498"/>
        <w:spacing w:after="0" w:line="234"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Termination for Cause, Death or Disability; Voluntary Resignation without Good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Reason</w:t>
      </w:r>
      <w:r>
        <w:rPr>
          <w:rFonts w:ascii="Times New Roman" w:cs="Times New Roman" w:eastAsia="Times New Roman" w:hAnsi="Times New Roman"/>
          <w:sz w:val="22"/>
          <w:szCs w:val="22"/>
          <w:color w:val="auto"/>
        </w:rPr>
        <w:t>. If Executive’s employment with the Company terminates voluntarily by Executive without Good Reason, for Cause by the Company or due to Executive’s death or Disability, then (i) all vesting will terminate immediately with respect to Executive’s outstanding equity awards, (ii) all payments of compensation by the Company to Executive hereunder will terminate immediately (except as to amounts already earned and which shall be paid to Executive), and (iii) Executive will only be eligible for severance benefits in accordance with the Company’s established policies, if any, as then in effect and subject to any conditions set forth by the Company as to the receipt of such severance benefits.</w:t>
      </w:r>
    </w:p>
    <w:p>
      <w:pPr>
        <w:spacing w:after="0" w:line="182" w:lineRule="exact"/>
        <w:rPr>
          <w:sz w:val="20"/>
          <w:szCs w:val="20"/>
          <w:color w:val="auto"/>
        </w:rPr>
      </w:pPr>
    </w:p>
    <w:p>
      <w:pPr>
        <w:jc w:val="both"/>
        <w:ind w:left="1880" w:firstLine="1498"/>
        <w:spacing w:after="0" w:line="237"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Accrued Compensation and Benefits</w:t>
      </w:r>
      <w:r>
        <w:rPr>
          <w:rFonts w:ascii="Times New Roman" w:cs="Times New Roman" w:eastAsia="Times New Roman" w:hAnsi="Times New Roman"/>
          <w:sz w:val="22"/>
          <w:szCs w:val="22"/>
          <w:color w:val="auto"/>
        </w:rPr>
        <w:t>. For the avoidance of doubt, in the event of a termination of Executive’s employment with the Company (for any reason), Executive will receive payment for all accrued but unpaid wages, all accrued but unused vacation/paid time off, all submitted and approved expense reimbursements, and other benefits due to Executive as of the termination date, in accordance with applicable law.</w:t>
      </w:r>
    </w:p>
    <w:p>
      <w:pPr>
        <w:spacing w:after="0" w:line="179" w:lineRule="exact"/>
        <w:rPr>
          <w:sz w:val="20"/>
          <w:szCs w:val="20"/>
          <w:color w:val="auto"/>
        </w:rPr>
      </w:pPr>
    </w:p>
    <w:p>
      <w:pPr>
        <w:ind w:left="1020" w:hanging="264"/>
        <w:spacing w:after="0"/>
        <w:tabs>
          <w:tab w:leader="none" w:pos="10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Receipt of Severance; No Duty to Mitigate</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left="1880" w:firstLine="1498"/>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Separation Agreement and Release of Claims</w:t>
      </w:r>
      <w:r>
        <w:rPr>
          <w:rFonts w:ascii="Times New Roman" w:cs="Times New Roman" w:eastAsia="Times New Roman" w:hAnsi="Times New Roman"/>
          <w:sz w:val="22"/>
          <w:szCs w:val="22"/>
          <w:color w:val="auto"/>
        </w:rPr>
        <w:t>. The receipt of any severance set forth in Section 8 above is contingent upon Executive signing and not revoking a separation agreement and release of claims in a form reasonably satisfactory to the Company (the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and provided that such Release becomes effective and irrevocable no later than sixty (60) days following the termination date (such deadline, the “</w:t>
      </w:r>
      <w:r>
        <w:rPr>
          <w:rFonts w:ascii="Times New Roman" w:cs="Times New Roman" w:eastAsia="Times New Roman" w:hAnsi="Times New Roman"/>
          <w:sz w:val="22"/>
          <w:szCs w:val="22"/>
          <w:b w:val="1"/>
          <w:bCs w:val="1"/>
          <w:color w:val="auto"/>
        </w:rPr>
        <w:t>Release Deadline</w:t>
      </w:r>
      <w:r>
        <w:rPr>
          <w:rFonts w:ascii="Times New Roman" w:cs="Times New Roman" w:eastAsia="Times New Roman" w:hAnsi="Times New Roman"/>
          <w:sz w:val="22"/>
          <w:szCs w:val="22"/>
          <w:color w:val="auto"/>
        </w:rPr>
        <w:t>”). If the Release does not become effective and irrevocable by the Release Deadline, Executive will forfeit</w:t>
      </w:r>
    </w:p>
    <w:p>
      <w:pPr>
        <w:spacing w:after="0" w:line="200" w:lineRule="exact"/>
        <w:rPr>
          <w:sz w:val="20"/>
          <w:szCs w:val="20"/>
          <w:color w:val="auto"/>
        </w:rPr>
      </w:pPr>
    </w:p>
    <w:p>
      <w:pPr>
        <w:spacing w:after="0" w:line="3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1583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81" w:lineRule="exact"/>
        <w:rPr>
          <w:sz w:val="20"/>
          <w:szCs w:val="20"/>
          <w:color w:val="auto"/>
        </w:rPr>
      </w:pPr>
    </w:p>
    <w:p>
      <w:pPr>
        <w:ind w:left="1880"/>
        <w:spacing w:after="0" w:line="255" w:lineRule="auto"/>
        <w:rPr>
          <w:sz w:val="20"/>
          <w:szCs w:val="20"/>
          <w:color w:val="auto"/>
        </w:rPr>
      </w:pPr>
      <w:r>
        <w:rPr>
          <w:rFonts w:ascii="Times New Roman" w:cs="Times New Roman" w:eastAsia="Times New Roman" w:hAnsi="Times New Roman"/>
          <w:sz w:val="22"/>
          <w:szCs w:val="22"/>
          <w:color w:val="auto"/>
        </w:rPr>
        <w:t>any rights to severance payments or benefits under this Agreement. In no event will severance payments or benefits be paid or provided until the Release becomes effective and irrevocable.</w:t>
      </w:r>
    </w:p>
    <w:p>
      <w:pPr>
        <w:spacing w:after="0" w:line="1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Limitation on Payments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2629"/>
        <w:spacing w:after="0" w:line="238" w:lineRule="auto"/>
        <w:tabs>
          <w:tab w:leader="none" w:pos="305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payments and benefits provided for in this Agreement or other payments and benefits payable or provided to Executive (i) constitute “parachute payments” within the meaning of Section 280G of the Code and (ii) but for this Section 9(b), would be subject to the excise tax imposed by Section 4999 of the Code, then your payments and benefits under this Agreement or other payments or benefits (the “</w:t>
      </w:r>
      <w:r>
        <w:rPr>
          <w:rFonts w:ascii="Times New Roman" w:cs="Times New Roman" w:eastAsia="Times New Roman" w:hAnsi="Times New Roman"/>
          <w:sz w:val="22"/>
          <w:szCs w:val="22"/>
          <w:b w:val="1"/>
          <w:bCs w:val="1"/>
          <w:color w:val="auto"/>
        </w:rPr>
        <w:t>280G Amounts</w:t>
      </w:r>
      <w:r>
        <w:rPr>
          <w:rFonts w:ascii="Times New Roman" w:cs="Times New Roman" w:eastAsia="Times New Roman" w:hAnsi="Times New Roman"/>
          <w:sz w:val="22"/>
          <w:szCs w:val="22"/>
          <w:color w:val="auto"/>
        </w:rPr>
        <w:t>”) will be either:</w:t>
      </w:r>
    </w:p>
    <w:p>
      <w:pPr>
        <w:spacing w:after="0" w:line="181"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in full, or</w:t>
      </w:r>
    </w:p>
    <w:p>
      <w:pPr>
        <w:spacing w:after="0" w:line="204" w:lineRule="exact"/>
        <w:rPr>
          <w:rFonts w:ascii="Times New Roman" w:cs="Times New Roman" w:eastAsia="Times New Roman" w:hAnsi="Times New Roman"/>
          <w:sz w:val="22"/>
          <w:szCs w:val="22"/>
          <w:color w:val="auto"/>
        </w:rPr>
      </w:pPr>
    </w:p>
    <w:p>
      <w:pPr>
        <w:jc w:val="both"/>
        <w:ind w:firstLine="3003"/>
        <w:spacing w:after="0" w:line="237" w:lineRule="auto"/>
        <w:tabs>
          <w:tab w:leader="none" w:pos="356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as to such lesser extent which would result in no portion of such payments and benefits being subject to the excise tax under Section 4999 of the Code, whichever of the foregoing amounts, taking into account the applicable federal, state and local income taxes and the excise tax imposed by Section 4999 of the Code, results in your receipt on an after-tax basis, of the greatest amount of 280G Amounts, notwithstanding that all or some portion of the 280G Amounts may be taxable under Section 4999 of the Code.</w:t>
      </w:r>
    </w:p>
    <w:p>
      <w:pPr>
        <w:spacing w:after="0" w:line="178" w:lineRule="exact"/>
        <w:rPr>
          <w:rFonts w:ascii="Times New Roman" w:cs="Times New Roman" w:eastAsia="Times New Roman" w:hAnsi="Times New Roman"/>
          <w:sz w:val="22"/>
          <w:szCs w:val="22"/>
          <w:color w:val="auto"/>
        </w:rPr>
      </w:pPr>
    </w:p>
    <w:p>
      <w:pPr>
        <w:jc w:val="both"/>
        <w:ind w:firstLine="2629"/>
        <w:spacing w:after="0" w:line="242" w:lineRule="auto"/>
        <w:tabs>
          <w:tab w:leader="none" w:pos="305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Reduction Order</w:t>
      </w:r>
      <w:r>
        <w:rPr>
          <w:rFonts w:ascii="Times New Roman" w:cs="Times New Roman" w:eastAsia="Times New Roman" w:hAnsi="Times New Roman"/>
          <w:sz w:val="22"/>
          <w:szCs w:val="22"/>
          <w:color w:val="auto"/>
        </w:rPr>
        <w:t>. In the event that a reduction of 280G Amounts is being made in accordance with this Section 9(b), the reduction will occur, with respect to the 280G Amounts considered parachute payments within the meaning of Section 280G of the Code, in the following order:</w:t>
      </w:r>
    </w:p>
    <w:p>
      <w:pPr>
        <w:spacing w:after="0" w:line="177" w:lineRule="exact"/>
        <w:rPr>
          <w:rFonts w:ascii="Times New Roman" w:cs="Times New Roman" w:eastAsia="Times New Roman" w:hAnsi="Times New Roman"/>
          <w:sz w:val="22"/>
          <w:szCs w:val="22"/>
          <w:color w:val="auto"/>
        </w:rPr>
      </w:pPr>
    </w:p>
    <w:p>
      <w:pPr>
        <w:jc w:val="both"/>
        <w:ind w:firstLine="3003"/>
        <w:spacing w:after="0" w:line="242" w:lineRule="auto"/>
        <w:tabs>
          <w:tab w:leader="none" w:pos="356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reduction of cash payments in reverse chronological order (that is, the cash payment owed on the latest date following the occurrence of the event triggering the excise tax will be the first cash payment to be reduced);</w:t>
      </w:r>
    </w:p>
    <w:p>
      <w:pPr>
        <w:spacing w:after="0" w:line="177" w:lineRule="exact"/>
        <w:rPr>
          <w:rFonts w:ascii="Times New Roman" w:cs="Times New Roman" w:eastAsia="Times New Roman" w:hAnsi="Times New Roman"/>
          <w:sz w:val="22"/>
          <w:szCs w:val="22"/>
          <w:color w:val="auto"/>
        </w:rPr>
      </w:pPr>
    </w:p>
    <w:p>
      <w:pPr>
        <w:jc w:val="both"/>
        <w:ind w:right="20" w:firstLine="3003"/>
        <w:spacing w:after="0" w:line="242" w:lineRule="auto"/>
        <w:tabs>
          <w:tab w:leader="none" w:pos="356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cancellation of equity awards that were granted “contingent on a change in ownership or control” within the meaning of Code Section 280G in the reverse order of date of grant of the awards (that is, the most recently granted equity awards will be cancelled first);</w:t>
      </w:r>
    </w:p>
    <w:p>
      <w:pPr>
        <w:spacing w:after="0" w:line="177"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reduction of the accelerated vesting of equity awards in the reverse order of date of grant</w:t>
      </w:r>
    </w:p>
    <w:p>
      <w:pPr>
        <w:spacing w:after="0" w:line="3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of the awards (that is, the vesting of the most recently granted equity awards will be cancelled first); and</w:t>
      </w:r>
    </w:p>
    <w:p>
      <w:pPr>
        <w:spacing w:after="0" w:line="180" w:lineRule="exact"/>
        <w:rPr>
          <w:rFonts w:ascii="Times New Roman" w:cs="Times New Roman" w:eastAsia="Times New Roman" w:hAnsi="Times New Roman"/>
          <w:sz w:val="20"/>
          <w:szCs w:val="20"/>
          <w:color w:val="auto"/>
        </w:rPr>
      </w:pPr>
    </w:p>
    <w:p>
      <w:pPr>
        <w:ind w:right="20" w:firstLine="3003"/>
        <w:spacing w:after="0" w:line="255" w:lineRule="auto"/>
        <w:tabs>
          <w:tab w:leader="none" w:pos="356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reduction of employee benefits in reverse chronological order (that is, the benefit owed on the latest date following the occurrence of the event triggering the excise tax will be the first benefit to be reduced).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no event will Executive have any discretion with respect to the ordering of payments or benefits.</w:t>
      </w:r>
    </w:p>
    <w:p>
      <w:pPr>
        <w:spacing w:after="0" w:line="205" w:lineRule="exact"/>
        <w:rPr>
          <w:sz w:val="20"/>
          <w:szCs w:val="20"/>
          <w:color w:val="auto"/>
        </w:rPr>
      </w:pPr>
    </w:p>
    <w:p>
      <w:pPr>
        <w:jc w:val="both"/>
        <w:ind w:firstLine="2629"/>
        <w:spacing w:after="0" w:line="238" w:lineRule="auto"/>
        <w:tabs>
          <w:tab w:leader="none" w:pos="305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Firm</w:t>
      </w:r>
      <w:r>
        <w:rPr>
          <w:rFonts w:ascii="Times New Roman" w:cs="Times New Roman" w:eastAsia="Times New Roman" w:hAnsi="Times New Roman"/>
          <w:sz w:val="22"/>
          <w:szCs w:val="22"/>
          <w:color w:val="auto"/>
        </w:rPr>
        <w:t>. Unless the Company and Executive otherwise agree in writing, any determination required under this Section 9(b) will be made in writing by a nationally recognized accounting or valuation firm (the “</w:t>
      </w:r>
      <w:r>
        <w:rPr>
          <w:rFonts w:ascii="Times New Roman" w:cs="Times New Roman" w:eastAsia="Times New Roman" w:hAnsi="Times New Roman"/>
          <w:sz w:val="22"/>
          <w:szCs w:val="22"/>
          <w:b w:val="1"/>
          <w:bCs w:val="1"/>
          <w:color w:val="auto"/>
        </w:rPr>
        <w:t>Firm</w:t>
      </w:r>
      <w:r>
        <w:rPr>
          <w:rFonts w:ascii="Times New Roman" w:cs="Times New Roman" w:eastAsia="Times New Roman" w:hAnsi="Times New Roman"/>
          <w:sz w:val="22"/>
          <w:szCs w:val="22"/>
          <w:color w:val="auto"/>
        </w:rPr>
        <w:t>”) selected by the Company, whose determination will be conclusive and binding upon you and the Company for all purposes. For purposes of making the</w:t>
      </w:r>
    </w:p>
    <w:p>
      <w:pPr>
        <w:spacing w:after="0" w:line="200" w:lineRule="exact"/>
        <w:rPr>
          <w:sz w:val="20"/>
          <w:szCs w:val="20"/>
          <w:color w:val="auto"/>
        </w:rPr>
      </w:pPr>
    </w:p>
    <w:p>
      <w:pPr>
        <w:spacing w:after="0" w:line="3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15835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calculations required by this Section 9(b),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9(b). The Company will bear all costs and make all payments for the Firm’s services relating to any calculations contemplated by this Section 9(b).</w:t>
      </w:r>
    </w:p>
    <w:p>
      <w:pPr>
        <w:spacing w:after="0" w:line="17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(c)Section 409A.</w:t>
      </w:r>
    </w:p>
    <w:p>
      <w:pPr>
        <w:spacing w:after="0" w:line="205" w:lineRule="exact"/>
        <w:rPr>
          <w:sz w:val="20"/>
          <w:szCs w:val="20"/>
          <w:color w:val="auto"/>
        </w:rPr>
      </w:pPr>
    </w:p>
    <w:p>
      <w:pPr>
        <w:jc w:val="both"/>
        <w:ind w:firstLine="2629"/>
        <w:spacing w:after="0" w:line="235" w:lineRule="auto"/>
        <w:tabs>
          <w:tab w:leader="none" w:pos="305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no severance pay or benefits to be paid or provided to Executive, if any, pursuant to this Agreement, when considered together with any other severance payments or separation benefits that are considered deferred compensation under Section 409A of the Code, and the final regulations and any guidance promulgated thereunder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(together, the “</w:t>
      </w:r>
      <w:r>
        <w:rPr>
          <w:rFonts w:ascii="Times New Roman" w:cs="Times New Roman" w:eastAsia="Times New Roman" w:hAnsi="Times New Roman"/>
          <w:sz w:val="22"/>
          <w:szCs w:val="22"/>
          <w:b w:val="1"/>
          <w:bCs w:val="1"/>
          <w:color w:val="auto"/>
        </w:rPr>
        <w:t>Deferred Compensation Separation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Benefits</w:t>
      </w:r>
      <w:r>
        <w:rPr>
          <w:rFonts w:ascii="Times New Roman" w:cs="Times New Roman" w:eastAsia="Times New Roman" w:hAnsi="Times New Roman"/>
          <w:sz w:val="22"/>
          <w:szCs w:val="22"/>
          <w:color w:val="auto"/>
        </w:rPr>
        <w:t>”) will be paid or otherwise provided until Executive has a “separation from service” within the meaning of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409A.</w:t>
      </w:r>
    </w:p>
    <w:p>
      <w:pPr>
        <w:spacing w:after="0" w:line="183" w:lineRule="exact"/>
        <w:rPr>
          <w:rFonts w:ascii="Times New Roman" w:cs="Times New Roman" w:eastAsia="Times New Roman" w:hAnsi="Times New Roman"/>
          <w:sz w:val="22"/>
          <w:szCs w:val="22"/>
          <w:color w:val="auto"/>
        </w:rPr>
      </w:pPr>
    </w:p>
    <w:p>
      <w:pPr>
        <w:jc w:val="both"/>
        <w:ind w:firstLine="2629"/>
        <w:spacing w:after="0" w:line="235" w:lineRule="auto"/>
        <w:tabs>
          <w:tab w:leader="none" w:pos="305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severance payments or benefits under this Agreement that would be considered Deferred Compensation Severance Benefits will be paid on, or, in the case of installments, will not commence until, the sixtieth (60th) day following Executive’s separation from service. Any installment payments that would have been made to Executive during the sixty (60) day period immediately following Executive’s separation from service but for the preceding sentence will be paid to Executive on the sixtieth (60th) day following Executive’s separation from service and the remaining payments shall be made as provided in this Agreement.</w:t>
      </w:r>
    </w:p>
    <w:p>
      <w:pPr>
        <w:spacing w:after="0" w:line="183" w:lineRule="exact"/>
        <w:rPr>
          <w:rFonts w:ascii="Times New Roman" w:cs="Times New Roman" w:eastAsia="Times New Roman" w:hAnsi="Times New Roman"/>
          <w:sz w:val="22"/>
          <w:szCs w:val="22"/>
          <w:color w:val="auto"/>
        </w:rPr>
      </w:pPr>
    </w:p>
    <w:p>
      <w:pPr>
        <w:jc w:val="both"/>
        <w:ind w:firstLine="2629"/>
        <w:spacing w:after="0" w:line="258" w:lineRule="auto"/>
        <w:tabs>
          <w:tab w:leader="none" w:pos="3055"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if Executive is a “specified employee” within the meaning of Section 409A at the time of Executive’s termination (other than due to death), then the Deferred Compensation Separation Benefits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Compensation Separation Benefits,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Compensation Separation Benefits will be payable in accordance with the payment schedule applicable to each payment or benefit. Each payment and benefit payable under this Agreement is intended to constitute separate payments for purposes of Section 1.409A-2(b)(2) of the Treasury Regulations.</w:t>
      </w:r>
    </w:p>
    <w:p>
      <w:pPr>
        <w:spacing w:after="0" w:line="162" w:lineRule="exact"/>
        <w:rPr>
          <w:rFonts w:ascii="Times New Roman" w:cs="Times New Roman" w:eastAsia="Times New Roman" w:hAnsi="Times New Roman"/>
          <w:sz w:val="20"/>
          <w:szCs w:val="20"/>
          <w:color w:val="auto"/>
        </w:rPr>
      </w:pPr>
    </w:p>
    <w:p>
      <w:pPr>
        <w:jc w:val="both"/>
        <w:ind w:firstLine="2629"/>
        <w:spacing w:after="0" w:line="242" w:lineRule="auto"/>
        <w:tabs>
          <w:tab w:leader="none" w:pos="305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paid under this Agreement that satisfies the requirements of the “short-term deferral” rule set forth in Section 1.409A-1(b)(4) of the Treasury Regulations will not constitute Deferred Compensation Separation Benefits for purposes of clause (i) above.</w:t>
      </w:r>
    </w:p>
    <w:p>
      <w:pPr>
        <w:spacing w:after="0" w:line="177" w:lineRule="exact"/>
        <w:rPr>
          <w:rFonts w:ascii="Times New Roman" w:cs="Times New Roman" w:eastAsia="Times New Roman" w:hAnsi="Times New Roman"/>
          <w:sz w:val="22"/>
          <w:szCs w:val="22"/>
          <w:color w:val="auto"/>
        </w:rPr>
      </w:pPr>
    </w:p>
    <w:p>
      <w:pPr>
        <w:ind w:right="20" w:firstLine="2629"/>
        <w:spacing w:after="0" w:line="255" w:lineRule="auto"/>
        <w:tabs>
          <w:tab w:leader="none" w:pos="305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paid under this Agreement that qualifies as a payment made as a result of an involuntary separation from service pursuant to Section 1.409A-1(b)(9)(iii) of the</w:t>
      </w:r>
    </w:p>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1583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2"/>
          <w:szCs w:val="22"/>
          <w:color w:val="auto"/>
        </w:rPr>
        <w:t>Treasury Regulations that does not exceed the Section 409A Limit (as defined below) will not constitute Deferred Compensation Separation Benefits for purposes of clause (i) above.</w:t>
      </w:r>
    </w:p>
    <w:p>
      <w:pPr>
        <w:spacing w:after="0" w:line="163" w:lineRule="exact"/>
        <w:rPr>
          <w:sz w:val="20"/>
          <w:szCs w:val="20"/>
          <w:color w:val="auto"/>
        </w:rPr>
      </w:pPr>
    </w:p>
    <w:p>
      <w:pPr>
        <w:jc w:val="both"/>
        <w:ind w:firstLine="2629"/>
        <w:spacing w:after="0" w:line="234" w:lineRule="auto"/>
        <w:tabs>
          <w:tab w:leader="none" w:pos="305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provisions are intended to comply with or be exempt from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 In no event will the Company have any liability or obligation to reimburse, indemnify, or hold harmless Executive (or any other person) for any taxes or costs that may be imposed on or incurred by Executive (or any other person) as a result of Section 409A.</w:t>
      </w:r>
    </w:p>
    <w:p>
      <w:pPr>
        <w:spacing w:after="0" w:line="182" w:lineRule="exact"/>
        <w:rPr>
          <w:sz w:val="20"/>
          <w:szCs w:val="20"/>
          <w:color w:val="auto"/>
        </w:rPr>
      </w:pPr>
    </w:p>
    <w:p>
      <w:pPr>
        <w:jc w:val="both"/>
        <w:ind w:left="1880" w:firstLine="1498"/>
        <w:spacing w:after="0" w:line="238"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Confidential Information Agreement</w:t>
      </w:r>
      <w:r>
        <w:rPr>
          <w:rFonts w:ascii="Times New Roman" w:cs="Times New Roman" w:eastAsia="Times New Roman" w:hAnsi="Times New Roman"/>
          <w:sz w:val="22"/>
          <w:szCs w:val="22"/>
          <w:color w:val="auto"/>
        </w:rPr>
        <w:t>. Executive’s receipt of any payments or benefits under Section 8 will be subject to Executive continuing to comply with the terms of the Confidential Information Agreement (as defined below and to the extent modified herein to permit Protected Activity (as defined herein)) and the provisions of this Agreement.</w:t>
      </w:r>
    </w:p>
    <w:p>
      <w:pPr>
        <w:spacing w:after="0" w:line="182" w:lineRule="exact"/>
        <w:rPr>
          <w:sz w:val="20"/>
          <w:szCs w:val="20"/>
          <w:color w:val="auto"/>
        </w:rPr>
      </w:pPr>
    </w:p>
    <w:p>
      <w:pPr>
        <w:jc w:val="both"/>
        <w:ind w:left="1880" w:firstLine="1498"/>
        <w:spacing w:after="0" w:line="242"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No Duty to Mitigate</w:t>
      </w:r>
      <w:r>
        <w:rPr>
          <w:rFonts w:ascii="Times New Roman" w:cs="Times New Roman" w:eastAsia="Times New Roman" w:hAnsi="Times New Roman"/>
          <w:sz w:val="22"/>
          <w:szCs w:val="22"/>
          <w:color w:val="auto"/>
        </w:rPr>
        <w:t>. Executive will not be required to mitigate the amount of any payment contemplated by this Agreement, nor will any earnings that Executive may receive from any other source reduce any such payment.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01" w:lineRule="exact"/>
        <w:rPr>
          <w:sz w:val="20"/>
          <w:szCs w:val="20"/>
          <w:color w:val="auto"/>
        </w:rPr>
      </w:pPr>
    </w:p>
    <w:p>
      <w:pPr>
        <w:jc w:val="both"/>
        <w:ind w:left="1880" w:firstLine="1498"/>
        <w:spacing w:after="0" w:line="233"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means: (i) Executive’s act of personal dishonesty in connection with Executive’s responsibilities as an employee that is intended to result in Executive’s substantial personal enrichment; (ii) Executive being convicted of, or pleading no contest or guilty to, (x) a misdemeanor that the Company reasonably believes has had or will have a material detrimental effect on the Company, or (y) any felony; (iii) Executive’s gross misconduct; (iv) Executive’s willful and continued failure to perform the duties and responsibilities of Executive’s position after there has been delivered to Executive a written demand for performance from the Company that describes the basis for the Company’s belief that Executive has not substantially performed Executive’s duties and Executive has not corrected such failure within thirty (30) days of such written demand; or (v) Executive’s material violation of any written Company employment policy or standard of conduct, including a material breach of the Confidential Information Agreement (excluding any Protected Activity (as defined herein)) or this Agreement.</w:t>
      </w:r>
    </w:p>
    <w:p>
      <w:pPr>
        <w:spacing w:after="0" w:line="17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w:t>
      </w:r>
    </w:p>
    <w:p>
      <w:pPr>
        <w:spacing w:after="0" w:line="205" w:lineRule="exact"/>
        <w:rPr>
          <w:sz w:val="20"/>
          <w:szCs w:val="20"/>
          <w:color w:val="auto"/>
        </w:rPr>
      </w:pPr>
    </w:p>
    <w:p>
      <w:pPr>
        <w:jc w:val="both"/>
        <w:ind w:left="1880" w:firstLine="1498"/>
        <w:spacing w:after="0" w:line="259"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has the same meaning assigned to such term in the 2020 Plan.</w:t>
      </w: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1583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77" w:lineRule="exact"/>
        <w:rPr>
          <w:sz w:val="20"/>
          <w:szCs w:val="20"/>
          <w:color w:val="auto"/>
        </w:rPr>
      </w:pPr>
    </w:p>
    <w:p>
      <w:pPr>
        <w:jc w:val="both"/>
        <w:ind w:left="1440" w:firstLine="1498"/>
        <w:spacing w:after="0" w:line="259"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Except as otherwise provided by applicable law, “</w:t>
      </w:r>
      <w:r>
        <w:rPr>
          <w:rFonts w:ascii="Times New Roman" w:cs="Times New Roman" w:eastAsia="Times New Roman" w:hAnsi="Times New Roman"/>
          <w:sz w:val="20"/>
          <w:szCs w:val="20"/>
          <w:b w:val="1"/>
          <w:bCs w:val="1"/>
          <w:color w:val="auto"/>
        </w:rPr>
        <w:t>Disability</w:t>
      </w:r>
      <w:r>
        <w:rPr>
          <w:rFonts w:ascii="Times New Roman" w:cs="Times New Roman" w:eastAsia="Times New Roman" w:hAnsi="Times New Roman"/>
          <w:sz w:val="20"/>
          <w:szCs w:val="20"/>
          <w:color w:val="auto"/>
        </w:rPr>
        <w:t>” means Executive (i) is unable to engage in any substantial gainful activity/the essential functions of Executive’s role, with or without reasonable accommodation, by reason of any medically determinable physical or mental impairment that can be expected to result in death or can be expected to last for a continuous period of not less than 12 months, or (ii) are, by reason of any medically determinable physical or mental impairment that can be expected to result in death or can be expected to last for a continuous period of not less than 12 months, receiving income replacement benefits for a period of not less than 3 months under an accident and health plan covering Company employees. Nothing herein means the Company will not reasonably accommodate qualified individuals with disabilities, including, but not necessarily limited to providing said individuals with a leave of absence for 12 months or more where required by applicable law.</w:t>
      </w:r>
    </w:p>
    <w:p>
      <w:pPr>
        <w:spacing w:after="0" w:line="158" w:lineRule="exact"/>
        <w:rPr>
          <w:sz w:val="20"/>
          <w:szCs w:val="20"/>
          <w:color w:val="auto"/>
        </w:rPr>
      </w:pPr>
    </w:p>
    <w:p>
      <w:pPr>
        <w:jc w:val="both"/>
        <w:ind w:left="1440" w:firstLine="1498"/>
        <w:spacing w:after="0" w:line="244"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b w:val="1"/>
          <w:bCs w:val="1"/>
          <w:color w:val="auto"/>
        </w:rPr>
        <w:t>Equity Awards</w:t>
      </w:r>
      <w:r>
        <w:rPr>
          <w:rFonts w:ascii="Times New Roman" w:cs="Times New Roman" w:eastAsia="Times New Roman" w:hAnsi="Times New Roman"/>
          <w:sz w:val="22"/>
          <w:szCs w:val="22"/>
          <w:color w:val="auto"/>
        </w:rPr>
        <w:t xml:space="preserve"> ” means Executive’s outstanding stock options, stock appreciation rights, restricted stock units, performance shares, performance stock units and any other Company equity compensation awards.</w:t>
      </w:r>
    </w:p>
    <w:p>
      <w:pPr>
        <w:spacing w:after="0" w:line="171" w:lineRule="exact"/>
        <w:rPr>
          <w:sz w:val="20"/>
          <w:szCs w:val="20"/>
          <w:color w:val="auto"/>
        </w:rPr>
      </w:pPr>
    </w:p>
    <w:p>
      <w:pPr>
        <w:jc w:val="both"/>
        <w:ind w:left="1440" w:firstLine="1498"/>
        <w:spacing w:after="0" w:line="258"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For purposes of this Agreement, “</w:t>
      </w:r>
      <w:r>
        <w:rPr>
          <w:rFonts w:ascii="Times New Roman" w:cs="Times New Roman" w:eastAsia="Times New Roman" w:hAnsi="Times New Roman"/>
          <w:sz w:val="20"/>
          <w:szCs w:val="20"/>
          <w:b w:val="1"/>
          <w:bCs w:val="1"/>
          <w:color w:val="auto"/>
        </w:rPr>
        <w:t>Good Reason</w:t>
      </w:r>
      <w:r>
        <w:rPr>
          <w:rFonts w:ascii="Times New Roman" w:cs="Times New Roman" w:eastAsia="Times New Roman" w:hAnsi="Times New Roman"/>
          <w:sz w:val="20"/>
          <w:szCs w:val="20"/>
          <w:color w:val="auto"/>
        </w:rPr>
        <w:t>” means Executive’s resignation within thirty (30) days following the expiration of any Company cure period (discussed below) following the occurrence of one or more of the following, without Executive’s consent: (i) a material reduction in Base Salary, excluding the substitution of substantially equivalent compensation and benefits, that is not generally applicable to all Company senior management or employees of the Company generally;</w:t>
      </w:r>
    </w:p>
    <w:p>
      <w:pPr>
        <w:spacing w:after="0" w:line="4" w:lineRule="exact"/>
        <w:rPr>
          <w:sz w:val="20"/>
          <w:szCs w:val="20"/>
          <w:color w:val="auto"/>
        </w:rPr>
      </w:pPr>
    </w:p>
    <w:p>
      <w:pPr>
        <w:jc w:val="both"/>
        <w:ind w:left="1440"/>
        <w:spacing w:after="0" w:line="252" w:lineRule="auto"/>
        <w:tabs>
          <w:tab w:leader="none" w:pos="178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reduction of Executive’s authority, duties or responsibilities, unless Executive is provided with a comparable position; provided, however, that a reduction in authority, duties, or responsibilities solely by virtue of the Company being acquired and made part of a larger entity within as a subsidiary, business unit or otherwise (as, for example, when the Chief Executive Officer of the Company remains as such following an acquisition where the Company becomes a wholly owned subsidiary of the acquirer, but is not made the Chief Executive Officer of the acquiring corporation) will not constitute “Good Reason”; or</w:t>
      </w:r>
    </w:p>
    <w:p>
      <w:pPr>
        <w:spacing w:after="0" w:line="5" w:lineRule="exact"/>
        <w:rPr>
          <w:rFonts w:ascii="Times New Roman" w:cs="Times New Roman" w:eastAsia="Times New Roman" w:hAnsi="Times New Roman"/>
          <w:sz w:val="20"/>
          <w:szCs w:val="20"/>
          <w:color w:val="auto"/>
        </w:rPr>
      </w:pPr>
    </w:p>
    <w:p>
      <w:pPr>
        <w:jc w:val="both"/>
        <w:ind w:left="1440"/>
        <w:spacing w:after="0" w:line="231" w:lineRule="auto"/>
        <w:tabs>
          <w:tab w:leader="none" w:pos="18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change in the geographic location of Executive’s primary work facility or location; provided, that a relocation of fifty (50) miles or less from Executive’s then present location or to Executive’s home as Executive’s primary work location will not be considered a material change in geographic location. 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 and such grounds must not have been cured during such time.</w:t>
      </w:r>
    </w:p>
    <w:p>
      <w:pPr>
        <w:spacing w:after="0" w:line="179" w:lineRule="exact"/>
        <w:rPr>
          <w:sz w:val="20"/>
          <w:szCs w:val="20"/>
          <w:color w:val="auto"/>
        </w:rPr>
      </w:pPr>
    </w:p>
    <w:p>
      <w:pPr>
        <w:jc w:val="both"/>
        <w:ind w:left="1440" w:firstLine="1498"/>
        <w:spacing w:after="0" w:line="244"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Protected Activity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Protected Activity</w:t>
      </w:r>
      <w:r>
        <w:rPr>
          <w:rFonts w:ascii="Times New Roman" w:cs="Times New Roman" w:eastAsia="Times New Roman" w:hAnsi="Times New Roman"/>
          <w:sz w:val="22"/>
          <w:szCs w:val="22"/>
          <w:color w:val="auto"/>
        </w:rPr>
        <w:t>” means 1) filing and/or pursuing a charge or complaint with, or otherwise communicating or cooperating with or participating in any investigation or proceeding that may be conducted by,</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374650</wp:posOffset>
            </wp:positionV>
            <wp:extent cx="715835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132" w:name="page133"/>
    <w:bookmarkEnd w:id="132"/>
    <w:p>
      <w:pPr>
        <w:spacing w:after="0" w:line="181" w:lineRule="exact"/>
        <w:rPr>
          <w:sz w:val="20"/>
          <w:szCs w:val="20"/>
          <w:color w:val="auto"/>
        </w:rPr>
      </w:pPr>
    </w:p>
    <w:p>
      <w:pPr>
        <w:jc w:val="both"/>
        <w:ind w:left="1880"/>
        <w:spacing w:after="0" w:line="231" w:lineRule="auto"/>
        <w:rPr>
          <w:sz w:val="20"/>
          <w:szCs w:val="20"/>
          <w:color w:val="auto"/>
        </w:rPr>
      </w:pPr>
      <w:r>
        <w:rPr>
          <w:rFonts w:ascii="Times New Roman" w:cs="Times New Roman" w:eastAsia="Times New Roman" w:hAnsi="Times New Roman"/>
          <w:sz w:val="22"/>
          <w:szCs w:val="22"/>
          <w:color w:val="auto"/>
        </w:rPr>
        <w:t>any federal, state or local government agency or commission, including the Securities and Exchange Commission, the Equal Employment Opportunity Commission, the Occupational Safety and Health Administration, and the National Labor Relations Board, including disclosing documents or other information as permitted by law, without giving notice to, or receiving authorization from, the Company; 2) discussing the terms, wages, and working conditions of employment; or 3) disclosing information pertaining to sexual harassment or any unlawful or potentially unlawful conduct, as protected by applicable law. Protected Activity does not include disclosing the Company’s attorney-client privileged communications or attorney work product, which is prohibited. Executive acknowledges that the Company hereby provides Executive with notice in compliance with the Defend Trade Secrets Act of 2016 regarding immunity from liability for limited disclosures of trade secrets. The full text of the notice is the following:“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 Nothing in this Agreement impinges upon the exercise of applicable employe rights under Section 7 of the National Labor Relations Act.</w:t>
      </w:r>
    </w:p>
    <w:p>
      <w:pPr>
        <w:spacing w:after="0" w:line="190" w:lineRule="exact"/>
        <w:rPr>
          <w:sz w:val="20"/>
          <w:szCs w:val="20"/>
          <w:color w:val="auto"/>
        </w:rPr>
      </w:pPr>
    </w:p>
    <w:p>
      <w:pPr>
        <w:jc w:val="both"/>
        <w:ind w:left="1880" w:firstLine="1498"/>
        <w:spacing w:after="0" w:line="244" w:lineRule="auto"/>
        <w:rPr>
          <w:sz w:val="20"/>
          <w:szCs w:val="20"/>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means Section 409A of the Code and any final regulations and guidance thereunder and any applicable state law equivalent, as each may be amended or promulgated from time to time.</w:t>
      </w:r>
    </w:p>
    <w:p>
      <w:pPr>
        <w:spacing w:after="0" w:line="171" w:lineRule="exact"/>
        <w:rPr>
          <w:sz w:val="20"/>
          <w:szCs w:val="20"/>
          <w:color w:val="auto"/>
        </w:rPr>
      </w:pPr>
    </w:p>
    <w:p>
      <w:pPr>
        <w:jc w:val="both"/>
        <w:ind w:left="1880" w:firstLine="1498"/>
        <w:spacing w:after="0" w:line="235"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Section 409A Limit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Section 409A Limit</w:t>
      </w:r>
      <w:r>
        <w:rPr>
          <w:rFonts w:ascii="Times New Roman" w:cs="Times New Roman" w:eastAsia="Times New Roman" w:hAnsi="Times New Roman"/>
          <w:sz w:val="22"/>
          <w:szCs w:val="22"/>
          <w:color w:val="auto"/>
        </w:rPr>
        <w:t>” will mean two (2) times the lesser of: (i) Executive’s annualized compensation based upon the annual rate of pay paid to Executive during Executive’s taxable year preceding Executive’s taxable year of Executive’s separation from service as determined under Treasury Regulation Section 1.409A-1(b)(9)(iii)(A)(1) and any Internal Revenue Service guidance issued with respect thereto; or (ii) the maximum amount that may be taken into account under a qualified plan pursuant to Section 401(a)(17) of the Internal Revenue Code for the year in which Executive’s separation from service occurred.</w:t>
      </w:r>
    </w:p>
    <w:p>
      <w:pPr>
        <w:spacing w:after="0" w:line="1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Executive agrees to enter into the Company’s standard At-Will Employment, Confidential Information, Invention Assignment, and Arbitration Agreement (the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upon commencing employment hereunder. Nothing in this Agreement or the Confidential Information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limits Executive from engaging in Protected Activity (as defined herein).</w:t>
      </w:r>
    </w:p>
    <w:p>
      <w:pPr>
        <w:spacing w:after="0" w:line="200" w:lineRule="exact"/>
        <w:rPr>
          <w:sz w:val="20"/>
          <w:szCs w:val="20"/>
          <w:color w:val="auto"/>
        </w:rPr>
      </w:pPr>
    </w:p>
    <w:p>
      <w:pPr>
        <w:spacing w:after="0" w:line="3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1583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8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w:t>
      </w:r>
      <w:r>
        <w:rPr>
          <w:rFonts w:ascii="Times New Roman" w:cs="Times New Roman" w:eastAsia="Times New Roman" w:hAnsi="Times New Roman"/>
          <w:sz w:val="22"/>
          <w:szCs w:val="22"/>
          <w:b w:val="1"/>
          <w:bCs w:val="1"/>
          <w:color w:val="auto"/>
        </w:rPr>
        <w:t>successor</w:t>
      </w:r>
      <w:r>
        <w:rPr>
          <w:rFonts w:ascii="Times New Roman" w:cs="Times New Roman" w:eastAsia="Times New Roman" w:hAnsi="Times New Roman"/>
          <w:sz w:val="22"/>
          <w:szCs w:val="22"/>
          <w:color w:val="auto"/>
        </w:rPr>
        <w:t>” means any person, firm, corporation or other business entity which at any time, within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8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demands and other communications called for hereunder will be in writing and will be deemed given (i) on the date of delivery if delivered personally; (ii) one (1) day after being sent by a well-established commercial overnight service; or (iii) four (4) days after being mailed by registered or certified mail, return receipt requested, prepaid and addressed to the parties or their successors at the following addresses, or at such other addresses as the parties may later designate in writing:</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9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Soleno Therapeutics, Inc.</w:t>
      </w:r>
    </w:p>
    <w:p>
      <w:pPr>
        <w:spacing w:after="0" w:line="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Attn: Chief Executive Officer</w:t>
      </w:r>
    </w:p>
    <w:p>
      <w:pPr>
        <w:ind w:left="1500"/>
        <w:spacing w:after="0" w:line="229" w:lineRule="auto"/>
        <w:rPr>
          <w:sz w:val="20"/>
          <w:szCs w:val="20"/>
          <w:color w:val="auto"/>
        </w:rPr>
      </w:pPr>
      <w:r>
        <w:rPr>
          <w:rFonts w:ascii="Times New Roman" w:cs="Times New Roman" w:eastAsia="Times New Roman" w:hAnsi="Times New Roman"/>
          <w:sz w:val="22"/>
          <w:szCs w:val="22"/>
          <w:color w:val="auto"/>
        </w:rPr>
        <w:t>203 Redwood Shores Pkwy Suite 500</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Redwood City, CA 94065</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Executive:</w:t>
      </w:r>
    </w:p>
    <w:p>
      <w:pPr>
        <w:spacing w:after="0" w:line="20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at the last residential address known by the Company.</w:t>
      </w:r>
    </w:p>
    <w:p>
      <w:pPr>
        <w:spacing w:after="0" w:line="20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provision hereof becomes or is declared by a court of competent jurisdiction to be illegal, unenforceable or void, this Agreement will continue in full force and effect without said provision.</w:t>
      </w:r>
    </w:p>
    <w:p>
      <w:pPr>
        <w:spacing w:after="0" w:line="16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together with the 2020 Plan, Option Agreement and the Confidential Information Agreement represents the entire agreement and understanding between the parties as to the subject matter herein and supersedes all prior or contemporaneous agreements within written or oral. This Agreement may be modified only by agreement of the parties by a written instrument executed by the parties that is designated as an amendment to this Agreement.</w:t>
      </w:r>
    </w:p>
    <w:p>
      <w:pPr>
        <w:spacing w:after="0" w:line="18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Waiver of Breach</w:t>
      </w:r>
      <w:r>
        <w:rPr>
          <w:rFonts w:ascii="Times New Roman" w:cs="Times New Roman" w:eastAsia="Times New Roman" w:hAnsi="Times New Roman"/>
          <w:sz w:val="22"/>
          <w:szCs w:val="22"/>
          <w:color w:val="auto"/>
        </w:rPr>
        <w:t>. The waiver of a breach of any term or provision of this Agreement, which must be in writing, will not operate as or be construed to be a waiver of any other previous or subsequent breach of this Agreement.</w:t>
      </w:r>
    </w:p>
    <w:p>
      <w:pPr>
        <w:spacing w:after="0" w:line="16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All captions and section headings used in this Agreement are for convenient reference only and do not form a part of this Agreement.</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18.</w:t>
      </w: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All payments made pursuant to this Agreement will be subject to withholding of applicable taxes.</w:t>
      </w:r>
    </w:p>
    <w:p>
      <w:pPr>
        <w:spacing w:after="0" w:line="200" w:lineRule="exact"/>
        <w:rPr>
          <w:sz w:val="20"/>
          <w:szCs w:val="20"/>
          <w:color w:val="auto"/>
        </w:rPr>
      </w:pPr>
    </w:p>
    <w:p>
      <w:pPr>
        <w:spacing w:after="0" w:line="3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1583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8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governed by the laws of the State of California (with the exception of its conflict of laws provisions).</w:t>
      </w:r>
    </w:p>
    <w:p>
      <w:pPr>
        <w:spacing w:after="0" w:line="16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Acknowledgment</w:t>
      </w:r>
      <w:r>
        <w:rPr>
          <w:rFonts w:ascii="Times New Roman" w:cs="Times New Roman" w:eastAsia="Times New Roman" w:hAnsi="Times New Roman"/>
          <w:sz w:val="22"/>
          <w:szCs w:val="22"/>
          <w:color w:val="auto"/>
        </w:rPr>
        <w:t>. Executive acknowledges that Executive has had the opportunity to discuss this matter with and obtain advice from Executive’s private attorney, has had sufficient time to, and has carefully read and fully understands all the provisions of this Agreement, and is knowingly and voluntarily entering into this Agreement.</w:t>
      </w:r>
    </w:p>
    <w:p>
      <w:pPr>
        <w:spacing w:after="0" w:line="17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and each counterpart will have the same force and effect as an original and will constitute an effective, binding agreement on the part of each of the undersigned.</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[Signature Page Follows]</w:t>
      </w:r>
    </w:p>
    <w:p>
      <w:pPr>
        <w:spacing w:after="0" w:line="200" w:lineRule="exact"/>
        <w:rPr>
          <w:sz w:val="20"/>
          <w:szCs w:val="20"/>
          <w:color w:val="auto"/>
        </w:rPr>
      </w:pPr>
    </w:p>
    <w:p>
      <w:pPr>
        <w:spacing w:after="0" w:line="3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1583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8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22"/>
          <w:szCs w:val="22"/>
          <w:color w:val="auto"/>
        </w:rPr>
        <w:t>IN WITNESS WHEREOF, each of the parties has executed this Agreement, in the case of the Company by their duly authorized officers, as of the day and year first above written.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SOLENO THERAPEUTICS, INC.</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3860" w:val="left"/>
          <w:tab w:leader="none" w:pos="4720" w:val="left"/>
        </w:tabs>
        <w:rPr>
          <w:sz w:val="20"/>
          <w:szCs w:val="20"/>
          <w:color w:val="auto"/>
        </w:rPr>
      </w:pPr>
      <w:r>
        <w:rPr>
          <w:rFonts w:ascii="Times New Roman" w:cs="Times New Roman" w:eastAsia="Times New Roman" w:hAnsi="Times New Roman"/>
          <w:sz w:val="22"/>
          <w:szCs w:val="22"/>
          <w:color w:val="auto"/>
        </w:rPr>
        <w:t>By: /s/ Anish Bhatnagar</w:t>
      </w:r>
      <w:r>
        <w:rPr>
          <w:sz w:val="20"/>
          <w:szCs w:val="20"/>
          <w:color w:val="auto"/>
        </w:rPr>
        <w:tab/>
      </w: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0"/>
          <w:szCs w:val="20"/>
          <w:color w:val="auto"/>
        </w:rPr>
        <w:t>January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414655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9">
                      <a:extLst>
                        <a:ext uri="{28A0092B-C50C-407E-A947-70E740481C1C}"/>
                      </a:extLst>
                    </a:blip>
                    <a:srcRect/>
                    <a:stretch>
                      <a:fillRect/>
                    </a:stretch>
                  </pic:blipFill>
                  <pic:spPr bwMode="auto">
                    <a:xfrm>
                      <a:off x="0" y="0"/>
                      <a:ext cx="414655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Anish Bhatnagar, MD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247" w:lineRule="exact"/>
        <w:rPr>
          <w:sz w:val="20"/>
          <w:szCs w:val="20"/>
          <w:color w:val="auto"/>
        </w:rPr>
      </w:pPr>
    </w:p>
    <w:p>
      <w:pPr>
        <w:spacing w:after="0"/>
        <w:tabs>
          <w:tab w:leader="none" w:pos="3860" w:val="left"/>
          <w:tab w:leader="none" w:pos="4780" w:val="left"/>
        </w:tabs>
        <w:rPr>
          <w:sz w:val="20"/>
          <w:szCs w:val="20"/>
          <w:color w:val="auto"/>
        </w:rPr>
      </w:pPr>
      <w:r>
        <w:rPr>
          <w:rFonts w:ascii="Times New Roman" w:cs="Times New Roman" w:eastAsia="Times New Roman" w:hAnsi="Times New Roman"/>
          <w:sz w:val="22"/>
          <w:szCs w:val="22"/>
          <w:color w:val="auto"/>
        </w:rPr>
        <w:t>By: /s/ Meredith Manning</w:t>
      </w:r>
      <w:r>
        <w:rPr>
          <w:sz w:val="20"/>
          <w:szCs w:val="20"/>
          <w:color w:val="auto"/>
        </w:rPr>
        <w:tab/>
      </w: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0"/>
          <w:szCs w:val="20"/>
          <w:color w:val="auto"/>
        </w:rPr>
        <w:t>January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414655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0">
                      <a:extLst>
                        <a:ext uri="{28A0092B-C50C-407E-A947-70E740481C1C}"/>
                      </a:extLst>
                    </a:blip>
                    <a:srcRect/>
                    <a:stretch>
                      <a:fillRect/>
                    </a:stretch>
                  </pic:blipFill>
                  <pic:spPr bwMode="auto">
                    <a:xfrm>
                      <a:off x="0" y="0"/>
                      <a:ext cx="414655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Meredith Manning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b w:val="1"/>
          <w:bCs w:val="1"/>
          <w:color w:val="auto"/>
        </w:rPr>
        <w:t>[SIGNATURE PAGE TO MEREDITH MANNING EMPLOYMENT AGREEMENT]</w:t>
      </w:r>
    </w:p>
    <w:p>
      <w:pPr>
        <w:spacing w:after="0" w:line="200" w:lineRule="exact"/>
        <w:rPr>
          <w:sz w:val="20"/>
          <w:szCs w:val="20"/>
          <w:color w:val="auto"/>
        </w:rPr>
      </w:pPr>
    </w:p>
    <w:p>
      <w:pPr>
        <w:spacing w:after="0" w:line="3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1583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320" w:top="1440" w:right="67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24" w:lineRule="exact"/>
        <w:rPr>
          <w:sz w:val="20"/>
          <w:szCs w:val="20"/>
          <w:color w:val="auto"/>
        </w:rPr>
      </w:pPr>
    </w:p>
    <w:p>
      <w:pPr>
        <w:ind w:left="2280" w:right="240" w:hanging="2076"/>
        <w:spacing w:after="0" w:line="285" w:lineRule="auto"/>
        <w:tabs>
          <w:tab w:leader="none" w:pos="642"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not material and would likely cause competitive harm to the registrant if publicly disclosed.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THIS LOAN AND SECURITY AGREEMENT </w:t>
      </w:r>
      <w:r>
        <w:rPr>
          <w:rFonts w:ascii="Times New Roman" w:cs="Times New Roman" w:eastAsia="Times New Roman" w:hAnsi="Times New Roman"/>
          <w:sz w:val="18"/>
          <w:szCs w:val="18"/>
          <w:color w:val="auto"/>
        </w:rPr>
        <w:t>(as the same may from time to time be amended, modified, supplemented or restated,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as of December 17,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among OXFORD FINANCE LLC, a Delaware limited liability company with an office located at 115 South Union Street, Suite 300, Alexandria, VA 22314 (“</w:t>
      </w:r>
      <w:r>
        <w:rPr>
          <w:rFonts w:ascii="Times New Roman" w:cs="Times New Roman" w:eastAsia="Times New Roman" w:hAnsi="Times New Roman"/>
          <w:sz w:val="18"/>
          <w:szCs w:val="18"/>
          <w:b w:val="1"/>
          <w:bCs w:val="1"/>
          <w:color w:val="auto"/>
        </w:rPr>
        <w:t>Oxford</w:t>
      </w:r>
      <w:r>
        <w:rPr>
          <w:rFonts w:ascii="Times New Roman" w:cs="Times New Roman" w:eastAsia="Times New Roman" w:hAnsi="Times New Roman"/>
          <w:sz w:val="18"/>
          <w:szCs w:val="18"/>
          <w:color w:val="auto"/>
        </w:rPr>
        <w:t>”), as collateral agent (in such capacity,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xml:space="preserve">”), the Lenders listed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hereof or otherwise a party hereto from time to time, including Oxford in its capacity as a Lender, OXFORD FINANCE CREDIT FUND II LP, by its manager Oxford Finance Advisors, LLC, and OXFORD FINANCE CREDIT FUND III LP, by its manager Oxford Finance Advisors, LLC, each with an office located at 115 South Union Street, Suite 300, Alexandria, VA 22314 (each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SOLENO THERAPEUTICS, INC., a Delaware corporation with offices located at 100 Marine Parkway, Suite 400, Redwood City, CA 94065 (“</w:t>
      </w:r>
      <w:r>
        <w:rPr>
          <w:rFonts w:ascii="Times New Roman" w:cs="Times New Roman" w:eastAsia="Times New Roman" w:hAnsi="Times New Roman"/>
          <w:sz w:val="18"/>
          <w:szCs w:val="18"/>
          <w:b w:val="1"/>
          <w:bCs w:val="1"/>
          <w:color w:val="auto"/>
        </w:rPr>
        <w:t>Soleno</w:t>
      </w:r>
      <w:r>
        <w:rPr>
          <w:rFonts w:ascii="Times New Roman" w:cs="Times New Roman" w:eastAsia="Times New Roman" w:hAnsi="Times New Roman"/>
          <w:sz w:val="18"/>
          <w:szCs w:val="18"/>
          <w:color w:val="auto"/>
        </w:rPr>
        <w:t>”), and ESSENTIALIS, INC., a Delaware corporation with offices located at 100 Marine Parkway, Suite 400, Redwood City, CA 94065 (“</w:t>
      </w:r>
      <w:r>
        <w:rPr>
          <w:rFonts w:ascii="Times New Roman" w:cs="Times New Roman" w:eastAsia="Times New Roman" w:hAnsi="Times New Roman"/>
          <w:sz w:val="18"/>
          <w:szCs w:val="18"/>
          <w:b w:val="1"/>
          <w:bCs w:val="1"/>
          <w:color w:val="auto"/>
        </w:rPr>
        <w:t>Essentialis</w:t>
      </w:r>
      <w:r>
        <w:rPr>
          <w:rFonts w:ascii="Times New Roman" w:cs="Times New Roman" w:eastAsia="Times New Roman" w:hAnsi="Times New Roman"/>
          <w:sz w:val="18"/>
          <w:szCs w:val="18"/>
          <w:color w:val="auto"/>
        </w:rPr>
        <w:t>”, together with Soleno, individually and collectively, jointly and severally,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provides the terms on which the Lenders shall lend to Borrower and Borrower shall repay the Lenders. The parties agree as follows:</w:t>
      </w:r>
    </w:p>
    <w:p>
      <w:pPr>
        <w:spacing w:after="0" w:line="188" w:lineRule="exact"/>
        <w:rPr>
          <w:sz w:val="20"/>
          <w:szCs w:val="20"/>
          <w:color w:val="auto"/>
        </w:rPr>
      </w:pPr>
    </w:p>
    <w:p>
      <w:pPr>
        <w:ind w:left="360" w:hanging="352"/>
        <w:spacing w:after="0"/>
        <w:tabs>
          <w:tab w:leader="none" w:pos="3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ACCOUNTING AND OTHER TERMS</w:t>
      </w:r>
    </w:p>
    <w:p>
      <w:pPr>
        <w:spacing w:after="0" w:line="22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Accounting terms not defined in this Agreement shall be construed in accordance with GAAP. Calculations and determinations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made in accordance with GAAP (except with respect to unaudited financial statements for the absence of footnotes and subject to year-end audit adjustments),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at any time any change in GAAP would affect the computation of any covenant or requirement set forth in any Loan Document, and either Borrower or any Lender shall so request, Borrower and the Lenders shall negotiate in good faith to amend such covenant or requirement to preserve the original intent thereof in light of such change in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until so amended, (i) such covenant or requirement shall continue to be computed in accordance with GAAP prior to such change therein and (ii) Borrower shall provide the Lenders financial statements and other documents required under this Agreement or as reasonably requested hereunder setting forth a reconciliation between calculations of such covenant or requirement made before and after giving effect to such change in GAAP; provided, further, that (x) all obligations of any Person that are or would have been treated as operating leases for purposes of GAAP prior to the issuance by the Financial Accounting Standards Board on February 25, 2016 of an Accounting Standards Update No. 2016-02, Leases (Topic 842) (the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xml:space="preserve">”) shall continue to be accounted for as operating leases for purposes of all financial definitions, calculations and covenants (other than the preparation and delivery of financial statements in accordance with GAAP) for purpose of this Agreement (whether or not such operating lease obligations were in effect on such date) notwithstanding the fact that such obligations are required in accordance with the ASU (on a prospective or retroactive basis or otherwise) to be treated as capital lease obligations in accordance with GAAP. Capitalized terms not otherwise defined in this Agreement shall have the meanings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All other terms contained in this Agreement, unless otherwise indicated, shall have the meaning provided by the Code to the extent such terms are defined therein. All references to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are United States Dollars, unless otherwise noted.</w:t>
      </w:r>
    </w:p>
    <w:p>
      <w:pPr>
        <w:spacing w:after="0" w:line="186" w:lineRule="exact"/>
        <w:rPr>
          <w:sz w:val="20"/>
          <w:szCs w:val="20"/>
          <w:color w:val="auto"/>
        </w:rPr>
      </w:pPr>
    </w:p>
    <w:p>
      <w:pPr>
        <w:ind w:left="360" w:hanging="352"/>
        <w:spacing w:after="0"/>
        <w:tabs>
          <w:tab w:leader="none" w:pos="3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LOANS AND TERMS OF PAYMENT</w:t>
      </w:r>
    </w:p>
    <w:p>
      <w:pPr>
        <w:spacing w:after="0" w:line="224"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2.1 Promise to Pay. </w:t>
      </w:r>
      <w:r>
        <w:rPr>
          <w:rFonts w:ascii="Times New Roman" w:cs="Times New Roman" w:eastAsia="Times New Roman" w:hAnsi="Times New Roman"/>
          <w:sz w:val="18"/>
          <w:szCs w:val="18"/>
          <w:color w:val="auto"/>
        </w:rPr>
        <w:t>Borrower hereby unconditionally promises to pay each Lender, the outstanding principal amount of all Term Loans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advanced to Borrower by such Lender and accrued and unpaid interest thereon and any other amounts due hereunder as and when due in accordance with this Agreement.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37" w:name="page138"/>
    <w:bookmarkEnd w:id="137"/>
    <w:p>
      <w:pPr>
        <w:ind w:left="760"/>
        <w:spacing w:after="0"/>
        <w:rPr>
          <w:sz w:val="20"/>
          <w:szCs w:val="20"/>
          <w:color w:val="auto"/>
        </w:rPr>
      </w:pPr>
      <w:r>
        <w:rPr>
          <w:rFonts w:ascii="Times New Roman" w:cs="Times New Roman" w:eastAsia="Times New Roman" w:hAnsi="Times New Roman"/>
          <w:sz w:val="18"/>
          <w:szCs w:val="18"/>
          <w:b w:val="1"/>
          <w:bCs w:val="1"/>
          <w:color w:val="auto"/>
        </w:rPr>
        <w:t>2.2  Term Loans</w:t>
      </w:r>
      <w:r>
        <w:rPr>
          <w:rFonts w:ascii="Times New Roman" w:cs="Times New Roman" w:eastAsia="Times New Roman" w:hAnsi="Times New Roman"/>
          <w:sz w:val="18"/>
          <w:szCs w:val="18"/>
          <w:color w:val="auto"/>
        </w:rPr>
        <w:t>.</w:t>
      </w:r>
    </w:p>
    <w:p>
      <w:pPr>
        <w:spacing w:after="0" w:line="228" w:lineRule="exact"/>
        <w:rPr>
          <w:sz w:val="20"/>
          <w:szCs w:val="20"/>
          <w:color w:val="auto"/>
        </w:rPr>
      </w:pPr>
    </w:p>
    <w:p>
      <w:pPr>
        <w:ind w:left="1860" w:hanging="355"/>
        <w:spacing w:after="0"/>
        <w:tabs>
          <w:tab w:leader="none" w:pos="18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Availability.</w:t>
      </w:r>
    </w:p>
    <w:p>
      <w:pPr>
        <w:spacing w:after="0" w:line="224" w:lineRule="exact"/>
        <w:rPr>
          <w:rFonts w:ascii="Times New Roman" w:cs="Times New Roman" w:eastAsia="Times New Roman" w:hAnsi="Times New Roman"/>
          <w:sz w:val="18"/>
          <w:szCs w:val="18"/>
          <w:color w:val="auto"/>
        </w:rPr>
      </w:pPr>
    </w:p>
    <w:p>
      <w:pPr>
        <w:jc w:val="both"/>
        <w:ind w:firstLine="2254"/>
        <w:spacing w:after="0" w:line="227" w:lineRule="exact"/>
        <w:tabs>
          <w:tab w:leader="none" w:pos="260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the Lenders agree, severally and not jointly, to make term loans to Borrower on the Effective Date in an aggregate principal amount of Fifty Million Dollars ($50,000,000.00), to be disbursed in a single advance, according to each Lender’s Term A Loan Commitment as set forth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(such term loans are hereinafter referred to singly as a “</w:t>
      </w:r>
      <w:r>
        <w:rPr>
          <w:rFonts w:ascii="Times New Roman" w:cs="Times New Roman" w:eastAsia="Times New Roman" w:hAnsi="Times New Roman"/>
          <w:sz w:val="18"/>
          <w:szCs w:val="18"/>
          <w:b w:val="1"/>
          <w:bCs w:val="1"/>
          <w:color w:val="auto"/>
        </w:rPr>
        <w:t>Term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Term A Loans</w:t>
      </w:r>
      <w:r>
        <w:rPr>
          <w:rFonts w:ascii="Times New Roman" w:cs="Times New Roman" w:eastAsia="Times New Roman" w:hAnsi="Times New Roman"/>
          <w:sz w:val="18"/>
          <w:szCs w:val="18"/>
          <w:color w:val="auto"/>
        </w:rPr>
        <w:t>”). After repayment, no Term A Loan may be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borrowed.</w:t>
      </w:r>
    </w:p>
    <w:p>
      <w:pPr>
        <w:spacing w:after="0" w:line="170" w:lineRule="exact"/>
        <w:rPr>
          <w:rFonts w:ascii="Times New Roman" w:cs="Times New Roman" w:eastAsia="Times New Roman" w:hAnsi="Times New Roman"/>
          <w:sz w:val="18"/>
          <w:szCs w:val="18"/>
          <w:color w:val="auto"/>
        </w:rPr>
      </w:pPr>
    </w:p>
    <w:p>
      <w:pPr>
        <w:jc w:val="both"/>
        <w:ind w:firstLine="2254"/>
        <w:spacing w:after="0" w:line="227" w:lineRule="exact"/>
        <w:tabs>
          <w:tab w:leader="none" w:pos="260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the Lenders agree, severally and not jointly, during the Term B Draw Period, to make term loans to Borrower in an aggregate principal amount of Fifty Million Dollars ($50,000,000.00), to be disbursed in a single advance, according to each Lender’s Term B Loan Commitment as set forth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(such term loans are hereinafter referred to singly as a “</w:t>
      </w:r>
      <w:r>
        <w:rPr>
          <w:rFonts w:ascii="Times New Roman" w:cs="Times New Roman" w:eastAsia="Times New Roman" w:hAnsi="Times New Roman"/>
          <w:sz w:val="18"/>
          <w:szCs w:val="18"/>
          <w:b w:val="1"/>
          <w:bCs w:val="1"/>
          <w:color w:val="auto"/>
        </w:rPr>
        <w:t>Term B Loan</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Term B Loans</w:t>
      </w:r>
      <w:r>
        <w:rPr>
          <w:rFonts w:ascii="Times New Roman" w:cs="Times New Roman" w:eastAsia="Times New Roman" w:hAnsi="Times New Roman"/>
          <w:sz w:val="18"/>
          <w:szCs w:val="18"/>
          <w:color w:val="auto"/>
        </w:rPr>
        <w:t>”). After repayment, no Term B Loan may be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borrowed.</w:t>
      </w:r>
    </w:p>
    <w:p>
      <w:pPr>
        <w:spacing w:after="0" w:line="170" w:lineRule="exact"/>
        <w:rPr>
          <w:rFonts w:ascii="Times New Roman" w:cs="Times New Roman" w:eastAsia="Times New Roman" w:hAnsi="Times New Roman"/>
          <w:sz w:val="18"/>
          <w:szCs w:val="18"/>
          <w:color w:val="auto"/>
        </w:rPr>
      </w:pPr>
    </w:p>
    <w:p>
      <w:pPr>
        <w:jc w:val="both"/>
        <w:ind w:firstLine="2254"/>
        <w:spacing w:after="0" w:line="227" w:lineRule="exact"/>
        <w:tabs>
          <w:tab w:leader="none" w:pos="260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the Lenders agree, severally and not jointly, during the Term C Draw Period, to make term loans to Borrower in an aggregate principal amount of Twenty-Five Million Dollars ($25,000,000.00), to be disbursed in a single advance, according to each Lender’s Term C Loan Commitment as set forth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(such term loans are hereinafter referred to singly as a “</w:t>
      </w:r>
      <w:r>
        <w:rPr>
          <w:rFonts w:ascii="Times New Roman" w:cs="Times New Roman" w:eastAsia="Times New Roman" w:hAnsi="Times New Roman"/>
          <w:sz w:val="18"/>
          <w:szCs w:val="18"/>
          <w:b w:val="1"/>
          <w:bCs w:val="1"/>
          <w:color w:val="auto"/>
        </w:rPr>
        <w:t>Term C Loan</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Term C Loans</w:t>
      </w:r>
      <w:r>
        <w:rPr>
          <w:rFonts w:ascii="Times New Roman" w:cs="Times New Roman" w:eastAsia="Times New Roman" w:hAnsi="Times New Roman"/>
          <w:sz w:val="18"/>
          <w:szCs w:val="18"/>
          <w:color w:val="auto"/>
        </w:rPr>
        <w:t>”). After repayment, no Term C Loan may be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borrowed.</w:t>
      </w:r>
    </w:p>
    <w:p>
      <w:pPr>
        <w:spacing w:after="0" w:line="170" w:lineRule="exact"/>
        <w:rPr>
          <w:rFonts w:ascii="Times New Roman" w:cs="Times New Roman" w:eastAsia="Times New Roman" w:hAnsi="Times New Roman"/>
          <w:sz w:val="18"/>
          <w:szCs w:val="18"/>
          <w:color w:val="auto"/>
        </w:rPr>
      </w:pPr>
    </w:p>
    <w:p>
      <w:pPr>
        <w:jc w:val="both"/>
        <w:ind w:firstLine="2254"/>
        <w:spacing w:after="0" w:line="227" w:lineRule="exact"/>
        <w:tabs>
          <w:tab w:leader="none" w:pos="260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the Lenders agree, severally and not jointly, during the Term D Draw Period, to make term loans to Borrower in an aggregate principal amount of Twenty-Five Million Dollars ($25,000,000.00), to be disbursed in a single advance, according to each Lender’s Term D Loan Commitment as set forth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(such term loans are hereinafter referred to singly as a “</w:t>
      </w:r>
      <w:r>
        <w:rPr>
          <w:rFonts w:ascii="Times New Roman" w:cs="Times New Roman" w:eastAsia="Times New Roman" w:hAnsi="Times New Roman"/>
          <w:sz w:val="18"/>
          <w:szCs w:val="18"/>
          <w:b w:val="1"/>
          <w:bCs w:val="1"/>
          <w:color w:val="auto"/>
        </w:rPr>
        <w:t>Term D Loan</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Term D Loans</w:t>
      </w:r>
      <w:r>
        <w:rPr>
          <w:rFonts w:ascii="Times New Roman" w:cs="Times New Roman" w:eastAsia="Times New Roman" w:hAnsi="Times New Roman"/>
          <w:sz w:val="18"/>
          <w:szCs w:val="18"/>
          <w:color w:val="auto"/>
        </w:rPr>
        <w:t>”). After repayment, no Term D Loan may be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borrowed.</w:t>
      </w:r>
    </w:p>
    <w:p>
      <w:pPr>
        <w:spacing w:after="0" w:line="170" w:lineRule="exact"/>
        <w:rPr>
          <w:rFonts w:ascii="Times New Roman" w:cs="Times New Roman" w:eastAsia="Times New Roman" w:hAnsi="Times New Roman"/>
          <w:sz w:val="18"/>
          <w:szCs w:val="18"/>
          <w:color w:val="auto"/>
        </w:rPr>
      </w:pPr>
    </w:p>
    <w:p>
      <w:pPr>
        <w:jc w:val="both"/>
        <w:ind w:firstLine="2254"/>
        <w:spacing w:after="0" w:line="255" w:lineRule="auto"/>
        <w:tabs>
          <w:tab w:leader="none" w:pos="260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the Lenders may, in their sole discretion upon Borrower’s written request, agree to make term loans to Borrower prior to the Amortization Date in an aggregate principal amount of Fifty Million Dollars ($50,000,000.00), to be disbursed in a single advance and, if made, according to a commitment schedule to be provided by the Lenders prior to the Funding Date of such term loans (and Borrower acknowledges that all times prior to such Funding Date such amount is uncommitted) (such term loans are hereinafter referred to singly as a “</w:t>
      </w:r>
      <w:r>
        <w:rPr>
          <w:rFonts w:ascii="Times New Roman" w:cs="Times New Roman" w:eastAsia="Times New Roman" w:hAnsi="Times New Roman"/>
          <w:sz w:val="18"/>
          <w:szCs w:val="18"/>
          <w:b w:val="1"/>
          <w:bCs w:val="1"/>
          <w:color w:val="auto"/>
        </w:rPr>
        <w:t>Term E Loan</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Term E Loans</w:t>
      </w:r>
      <w:r>
        <w:rPr>
          <w:rFonts w:ascii="Times New Roman" w:cs="Times New Roman" w:eastAsia="Times New Roman" w:hAnsi="Times New Roman"/>
          <w:sz w:val="18"/>
          <w:szCs w:val="18"/>
          <w:color w:val="auto"/>
        </w:rPr>
        <w:t>”; each Term A Loan, Term B Loan, Term C Loan, Term D Loan and Term E Loan is hereinafter referred to singly as a “</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and the Term A Loans, the Term B Loans, the Term C Loans, the Term D Loans and the Term E Loans are hereinafter referred to collectively as the “</w:t>
      </w:r>
      <w:r>
        <w:rPr>
          <w:rFonts w:ascii="Times New Roman" w:cs="Times New Roman" w:eastAsia="Times New Roman" w:hAnsi="Times New Roman"/>
          <w:sz w:val="18"/>
          <w:szCs w:val="18"/>
          <w:b w:val="1"/>
          <w:bCs w:val="1"/>
          <w:color w:val="auto"/>
        </w:rPr>
        <w:t>Term Loans</w:t>
      </w:r>
      <w:r>
        <w:rPr>
          <w:rFonts w:ascii="Times New Roman" w:cs="Times New Roman" w:eastAsia="Times New Roman" w:hAnsi="Times New Roman"/>
          <w:sz w:val="18"/>
          <w:szCs w:val="18"/>
          <w:color w:val="auto"/>
        </w:rPr>
        <w:t>”). After repayment, no Term E Loan may be re-borrowed.</w:t>
      </w:r>
    </w:p>
    <w:p>
      <w:pPr>
        <w:spacing w:after="0" w:line="191" w:lineRule="exact"/>
        <w:rPr>
          <w:rFonts w:ascii="Times New Roman" w:cs="Times New Roman" w:eastAsia="Times New Roman" w:hAnsi="Times New Roman"/>
          <w:sz w:val="18"/>
          <w:szCs w:val="18"/>
          <w:color w:val="auto"/>
        </w:rPr>
      </w:pPr>
    </w:p>
    <w:p>
      <w:pPr>
        <w:jc w:val="both"/>
        <w:ind w:firstLine="1505"/>
        <w:spacing w:after="0" w:line="245" w:lineRule="auto"/>
        <w:tabs>
          <w:tab w:leader="none" w:pos="185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w:t>
      </w:r>
      <w:r>
        <w:rPr>
          <w:rFonts w:ascii="Times New Roman" w:cs="Times New Roman" w:eastAsia="Times New Roman" w:hAnsi="Times New Roman"/>
          <w:sz w:val="18"/>
          <w:szCs w:val="18"/>
          <w:color w:val="auto"/>
        </w:rPr>
        <w:t>. Borrower shall make monthly payments of interest only commencing on the first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Payment Date following the first full calendar month to occur after the Funding Date of each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last calendar day of the month in which such Funding Date occurs. Commencing on the Amortization Date, and continuing on the Payment Date of each month thereafter, Borrower shall make consecutive equal monthly payments of principal, together with applicable interest, in arrears, to each Lender, as calculated by Collateral Agent (which calculations shall be deemed correct absent manifest error) based upon: (1) the principal amount of such Lender’s Term Loan, (2) the effective rate of interest, as determined in Section 2.3(a), and (3) a repayment schedule equal to eleven (11) months. All unpaid principal and accrued and unpaid interest with respect to each Term Loan is due and payable in full on the Maturity Date. Each Term Loan may only be prepaid in accordance with Sections 2.2(c) and 2.2(d).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38" w:name="page139"/>
    <w:bookmarkEnd w:id="138"/>
    <w:p>
      <w:pPr>
        <w:jc w:val="both"/>
        <w:ind w:firstLine="1505"/>
        <w:spacing w:after="0" w:line="257" w:lineRule="auto"/>
        <w:tabs>
          <w:tab w:leader="none" w:pos="187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 If the Term Loans are accelerated following the occurrence of an Event of Default, Borrower shall immediately pay to Lenders, payable to each Lender in accordance with its respective Pro Rata Share, an amount equal to the sum of: (i) all outstanding principal of the Term Loans plus accrued and unpaid interest thereon through the prepayment date, (ii) the Final Payment, (iii) the Prepayment Fee, plus</w:t>
      </w:r>
    </w:p>
    <w:p>
      <w:pPr>
        <w:jc w:val="both"/>
        <w:ind w:firstLine="8"/>
        <w:spacing w:after="0" w:line="253" w:lineRule="auto"/>
        <w:tabs>
          <w:tab w:leader="none" w:pos="32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Obligations that are due and payable, including Lenders’ Expenses and interest at the Default Rate with respect to any past due amounts. Notwithstanding (but without duplication with) the foregoing, on the Maturity Date, if the Final Payment had not previously been paid in full in connection with the prepayment of the Term Loans in full, Borrower shall pay to Collateral Agent, for payment to each Lender in accordance with its respective Pro Rata Share, the Final Payment in respect of the Term Loan(s).</w:t>
      </w:r>
    </w:p>
    <w:p>
      <w:pPr>
        <w:spacing w:after="0" w:line="186" w:lineRule="exact"/>
        <w:rPr>
          <w:rFonts w:ascii="Times New Roman" w:cs="Times New Roman" w:eastAsia="Times New Roman" w:hAnsi="Times New Roman"/>
          <w:sz w:val="18"/>
          <w:szCs w:val="18"/>
          <w:color w:val="auto"/>
        </w:rPr>
      </w:pPr>
    </w:p>
    <w:p>
      <w:pPr>
        <w:jc w:val="both"/>
        <w:ind w:firstLine="1505"/>
        <w:spacing w:after="0" w:line="255" w:lineRule="auto"/>
        <w:tabs>
          <w:tab w:leader="none" w:pos="187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Prepayment of Term Loans</w:t>
      </w:r>
      <w:r>
        <w:rPr>
          <w:rFonts w:ascii="Times New Roman" w:cs="Times New Roman" w:eastAsia="Times New Roman" w:hAnsi="Times New Roman"/>
          <w:sz w:val="18"/>
          <w:szCs w:val="18"/>
          <w:color w:val="auto"/>
        </w:rPr>
        <w:t>. Borrower shall have the option to prepay all, but not less than all, of the Term Loans advanced by the Lenders under this Agreement, provided Borrower (i) provides written notice to Collateral Agent of its election to prepay the Term Loans at least ten (10) Business Days prior to such prepayment (which notice may be conditioned upon the consummation of a financing or other events and may be revoked by Borrower in writing if such condition has not or will not occur on the proposed prepayment date), and (ii) pays to the Lenders on the date of such prepayment, payable to each Lender in accordance with its respective Pro Rata Share, an amount equal to the sum of (A) all outstanding principal of the Term Loans plus accrued and unpaid interest thereon through the prepayment date, (B) the Final Payment, (C) the Prepayment Fee, plus (D) all other Obligations that are due and payable, including Lenders’ Expenses and interest at the Default Rate with respect to any past due amounts.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2.3  Payment of Interest on the Credit Extensions</w:t>
      </w:r>
      <w:r>
        <w:rPr>
          <w:rFonts w:ascii="Times New Roman" w:cs="Times New Roman" w:eastAsia="Times New Roman" w:hAnsi="Times New Roman"/>
          <w:sz w:val="18"/>
          <w:szCs w:val="18"/>
          <w:color w:val="auto"/>
        </w:rPr>
        <w:t>.</w:t>
      </w:r>
    </w:p>
    <w:p>
      <w:pPr>
        <w:spacing w:after="0" w:line="228" w:lineRule="exact"/>
        <w:rPr>
          <w:sz w:val="20"/>
          <w:szCs w:val="20"/>
          <w:color w:val="auto"/>
        </w:rPr>
      </w:pPr>
    </w:p>
    <w:p>
      <w:pPr>
        <w:jc w:val="both"/>
        <w:ind w:firstLine="1505"/>
        <w:spacing w:after="0" w:line="257" w:lineRule="auto"/>
        <w:tabs>
          <w:tab w:leader="none" w:pos="185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xml:space="preserve"> Subject to Section 2.3(b), the principal amount outstanding under the Term Loans shall accrue interest at a floating per annum rate equal to the Basic Rate, determined by Collateral Agent on the Funding Date of the applicable Term Loan and monthly thereafter, which interest shall be payable monthly in arrears in accordance with Sections 2.2(b) and 2.3(e). Interest shall accrue on each Term Loan commencing on, and including, the Funding Date of such Term Loan, and shall accrue on the principal amount outstanding under such Term Loan through and including the day on which such Term Loan is paid in full.</w:t>
      </w:r>
    </w:p>
    <w:p>
      <w:pPr>
        <w:spacing w:after="0" w:line="184" w:lineRule="exact"/>
        <w:rPr>
          <w:rFonts w:ascii="Times New Roman" w:cs="Times New Roman" w:eastAsia="Times New Roman" w:hAnsi="Times New Roman"/>
          <w:sz w:val="18"/>
          <w:szCs w:val="18"/>
          <w:color w:val="auto"/>
        </w:rPr>
      </w:pPr>
    </w:p>
    <w:p>
      <w:pPr>
        <w:jc w:val="both"/>
        <w:ind w:firstLine="1505"/>
        <w:spacing w:after="0" w:line="260" w:lineRule="auto"/>
        <w:tabs>
          <w:tab w:leader="none" w:pos="188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Immediately upon the occurrence and during the continuance of an Event of Default, Obligations shall accrue interest at a floating per annum rate equal to the rate that is otherwise applicable thereto plus five percentage points (5.00%)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spacing w:after="0" w:line="139" w:lineRule="exact"/>
        <w:rPr>
          <w:rFonts w:ascii="Times New Roman" w:cs="Times New Roman" w:eastAsia="Times New Roman" w:hAnsi="Times New Roman"/>
          <w:sz w:val="18"/>
          <w:szCs w:val="18"/>
          <w:color w:val="auto"/>
        </w:rPr>
      </w:pPr>
    </w:p>
    <w:p>
      <w:pPr>
        <w:ind w:left="1880" w:hanging="375"/>
        <w:spacing w:after="0" w:line="207" w:lineRule="exact"/>
        <w:tabs>
          <w:tab w:leader="none" w:pos="18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360</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Day Year</w:t>
      </w:r>
      <w:r>
        <w:rPr>
          <w:rFonts w:ascii="Times New Roman" w:cs="Times New Roman" w:eastAsia="Times New Roman" w:hAnsi="Times New Roman"/>
          <w:sz w:val="18"/>
          <w:szCs w:val="18"/>
          <w:color w:val="auto"/>
        </w:rPr>
        <w:t>.  Interest shall be computed on the basis of a three hundred sixty (360) day year, and the actual number of days</w:t>
      </w:r>
    </w:p>
    <w:p>
      <w:pPr>
        <w:spacing w:after="0" w:line="6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elapsed.</w:t>
      </w:r>
    </w:p>
    <w:p>
      <w:pPr>
        <w:spacing w:after="0" w:line="203" w:lineRule="exact"/>
        <w:rPr>
          <w:rFonts w:ascii="Times New Roman" w:cs="Times New Roman" w:eastAsia="Times New Roman" w:hAnsi="Times New Roman"/>
          <w:sz w:val="18"/>
          <w:szCs w:val="18"/>
          <w:color w:val="auto"/>
        </w:rPr>
      </w:pPr>
    </w:p>
    <w:p>
      <w:pPr>
        <w:jc w:val="both"/>
        <w:ind w:firstLine="1505"/>
        <w:spacing w:after="0" w:line="231" w:lineRule="exact"/>
        <w:tabs>
          <w:tab w:leader="none" w:pos="185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Debit of Accounts</w:t>
      </w:r>
      <w:r>
        <w:rPr>
          <w:rFonts w:ascii="Times New Roman" w:cs="Times New Roman" w:eastAsia="Times New Roman" w:hAnsi="Times New Roman"/>
          <w:sz w:val="18"/>
          <w:szCs w:val="18"/>
          <w:color w:val="auto"/>
        </w:rPr>
        <w:t>. Collateral Agent and each Lender may debit (or ACH) any deposit accounts, maintained by Borrower or any of its Subsidiaries, including the Designated Deposit Account, for principal and interest payments or any other amounts Borrower owes the Collateral Agent or the Lenders under the Loan Documents when due. Any such debits (or ACH activity) shall not constitute a 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w:t>
      </w:r>
    </w:p>
    <w:p>
      <w:pPr>
        <w:spacing w:after="0" w:line="171" w:lineRule="exact"/>
        <w:rPr>
          <w:rFonts w:ascii="Times New Roman" w:cs="Times New Roman" w:eastAsia="Times New Roman" w:hAnsi="Times New Roman"/>
          <w:sz w:val="18"/>
          <w:szCs w:val="18"/>
          <w:color w:val="auto"/>
        </w:rPr>
      </w:pPr>
    </w:p>
    <w:p>
      <w:pPr>
        <w:jc w:val="both"/>
        <w:ind w:firstLine="1505"/>
        <w:spacing w:after="0" w:line="218" w:lineRule="exact"/>
        <w:tabs>
          <w:tab w:leader="none" w:pos="185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Except as otherwise expressly provided herein, all payments by Borrower under the Loan Documents shall be made to Collateral Agent (and Collateral Agent shall then make payments to the respective Lender to which such payments are owed), at Collateral Agent’s office in immediately available funds on the date specified herein. Unless otherwise provided, interest is payable monthly on the Payment Date of each month. Payments of principal and/or interest received after 12:00 noon Eastern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recoupment or counterclaim, in lawful money of the United States and in immediately available funds.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39" w:name="page140"/>
    <w:bookmarkEnd w:id="139"/>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2.4 Secured Promissory Notes. </w:t>
      </w:r>
      <w:r>
        <w:rPr>
          <w:rFonts w:ascii="Times New Roman" w:cs="Times New Roman" w:eastAsia="Times New Roman" w:hAnsi="Times New Roman"/>
          <w:sz w:val="18"/>
          <w:szCs w:val="18"/>
          <w:color w:val="auto"/>
        </w:rPr>
        <w:t>The Term Loans shall be evidenced by a Secured Promissory Note or Notes in the form attached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(each a “</w:t>
      </w:r>
      <w:r>
        <w:rPr>
          <w:rFonts w:ascii="Times New Roman" w:cs="Times New Roman" w:eastAsia="Times New Roman" w:hAnsi="Times New Roman"/>
          <w:sz w:val="18"/>
          <w:szCs w:val="18"/>
          <w:b w:val="1"/>
          <w:bCs w:val="1"/>
          <w:color w:val="auto"/>
        </w:rPr>
        <w:t>Secured Promissory Note</w:t>
      </w:r>
      <w:r>
        <w:rPr>
          <w:rFonts w:ascii="Times New Roman" w:cs="Times New Roman" w:eastAsia="Times New Roman" w:hAnsi="Times New Roman"/>
          <w:sz w:val="18"/>
          <w:szCs w:val="18"/>
          <w:color w:val="auto"/>
        </w:rPr>
        <w:t>”), and shall be repayable as set forth in this Agreement. Borrower irrevocably authorizes each Lender to make or cause to be made, on or about the Funding Date of any Term Loan or at the time of receipt of any payment of principal on such Lender’s Secured Promissory Note, an appropriate notation on such Lender’s Secured Promissory Note Record reflecting the making of such Term Loan or (as the case may be) the receipt of such payment. The outstanding amount of each Term Loan set forth on such Lender’s Secured Promissory Note Record shall be prima facie evidence (absent manifest error) of the principal amount thereof owing and unpaid to such Lender, but the failure to record, or any error in so recording, any such amount on such Lender’s Secured Promissory Note Record shall not limit or otherwise affect the obligations of Borrower under any Secured Promissory Note or any other Loan Document to make payments of principal of or interest on any Secured Promissory Note when due. Upon receipt of an affidavit of an officer of a Lender as to the loss, theft, destruction, or mutilation of its Secured Promissory Note with a customary indemnification with respect to such lost, stolen, destroyed or mutilated Secured Promissory Note, Borrower shall issue, in lieu thereof, a replacement Secured Promissory Note in the same principal amount thereof and of like tenor.</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2.5  Fees. </w:t>
      </w:r>
      <w:r>
        <w:rPr>
          <w:rFonts w:ascii="Times New Roman" w:cs="Times New Roman" w:eastAsia="Times New Roman" w:hAnsi="Times New Roman"/>
          <w:sz w:val="18"/>
          <w:szCs w:val="18"/>
          <w:color w:val="auto"/>
        </w:rPr>
        <w:t>Borrower shall pay to Collateral Agent:</w:t>
      </w:r>
    </w:p>
    <w:p>
      <w:pPr>
        <w:spacing w:after="0" w:line="228" w:lineRule="exact"/>
        <w:rPr>
          <w:sz w:val="20"/>
          <w:szCs w:val="20"/>
          <w:color w:val="auto"/>
        </w:rPr>
      </w:pPr>
    </w:p>
    <w:p>
      <w:pPr>
        <w:ind w:left="1860" w:hanging="355"/>
        <w:spacing w:after="0"/>
        <w:tabs>
          <w:tab w:leader="none" w:pos="18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Payment</w:t>
      </w:r>
      <w:r>
        <w:rPr>
          <w:rFonts w:ascii="Times New Roman" w:cs="Times New Roman" w:eastAsia="Times New Roman" w:hAnsi="Times New Roman"/>
          <w:sz w:val="18"/>
          <w:szCs w:val="18"/>
          <w:color w:val="auto"/>
        </w:rPr>
        <w:t>. The Final Payment, when due hereunder, to be shared between the Lenders in accordance with their respective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Rata Shares;</w:t>
      </w:r>
    </w:p>
    <w:p>
      <w:pPr>
        <w:spacing w:after="0" w:line="206" w:lineRule="exact"/>
        <w:rPr>
          <w:sz w:val="20"/>
          <w:szCs w:val="20"/>
          <w:color w:val="auto"/>
        </w:rPr>
      </w:pPr>
    </w:p>
    <w:p>
      <w:pPr>
        <w:ind w:left="1500"/>
        <w:spacing w:after="0"/>
        <w:tabs>
          <w:tab w:leader="none" w:pos="184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8"/>
          <w:szCs w:val="18"/>
          <w:u w:val="single" w:color="auto"/>
          <w:color w:val="auto"/>
        </w:rPr>
        <w:t>Prepayment Fee</w:t>
      </w:r>
      <w:r>
        <w:rPr>
          <w:rFonts w:ascii="Times New Roman" w:cs="Times New Roman" w:eastAsia="Times New Roman" w:hAnsi="Times New Roman"/>
          <w:sz w:val="18"/>
          <w:szCs w:val="18"/>
          <w:color w:val="auto"/>
        </w:rPr>
        <w:t>. The Prepayment Fee, when due hereunder, to be shared between the Lenders in accordance with their respective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Rata Shares;</w:t>
      </w:r>
    </w:p>
    <w:p>
      <w:pPr>
        <w:spacing w:after="0" w:line="206" w:lineRule="exact"/>
        <w:rPr>
          <w:sz w:val="20"/>
          <w:szCs w:val="20"/>
          <w:color w:val="auto"/>
        </w:rPr>
      </w:pPr>
    </w:p>
    <w:p>
      <w:pPr>
        <w:ind w:firstLine="1505"/>
        <w:spacing w:after="0" w:line="281" w:lineRule="auto"/>
        <w:tabs>
          <w:tab w:leader="none" w:pos="185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Lenders’ Expenses</w:t>
      </w:r>
      <w:r>
        <w:rPr>
          <w:rFonts w:ascii="Times New Roman" w:cs="Times New Roman" w:eastAsia="Times New Roman" w:hAnsi="Times New Roman"/>
          <w:sz w:val="18"/>
          <w:szCs w:val="18"/>
          <w:color w:val="auto"/>
        </w:rPr>
        <w:t>. All Lenders’ Expenses (including reasonable attorneys’ fees and expenses for documentation and negotiation of this Agreement) incurred through and after the Effective Date, when due.</w:t>
      </w:r>
    </w:p>
    <w:p>
      <w:pPr>
        <w:spacing w:after="0" w:line="161" w:lineRule="exact"/>
        <w:rPr>
          <w:rFonts w:ascii="Times New Roman" w:cs="Times New Roman" w:eastAsia="Times New Roman" w:hAnsi="Times New Roman"/>
          <w:sz w:val="18"/>
          <w:szCs w:val="18"/>
          <w:color w:val="auto"/>
        </w:rPr>
      </w:pPr>
    </w:p>
    <w:p>
      <w:pPr>
        <w:jc w:val="both"/>
        <w:ind w:firstLine="1505"/>
        <w:spacing w:after="0" w:line="260" w:lineRule="auto"/>
        <w:tabs>
          <w:tab w:leader="none" w:pos="187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Faith Deposit</w:t>
      </w:r>
      <w:r>
        <w:rPr>
          <w:rFonts w:ascii="Times New Roman" w:cs="Times New Roman" w:eastAsia="Times New Roman" w:hAnsi="Times New Roman"/>
          <w:sz w:val="18"/>
          <w:szCs w:val="18"/>
          <w:color w:val="auto"/>
        </w:rPr>
        <w:t>. Borrower has paid to Collateral Agent a deposit of One Hundred Thousand Dollars ($100,000.00) (the “Good Faith Deposit”) to initiate Collateral Agent’s and Lenders’ due diligence review and documentation process. The Good Faith Deposit will be used to pay Lenders’ Expenses due on the Effective Date; provided, however, Borrower shall be responsible for the entire amount of Lenders' Expenses payable under Section 2.5(d) hereof.</w:t>
      </w:r>
    </w:p>
    <w:p>
      <w:pPr>
        <w:spacing w:after="0" w:line="17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2.6 Withholding. </w:t>
      </w:r>
      <w:r>
        <w:rPr>
          <w:rFonts w:ascii="Times New Roman" w:cs="Times New Roman" w:eastAsia="Times New Roman" w:hAnsi="Times New Roman"/>
          <w:sz w:val="18"/>
          <w:szCs w:val="18"/>
          <w:color w:val="auto"/>
        </w:rPr>
        <w:t>Payments received by the Lenders from Borrower hereunder will be made free and clear of and without deduction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the Lenders, Borrower shall be permitted to make such withholding and deduction and, hereby covenants and agrees that the amount due from Borrower with respect to such payment or other sum payable hereunder will be increased to the extent necessary to ensure that, after the making of such required withholding or deduction, each Lender receives a net sum equal to the sum which it would have received had no withholding or deduction been required and Borrower shall pay the full amount withheld or deducted to the relevant Governmental Authority. The amount by which a payment is required to be increased pursuant to the prior sentence is referred to hereafter as the “</w:t>
      </w:r>
      <w:r>
        <w:rPr>
          <w:rFonts w:ascii="Times New Roman" w:cs="Times New Roman" w:eastAsia="Times New Roman" w:hAnsi="Times New Roman"/>
          <w:sz w:val="18"/>
          <w:szCs w:val="18"/>
          <w:b w:val="1"/>
          <w:bCs w:val="1"/>
          <w:color w:val="auto"/>
        </w:rPr>
        <w:t>Withholding Tax Indemnity Amount</w:t>
      </w:r>
      <w:r>
        <w:rPr>
          <w:rFonts w:ascii="Times New Roman" w:cs="Times New Roman" w:eastAsia="Times New Roman" w:hAnsi="Times New Roman"/>
          <w:sz w:val="18"/>
          <w:szCs w:val="18"/>
          <w:color w:val="auto"/>
        </w:rPr>
        <w:t xml:space="preserve">.” Borrower will, upon request, furnish the Lenders with proof reasonably satisfactory to the Lenders indicating that Borrower has made such withholding payment; provided, however, that Borrower need not make any withholding payment if the amount or validity of such withholding payment is contested in good faith by appropriate and timely proceedings and as to which adequate reserves have been set aside on its books in accordance with GAAP. The agreements and obligations of Borrower contained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shall survive the termination of this Agreement. Each Lender shall deliver, and upon a Lender Transfer, the applicable successor or assign shall deliver to Borrower, on the date of this Agreement and at the time or times reasonably requested by Borrower, a complete and properly executed IRS Form W-9 or IRS Form W-8, as applicable, or any similar or successor certificate designated by the IRS certifying a full exemption from U.S. withholding tax (a “</w:t>
      </w:r>
      <w:r>
        <w:rPr>
          <w:rFonts w:ascii="Times New Roman" w:cs="Times New Roman" w:eastAsia="Times New Roman" w:hAnsi="Times New Roman"/>
          <w:sz w:val="18"/>
          <w:szCs w:val="18"/>
          <w:b w:val="1"/>
          <w:bCs w:val="1"/>
          <w:color w:val="auto"/>
        </w:rPr>
        <w:t>Tax Certificate</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so long as no</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40" w:name="page141"/>
    <w:bookmarkEnd w:id="140"/>
    <w:p>
      <w:pPr>
        <w:ind w:right="20"/>
        <w:spacing w:after="0" w:line="281" w:lineRule="auto"/>
        <w:rPr>
          <w:sz w:val="20"/>
          <w:szCs w:val="20"/>
          <w:color w:val="auto"/>
        </w:rPr>
      </w:pPr>
      <w:r>
        <w:rPr>
          <w:rFonts w:ascii="Times New Roman" w:cs="Times New Roman" w:eastAsia="Times New Roman" w:hAnsi="Times New Roman"/>
          <w:sz w:val="18"/>
          <w:szCs w:val="18"/>
          <w:color w:val="auto"/>
        </w:rPr>
        <w:t>Event of Default has occurred and is continuing, if a Lender fails to deliver a Tax Certificate, Borrower shall not be required to pay the Withholding Tax Indemnity Amount, if any, unless and until such Lender delivers the Tax Certificate.</w:t>
      </w:r>
    </w:p>
    <w:p>
      <w:pPr>
        <w:spacing w:after="0" w:line="158" w:lineRule="exact"/>
        <w:rPr>
          <w:sz w:val="20"/>
          <w:szCs w:val="20"/>
          <w:color w:val="auto"/>
        </w:rPr>
      </w:pPr>
    </w:p>
    <w:p>
      <w:pPr>
        <w:ind w:left="360" w:hanging="352"/>
        <w:spacing w:after="0"/>
        <w:tabs>
          <w:tab w:leader="none" w:pos="3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 OF LOANS</w:t>
      </w:r>
    </w:p>
    <w:p>
      <w:pPr>
        <w:spacing w:after="0" w:line="22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3.1 Conditions Precedent to Initial Credit Extension. </w:t>
      </w:r>
      <w:r>
        <w:rPr>
          <w:rFonts w:ascii="Times New Roman" w:cs="Times New Roman" w:eastAsia="Times New Roman" w:hAnsi="Times New Roman"/>
          <w:sz w:val="18"/>
          <w:szCs w:val="18"/>
          <w:color w:val="auto"/>
        </w:rPr>
        <w:t>Each Lender’s obligation to make a Term A Loan is subject to the condition precedent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Collateral Agent and each Lender shall consent to or shall have received, in form and substance satisfactory to Collateral Agent and each Lender, such documents, and completion of such other matters, as Collateral Agent and each Lender may reasonably deem necessary or appropriate, including, without limitation:</w:t>
      </w:r>
    </w:p>
    <w:p>
      <w:pPr>
        <w:spacing w:after="0" w:line="181" w:lineRule="exact"/>
        <w:rPr>
          <w:sz w:val="20"/>
          <w:szCs w:val="20"/>
          <w:color w:val="auto"/>
        </w:rPr>
      </w:pPr>
    </w:p>
    <w:p>
      <w:pPr>
        <w:ind w:left="1860" w:hanging="355"/>
        <w:spacing w:after="0"/>
        <w:tabs>
          <w:tab w:leader="none" w:pos="18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Loan Documents, each duly executed by Borrower and each Subsidiary, as applicable;</w:t>
      </w:r>
    </w:p>
    <w:p>
      <w:pPr>
        <w:spacing w:after="0" w:line="224"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original Control Agreements with respect to any Collateral Accounts maintained by Borrower or Guarantor;</w:t>
      </w:r>
    </w:p>
    <w:p>
      <w:pPr>
        <w:spacing w:after="0" w:line="223" w:lineRule="exact"/>
        <w:rPr>
          <w:rFonts w:ascii="Times New Roman" w:cs="Times New Roman" w:eastAsia="Times New Roman" w:hAnsi="Times New Roman"/>
          <w:sz w:val="18"/>
          <w:szCs w:val="18"/>
          <w:color w:val="auto"/>
        </w:rPr>
      </w:pPr>
    </w:p>
    <w:p>
      <w:pPr>
        <w:ind w:firstLine="1505"/>
        <w:spacing w:after="0" w:line="281" w:lineRule="auto"/>
        <w:tabs>
          <w:tab w:leader="none" w:pos="185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original Secured Promissory Notes in favor of each Lender according to its Term A Loan Commitment Percentage in respect of the Term A Loans made by such Lender on the Effective Date;</w:t>
      </w:r>
    </w:p>
    <w:p>
      <w:pPr>
        <w:spacing w:after="0" w:line="161" w:lineRule="exact"/>
        <w:rPr>
          <w:rFonts w:ascii="Times New Roman" w:cs="Times New Roman" w:eastAsia="Times New Roman" w:hAnsi="Times New Roman"/>
          <w:sz w:val="18"/>
          <w:szCs w:val="18"/>
          <w:color w:val="auto"/>
        </w:rPr>
      </w:pPr>
    </w:p>
    <w:p>
      <w:pPr>
        <w:jc w:val="both"/>
        <w:ind w:right="20" w:firstLine="1505"/>
        <w:spacing w:after="0" w:line="265" w:lineRule="auto"/>
        <w:tabs>
          <w:tab w:leader="none" w:pos="185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Documents and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each as of a date no earlier than thirty (30) days prior to the Effective Date</w:t>
      </w:r>
      <w:r>
        <w:rPr>
          <w:rFonts w:ascii="Times New Roman" w:cs="Times New Roman" w:eastAsia="Times New Roman" w:hAnsi="Times New Roman"/>
          <w:sz w:val="18"/>
          <w:szCs w:val="18"/>
          <w:b w:val="1"/>
          <w:bCs w:val="1"/>
          <w:color w:val="auto"/>
        </w:rPr>
        <w:t>;</w:t>
      </w:r>
    </w:p>
    <w:p>
      <w:pPr>
        <w:spacing w:after="0" w:line="176"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Perfection Certificate duly executed by Borrower and completed for Borrower on behalf of itself and each of its</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20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Projections, for the current calendar year;</w:t>
      </w:r>
    </w:p>
    <w:p>
      <w:pPr>
        <w:spacing w:after="0" w:line="223" w:lineRule="exact"/>
        <w:rPr>
          <w:rFonts w:ascii="Times New Roman" w:cs="Times New Roman" w:eastAsia="Times New Roman" w:hAnsi="Times New Roman"/>
          <w:sz w:val="18"/>
          <w:szCs w:val="18"/>
          <w:color w:val="auto"/>
        </w:rPr>
      </w:pPr>
    </w:p>
    <w:p>
      <w:pPr>
        <w:ind w:right="20" w:firstLine="1505"/>
        <w:spacing w:after="0" w:line="281" w:lineRule="auto"/>
        <w:tabs>
          <w:tab w:leader="none" w:pos="185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original officer’s certificate for Borrower and each Subsidiary that is a party to the Loan Documents, in a form acceptable to Collateral Agent and the Lenders;</w:t>
      </w:r>
    </w:p>
    <w:p>
      <w:pPr>
        <w:spacing w:after="0" w:line="161" w:lineRule="exact"/>
        <w:rPr>
          <w:rFonts w:ascii="Times New Roman" w:cs="Times New Roman" w:eastAsia="Times New Roman" w:hAnsi="Times New Roman"/>
          <w:sz w:val="18"/>
          <w:szCs w:val="18"/>
          <w:color w:val="auto"/>
        </w:rPr>
      </w:pPr>
    </w:p>
    <w:p>
      <w:pPr>
        <w:jc w:val="both"/>
        <w:ind w:right="20" w:firstLine="1505"/>
        <w:spacing w:after="0" w:line="265" w:lineRule="auto"/>
        <w:tabs>
          <w:tab w:leader="none" w:pos="185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76"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landlord’s consent executed in favor of Collateral Agent in respect of all of Borrower’s and each Subsidiaries’ leased locations;</w:t>
      </w:r>
    </w:p>
    <w:p>
      <w:pPr>
        <w:spacing w:after="0" w:line="223" w:lineRule="exact"/>
        <w:rPr>
          <w:rFonts w:ascii="Times New Roman" w:cs="Times New Roman" w:eastAsia="Times New Roman" w:hAnsi="Times New Roman"/>
          <w:sz w:val="18"/>
          <w:szCs w:val="18"/>
          <w:color w:val="auto"/>
        </w:rPr>
      </w:pPr>
    </w:p>
    <w:p>
      <w:pPr>
        <w:ind w:right="20" w:firstLine="1505"/>
        <w:spacing w:after="0" w:line="281" w:lineRule="auto"/>
        <w:tabs>
          <w:tab w:leader="none" w:pos="185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bailee waiver executed in favor of Collateral Agent in respect of each third party bailee where Borrower or any Subsidiary maintains Collateral having a book value in excess of Five Hundred Thousand Dollars ($500,000.00);</w:t>
      </w:r>
    </w:p>
    <w:p>
      <w:pPr>
        <w:spacing w:after="0" w:line="161"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legal opinion of counsel to Borrower dated as of the Effective Date;</w:t>
      </w:r>
    </w:p>
    <w:p>
      <w:pPr>
        <w:spacing w:after="0" w:line="223" w:lineRule="exact"/>
        <w:rPr>
          <w:rFonts w:ascii="Times New Roman" w:cs="Times New Roman" w:eastAsia="Times New Roman" w:hAnsi="Times New Roman"/>
          <w:sz w:val="18"/>
          <w:szCs w:val="18"/>
          <w:color w:val="auto"/>
        </w:rPr>
      </w:pPr>
    </w:p>
    <w:p>
      <w:pPr>
        <w:jc w:val="both"/>
        <w:ind w:right="20" w:firstLine="1505"/>
        <w:spacing w:after="0" w:line="265" w:lineRule="auto"/>
        <w:tabs>
          <w:tab w:leader="none" w:pos="185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satisfactory to Collateral Agent and the Lenders that the insurance policies required by Section 6.5 hereof are in full force and effect, together with appropriate evidence showing loss payable and/or additional insured clauses or endorsements in favor of Collateral Agent, for the ratable benefit of the Lenders; and</w:t>
      </w:r>
    </w:p>
    <w:p>
      <w:pPr>
        <w:spacing w:after="0" w:line="176"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fees and Lenders’ Expenses then due as specified in Section 2.5 hereof.</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41" w:name="page142"/>
    <w:bookmarkEnd w:id="141"/>
    <w:p>
      <w:pPr>
        <w:ind w:firstLine="749"/>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3.2 Conditions Precedent to all Credit Extensions. </w:t>
      </w:r>
      <w:r>
        <w:rPr>
          <w:rFonts w:ascii="Times New Roman" w:cs="Times New Roman" w:eastAsia="Times New Roman" w:hAnsi="Times New Roman"/>
          <w:sz w:val="18"/>
          <w:szCs w:val="18"/>
          <w:color w:val="auto"/>
        </w:rPr>
        <w:t>The obligation of each Lender to make each Credit Extension, including the initial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 is subject to the following conditions precedent:</w:t>
      </w:r>
    </w:p>
    <w:p>
      <w:pPr>
        <w:spacing w:after="0" w:line="159" w:lineRule="exact"/>
        <w:rPr>
          <w:sz w:val="20"/>
          <w:szCs w:val="20"/>
          <w:color w:val="auto"/>
        </w:rPr>
      </w:pPr>
    </w:p>
    <w:p>
      <w:pPr>
        <w:ind w:left="1860" w:hanging="355"/>
        <w:spacing w:after="0"/>
        <w:tabs>
          <w:tab w:leader="none" w:pos="18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receipt by Collateral Agent of an executed Disbursement Letter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223" w:lineRule="exact"/>
        <w:rPr>
          <w:rFonts w:ascii="Times New Roman" w:cs="Times New Roman" w:eastAsia="Times New Roman" w:hAnsi="Times New Roman"/>
          <w:sz w:val="18"/>
          <w:szCs w:val="18"/>
          <w:color w:val="auto"/>
        </w:rPr>
      </w:pPr>
    </w:p>
    <w:p>
      <w:pPr>
        <w:jc w:val="both"/>
        <w:ind w:firstLine="1505"/>
        <w:spacing w:after="0" w:line="254" w:lineRule="auto"/>
        <w:tabs>
          <w:tab w:leader="none" w:pos="185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in Section 5 hereof shall be true and correct in all material respects on the date of the Disbursement Letter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 no Event of Default shall have occurred and be continuing or result from the Credit Extension. Each Credit Extension is Borrower’s representation and warranty on that date that the representations and warranties in Section 5 hereof are true and correct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w:t>
      </w:r>
    </w:p>
    <w:p>
      <w:pPr>
        <w:spacing w:after="0" w:line="186" w:lineRule="exact"/>
        <w:rPr>
          <w:rFonts w:ascii="Times New Roman" w:cs="Times New Roman" w:eastAsia="Times New Roman" w:hAnsi="Times New Roman"/>
          <w:sz w:val="18"/>
          <w:szCs w:val="18"/>
          <w:color w:val="auto"/>
        </w:rPr>
      </w:pPr>
    </w:p>
    <w:p>
      <w:pPr>
        <w:ind w:right="20" w:firstLine="1505"/>
        <w:spacing w:after="0" w:line="281" w:lineRule="auto"/>
        <w:tabs>
          <w:tab w:leader="none" w:pos="185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Lender’s sole discretion, there has not been any Material Adverse Change or any material adverse deviation by Borrower from the Annual Projections of Borrower presented to and accepted by Collateral Agent and each Lender;</w:t>
      </w:r>
    </w:p>
    <w:p>
      <w:pPr>
        <w:spacing w:after="0" w:line="161" w:lineRule="exact"/>
        <w:rPr>
          <w:rFonts w:ascii="Times New Roman" w:cs="Times New Roman" w:eastAsia="Times New Roman" w:hAnsi="Times New Roman"/>
          <w:sz w:val="18"/>
          <w:szCs w:val="18"/>
          <w:color w:val="auto"/>
        </w:rPr>
      </w:pPr>
    </w:p>
    <w:p>
      <w:pPr>
        <w:jc w:val="both"/>
        <w:ind w:firstLine="1505"/>
        <w:spacing w:after="0" w:line="265" w:lineRule="auto"/>
        <w:tabs>
          <w:tab w:leader="none" w:pos="185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delivered at the Effective Date and requested by a Lender, duly executed original Secured Promissory Notes, in number, form and content acceptable to such Lender, and in favor of such Lender according to its Commitment Percentage, with respect to each Credit Extension made by such Lender after the Effective Date; and</w:t>
      </w:r>
    </w:p>
    <w:p>
      <w:pPr>
        <w:spacing w:after="0" w:line="176"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fees and Lenders’ Expenses then due as specified in Section 2.5 hereof.</w:t>
      </w:r>
    </w:p>
    <w:p>
      <w:pPr>
        <w:spacing w:after="0" w:line="22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3.3 Covenant to Deliver. </w:t>
      </w:r>
      <w:r>
        <w:rPr>
          <w:rFonts w:ascii="Times New Roman" w:cs="Times New Roman" w:eastAsia="Times New Roman" w:hAnsi="Times New Roman"/>
          <w:sz w:val="18"/>
          <w:szCs w:val="18"/>
          <w:color w:val="auto"/>
        </w:rPr>
        <w:t>Borrower agrees to deliver to Collateral Agent and the Lenders each item required to be delivered to Collateral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as a condition precedent to any Credit Extension. Borrower expressly agrees that a Credit Extension made prior to the receipt by Collateral Agent or any Lender of any such item shall not constitute a waiver by Collateral Agent or any Lender of Borrower’s obligation to deliver such item, and any such Credit Extension in the absence of a required item shall be made in each Lender’s sole discretion.</w:t>
      </w:r>
    </w:p>
    <w:p>
      <w:pPr>
        <w:spacing w:after="0" w:line="17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3.4 Procedures for Borrowing. </w:t>
      </w:r>
      <w:r>
        <w:rPr>
          <w:rFonts w:ascii="Times New Roman" w:cs="Times New Roman" w:eastAsia="Times New Roman" w:hAnsi="Times New Roman"/>
          <w:sz w:val="18"/>
          <w:szCs w:val="18"/>
          <w:color w:val="auto"/>
        </w:rPr>
        <w:t>Subject to the prior satisfaction of all other applicable conditions to the making of a Term Loan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obtain a Term Loan, Borrower shall notify the Lenders (which notice shall be irrevocable) by electronic mail, facsimile, or telephone by 12:00 noon Eastern time ten (10) Business Days prior to the date the Term Loan is to be made. Together with any such electronic, facsimile or telephonic notification, Borrower shall deliver to the Lenders by electronic mail or facsimile a completed Disbursement Letter executed by a Responsible Officer or his or her designee. The Lenders may rely on any telephone notice given by a person whom a Lender reasonably believes is a Responsible Officer or designee. On the Funding Date, each Lender shall credit and/or transfer (as applicable) to the Designated Deposit Account, an amount equal to its Term Loan Commitment.</w:t>
      </w:r>
    </w:p>
    <w:p>
      <w:pPr>
        <w:spacing w:after="0" w:line="184" w:lineRule="exact"/>
        <w:rPr>
          <w:sz w:val="20"/>
          <w:szCs w:val="20"/>
          <w:color w:val="auto"/>
        </w:rPr>
      </w:pPr>
    </w:p>
    <w:p>
      <w:pPr>
        <w:ind w:left="360" w:hanging="352"/>
        <w:spacing w:after="0"/>
        <w:tabs>
          <w:tab w:leader="none" w:pos="3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CREATION OF SECURITY INTEREST</w:t>
      </w:r>
    </w:p>
    <w:p>
      <w:pPr>
        <w:spacing w:after="0" w:line="22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4.1 Grant of Security Interest. </w:t>
      </w:r>
      <w:r>
        <w:rPr>
          <w:rFonts w:ascii="Times New Roman" w:cs="Times New Roman" w:eastAsia="Times New Roman" w:hAnsi="Times New Roman"/>
          <w:sz w:val="18"/>
          <w:szCs w:val="18"/>
          <w:color w:val="auto"/>
        </w:rPr>
        <w:t>Borrower hereby grants Collateral Agent, for the ratable benefit of the Lenders, to secure the payment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in full of all of the Obligations, a continuing security interest in, and pledges to Collateral Agent, for the ratable benefit of the Lenders, the Collateral, wherever located, whether now owned or hereafter acquired or arising, and all proceeds and products thereof. Borrower represents, warrants, and covenants that the security interest granted herein is and shall at all times continue to be a first priority perfected security interest in the Collateral, provided that the Collateral may be subject to Permitted Liens. If Borrower shall acquire a commercial tort claim (as defined in the Code) that exceeds Five Hundred Thousand Dollars ($500,000.00), Borrower, shall promptly notify Collateral Agent in a writing signed by Borrower of the general details thereof (and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42" w:name="page143"/>
    <w:bookmarkEnd w:id="142"/>
    <w:p>
      <w:pPr>
        <w:jc w:val="both"/>
        <w:spacing w:after="0" w:line="265" w:lineRule="auto"/>
        <w:rPr>
          <w:sz w:val="20"/>
          <w:szCs w:val="20"/>
          <w:color w:val="auto"/>
        </w:rPr>
      </w:pPr>
      <w:r>
        <w:rPr>
          <w:rFonts w:ascii="Times New Roman" w:cs="Times New Roman" w:eastAsia="Times New Roman" w:hAnsi="Times New Roman"/>
          <w:sz w:val="18"/>
          <w:szCs w:val="18"/>
          <w:color w:val="auto"/>
        </w:rPr>
        <w:t>further details as may be required by Collateral Agent, but excluding any attorney-client privileged information) and grant to Collateral Agent, for the ratable benefit of the Lenders, in such writing a security interest therein and in the proceeds thereof, all upon the terms of this Agreement, with such writing to be in form and substance reasonably satisfactory to Collateral Agent.</w:t>
      </w:r>
    </w:p>
    <w:p>
      <w:pPr>
        <w:spacing w:after="0" w:line="176"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If this Agreement is terminated, Collateral Agent’s Lien in the Collateral shall continue until the Obligations (other than inchoate indemnity and reimbursement obligations and any other obligations which, by their terms, are to survive the termination of this Agreement) are repaid in full in cash. Upon payment in full in cash of the Obligations (other than inchoate indemnity and reimbursement obligations and any other obligations which, by their terms, are to survive the termination of this Agreement) and at such time as the Lenders’ obligation to make Credit Extensions has terminated, Collateral Agent shall, at the sole cost and expense of Borrower, release its Liens in the Collateral and all rights therein shall revert to Borrower.</w:t>
      </w:r>
    </w:p>
    <w:p>
      <w:pPr>
        <w:spacing w:after="0" w:line="18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4.2 Authorization to File Financing Statements. </w:t>
      </w:r>
      <w:r>
        <w:rPr>
          <w:rFonts w:ascii="Times New Roman" w:cs="Times New Roman" w:eastAsia="Times New Roman" w:hAnsi="Times New Roman"/>
          <w:sz w:val="18"/>
          <w:szCs w:val="18"/>
          <w:color w:val="auto"/>
        </w:rPr>
        <w:t>Borrower hereby authorizes Collateral Agent to file financing statements or take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required to perfect Collateral Agent’s security interests in the Collateral, without notice to Borrower, with all appropriate jurisdictions to perfect or protect Collateral Agent’s interest or rights under the Loan Documents, including a notice that any disposition of the Collateral, except to the extent permitted by the terms of this Agreement, by Borrower, or any other Person, shall be deemed to violate the rights of Collateral Agent under the Code.</w:t>
      </w:r>
    </w:p>
    <w:p>
      <w:pPr>
        <w:spacing w:after="0" w:line="17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4.3 Pledge of Collateral. </w:t>
      </w:r>
      <w:r>
        <w:rPr>
          <w:rFonts w:ascii="Times New Roman" w:cs="Times New Roman" w:eastAsia="Times New Roman" w:hAnsi="Times New Roman"/>
          <w:sz w:val="18"/>
          <w:szCs w:val="18"/>
          <w:color w:val="auto"/>
        </w:rPr>
        <w:t>Borrower hereby pledges, collaterally assigns and grants to Collateral Agent, for the ratable benefit of the Lenders,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interest in all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Borrower shall deliver to Collateral Agent (i) within ten (10) Business Days of the Effective Date, the certificate or certificates, if any, for any then-certificated Shares existing on the Effective Date and (ii) within ten (10) Business Days after the certification of any Shares uncertificated on the Effective Date, in each case accompanied by an instrument of assignment duly executed in blank by Borrower. To the extent required by the terms and conditions governing the Shares, Borrower shall cause the books of each entity whose Shares are part of the Collateral and any transfer agent to reflect the pledge of the Shares. Upon the occurrence and during the continuance of an Event of Default hereunder, Collateral Agent may effect the transfer of any securities included in the Collateral (including but not limited to the Shares) into the name of Collateral Agent and cause new (as applicable) certificates representing such securities to be issued in the name of Collateral Agent or its transferee. Borrower will execute and deliver such documents, and take or cause to be taken such actions, as Collateral Agent may reasonably request to perfect or continue the perfection of Collateral Agent’s security interest in the Shares. Unless an Event of Default shall have occurred and be continuing, Borrower shall be entitled to exercise any voting rights with respect to the Shares and to give consents, waivers and ratifications in respect thereof, provided that no vote shall be cast or consent, waiver or ratification given or action taken which would violate any of the terms of this Agreement. All such rights to vote and give consents, waivers and ratifications shall terminate upon the occurrence and continuance of an Event of Default.</w:t>
      </w:r>
    </w:p>
    <w:p>
      <w:pPr>
        <w:spacing w:after="0" w:line="188" w:lineRule="exact"/>
        <w:rPr>
          <w:sz w:val="20"/>
          <w:szCs w:val="20"/>
          <w:color w:val="auto"/>
        </w:rPr>
      </w:pPr>
    </w:p>
    <w:p>
      <w:pPr>
        <w:ind w:left="360" w:hanging="352"/>
        <w:spacing w:after="0"/>
        <w:tabs>
          <w:tab w:leader="none" w:pos="3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Borrower represents and warrants to Collateral Agent and the Lenders as follows:</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5.1 Due Organization, Authorization: Power and Authority. </w:t>
      </w:r>
      <w:r>
        <w:rPr>
          <w:rFonts w:ascii="Times New Roman" w:cs="Times New Roman" w:eastAsia="Times New Roman" w:hAnsi="Times New Roman"/>
          <w:sz w:val="18"/>
          <w:szCs w:val="18"/>
          <w:color w:val="auto"/>
        </w:rPr>
        <w:t>Borrower and each of its Subsidiaries is duly existing and in good standing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extent such concept is applicable) as corporation or company in its respective jurisdiction of organization or formation and Borrower and each of its Subsidiaries is qualified and licensed to do business and is in good standing (to the extent such concept is applicable) in any jurisdiction in which the conduct of its businesses or its ownership of property requires that it be qualified except where the failure to do so could not reasonably be expected to have a Material Adverse Change. In connection with this Agreement, Borrower has delivered to Collateral Agent a completed perfection certificate signed by an officer of Borrower and completed for Borrower on behalf of itself and each of its Subsidiaries (the “</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Borrower represents and warrants that (a) Borrower and each of its Subsidiaries’ exact legal name is that which is indicated on the Perfection Certificate and on the signature page of each Loan Document to which it is a party; (b) Borrower and each of its Subsidiaries is an organization of the type and is organized in the jurisdiction set forth on the Perfection Certificate;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43" w:name="page144"/>
    <w:bookmarkEnd w:id="143"/>
    <w:p>
      <w:pPr>
        <w:jc w:val="both"/>
        <w:ind w:firstLine="8"/>
        <w:spacing w:after="0" w:line="252" w:lineRule="auto"/>
        <w:tabs>
          <w:tab w:leader="none" w:pos="26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Perfection Certificate accurately sets forth each of Borrower’s and its Subsidiaries’ organizational identification number or accurately states that Borrower or such Subsidiary has none; (d) the Perfection Certificate accurately sets forth Borrower’s and each of its Subsidiaries’ place of business, or, if more than one, its chief executive office as well as Borrower’s and each of its Subsidiaries’ mailing address (if different than its chief executive office); (e) Borrower and each of its Subsidiaries (and each of its respective predecessors) have not, in the five (5) years prior to the Effective Date, changed its jurisdiction of organization, organizational type, or any organizational number assigned by its jurisdiction; and (f) all other information set forth on the Perfection Certificate pertaining to Borrower and each of its Subsidiaries, is accurate and complete (it being understood and agreed that Borrower and each of its Subsidiaries may from time to time update certain information in the Perfection Certificate (including the information set forth in clause (d) above) after the Effective Date to the extent permitted by one or more specific provisions in this Agreement); such updated Perfection Certificate subject to the review and approval of Collateral Agent. If Borrower or any of its Subsidiaries is not now a Registered Organization but later becomes one, Borrower shall notify Collateral Agent of such occurrence and provide Collateral Agent with such Person’s organizational identification number within five (5) Business Days of receiving such organizational identification number.</w:t>
      </w:r>
    </w:p>
    <w:p>
      <w:pPr>
        <w:spacing w:after="0" w:line="19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execution, delivery and performance by Borrower and each other Credit Party of the Loan Documents to which it is a party have been duly authorized by Borrower or such Credit Party, as applicable, and do not (i) conflict with any of Borrower’s or such Credit Party’s organizational documents, including its respective Operating Documents, (ii) contravene, conflict with, constitute a default under or violate any material Requirement of Law applicable thereto, (iii) contravene, conflict or violate any applicable order, writ, judgment, injunction, decree, determination or award of any Governmental Authority by which Borrower or such Credit Party, or any of their respective property or assets may be bound,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constitute an event of default under any material agreement by which Borrower or any of its Subsidiaries, or their respective properties, is bound. Neither Borrower nor any of its Subsidiaries is in default under any agreement to which it is a party or by which it or any of its assets is bound in which such default could reasonably be expected to have a Material Adverse Change.</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5.2  Collateral.</w:t>
      </w:r>
    </w:p>
    <w:p>
      <w:pPr>
        <w:spacing w:after="0" w:line="228" w:lineRule="exact"/>
        <w:rPr>
          <w:sz w:val="20"/>
          <w:szCs w:val="20"/>
          <w:color w:val="auto"/>
        </w:rPr>
      </w:pPr>
    </w:p>
    <w:p>
      <w:pPr>
        <w:jc w:val="both"/>
        <w:ind w:firstLine="1505"/>
        <w:spacing w:after="0" w:line="255" w:lineRule="auto"/>
        <w:tabs>
          <w:tab w:leader="none" w:pos="185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other Credit Party have good title to, have rights in, and the power to transfer each item of the Collateral upon which it purports to grant a Lien under the Loan Documents, free and clear of any and all Liens except Permitted Liens, and neither Borrower nor any other Credit Party has any Deposit Accounts, Securities Accounts, Commodity Accounts or other investment accounts other than the Collateral Accounts or the other investment accounts, if any, described in the Perfection Certificate (as such Perfection Certificate may be updated from time to time by written notice by Borrower to Collateral Agent) delivered to Collateral Agent in connection herewith with respect of which Borrower or such Subsidiary has given Collateral Agent notice and taken such actions as are necessary to give Collateral Agent a perfected security interest therein, in each case as provided in and required by Section 6.6. The Accounts are bona fide, existing obligations of the Account Debtors.</w:t>
      </w:r>
    </w:p>
    <w:p>
      <w:pPr>
        <w:spacing w:after="0" w:line="184" w:lineRule="exact"/>
        <w:rPr>
          <w:rFonts w:ascii="Times New Roman" w:cs="Times New Roman" w:eastAsia="Times New Roman" w:hAnsi="Times New Roman"/>
          <w:sz w:val="18"/>
          <w:szCs w:val="18"/>
          <w:color w:val="auto"/>
        </w:rPr>
      </w:pPr>
    </w:p>
    <w:p>
      <w:pPr>
        <w:jc w:val="both"/>
        <w:ind w:firstLine="1505"/>
        <w:spacing w:after="0" w:line="257" w:lineRule="auto"/>
        <w:tabs>
          <w:tab w:leader="none" w:pos="185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and except as disclosed on the Perfection Certificate (i) the Collateral (other than (1) inventory or goods in transit, (2) laptops and mobile phones in the possession of employees in the ordinary course of business and (3) inventory maintained with clinical research providers or clinical trial sites in the ordinary course of business) is not in the possession of any third party bailee (such as a warehouse), and (ii) no such third party bailee possesses components of the Collateral in excess of One Million Dollars ($1,000,000.00). None of the components of the Collateral shall be maintained at locations other than as disclosed in the Perfection Certificate on the Effective Date or as permitted pursuant to Section 6.11.</w:t>
      </w:r>
    </w:p>
    <w:p>
      <w:pPr>
        <w:spacing w:after="0" w:line="184"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Inventory is in all material respects of good and marketable quality, free from material defects.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44" w:name="page145"/>
    <w:bookmarkEnd w:id="144"/>
    <w:p>
      <w:pPr>
        <w:jc w:val="both"/>
        <w:ind w:firstLine="1505"/>
        <w:spacing w:after="0" w:line="252" w:lineRule="auto"/>
        <w:tabs>
          <w:tab w:leader="none" w:pos="185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of its Subsidiaries is the sole owner of the Intellectual Property each respectively purports to own, free and clear of all Liens other than Permitted Liens. (i) Each of Borrower’s and its Subsidiaries’ Patents material to its business is valid and enforceable and no part of Borrower’s or its Subsidiaries’ Intellectual Property material to its business has been judged invalid or unenforceable, in whole or in part, and (ii) to the best of Borrower’s knowledge, no written claim has been made that any part of the Intellectual Property owned by Borrower or any of its Subsidiaries violates the rights of any third party except to the extent such claim could not reasonably be expected to have a Material Adverse Change. Except as noted on the Perfection Certificate or otherwise notified to Collateral Agent pursuant to the terms of this Agreement (to the extent Borrower is permitted to take such action resulting in the applicable update by one or more specific provisions of this Agreement), neither Borrower nor any of its Subsidiaries is a party to, nor is bound by, any material license or other material agreement with respect to which Borrower or such Subsidiary is the licensee that (i) prohibits or otherwise restricts Borrower or its Subsidiaries from granting a security interest in Borrower’s or such Subsidiaries’ interest in such material license or material agreement or any property subject thereto, or (ii) for which a default under or termination of could interfere in any material respect with Collateral Agent’s or any Lender’s right to sell any Collateral. Borrower shall provide written notice to Collateral Agent and each Lender with the next Compliance Certificate of Borrower or any of its Subsidiaries entering into or becoming bound by any material license or agreement with respect to which Borrower or any Subsidiary is the licensee (other than any commercially available license, any open-source software or any “off the shelf” or “shrink wrap” or label licenses).</w:t>
      </w:r>
    </w:p>
    <w:p>
      <w:pPr>
        <w:spacing w:after="0" w:line="186"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5.3 Litigation. </w:t>
      </w:r>
      <w:r>
        <w:rPr>
          <w:rFonts w:ascii="Times New Roman" w:cs="Times New Roman" w:eastAsia="Times New Roman" w:hAnsi="Times New Roman"/>
          <w:sz w:val="18"/>
          <w:szCs w:val="18"/>
          <w:color w:val="auto"/>
        </w:rPr>
        <w:t>Except as disclosed (i) on the Perfection Certificates, or (ii) in accordance with Section 6.9 hereof, there are no actions, suits,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investigations, or proceedings pending or, to the knowledge of the Responsible Officers, threatened in writing by or against Borrower or any of its Subsidiaries involving more than One Million Dollars ($1,000,000.00).</w:t>
      </w:r>
    </w:p>
    <w:p>
      <w:pPr>
        <w:spacing w:after="0" w:line="17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5.4 No Material Deterioration in Financial Condition; Financial Statements. </w:t>
      </w:r>
      <w:r>
        <w:rPr>
          <w:rFonts w:ascii="Times New Roman" w:cs="Times New Roman" w:eastAsia="Times New Roman" w:hAnsi="Times New Roman"/>
          <w:sz w:val="18"/>
          <w:szCs w:val="18"/>
          <w:color w:val="auto"/>
        </w:rPr>
        <w:t>All consolidated financial statements for Borrower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delivered to Collateral Agent have been prepared in accordance with GAAP and fairly present in all material respects the consolidated financial condition of Borrower and its Subsidiaries as of their respective dates, and the consolidated results of operations of Borrower and its Subsidiaries for the periods covered thereby. There has not been any material deterioration in the consolidated financial condition of Borrower and its Subsidiaries since the date of the most recent financial statements submitted to any Lender.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5.5  Solvency. </w:t>
      </w:r>
      <w:r>
        <w:rPr>
          <w:rFonts w:ascii="Times New Roman" w:cs="Times New Roman" w:eastAsia="Times New Roman" w:hAnsi="Times New Roman"/>
          <w:sz w:val="18"/>
          <w:szCs w:val="18"/>
          <w:color w:val="auto"/>
        </w:rPr>
        <w:t>Borrower, taken as a whole, is Solvent, and Borrower and its Subsidiaries, taken as a whole, are solvent.</w:t>
      </w:r>
    </w:p>
    <w:p>
      <w:pPr>
        <w:spacing w:after="0" w:line="22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5.6 Regulatory Compliance. </w:t>
      </w:r>
      <w:r>
        <w:rPr>
          <w:rFonts w:ascii="Times New Roman" w:cs="Times New Roman" w:eastAsia="Times New Roman" w:hAnsi="Times New Roman"/>
          <w:sz w:val="18"/>
          <w:szCs w:val="18"/>
          <w:color w:val="auto"/>
        </w:rPr>
        <w:t>Neither Borrower nor any of its Subsidiaries is an “investment company” or a company “controlled”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laws, ordinances or rules,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material consents, approvals and authorizations of, made all material declarations or filings with, and given all material notices to, all Governmental Authorities that are necessary to continue their respective businesses as currently conducted.</w:t>
      </w:r>
    </w:p>
    <w:p>
      <w:pPr>
        <w:spacing w:after="0" w:line="190" w:lineRule="exact"/>
        <w:rPr>
          <w:sz w:val="20"/>
          <w:szCs w:val="20"/>
          <w:color w:val="auto"/>
        </w:rPr>
      </w:pPr>
    </w:p>
    <w:p>
      <w:pPr>
        <w:jc w:val="both"/>
        <w:ind w:firstLine="749"/>
        <w:spacing w:after="0" w:line="219" w:lineRule="exact"/>
        <w:rPr>
          <w:sz w:val="20"/>
          <w:szCs w:val="20"/>
          <w:color w:val="auto"/>
        </w:rPr>
      </w:pPr>
      <w:r>
        <w:rPr>
          <w:rFonts w:ascii="Times New Roman" w:cs="Times New Roman" w:eastAsia="Times New Roman" w:hAnsi="Times New Roman"/>
          <w:sz w:val="18"/>
          <w:szCs w:val="18"/>
          <w:color w:val="auto"/>
        </w:rPr>
        <w:t>None of Borrower, any of its Subsidiaries, or any of Borrower’s or its Subsidiaries’ controlled Affiliates or any of their respective agents acting or benefiting in any capacity in connection with the transactions contemplated by this Agreement is (i) in violation of any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Terrorism Law, (ii) engaging in or conspiring to engage in any transaction that evades or avoids, or has the purpose of evading or avoiding or attempts to violate, any of the prohibitions set forth in any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Terrorism Law, or (iii) is a Blocked Person. None of Borrower, any of its Subsidiaries, or to the knowledge of Borrower and any of their controlled Affiliates or agents, acting or benefiting in any capacity in connection with the transactions contemplated by this Agreement, (x) conducts any business or engages in making or receiving any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45" w:name="page146"/>
    <w:bookmarkEnd w:id="145"/>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contribution of funds, goods or services to or for the benefit of any Blocked Person, or (y) deals in, or otherwise engages in any transaction relating to, any property or interest in property blocked pursuant to Executive Order No. 13224, any similar executive order or other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Terrorism Law.</w:t>
      </w:r>
    </w:p>
    <w:p>
      <w:pPr>
        <w:spacing w:after="0" w:line="166" w:lineRule="exact"/>
        <w:rPr>
          <w:sz w:val="20"/>
          <w:szCs w:val="20"/>
          <w:color w:val="auto"/>
        </w:rPr>
      </w:pPr>
    </w:p>
    <w:p>
      <w:pPr>
        <w:jc w:val="both"/>
        <w:ind w:firstLine="749"/>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5.7 Investments. </w:t>
      </w:r>
      <w:r>
        <w:rPr>
          <w:rFonts w:ascii="Times New Roman" w:cs="Times New Roman" w:eastAsia="Times New Roman" w:hAnsi="Times New Roman"/>
          <w:sz w:val="18"/>
          <w:szCs w:val="18"/>
          <w:color w:val="auto"/>
        </w:rPr>
        <w:t>Neither Borrower nor any of its Subsidiaries owns any stock, shares, partnership interests or other equity securities except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Investments.</w:t>
      </w:r>
    </w:p>
    <w:p>
      <w:pPr>
        <w:spacing w:after="0" w:line="15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5.8 Tax Returns and Payments; Pension Contributions. </w:t>
      </w:r>
      <w:r>
        <w:rPr>
          <w:rFonts w:ascii="Times New Roman" w:cs="Times New Roman" w:eastAsia="Times New Roman" w:hAnsi="Times New Roman"/>
          <w:sz w:val="18"/>
          <w:szCs w:val="18"/>
          <w:color w:val="auto"/>
        </w:rPr>
        <w:t>Borrower and each of its Subsidiaries has timely filed (or timely filed extensions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file) all required income tax returns and all other material tax returns and reports, and Borrower and each of its Subsidiaries, has timely paid all material foreign, federal, material state, and material local taxes, assessments, deposits and contributions owed by Borrower and such Subsidiaries, in all jurisdictions in which Borrower or any such Subsidiary is subject to taxes, unless (a) such taxes, assessments, deposits or contributions are being contested in accordance with the following sentence or (b) such taxes, assessments, deposits and contributions owed do not, individually or in the aggregate, exceed One Hundred Thousand Dollars ($100,000.00). Borrower and each of its Subsidiaries, may defer payment of any contested taxes, assessments, deposits or contributions, provided that Borrower or such Subsidiary, (a) in good faith contests its obligation to pay the taxes, assessments, deposits or contributions by appropriate proceedings promptly and diligently instituted and conducted, (b) notifies Collateral Agent in writing of the commencement of, and any material development in, such proceedings, and (c) posts bonds or takes any other steps required to prevent the Governmental Authority levying such contested taxes, assessments, deposits or contributions from obtaining a Lien upon any of the Collateral that is other than a “</w:t>
      </w:r>
      <w:r>
        <w:rPr>
          <w:rFonts w:ascii="Times New Roman" w:cs="Times New Roman" w:eastAsia="Times New Roman" w:hAnsi="Times New Roman"/>
          <w:sz w:val="18"/>
          <w:szCs w:val="18"/>
          <w:b w:val="1"/>
          <w:bCs w:val="1"/>
          <w:color w:val="auto"/>
        </w:rPr>
        <w:t>Permitted Lien</w:t>
      </w:r>
      <w:r>
        <w:rPr>
          <w:rFonts w:ascii="Times New Roman" w:cs="Times New Roman" w:eastAsia="Times New Roman" w:hAnsi="Times New Roman"/>
          <w:sz w:val="18"/>
          <w:szCs w:val="18"/>
          <w:color w:val="auto"/>
        </w:rPr>
        <w:t>.” Neither Borrower nor any of its Subsidiaries is aware of any claims or adjustments proposed for any of Borrower’s or such Subsidiaries’ prior tax years which could result in additional Taxes in excess of One Hundred Thousand Dollars ($100,000.00) becoming due and payable by Borrower or its Subsidiaries. Borrower and each of its Subsidiaries have paid all amounts necessary to fund all present pension, profit sharing and deferred compensation plans in accordance with their terms, and neither Borrower nor any of its Subsidiaries have, withdrawn from participation in, and have not permitted partial or complete termination of, or permitted the occurrence of any other event with respect to, any such plan which could reasonably be expected to result in any liability of Borrower or its Subsidiaries, including any liability to the Pension Benefit Guaranty Corporation or its successors or any other Governmental Authority, in excess of One Hundred Thousand Dollars ($100,000.00).</w:t>
      </w:r>
    </w:p>
    <w:p>
      <w:pPr>
        <w:spacing w:after="0" w:line="184" w:lineRule="exact"/>
        <w:rPr>
          <w:sz w:val="20"/>
          <w:szCs w:val="20"/>
          <w:color w:val="auto"/>
        </w:rPr>
      </w:pPr>
    </w:p>
    <w:p>
      <w:pPr>
        <w:jc w:val="both"/>
        <w:ind w:firstLine="749"/>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5.9 Use of Proceeds. </w:t>
      </w:r>
      <w:r>
        <w:rPr>
          <w:rFonts w:ascii="Times New Roman" w:cs="Times New Roman" w:eastAsia="Times New Roman" w:hAnsi="Times New Roman"/>
          <w:sz w:val="18"/>
          <w:szCs w:val="18"/>
          <w:color w:val="auto"/>
        </w:rPr>
        <w:t>Borrower shall use the proceeds of the Credit Extensions solely as working capital and to fund its general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in a manner not prohibited by this Agreement, and not for personal, family, household or agricultural purposes.</w:t>
      </w:r>
    </w:p>
    <w:p>
      <w:pPr>
        <w:spacing w:after="0" w:line="155" w:lineRule="exact"/>
        <w:rPr>
          <w:sz w:val="20"/>
          <w:szCs w:val="20"/>
          <w:color w:val="auto"/>
        </w:rPr>
      </w:pPr>
    </w:p>
    <w:p>
      <w:pPr>
        <w:jc w:val="both"/>
        <w:ind w:firstLine="749"/>
        <w:spacing w:after="0" w:line="220" w:lineRule="exact"/>
        <w:rPr>
          <w:sz w:val="20"/>
          <w:szCs w:val="20"/>
          <w:color w:val="auto"/>
        </w:rPr>
      </w:pPr>
      <w:r>
        <w:rPr>
          <w:rFonts w:ascii="Times New Roman" w:cs="Times New Roman" w:eastAsia="Times New Roman" w:hAnsi="Times New Roman"/>
          <w:sz w:val="18"/>
          <w:szCs w:val="18"/>
          <w:b w:val="1"/>
          <w:bCs w:val="1"/>
          <w:color w:val="auto"/>
        </w:rPr>
        <w:t xml:space="preserve">5.10 Shares. </w:t>
      </w:r>
      <w:r>
        <w:rPr>
          <w:rFonts w:ascii="Times New Roman" w:cs="Times New Roman" w:eastAsia="Times New Roman" w:hAnsi="Times New Roman"/>
          <w:sz w:val="18"/>
          <w:szCs w:val="18"/>
          <w:color w:val="auto"/>
        </w:rPr>
        <w:t>Borrower has full power and authority to create a first lien on the Shares in favor of Collateral Agent and no disability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contractual obligation exists that would prohibit Borrower from pledging the Shares pursuant to this Agreement. To Borrower’s knowledge, there are no subscriptions, warrants, rights of first refusal or other restrictions on transfer relative to, or options exercisable with respect to the Shares. The Shares have been and will be duly authorized and validly issued, and (to the extent applicable) are fully paid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assessable. To Borrower’s knowledge, the Shares are not the subject of any present or threatened in writing suit, action, arbitration, administrative or other proceeding, and Borrower knows of no reasonable grounds for the institution of any such proceedings.</w:t>
      </w:r>
    </w:p>
    <w:p>
      <w:pPr>
        <w:spacing w:after="0" w:line="194"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5.11 Full Disclosure. </w:t>
      </w:r>
      <w:r>
        <w:rPr>
          <w:rFonts w:ascii="Times New Roman" w:cs="Times New Roman" w:eastAsia="Times New Roman" w:hAnsi="Times New Roman"/>
          <w:sz w:val="18"/>
          <w:szCs w:val="18"/>
          <w:color w:val="auto"/>
        </w:rPr>
        <w:t>No written representation, warranty or other statement of Borrower or any of its Subsidiaries in any certificate or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given to Collateral Agent or any Lender, as of the date 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misleading (it being recognized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46" w:name="page147"/>
    <w:bookmarkEnd w:id="146"/>
    <w:p>
      <w:pPr>
        <w:jc w:val="both"/>
        <w:ind w:firstLine="749"/>
        <w:spacing w:after="0" w:line="285" w:lineRule="auto"/>
        <w:rPr>
          <w:sz w:val="20"/>
          <w:szCs w:val="20"/>
          <w:color w:val="auto"/>
        </w:rPr>
      </w:pPr>
      <w:r>
        <w:rPr>
          <w:rFonts w:ascii="Times New Roman" w:cs="Times New Roman" w:eastAsia="Times New Roman" w:hAnsi="Times New Roman"/>
          <w:sz w:val="18"/>
          <w:szCs w:val="18"/>
          <w:b w:val="1"/>
          <w:bCs w:val="1"/>
          <w:color w:val="auto"/>
        </w:rPr>
        <w:t>5.12 “Know Your Customer” Information</w:t>
      </w:r>
      <w:r>
        <w:rPr>
          <w:rFonts w:ascii="Times New Roman" w:cs="Times New Roman" w:eastAsia="Times New Roman" w:hAnsi="Times New Roman"/>
          <w:sz w:val="18"/>
          <w:szCs w:val="18"/>
          <w:color w:val="auto"/>
        </w:rPr>
        <w:t>. All materials and information provided to Collateral Agent and Lenders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“know your customer” and Anti-Terrorism Legislation are true and correct.</w:t>
      </w:r>
    </w:p>
    <w:p>
      <w:pPr>
        <w:spacing w:after="0" w:line="155"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5.13 Definition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For purposes of the Loan Documents, whenever a representation or warranty is made to Borrower’s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or awareness, to the “best of” Borrower’s knowledge, or with a similar qualification, knowledge or awareness means the actual knowledge, after reasonable investigation, of the Responsible Officers.</w:t>
      </w:r>
    </w:p>
    <w:p>
      <w:pPr>
        <w:spacing w:after="0" w:line="171" w:lineRule="exact"/>
        <w:rPr>
          <w:sz w:val="20"/>
          <w:szCs w:val="20"/>
          <w:color w:val="auto"/>
        </w:rPr>
      </w:pPr>
    </w:p>
    <w:p>
      <w:pPr>
        <w:ind w:left="360" w:hanging="352"/>
        <w:spacing w:after="0"/>
        <w:tabs>
          <w:tab w:leader="none" w:pos="3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AFFIRMATIVE COVENANTS</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Borrower shall, and shall cause each of its Subsidiaries to, do all of the following:</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6.1  Government Compliance.</w:t>
      </w:r>
    </w:p>
    <w:p>
      <w:pPr>
        <w:spacing w:after="0" w:line="228" w:lineRule="exact"/>
        <w:rPr>
          <w:sz w:val="20"/>
          <w:szCs w:val="20"/>
          <w:color w:val="auto"/>
        </w:rPr>
      </w:pPr>
    </w:p>
    <w:p>
      <w:pPr>
        <w:jc w:val="both"/>
        <w:ind w:firstLine="1505"/>
        <w:spacing w:after="0" w:line="260" w:lineRule="auto"/>
        <w:tabs>
          <w:tab w:leader="none" w:pos="185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Section 7.3, maintain its and all its Subsidiaries’ legal existence and good standing (to the extent applicable) in their respective jurisdictions of organization and maintain qualification in each jurisdiction in which the failure to so qualify could reasonably be expected to have a Material Adverse Change. Comply with all laws, ordinances and regulations to which Borrower or any of its Subsidiaries is subject, the noncompliance with which could reasonably be expected to have a Material Adverse Change.</w:t>
      </w:r>
    </w:p>
    <w:p>
      <w:pPr>
        <w:spacing w:after="0" w:line="180" w:lineRule="exact"/>
        <w:rPr>
          <w:rFonts w:ascii="Times New Roman" w:cs="Times New Roman" w:eastAsia="Times New Roman" w:hAnsi="Times New Roman"/>
          <w:sz w:val="18"/>
          <w:szCs w:val="18"/>
          <w:color w:val="auto"/>
        </w:rPr>
      </w:pPr>
    </w:p>
    <w:p>
      <w:pPr>
        <w:jc w:val="both"/>
        <w:ind w:firstLine="1505"/>
        <w:spacing w:after="0" w:line="257" w:lineRule="auto"/>
        <w:tabs>
          <w:tab w:leader="none" w:pos="185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Lenders, in all of the Collateral. Borrower shall notify Collateral Agent with its next Compliance Certificate of any material Governmental Approvals obtained by Borrower or any of its Subsidiaries and, upon Collateral Agent’s request, provide copies of such Governmental Approvals to Collateral Agent.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6.2  Financial Statements, Reports, Certificates.</w:t>
      </w:r>
    </w:p>
    <w:p>
      <w:pPr>
        <w:spacing w:after="0" w:line="228" w:lineRule="exact"/>
        <w:rPr>
          <w:sz w:val="20"/>
          <w:szCs w:val="20"/>
          <w:color w:val="auto"/>
        </w:rPr>
      </w:pPr>
    </w:p>
    <w:p>
      <w:pPr>
        <w:ind w:left="1860" w:hanging="355"/>
        <w:spacing w:after="0"/>
        <w:tabs>
          <w:tab w:leader="none" w:pos="18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each Lender:</w:t>
      </w:r>
    </w:p>
    <w:p>
      <w:pPr>
        <w:spacing w:after="0" w:line="223" w:lineRule="exact"/>
        <w:rPr>
          <w:rFonts w:ascii="Times New Roman" w:cs="Times New Roman" w:eastAsia="Times New Roman" w:hAnsi="Times New Roman"/>
          <w:sz w:val="18"/>
          <w:szCs w:val="18"/>
          <w:color w:val="auto"/>
        </w:rPr>
      </w:pPr>
    </w:p>
    <w:p>
      <w:pPr>
        <w:jc w:val="both"/>
        <w:ind w:firstLine="2254"/>
        <w:spacing w:after="0" w:line="265" w:lineRule="auto"/>
        <w:tabs>
          <w:tab w:leader="none" w:pos="260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no later than forty-five (45) days after the last day of each of the first three fiscal quarters of each fiscal year of Soleno, a company prepared consolidated balance sheet, income statement and cash flow statement covering the consolidated operations of Soleno and its Subsidiaries for such fiscal quarter certified by a Responsible Officer and in a form reasonably acceptable to Collateral Agent;</w:t>
      </w:r>
    </w:p>
    <w:p>
      <w:pPr>
        <w:spacing w:after="0" w:line="176" w:lineRule="exact"/>
        <w:rPr>
          <w:rFonts w:ascii="Times New Roman" w:cs="Times New Roman" w:eastAsia="Times New Roman" w:hAnsi="Times New Roman"/>
          <w:sz w:val="18"/>
          <w:szCs w:val="18"/>
          <w:color w:val="auto"/>
        </w:rPr>
      </w:pPr>
    </w:p>
    <w:p>
      <w:pPr>
        <w:jc w:val="both"/>
        <w:ind w:firstLine="2254"/>
        <w:spacing w:after="0" w:line="260" w:lineRule="auto"/>
        <w:tabs>
          <w:tab w:leader="none" w:pos="260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no later than ninety (90) days after the last day of Soleno’s fiscal year or within five (5) days of filing with the SEC, audited consolidated financial statements prepared in accordance with GAAP, consistently applied, together with an unqualified opinion on the financial statements from an independent certified public accounting firm acceptable to Collateral Agent in its reasonable discretion (it being agreed that CBIZ, Inc. is acceptable to Collateral Agent);</w:t>
      </w:r>
    </w:p>
    <w:p>
      <w:pPr>
        <w:spacing w:after="0" w:line="180" w:lineRule="exact"/>
        <w:rPr>
          <w:rFonts w:ascii="Times New Roman" w:cs="Times New Roman" w:eastAsia="Times New Roman" w:hAnsi="Times New Roman"/>
          <w:sz w:val="18"/>
          <w:szCs w:val="18"/>
          <w:color w:val="auto"/>
        </w:rPr>
      </w:pPr>
    </w:p>
    <w:p>
      <w:pPr>
        <w:jc w:val="both"/>
        <w:ind w:firstLine="2254"/>
        <w:spacing w:after="0" w:line="219" w:lineRule="exact"/>
        <w:tabs>
          <w:tab w:leader="none" w:pos="260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after approval thereof by Soleno’s Board of Directors, but no later than forty-five (45) days after the last day of each of Soleno’s fiscal years, Borrower’s annual financial projections for the entire current fiscal year as approved by Soleno’s Board of Directors, which such annual financial projections shall include a balance sheet and income statement to be set forth in a month-by-month or quarter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quarter format (such annual financial projections as originally delivered to Collateral Agent and the Lenders are referred to herein as the “</w:t>
      </w:r>
      <w:r>
        <w:rPr>
          <w:rFonts w:ascii="Times New Roman" w:cs="Times New Roman" w:eastAsia="Times New Roman" w:hAnsi="Times New Roman"/>
          <w:sz w:val="18"/>
          <w:szCs w:val="18"/>
          <w:b w:val="1"/>
          <w:bCs w:val="1"/>
          <w:color w:val="auto"/>
        </w:rPr>
        <w:t>Annual Projections</w:t>
      </w:r>
      <w:r>
        <w:rPr>
          <w:rFonts w:ascii="Times New Roman" w:cs="Times New Roman" w:eastAsia="Times New Roman" w:hAnsi="Times New Roman"/>
          <w:sz w:val="18"/>
          <w:szCs w:val="18"/>
          <w:color w:val="auto"/>
        </w:rPr>
        <w:t>”; provided that, any revisions of the Annual Projections approved by Borrower’s Board of Directors shall be delivered to Collateral Agent and the Lenders no later than seven (7) days after such approval);</w:t>
      </w:r>
    </w:p>
    <w:p>
      <w:pPr>
        <w:spacing w:after="0" w:line="199" w:lineRule="exact"/>
        <w:rPr>
          <w:rFonts w:ascii="Times New Roman" w:cs="Times New Roman" w:eastAsia="Times New Roman" w:hAnsi="Times New Roman"/>
          <w:sz w:val="18"/>
          <w:szCs w:val="18"/>
          <w:color w:val="auto"/>
        </w:rPr>
      </w:pPr>
    </w:p>
    <w:p>
      <w:pPr>
        <w:ind w:right="40" w:firstLine="2254"/>
        <w:spacing w:after="0" w:line="281" w:lineRule="auto"/>
        <w:tabs>
          <w:tab w:leader="none" w:pos="260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days of delivery, copies of all statements, reports and notices made available to Borrower’s security holders or holders of Subordinated Debt, in each case in their capacities as such;</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47" w:name="page148"/>
    <w:bookmarkEnd w:id="147"/>
    <w:p>
      <w:pPr>
        <w:ind w:left="2260"/>
        <w:spacing w:after="0" w:line="207" w:lineRule="exact"/>
        <w:tabs>
          <w:tab w:leader="none" w:pos="2600" w:val="left"/>
        </w:tabs>
        <w:rPr>
          <w:sz w:val="20"/>
          <w:szCs w:val="20"/>
          <w:color w:val="auto"/>
        </w:rPr>
      </w:pPr>
      <w:r>
        <w:rPr>
          <w:rFonts w:ascii="Times New Roman" w:cs="Times New Roman" w:eastAsia="Times New Roman" w:hAnsi="Times New Roman"/>
          <w:sz w:val="18"/>
          <w:szCs w:val="18"/>
          <w:color w:val="auto"/>
        </w:rPr>
        <w:t>(v)</w:t>
        <w:tab/>
        <w:t>within five (5) days of filing, all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with the Securities and Exchange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04" w:lineRule="exact"/>
        <w:rPr>
          <w:sz w:val="20"/>
          <w:szCs w:val="20"/>
          <w:color w:val="auto"/>
        </w:rPr>
      </w:pPr>
    </w:p>
    <w:p>
      <w:pPr>
        <w:jc w:val="both"/>
        <w:ind w:firstLine="2254"/>
        <w:spacing w:after="0" w:line="265" w:lineRule="auto"/>
        <w:tabs>
          <w:tab w:leader="none" w:pos="267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prompt notice in the event that Soleno is no longer subject to the reporting requirements under the Securities Exchange Act of 1934, as amended, and (z) together with the next Compliance Certificate, notice of any material change to the Operating Documents of Soleno or any Credit Party, together with any copies reflecting such amendments or changes with respect thereto;</w:t>
      </w:r>
    </w:p>
    <w:p>
      <w:pPr>
        <w:spacing w:after="0" w:line="176" w:lineRule="exact"/>
        <w:rPr>
          <w:rFonts w:ascii="Times New Roman" w:cs="Times New Roman" w:eastAsia="Times New Roman" w:hAnsi="Times New Roman"/>
          <w:sz w:val="18"/>
          <w:szCs w:val="18"/>
          <w:color w:val="auto"/>
        </w:rPr>
      </w:pPr>
    </w:p>
    <w:p>
      <w:pPr>
        <w:jc w:val="both"/>
        <w:ind w:right="20" w:firstLine="2254"/>
        <w:spacing w:after="0" w:line="265" w:lineRule="auto"/>
        <w:tabs>
          <w:tab w:leader="none" w:pos="260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next Compliance Certificate, notice of (A) any material change in the composition of the Intellectual Property, or (B) the registration of any copyright, including any subsequent ownership right of Borrower or any of its Subsidiaries in or to any copyright, patent or trademark, including a copy of any such registration;;</w:t>
      </w:r>
    </w:p>
    <w:p>
      <w:pPr>
        <w:spacing w:after="0" w:line="176" w:lineRule="exact"/>
        <w:rPr>
          <w:rFonts w:ascii="Times New Roman" w:cs="Times New Roman" w:eastAsia="Times New Roman" w:hAnsi="Times New Roman"/>
          <w:sz w:val="18"/>
          <w:szCs w:val="18"/>
          <w:color w:val="auto"/>
        </w:rPr>
      </w:pPr>
    </w:p>
    <w:p>
      <w:pPr>
        <w:ind w:left="2980" w:hanging="726"/>
        <w:spacing w:after="0"/>
        <w:tabs>
          <w:tab w:leader="none" w:pos="2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notice of any event that could reasonably be expected to materially and adversely affect the value of the</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205" w:lineRule="exact"/>
        <w:rPr>
          <w:rFonts w:ascii="Times New Roman" w:cs="Times New Roman" w:eastAsia="Times New Roman" w:hAnsi="Times New Roman"/>
          <w:sz w:val="18"/>
          <w:szCs w:val="18"/>
          <w:color w:val="auto"/>
        </w:rPr>
      </w:pPr>
    </w:p>
    <w:p>
      <w:pPr>
        <w:jc w:val="both"/>
        <w:ind w:firstLine="2254"/>
        <w:spacing w:after="0" w:line="222" w:lineRule="exact"/>
        <w:tabs>
          <w:tab w:leader="none" w:pos="260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no later than forty-five (45) days after the last day of each fiscal quarter, copies of the month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bank account statements for each Collateral Account maintained by Borrower or its Subsidiaries, which statements may be provided to Collateral Agent and each Lender by Borrower or directly from the applicable institution(s); and</w:t>
      </w:r>
    </w:p>
    <w:p>
      <w:pPr>
        <w:spacing w:after="0" w:line="197"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as reasonably requested by Collateral Agent or any Lender.</w:t>
      </w:r>
    </w:p>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Notwithstanding the foregoing,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176" w:lineRule="exact"/>
        <w:rPr>
          <w:sz w:val="20"/>
          <w:szCs w:val="20"/>
          <w:color w:val="auto"/>
        </w:rPr>
      </w:pPr>
    </w:p>
    <w:p>
      <w:pPr>
        <w:ind w:right="20" w:firstLine="1505"/>
        <w:spacing w:after="0" w:line="281" w:lineRule="auto"/>
        <w:tabs>
          <w:tab w:leader="none" w:pos="185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delivery of the financial statements specified in Section 6.2(a)(i) and (ii) above, deliver to each Lender, a duly completed Compliance Certificate signed by a Responsible Officer.</w:t>
      </w:r>
    </w:p>
    <w:p>
      <w:pPr>
        <w:spacing w:after="0" w:line="161" w:lineRule="exact"/>
        <w:rPr>
          <w:rFonts w:ascii="Times New Roman" w:cs="Times New Roman" w:eastAsia="Times New Roman" w:hAnsi="Times New Roman"/>
          <w:sz w:val="18"/>
          <w:szCs w:val="18"/>
          <w:color w:val="auto"/>
        </w:rPr>
      </w:pPr>
    </w:p>
    <w:p>
      <w:pPr>
        <w:jc w:val="both"/>
        <w:ind w:firstLine="1505"/>
        <w:spacing w:after="0" w:line="256" w:lineRule="auto"/>
        <w:tabs>
          <w:tab w:leader="none" w:pos="185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proper books of record and account sufficient to prepare financial statements in accordance with GAAP, in which full, true and correct in all material respects entries shall be made of all dealings and transactions in relation to its business and activities. Borrower shall, and shall cause each of its Subsidiaries to, allow, at the sole cost of Borrower,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once every year unless (and more frequently if) an Event of Default has occurred and is continuing.</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6.3 Inventory; Returns. </w:t>
      </w:r>
      <w:r>
        <w:rPr>
          <w:rFonts w:ascii="Times New Roman" w:cs="Times New Roman" w:eastAsia="Times New Roman" w:hAnsi="Times New Roman"/>
          <w:sz w:val="18"/>
          <w:szCs w:val="18"/>
          <w:color w:val="auto"/>
        </w:rPr>
        <w:t>Keep all Inventory in good and marketable condition, free from material defects. Returns and allowances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or any of its Subsidiaries, and their respective Account Debtors shall follow Borrower’s, or such Subsidiary’s, customary practices as in effect from time to time. Borrower must promptly notify Collateral Agent and the Lenders of all returns, recoveries, disputes and claims that involve more than Five Hundred Thousand Dollars ($500,000.00) individually or in the aggregate in any calendar year.</w:t>
      </w:r>
    </w:p>
    <w:p>
      <w:pPr>
        <w:spacing w:after="0" w:line="17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6.4 Taxes; Pensions. </w:t>
      </w:r>
      <w:r>
        <w:rPr>
          <w:rFonts w:ascii="Times New Roman" w:cs="Times New Roman" w:eastAsia="Times New Roman" w:hAnsi="Times New Roman"/>
          <w:sz w:val="18"/>
          <w:szCs w:val="18"/>
          <w:color w:val="auto"/>
        </w:rPr>
        <w:t>Timely file and require each of its Subsidiaries to timely file, all required income tax returns and all other material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returns and reports and timely pay, and require each of its Subsidiaries to timely pay, all federal, material foreign, material state, and material local taxes, assessments, deposits and contributions owed by Borrower or its Subsidiaries, except for deferred payment of any taxes, assessments, deposits and contributions contested pursuant to the terms of Section 5.8 hereof, and shall deliver to Lenders, on demand, appropriate certificates attesting to such payments, and pay all amounts necessary to fund all present pension, profit sharing and deferred compensation plans in accordance with the terms of such plans; provided that, as used herein, “material foreign, material state, and material local Taxes, assessments, deposits and contributions” mean those, individually or in the aggregate, equal to or that exceed One Hundred Thousand Dollars ($100,000.00).</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48" w:name="page149"/>
    <w:bookmarkEnd w:id="148"/>
    <w:p>
      <w:pPr>
        <w:jc w:val="both"/>
        <w:ind w:firstLine="74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6.5 Insurance. </w:t>
      </w:r>
      <w:r>
        <w:rPr>
          <w:rFonts w:ascii="Times New Roman" w:cs="Times New Roman" w:eastAsia="Times New Roman" w:hAnsi="Times New Roman"/>
          <w:sz w:val="18"/>
          <w:szCs w:val="18"/>
          <w:color w:val="auto"/>
        </w:rPr>
        <w:t>Keep Borrower’s and its Subsidiaries’ business and the Collateral insured for risks and in amounts standard for companies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Borrower’s and its Subsidiaries’ industry and location and as Collateral Agent may reasonably request, it being acknowledged that Borrower’s insurance in effect as of the Effective Date is acceptable to Collateral Agent. Insurance policies shall be in a form, with companies, and in amounts that are reasonably satisfactory to Collateral Agent and Lenders. All property policies shall have a lender’s loss payable endorsement showing Collateral Agent as lender loss payee and waive subrogation against Collateral Agent, and all commercial general and product liability policies shall show, or have endorsements showing, Collateral Agent, as additional insured. The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the Collateral Agent, that it will give the Collateral Agent thirty (30) days prior written notice before any such policy or policies shall be canceled. At Collateral Agent’s request, Borrower shall deliver certified copies of policies and evidence of all premium payments. Proceeds payable under any property policy shall, at Collateral Agent’s option, be payable to Collateral Agent, for the ratable benefit of the Lenders, on account of the Obligations. Notwithstanding the foregoing, (a) so long as no Event of Default has occurred and is continuing, Borrower shall have the option of applying the proceeds of any property policy up to Two Million Five Hundred Thousand Dollars ($2,500,000.00) with respect to any loss, but not exceeding Two Million Five Hundred Thousand Dollars ($2,500,000.00), in the aggregate for all losses under all casualty policies in any one year, toward the replacement or repair of destroyed or damaged property; provided that any such replaced or repaired property (i) shall be of equal or like value as the replaced or repaired Collateral or other applicable property and (ii) to the extent such damaged or destroyed property was Collateral, shall be deemed Collateral in which Collateral Agent has been granted a first priority security interest (provided that the Collateral may be subject to Permitted Liens), and (b) after the occurrence and during the continuance of an Event of Default, all proceeds payable under such property policy shall, at the option of Collateral Agent, be payable to Collateral Agent, for the ratable benefit of the Lenders, on account of the Obligations. If Borrower or any of its Subsidiaries fails to obtain insurance as required under this Section 6.5 or to pay any amount or furnish any required proof of payment to third persons, Collateral Agent and/or any Lender may make, at Borrower’s expense, all or part of such payment or obtain such insurance policies required in this Section 6.5, and take any action under the policies Collateral Agent or such Lender deems prudent.</w:t>
      </w:r>
    </w:p>
    <w:p>
      <w:pPr>
        <w:spacing w:after="0" w:line="1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6.6  Operating Accounts.</w:t>
      </w:r>
    </w:p>
    <w:p>
      <w:pPr>
        <w:spacing w:after="0" w:line="228" w:lineRule="exact"/>
        <w:rPr>
          <w:sz w:val="20"/>
          <w:szCs w:val="20"/>
          <w:color w:val="auto"/>
        </w:rPr>
      </w:pPr>
    </w:p>
    <w:p>
      <w:pPr>
        <w:jc w:val="both"/>
        <w:ind w:firstLine="1505"/>
        <w:spacing w:after="0" w:line="260" w:lineRule="auto"/>
        <w:tabs>
          <w:tab w:leader="none" w:pos="185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all of Borrower’s and its Subsidiaries’ Collateral Accounts at the banks and financial institutions as disclosed in the Perfection Certificate delivered on the Effective Date or such other accounts as to which Borrower provided notice pursuant to Section 6.6(b), which such accounts (other than Excluded Accounts) are subject, or will be subject in accordance with the Post Closing Letter, to a Control Agreement in favor of Collateral Agent.</w:t>
      </w:r>
    </w:p>
    <w:p>
      <w:pPr>
        <w:spacing w:after="0" w:line="180" w:lineRule="exact"/>
        <w:rPr>
          <w:rFonts w:ascii="Times New Roman" w:cs="Times New Roman" w:eastAsia="Times New Roman" w:hAnsi="Times New Roman"/>
          <w:sz w:val="18"/>
          <w:szCs w:val="18"/>
          <w:color w:val="auto"/>
        </w:rPr>
      </w:pPr>
    </w:p>
    <w:p>
      <w:pPr>
        <w:jc w:val="both"/>
        <w:ind w:firstLine="1505"/>
        <w:spacing w:after="0" w:line="252" w:lineRule="auto"/>
        <w:tabs>
          <w:tab w:leader="none" w:pos="185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provide Collateral Agent at least five (5) days’ prior written notice before Borrower or any of its Subsidiaries establishes any Collateral Account. In addition, for each Collateral Account that Borrower or any of its Subsidiaries at any time maintains, to the extent constituting Collateral Borrower or such Subsidiary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in accordance with the terms hereunder prior to or concurrently with the establishment of such Collateral Account (or at such other time after the establishment of the Collateral Account as may be agreed by Collateral Agent), which Control Agreement may not be terminated without prior written consent of Collateral Agent. The provisions of the previous sentence shall not apply to Collateral Accounts exclusively used for (i) payroll, payroll taxes and other employee wage and benefit payments to or for the benefit of Borrower’s, or any of its Subsidiaries’, employees and (ii) cash collateral accounts subject to Liens permitted by clause (o) of the definition of Permitted Liens (collectively, the “</w:t>
      </w:r>
      <w:r>
        <w:rPr>
          <w:rFonts w:ascii="Times New Roman" w:cs="Times New Roman" w:eastAsia="Times New Roman" w:hAnsi="Times New Roman"/>
          <w:sz w:val="18"/>
          <w:szCs w:val="18"/>
          <w:b w:val="1"/>
          <w:bCs w:val="1"/>
          <w:color w:val="auto"/>
        </w:rPr>
        <w:t>Excluded Accounts</w:t>
      </w:r>
      <w:r>
        <w:rPr>
          <w:rFonts w:ascii="Times New Roman" w:cs="Times New Roman" w:eastAsia="Times New Roman" w:hAnsi="Times New Roman"/>
          <w:sz w:val="18"/>
          <w:szCs w:val="18"/>
          <w:color w:val="auto"/>
        </w:rPr>
        <w:t>”), in each case with respect to clauses (i) and (ii), identified to Collateral Agent by Borrower as such in the Perfection Certificate delivered from time pursuant to this Agreement or otherwise in writing.</w:t>
      </w:r>
    </w:p>
    <w:p>
      <w:pPr>
        <w:spacing w:after="0" w:line="195" w:lineRule="exact"/>
        <w:rPr>
          <w:rFonts w:ascii="Times New Roman" w:cs="Times New Roman" w:eastAsia="Times New Roman" w:hAnsi="Times New Roman"/>
          <w:sz w:val="18"/>
          <w:szCs w:val="18"/>
          <w:color w:val="auto"/>
        </w:rPr>
      </w:pPr>
    </w:p>
    <w:p>
      <w:pPr>
        <w:ind w:right="20" w:firstLine="1505"/>
        <w:spacing w:after="0" w:line="281" w:lineRule="auto"/>
        <w:tabs>
          <w:tab w:leader="none" w:pos="185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Borrower nor any of its Subsidiaries shall maintain any Collateral Accounts except Collateral Accounts maintained in accordance with Sections 6.6(a) and (b).</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49" w:name="page150"/>
    <w:bookmarkEnd w:id="149"/>
    <w:p>
      <w:pPr>
        <w:jc w:val="both"/>
        <w:ind w:firstLine="74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6.7 Protection of Intellectual Property Rights. </w:t>
      </w:r>
      <w:r>
        <w:rPr>
          <w:rFonts w:ascii="Times New Roman" w:cs="Times New Roman" w:eastAsia="Times New Roman" w:hAnsi="Times New Roman"/>
          <w:sz w:val="18"/>
          <w:szCs w:val="18"/>
          <w:color w:val="auto"/>
        </w:rPr>
        <w:t>Borrower and each of its Subsidiaries shall: (a) use commercially reasonable efforts to protect,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defend and maintain the validity and enforceability of its Intellectual Property that is material to Borrower’s business; (b) promptly upon becoming aware, advise Collateral Agent in writing of material infringement by a third party of its Intellectual Property; and (c) not allow any Intellectual Property material to Borrower’s business to be abandoned, forfeited or dedicated to the public without Collateral Agent’s prior written consent. If Borrower or any other Credit Party(i) obtains any patent, registered trademark or servicemark, registered copyright, registered mask work, or any pending application for any of the foregoing, as owner, or (ii) applies for any patent or the registration of any trademark or servicemark, then Borrower or such Credit Party shall provide written notice thereof to Collateral Agent with the next Compliance Certificate and shall execute such intellectual property security agreements and other documents and take such other actions as Collateral Agent shall reasonably request in its good faith business judgment to perfect and maintain a first priority perfected security interest in favor of Collateral Agent, for the ratable benefit of the Lenders, in such property constituting Collateral. If Borrower or any other Credit Party decides to register any copyrights or mask works in the United States Copyright Office, Borrower or such Credit Party shall: (x) provide Collateral Agent with at least fifteen (15) days prior written notice of Borrower’s or such Subsidiary’s intent to register such copyrights or mask works together with a copy of the application it intends to file with the United States Copyright Office (excluding exhibits thereto); (y) execute an intellectual property security agreement and such other documents and take such other actions as Collateral Agent may reasonably request in its good faith business judgment to perfect and maintain a first priority perfected security interest in favor of Collateral Agent, for the ratable benefit of the Lenders, in the copyrights or mask works intended to be registered with the United States Copyright Office; and (z) record such intellectual property security agreement with the United States Copyright Office contemporaneously with filing the copyright or mask work application(s) with the United States Copyright Office. Borrower or such Credit Party shall promptly provide to Collateral Agent and each Lender with evidence of the recording of the intellectual property security agreement necessary for Collateral Agent to perfect and maintain a first priority perfected security interest in such property.</w:t>
      </w:r>
    </w:p>
    <w:p>
      <w:pPr>
        <w:spacing w:after="0" w:line="198" w:lineRule="exact"/>
        <w:rPr>
          <w:sz w:val="20"/>
          <w:szCs w:val="20"/>
          <w:color w:val="auto"/>
        </w:rPr>
      </w:pPr>
    </w:p>
    <w:p>
      <w:pPr>
        <w:jc w:val="both"/>
        <w:ind w:firstLine="749"/>
        <w:spacing w:after="0" w:line="221" w:lineRule="exact"/>
        <w:rPr>
          <w:sz w:val="20"/>
          <w:szCs w:val="20"/>
          <w:color w:val="auto"/>
        </w:rPr>
      </w:pPr>
      <w:r>
        <w:rPr>
          <w:rFonts w:ascii="Times New Roman" w:cs="Times New Roman" w:eastAsia="Times New Roman" w:hAnsi="Times New Roman"/>
          <w:sz w:val="18"/>
          <w:szCs w:val="18"/>
          <w:b w:val="1"/>
          <w:bCs w:val="1"/>
          <w:color w:val="auto"/>
        </w:rPr>
        <w:t xml:space="preserve">6.8 Litigation Cooperation. </w:t>
      </w:r>
      <w:r>
        <w:rPr>
          <w:rFonts w:ascii="Times New Roman" w:cs="Times New Roman" w:eastAsia="Times New Roman" w:hAnsi="Times New Roman"/>
          <w:sz w:val="18"/>
          <w:szCs w:val="18"/>
          <w:color w:val="auto"/>
        </w:rPr>
        <w:t>Commencing on the Effective Date and continuing through the termination of this Agreement, make available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Agent and the Lenders, without expense to Collateral Agent or the Lenders, Borrower and each of Borrower’s officers, employees and agents and Borrower’s Books, to the extent that Collateral Agent or any Lender may reasonably deem them necessary to prosecute or defend any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suit or proceeding instituted by or against Collateral Agent or any Lender with respect to any Collateral or relating to Borrower.</w:t>
      </w:r>
    </w:p>
    <w:p>
      <w:pPr>
        <w:spacing w:after="0" w:line="19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6.9 Notices of Litigation and Default. </w:t>
      </w:r>
      <w:r>
        <w:rPr>
          <w:rFonts w:ascii="Times New Roman" w:cs="Times New Roman" w:eastAsia="Times New Roman" w:hAnsi="Times New Roman"/>
          <w:sz w:val="18"/>
          <w:szCs w:val="18"/>
          <w:color w:val="auto"/>
        </w:rPr>
        <w:t>Borrower will give prompt written notice to Collateral Agent and the Lenders of any litigation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proceedings pending or threatened (in writing) against Borrower or any of its Subsidiaries, which could reasonably be expected to result in damages or costs to Borrower or any of its Subsidiaries of One Million Dollars ($1,000,000.00) or more or which could reasonably be expected to have a Material Adverse Change. Without limiting or contradicting any other more specific provision of this Agreement, promptly (and in any event within three</w:t>
      </w:r>
    </w:p>
    <w:p>
      <w:pPr>
        <w:spacing w:after="0" w:line="1" w:lineRule="exact"/>
        <w:rPr>
          <w:sz w:val="20"/>
          <w:szCs w:val="20"/>
          <w:color w:val="auto"/>
        </w:rPr>
      </w:pPr>
    </w:p>
    <w:p>
      <w:pPr>
        <w:jc w:val="both"/>
        <w:ind w:firstLine="8"/>
        <w:spacing w:after="0" w:line="253" w:lineRule="auto"/>
        <w:tabs>
          <w:tab w:leader="none" w:pos="2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upon Borrower becoming aware of the existence of any Event of Default or event which, with the giving of notice or passage of time, or both, would constitute an Event of Default, Borrower shall give written notice to Collateral Agent and the Lenders of such occurrence, which such notice shall include a reasonably detailed description of such Event of Default or event which, with the giving of notice or passage of time, or both, would constitute an Event of Default.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6.10 Financial Covenant.</w:t>
      </w:r>
    </w:p>
    <w:p>
      <w:pPr>
        <w:spacing w:after="0" w:line="228" w:lineRule="exact"/>
        <w:rPr>
          <w:sz w:val="20"/>
          <w:szCs w:val="20"/>
          <w:color w:val="auto"/>
        </w:rPr>
      </w:pPr>
    </w:p>
    <w:p>
      <w:pPr>
        <w:jc w:val="both"/>
        <w:ind w:firstLine="1505"/>
        <w:spacing w:after="0" w:line="260" w:lineRule="auto"/>
        <w:tabs>
          <w:tab w:leader="none" w:pos="185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Cash</w:t>
      </w:r>
      <w:r>
        <w:rPr>
          <w:rFonts w:ascii="Times New Roman" w:cs="Times New Roman" w:eastAsia="Times New Roman" w:hAnsi="Times New Roman"/>
          <w:sz w:val="18"/>
          <w:szCs w:val="18"/>
          <w:color w:val="auto"/>
        </w:rPr>
        <w:t>. If Borrower has not achieved [***] prior to June 30, 2025, beginning on June 30, 2025 and at all times thereafter until Borrower has achieved [***], Borrower’s total unrestricted cash plus Cash Equivalents and investments described in clause (b)(ii) of Permitted Investments, maintained in Collateral Accounts subject to a Control Agreement in favor of Collateral Agent, must be equal to or above the Minimum Cash Requisite Cash Level.</w:t>
      </w:r>
    </w:p>
    <w:p>
      <w:pPr>
        <w:spacing w:after="0" w:line="180" w:lineRule="exact"/>
        <w:rPr>
          <w:rFonts w:ascii="Times New Roman" w:cs="Times New Roman" w:eastAsia="Times New Roman" w:hAnsi="Times New Roman"/>
          <w:sz w:val="18"/>
          <w:szCs w:val="18"/>
          <w:color w:val="auto"/>
        </w:rPr>
      </w:pPr>
    </w:p>
    <w:p>
      <w:pPr>
        <w:jc w:val="both"/>
        <w:ind w:firstLine="1505"/>
        <w:spacing w:after="0" w:line="260" w:lineRule="auto"/>
        <w:tabs>
          <w:tab w:leader="none" w:pos="188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DCCR Revenue</w:t>
      </w:r>
      <w:r>
        <w:rPr>
          <w:rFonts w:ascii="Times New Roman" w:cs="Times New Roman" w:eastAsia="Times New Roman" w:hAnsi="Times New Roman"/>
          <w:sz w:val="18"/>
          <w:szCs w:val="18"/>
          <w:color w:val="auto"/>
        </w:rPr>
        <w:t xml:space="preserve">. Commencing upon the Revenue Covenant Trigger Date and continuing at all times thereafter, Borrower shall, as of the last day of each such fiscal quarter, achieve DCCR Net Product Revenue (measured in accordance with GAAP on a trailing six (6) month basis) in an amount equal to or greater than the corresponding amount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hereof for the applicable measuring period (the “</w:t>
      </w:r>
      <w:r>
        <w:rPr>
          <w:rFonts w:ascii="Times New Roman" w:cs="Times New Roman" w:eastAsia="Times New Roman" w:hAnsi="Times New Roman"/>
          <w:sz w:val="18"/>
          <w:szCs w:val="18"/>
          <w:b w:val="1"/>
          <w:bCs w:val="1"/>
          <w:color w:val="auto"/>
        </w:rPr>
        <w:t>Revenue Covenant</w:t>
      </w:r>
      <w:r>
        <w:rPr>
          <w:rFonts w:ascii="Times New Roman" w:cs="Times New Roman" w:eastAsia="Times New Roman" w:hAnsi="Times New Roman"/>
          <w:sz w:val="18"/>
          <w:szCs w:val="18"/>
          <w:color w:val="auto"/>
        </w:rPr>
        <w:t>”); provided, however, (x) upon Borrower first achieving DCCR Net Product Revenue (measured in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50" w:name="page151"/>
    <w:bookmarkEnd w:id="150"/>
    <w:p>
      <w:pPr>
        <w:jc w:val="both"/>
        <w:spacing w:after="0" w:line="256" w:lineRule="auto"/>
        <w:rPr>
          <w:sz w:val="20"/>
          <w:szCs w:val="20"/>
          <w:color w:val="auto"/>
        </w:rPr>
      </w:pPr>
      <w:r>
        <w:rPr>
          <w:rFonts w:ascii="Times New Roman" w:cs="Times New Roman" w:eastAsia="Times New Roman" w:hAnsi="Times New Roman"/>
          <w:sz w:val="18"/>
          <w:szCs w:val="18"/>
          <w:color w:val="auto"/>
        </w:rPr>
        <w:t>accordance with GAAP on a trailing twelve (12) month basis) in an amount equal to or greater than [***] the Revenue Covenant level shall require Borrower to achieve and maintain DCCR Net Product Revenue (measured in accordance with GAAP on a trailing twelve (12) month basis) in an amount equal to or greater than [***] for each fiscal quarter thereafter; and (y) if for any testing date (i.e. last day of each fiscal quarter) either (i) Borrower’s Market Capitalization is equal to or greater than [***] or (ii) Borrower’s total unrestricted cash plus Cash Equivalents and investments described in clause (b)(ii) of Permitted Investments, maintained in Collateral Accounts subject to a Control Agreement in favor of Collateral Agent, is equal to or above the Minimum Revenue Requisite Cash Level at all times, such Revenue Covenant will not be tested for such fiscal quarter.</w:t>
      </w:r>
    </w:p>
    <w:p>
      <w:pPr>
        <w:spacing w:after="0" w:line="18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6.11 Landlord Waivers; Bailee Waivers. </w:t>
      </w:r>
      <w:r>
        <w:rPr>
          <w:rFonts w:ascii="Times New Roman" w:cs="Times New Roman" w:eastAsia="Times New Roman" w:hAnsi="Times New Roman"/>
          <w:sz w:val="18"/>
          <w:szCs w:val="18"/>
          <w:color w:val="auto"/>
        </w:rPr>
        <w:t>In the event that Borrower or any other Credit Party, after the Effective Date, adds any new offices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locations, including warehouses, or otherwise store any portion of the Collateral (other than (1) inventory in transit, (2) laptops and mobile phones in the possession of employees in the ordinary course of business and (3) inventory maintained with clinical research providers or clinical trial sites in the ordinary course of business) with, or deliver any portion of the Collateral to, a bailee (regardless of whether such office, business location, or warehouse is a new or existing office, business location or warehouse), in each case pursuant to Section 7.2, in the event that the new location is the chief executive office of the Borrower or such Subsidiary or the Collateral (other than (1) inventory in transit, (2) laptops and mobile phones in the possession of employees in the ordinary course of business and (3) inventory maintained with clinical research providers or clinical trial sites in the ordinary course of business) at any such new location is valued in excess of One Million Dollars ($1,000,000.00) in the aggregate, such bailee or landlord, as applicable, shall use commercially reasonable efforts to deliver a bailee waiver or landlord waiver, as applicable, in form and substance reasonably satisfactory to Collateral Agent.</w:t>
      </w:r>
    </w:p>
    <w:p>
      <w:pPr>
        <w:spacing w:after="0" w:line="188" w:lineRule="exact"/>
        <w:rPr>
          <w:sz w:val="20"/>
          <w:szCs w:val="20"/>
          <w:color w:val="auto"/>
        </w:rPr>
      </w:pPr>
    </w:p>
    <w:p>
      <w:pPr>
        <w:jc w:val="both"/>
        <w:ind w:firstLine="749"/>
        <w:spacing w:after="0" w:line="217" w:lineRule="exact"/>
        <w:rPr>
          <w:sz w:val="20"/>
          <w:szCs w:val="20"/>
          <w:color w:val="auto"/>
        </w:rPr>
      </w:pPr>
      <w:r>
        <w:rPr>
          <w:rFonts w:ascii="Times New Roman" w:cs="Times New Roman" w:eastAsia="Times New Roman" w:hAnsi="Times New Roman"/>
          <w:sz w:val="18"/>
          <w:szCs w:val="18"/>
          <w:b w:val="1"/>
          <w:bCs w:val="1"/>
          <w:color w:val="auto"/>
        </w:rPr>
        <w:t xml:space="preserve">6.12 Creation/Acquisition of Subsidiaries. </w:t>
      </w:r>
      <w:r>
        <w:rPr>
          <w:rFonts w:ascii="Times New Roman" w:cs="Times New Roman" w:eastAsia="Times New Roman" w:hAnsi="Times New Roman"/>
          <w:sz w:val="18"/>
          <w:szCs w:val="18"/>
          <w:color w:val="auto"/>
        </w:rPr>
        <w:t>In the event Borrower, or any other Credit Party creates or acquires any Subsidiary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limitation, pursuant to a Division), Borrower shall provide prior written notice to Collateral Agent of the creation or acquisition of such new Subsidiary and take all such action as may be reasonably required by Collateral Agent or any Lender to cause each such Subsidiary to become a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Borrower hereunder or to guarantee the Obligations of Borrower under the Loan Documents and, in each case, grant a continuing pledge and security interest in and to the assets of such Subsidiary constituting Collateral (substantially as described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Borrower (or its Subsidiary, as applicable) shall grant and pledge to Collateral Agent, for the ratable benefit of the Lenders, a perfected security interest in the Shares of each such newly created Subsidiary constituting Collateral; provided, however, that solely in the circumstance in which a Credit Party creates a Foreign Subsidiary or acquires a Foreign Subsidiary approved by the Required Lenders and Borrower remains in compliance with the negative covenant set forth in Section 7.12 hereof, (i) such Foreign Subsidiary shall not be required to guarantee the Obligations under the Loan Documents and grant a continuing pledge and security interest in and to the assets of such Foreign Subsidiary, and (ii) such Credit Party shall not be required to grant and pledge to Collateral Agent, for the ratable benefit of Lenders, a perfected security interest in Shares that have more than sixty-five percent (65%) of the total combined voting power of all classes of Shares of any Foreign Subsidiary that are entitled to vote (as determined under U.S. federal tax principles) (the "</w:t>
      </w:r>
      <w:r>
        <w:rPr>
          <w:rFonts w:ascii="Times New Roman" w:cs="Times New Roman" w:eastAsia="Times New Roman" w:hAnsi="Times New Roman"/>
          <w:sz w:val="18"/>
          <w:szCs w:val="18"/>
          <w:b w:val="1"/>
          <w:bCs w:val="1"/>
          <w:color w:val="auto"/>
        </w:rPr>
        <w:t>Foreign Subsidiary Interests"</w:t>
      </w:r>
      <w:r>
        <w:rPr>
          <w:rFonts w:ascii="Times New Roman" w:cs="Times New Roman" w:eastAsia="Times New Roman" w:hAnsi="Times New Roman"/>
          <w:sz w:val="18"/>
          <w:szCs w:val="18"/>
          <w:color w:val="auto"/>
        </w:rPr>
        <w:t>), if Borrower demonstrates to the reasonable satisfaction of Collateral Agent that such Foreign Subsidiary providing such guarantee or pledge and security interest or Borrower providing a perfected security interest in the Foreign Subsidiary Interests would create a present and existing adverse tax consequence to a Credit Party under the U.S. Internal Revenue Code. For the avoidance of doubt, neither Soleno Therapeutics UK Ltd. nor Soleno Therapeutics Europe Ltd. shall be required to become a Credit Party on the Effective Date.</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6.13 Further Assurances</w:t>
      </w:r>
      <w:r>
        <w:rPr>
          <w:rFonts w:ascii="Times New Roman" w:cs="Times New Roman" w:eastAsia="Times New Roman" w:hAnsi="Times New Roman"/>
          <w:sz w:val="18"/>
          <w:szCs w:val="18"/>
          <w:color w:val="auto"/>
        </w:rPr>
        <w:t>.</w:t>
      </w:r>
    </w:p>
    <w:p>
      <w:pPr>
        <w:spacing w:after="0" w:line="228" w:lineRule="exact"/>
        <w:rPr>
          <w:sz w:val="20"/>
          <w:szCs w:val="20"/>
          <w:color w:val="auto"/>
        </w:rPr>
      </w:pPr>
    </w:p>
    <w:p>
      <w:pPr>
        <w:ind w:right="40" w:firstLine="1505"/>
        <w:spacing w:after="0" w:line="281" w:lineRule="auto"/>
        <w:tabs>
          <w:tab w:leader="none" w:pos="185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any further instruments and take further action as Collateral Agent or any Lender reasonably requests to perfect or continue Collateral Agent’s Lien in the Collateral or to effect the purposes of this Agreement.</w:t>
      </w:r>
    </w:p>
    <w:p>
      <w:pPr>
        <w:spacing w:after="0" w:line="161" w:lineRule="exact"/>
        <w:rPr>
          <w:rFonts w:ascii="Times New Roman" w:cs="Times New Roman" w:eastAsia="Times New Roman" w:hAnsi="Times New Roman"/>
          <w:sz w:val="18"/>
          <w:szCs w:val="18"/>
          <w:color w:val="auto"/>
        </w:rPr>
      </w:pPr>
    </w:p>
    <w:p>
      <w:pPr>
        <w:jc w:val="both"/>
        <w:ind w:firstLine="1505"/>
        <w:spacing w:after="0" w:line="265" w:lineRule="auto"/>
        <w:tabs>
          <w:tab w:leader="none" w:pos="185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Collateral Agent and Lenders, within five (5)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otherwise could reasonably be expected to have a Material Adverse Change.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51" w:name="page152"/>
    <w:bookmarkEnd w:id="151"/>
    <w:p>
      <w:pPr>
        <w:ind w:left="360" w:hanging="352"/>
        <w:spacing w:after="0"/>
        <w:tabs>
          <w:tab w:leader="none" w:pos="3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NEGATIVE COVENANTS</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Borrower shall not, and shall not permit any of its Subsidiaries to, do any of the following without the prior written consent of the Required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w:t>
      </w:r>
    </w:p>
    <w:p>
      <w:pPr>
        <w:spacing w:after="0" w:line="20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7.1 Dispositions. </w:t>
      </w:r>
      <w:r>
        <w:rPr>
          <w:rFonts w:ascii="Times New Roman" w:cs="Times New Roman" w:eastAsia="Times New Roman" w:hAnsi="Times New Roman"/>
          <w:sz w:val="18"/>
          <w:szCs w:val="18"/>
          <w:color w:val="auto"/>
        </w:rPr>
        <w:t>Convey, sell, lease, transfer, assign, or otherwise dispose of (including, without limitation, pursuant to a Division)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or permit any of its Subsidiaries to Transfer, all or any part of its business or property, except for Transfers (a) of Inventory in the ordinary course of business; (b) of worn out or obsolete Equipment; (c) of cash and Cash Equivalents in connection with transactions not prohibited hereunder; (d) in connection with Permitted Liens, Permitted Investments and Permitted Licenses; (e) by or among Borrowers; (f) subject to the limitations set forth in Section 7.12, between or among Subsidiaries that are not Borrowers; (g) of assets (other than Intellectual Property) having a value of not more than One Million Dollars ($1,000,000.00) in the aggregate in any fiscal year of Soleno so long as no Event of Default has occurred and is continuing or could reasonably be expected to result therefrom; (h) permitted by Sections 7.3 or 7.7; and (i) of immaterial Intellectual Property (including by lapse or abandonment) that is no longer useful to Borrower’s business and no longer has any material value to Borrower or its Subsidiaries.</w:t>
      </w:r>
    </w:p>
    <w:p>
      <w:pPr>
        <w:spacing w:after="0" w:line="18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7.2 Changes in Business, Management, Ownership, or Business Locations. </w:t>
      </w:r>
      <w:r>
        <w:rPr>
          <w:rFonts w:ascii="Times New Roman" w:cs="Times New Roman" w:eastAsia="Times New Roman" w:hAnsi="Times New Roman"/>
          <w:sz w:val="18"/>
          <w:szCs w:val="18"/>
          <w:color w:val="auto"/>
        </w:rPr>
        <w:t>(a) Engage in or permit any of its Subsidiaries to engage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other than the businesses engaged in by Borrower and its Subsidiaries as of the Effective Date or reasonably related or incidental thereto; (b) liquidate or dissolve, except that a Subsidiary that is not a Credit Party may liquidate or dissolve so long as its assets, if any, are transferred to a Credit Party; or (c) (i) any Key Person shall cease to be actively engaged in the management of Borrower unless written notice thereof is provided to Collateral Agent within five (5) days of such change (which notice shall be deemed given upon the filing by Soleno of a Current Report on Form 8-K disclosing such matter), or (ii) consummate any transaction or series of related transactions in which the stockholders of Soleno who were not stockholders immediately prior to the first such transaction own more than forty nine percent (49%) of the voting stock of Soleno immediately after giving effect to such transaction or related series of such transactions (other than by the sale of Soleno’s equity securities in a public offering, a private placement of public equity or to institutional or fund investors so long as Borrower identifies to Collateral Agent the investors prior to the closing of the transaction). Borrower shall not, without at least ten (10) Business Days’ prior written notice to Collateral Agent (or such shorter period of time as may be agreed by Collateral Agent in its sole discretion): (A) add any new offices or business locations, including warehouses (unless such new offices or business locations (i) contain less than One Million Dollars ($1,000,000.00) in assets or property of Borrower or any of its Subsidiaries and (ii) are not Borrower’s or its Subsidiaries’ chief executive office); (B) change its jurisdiction of organization, (C) change its organizational type, (D) change its legal name, or (E) change any organizational number (if any) assigned by its jurisdiction of organization.</w:t>
      </w:r>
    </w:p>
    <w:p>
      <w:pPr>
        <w:spacing w:after="0" w:line="190" w:lineRule="exact"/>
        <w:rPr>
          <w:sz w:val="20"/>
          <w:szCs w:val="20"/>
          <w:color w:val="auto"/>
        </w:rPr>
      </w:pPr>
    </w:p>
    <w:p>
      <w:pPr>
        <w:jc w:val="both"/>
        <w:ind w:firstLine="749"/>
        <w:spacing w:after="0" w:line="220" w:lineRule="exact"/>
        <w:rPr>
          <w:sz w:val="20"/>
          <w:szCs w:val="20"/>
          <w:color w:val="auto"/>
        </w:rPr>
      </w:pPr>
      <w:r>
        <w:rPr>
          <w:rFonts w:ascii="Times New Roman" w:cs="Times New Roman" w:eastAsia="Times New Roman" w:hAnsi="Times New Roman"/>
          <w:sz w:val="18"/>
          <w:szCs w:val="18"/>
          <w:b w:val="1"/>
          <w:bCs w:val="1"/>
          <w:color w:val="auto"/>
        </w:rPr>
        <w:t xml:space="preserve">7.3 Mergers or Acquisitions. </w:t>
      </w:r>
      <w:r>
        <w:rPr>
          <w:rFonts w:ascii="Times New Roman" w:cs="Times New Roman" w:eastAsia="Times New Roman" w:hAnsi="Times New Roman"/>
          <w:sz w:val="18"/>
          <w:szCs w:val="18"/>
          <w:color w:val="auto"/>
        </w:rPr>
        <w:t>Merge or consolidate, or permit any of its Subsidiaries to merge or consolidate, with any other Person,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or permit any of its Subsidiaries to acquire, all or substantially all of the capital stock, shares or property of another Person (including, without limitation, pursuant to a Division) other than a Permitted Acquisition without the consent of the Required Lenders; provided that a Subsidiary may merge or consolidate into another Subsidiary (provided such surviving Subsidiary is a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Borrower” hereunder or has provided a secured Guaranty of Borrower’s Obligations hereunder, in each case to the extent the non-surviving Subsidiary was a Credit Party) or with (or into) Borrower provided Borrower is the surviving legal entity, and as long as no Event of Default is occurring prior thereto or arises as a result therefrom.</w:t>
      </w:r>
    </w:p>
    <w:p>
      <w:pPr>
        <w:spacing w:after="0" w:line="19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7.4 Indebtedness. </w:t>
      </w:r>
      <w:r>
        <w:rPr>
          <w:rFonts w:ascii="Times New Roman" w:cs="Times New Roman" w:eastAsia="Times New Roman" w:hAnsi="Times New Roman"/>
          <w:sz w:val="18"/>
          <w:szCs w:val="18"/>
          <w:color w:val="auto"/>
        </w:rPr>
        <w:t>Create, incur, assume, or be liable for any Indebtedness, or permit any Subsidiary to do so, other than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Indebtedness.</w:t>
      </w:r>
    </w:p>
    <w:p>
      <w:pPr>
        <w:spacing w:after="0" w:line="200" w:lineRule="exact"/>
        <w:rPr>
          <w:sz w:val="20"/>
          <w:szCs w:val="20"/>
          <w:color w:val="auto"/>
        </w:rPr>
      </w:pPr>
    </w:p>
    <w:p>
      <w:pPr>
        <w:spacing w:after="0" w:line="22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7.5 Encumbrance. </w:t>
      </w:r>
      <w:r>
        <w:rPr>
          <w:rFonts w:ascii="Times New Roman" w:cs="Times New Roman" w:eastAsia="Times New Roman" w:hAnsi="Times New Roman"/>
          <w:sz w:val="18"/>
          <w:szCs w:val="18"/>
          <w:color w:val="auto"/>
        </w:rPr>
        <w:t>(a) Create, incur, allow, or suffer any Lien on any of its property, or assign or convey any right to receive income,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sale of any Accounts, permit any of its Subsidiaries to do so, except for Permitted Liens or as permitted by Section 7.1 or Section 7.3, or (b) permit any Collateral not to be subject to the first priority security interest granted herein (except that the Collateral may be subject to Permitted Liens), or (c) enter into any agreement, document, instrument or other arrangement (except with or in favor of Collateral Agent, for the ratable benefit of the Lenders) with any Person which directly or indirectly prohibits or has the effect of prohibiting Borrower, or any of its Subsidiaries, from assigning, mortgaging, pledging, granting a security interest in or upon, or encumbering any of Borrower’s or such Subsidiary’s Intellectual Property in favor of Collateral Agent, except (i) as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52" w:name="page153"/>
    <w:bookmarkEnd w:id="152"/>
    <w:p>
      <w:pPr>
        <w:jc w:val="both"/>
        <w:spacing w:after="0" w:line="258" w:lineRule="auto"/>
        <w:rPr>
          <w:sz w:val="20"/>
          <w:szCs w:val="20"/>
          <w:color w:val="auto"/>
        </w:rPr>
      </w:pPr>
      <w:r>
        <w:rPr>
          <w:rFonts w:ascii="Times New Roman" w:cs="Times New Roman" w:eastAsia="Times New Roman" w:hAnsi="Times New Roman"/>
          <w:sz w:val="18"/>
          <w:szCs w:val="18"/>
          <w:color w:val="auto"/>
        </w:rPr>
        <w:t>is otherwise permitted in Section 7.1 hereof and the definition of “</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herein, (ii) for customary non-assignment clauses and (iii) with respect to the foregoing clause (c), for customary covenants with such restrictions in merger or acquisition agreements, provided that such covenants do not prohibit any Borrower or any Subsidiary from granting a security interest in Borrower’s or any such Subsidiary’s Intellectual Property in favor of Collateral Agent and provided further that the counterparties to such covenants are not permitted to receive a security interest in Borrower’s or any Subsidiary’s Intellectual Property.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7.6  Maintenance of Collateral Accounts. </w:t>
      </w:r>
      <w:r>
        <w:rPr>
          <w:rFonts w:ascii="Times New Roman" w:cs="Times New Roman" w:eastAsia="Times New Roman" w:hAnsi="Times New Roman"/>
          <w:sz w:val="18"/>
          <w:szCs w:val="18"/>
          <w:color w:val="auto"/>
        </w:rPr>
        <w:t>Maintain any Collateral Account except pursuant to the terms of Section 6.6 hereof.</w:t>
      </w:r>
    </w:p>
    <w:p>
      <w:pPr>
        <w:spacing w:after="0" w:line="18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7.7 Distributions; Investments. </w:t>
      </w:r>
      <w:r>
        <w:rPr>
          <w:rFonts w:ascii="Times New Roman" w:cs="Times New Roman" w:eastAsia="Times New Roman" w:hAnsi="Times New Roman"/>
          <w:sz w:val="18"/>
          <w:szCs w:val="18"/>
          <w:color w:val="auto"/>
        </w:rPr>
        <w:t>(a) Pay any dividends (other than (i) dividends payable solely in capital stock or (ii) dividends or distributions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any Subsidiary of a Borrower to a Borrower or by such Subsidiary to another Subsidiary) or make any distribution or payment in respect of or redeem, retire or purchase any capital stock other than (i) repurchases by Soleno pursuant to the terms of employee stock purchase plans, employee restricted stock agreements, stockholder rights plans, director or consultant stock option plans, or similar plans, provided such repurchases do not exceed Five Hundred Thousand Dollars ($500,000.00) in the aggregate per fiscal year, (ii) Soleno may make purchases or redemptions of capital stock in the ordinary course of business in connection with the exercise of stock options or similar equity-based compensation or the satisfaction of withholding tax obligations, in each case by way of cashless or “net” exercise by the holders of such stock options or similar equity-based compensation, (iii) Soleno may pay cash in lieu of fractional shares of not more than One Hundred Thousand Dollars ($100,000.00) in the aggregate per fiscal year, (iv) the conversion of any of its convertible securities into other securities pursuant to the terms of such convertible securities or otherwise in exchange therefor and (v) Soleno may enter into a customary stockholder rights plan and distribute rights thereunder so long as such plan could not reasonably be expected to adversely affect Lenders or Soleno and a copy of such plan is provided to Lenders at least ten (10) Business Days prior to the adoption of such plan or (b) directly or indirectly make any Investment other than Permitted Investments.</w:t>
      </w:r>
    </w:p>
    <w:p>
      <w:pPr>
        <w:spacing w:after="0" w:line="156" w:lineRule="exact"/>
        <w:rPr>
          <w:sz w:val="20"/>
          <w:szCs w:val="20"/>
          <w:color w:val="auto"/>
        </w:rPr>
      </w:pPr>
    </w:p>
    <w:p>
      <w:pPr>
        <w:jc w:val="both"/>
        <w:ind w:firstLine="749"/>
        <w:spacing w:after="0" w:line="219" w:lineRule="exact"/>
        <w:rPr>
          <w:sz w:val="20"/>
          <w:szCs w:val="20"/>
          <w:color w:val="auto"/>
        </w:rPr>
      </w:pPr>
      <w:r>
        <w:rPr>
          <w:rFonts w:ascii="Times New Roman" w:cs="Times New Roman" w:eastAsia="Times New Roman" w:hAnsi="Times New Roman"/>
          <w:sz w:val="18"/>
          <w:szCs w:val="18"/>
          <w:b w:val="1"/>
          <w:bCs w:val="1"/>
          <w:color w:val="auto"/>
        </w:rPr>
        <w:t xml:space="preserve">7.8 Transactions with Affiliates. </w:t>
      </w:r>
      <w:r>
        <w:rPr>
          <w:rFonts w:ascii="Times New Roman" w:cs="Times New Roman" w:eastAsia="Times New Roman" w:hAnsi="Times New Roman"/>
          <w:sz w:val="18"/>
          <w:szCs w:val="18"/>
          <w:color w:val="auto"/>
        </w:rPr>
        <w:t>Directly or indirectly enter into or permit to exist any material transaction with any Affiliate of Borrower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its Subsidiaries, except for (a) transactions that are in the ordinary course of Borrower’s or such Subsidiary’s business, upon fair and reasonable terms that are no less favorable to Borrower or such Subsidiary than would be obtained in an arm’s length transaction with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affiliated Person, (b) Subordinated Debt or equity investments by Borrower’s investors in Borrower or its Subsidiaries, (c) transactions by or among Borrowers, (d) transactions permitted by Sections 7.3, 7.4 or 7.7 hereof, and (e) reasonable and customary indemnification arrangements and employee agreements, severance arrangements, compensation arrangements (including equity-based compensation and reasonable and customary fees paid to directors), in each case with current or former employees, officers or directors in the ordinary course of business and approved by Borrower’s board of directors (or a committee thereof).</w:t>
      </w:r>
    </w:p>
    <w:p>
      <w:pPr>
        <w:spacing w:after="0" w:line="15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7.9 Subordinated Debt. </w:t>
      </w:r>
      <w:r>
        <w:rPr>
          <w:rFonts w:ascii="Times New Roman" w:cs="Times New Roman" w:eastAsia="Times New Roman" w:hAnsi="Times New Roman"/>
          <w:sz w:val="18"/>
          <w:szCs w:val="18"/>
          <w:color w:val="auto"/>
        </w:rPr>
        <w:t>(a) Make or permit any payment on any Subordinated Debt, except under the terms of the subordination, intercreditor,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similar agreement to which such Subordinated Debt is subject, or (b) amend any provision in any document relating to the Subordinated Debt which would increase the amount thereof or adversely affect the subordination thereof to Obligations owed to the Lenders, except as permitted by the subordination, intercreditor, or similar agreement to which such Subordinated Debt is subject.</w:t>
      </w:r>
    </w:p>
    <w:p>
      <w:pPr>
        <w:spacing w:after="0" w:line="13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7.10 Compliance. </w:t>
      </w:r>
      <w:r>
        <w:rPr>
          <w:rFonts w:ascii="Times New Roman" w:cs="Times New Roman" w:eastAsia="Times New Roman" w:hAnsi="Times New Roman"/>
          <w:sz w:val="18"/>
          <w:szCs w:val="18"/>
          <w:color w:val="auto"/>
        </w:rPr>
        <w:t>Become an “investment company” or a company controlled by an “investment company”, under the Investment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of 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Change, or permit any of its Subsidiaries to do so if the failure to so comply or such violation could reasonably be expected to have a Material Adverse Change;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 Subsidiaries, including any liability to the Pension Benefit Guaranty Corporation or its successors or any other Governmental Authority.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53" w:name="page154"/>
    <w:bookmarkEnd w:id="153"/>
    <w:p>
      <w:pPr>
        <w:jc w:val="both"/>
        <w:ind w:firstLine="749"/>
        <w:spacing w:after="0" w:line="222" w:lineRule="exact"/>
        <w:rPr>
          <w:sz w:val="20"/>
          <w:szCs w:val="20"/>
          <w:color w:val="auto"/>
        </w:rPr>
      </w:pPr>
      <w:r>
        <w:rPr>
          <w:rFonts w:ascii="Times New Roman" w:cs="Times New Roman" w:eastAsia="Times New Roman" w:hAnsi="Times New Roman"/>
          <w:sz w:val="18"/>
          <w:szCs w:val="18"/>
          <w:b w:val="1"/>
          <w:bCs w:val="1"/>
          <w:color w:val="auto"/>
        </w:rPr>
        <w:t>7.11 Compliance with Anti</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Terrorism Laws. </w:t>
      </w:r>
      <w:r>
        <w:rPr>
          <w:rFonts w:ascii="Times New Roman" w:cs="Times New Roman" w:eastAsia="Times New Roman" w:hAnsi="Times New Roman"/>
          <w:sz w:val="18"/>
          <w:szCs w:val="18"/>
          <w:color w:val="auto"/>
        </w:rPr>
        <w:t>Collateral Agent hereby notifies Borrower and each of its Subsidiaries that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Terrorism Laws, and Collateral Agent’s policies and practices, Collateral Agent is required to obtain, verify and record certain information and documentation that identifies Borrower and each of its Subsidiaries and their principals, which information includes the name and address of Borrower and each of its Subsidiaries and their principals and such other information that will allow Collateral Agent to identify such party in accordance with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Terrorism Laws. Neither Borrower nor any of its Subsidiaries shall, nor shall Borrower or any of its Subsidiaries permit any Affiliate to, directly or indirectly, knowingly enter into any documents, instruments, agreements or contracts with any Person listed on the OFAC Lists. Borrower and each of its Subsidiaries shall immediately notify Collateral Agent if Borrower or such Subsidiary has knowledge that Borrower, or any Subsidiary or Affiliate of Borrower, is listed on the OFAC Lists or (a) is convicted on, (b) pleads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(c) is indicted on, or (d) is arraigned and held over on charges involving money laundering or predicate crimes to money laundering. Neither Borrower nor any of its Subsidiaries shall, nor shall Borrower or any of its Subsidiaries, permit any controlled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Terrorism Law, or (iii) engage in or conspire to engage in any transaction that evades or avoids, or has the purpose of evading or avoiding, or attempts to violate, any of the prohibitions set forth in Executive Order No. 13224 or other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Terrorism Law.</w:t>
      </w:r>
    </w:p>
    <w:p>
      <w:pPr>
        <w:spacing w:after="0" w:line="166"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7.12 Foreign Subsidiary Assets. </w:t>
      </w:r>
      <w:r>
        <w:rPr>
          <w:rFonts w:ascii="Times New Roman" w:cs="Times New Roman" w:eastAsia="Times New Roman" w:hAnsi="Times New Roman"/>
          <w:sz w:val="18"/>
          <w:szCs w:val="18"/>
          <w:color w:val="auto"/>
        </w:rPr>
        <w:t>Permit the aggregate amount of cash, Cash Equivalents and the value of other assets held or maintained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Foreign Subsidiaries, taken together, to exceed One Million Dollars ($1,000,000) at any time or permit any Foreign Subsidiary to own, license, maintain or otherwise hold any material Intellectual Property.</w:t>
      </w:r>
    </w:p>
    <w:p>
      <w:pPr>
        <w:spacing w:after="0" w:line="171" w:lineRule="exact"/>
        <w:rPr>
          <w:sz w:val="20"/>
          <w:szCs w:val="20"/>
          <w:color w:val="auto"/>
        </w:rPr>
      </w:pPr>
    </w:p>
    <w:p>
      <w:pPr>
        <w:ind w:left="360" w:hanging="352"/>
        <w:spacing w:after="0"/>
        <w:tabs>
          <w:tab w:leader="none" w:pos="3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EVENTS OF DEFAULT</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Any one of the following shall constitute an event of default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 Agreement:</w:t>
      </w:r>
    </w:p>
    <w:p>
      <w:pPr>
        <w:spacing w:after="0" w:line="22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8.1 Payment Default. </w:t>
      </w:r>
      <w:r>
        <w:rPr>
          <w:rFonts w:ascii="Times New Roman" w:cs="Times New Roman" w:eastAsia="Times New Roman" w:hAnsi="Times New Roman"/>
          <w:sz w:val="18"/>
          <w:szCs w:val="18"/>
          <w:color w:val="auto"/>
        </w:rPr>
        <w:t>Borrower fails to (a) make any payment of principal or interest on any Credit Extension on its due date, or (b) pay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Obligations within three (3) Business Days after such Obligations are due and payable (which three (3) Business Day grace period shall not apply to payments due on the Maturity Date or the date of acceleration pursuant to Section 9.1 (a) hereof). During the cure period, the failure to cure the payment default is not an Event of Default (but no Credit Extension will be made during the cure period);</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8.2  Covenant Default.</w:t>
      </w:r>
    </w:p>
    <w:p>
      <w:pPr>
        <w:spacing w:after="0" w:line="228" w:lineRule="exact"/>
        <w:rPr>
          <w:sz w:val="20"/>
          <w:szCs w:val="20"/>
          <w:color w:val="auto"/>
        </w:rPr>
      </w:pPr>
    </w:p>
    <w:p>
      <w:pPr>
        <w:jc w:val="both"/>
        <w:ind w:firstLine="1505"/>
        <w:spacing w:after="0" w:line="260" w:lineRule="auto"/>
        <w:tabs>
          <w:tab w:leader="none" w:pos="185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of its Subsidiaries fails or neglects to perform any obligation in Sections 6.2 (Financial Statements, Reports, Certificates), 6.4 (Taxes), 6.5 (Insurance), 6.6 (Operating Accounts), 6.7 (Protection of Intellectual Property Rights), 6.9 (Notice of Litigation and Default), 6.10 (Financial Covenant), 6.11 (Landlord Waivers; Bailee Waivers), 6.12 (Creation/Acquisition of Subsidiaries) or 6.13 (Further Assurances) or Borrower violates any covenant in Section 7; or</w:t>
      </w:r>
    </w:p>
    <w:p>
      <w:pPr>
        <w:spacing w:after="0" w:line="180" w:lineRule="exact"/>
        <w:rPr>
          <w:rFonts w:ascii="Times New Roman" w:cs="Times New Roman" w:eastAsia="Times New Roman" w:hAnsi="Times New Roman"/>
          <w:sz w:val="18"/>
          <w:szCs w:val="18"/>
          <w:color w:val="auto"/>
        </w:rPr>
      </w:pPr>
    </w:p>
    <w:p>
      <w:pPr>
        <w:jc w:val="both"/>
        <w:ind w:firstLine="1505"/>
        <w:spacing w:after="0" w:line="253" w:lineRule="auto"/>
        <w:tabs>
          <w:tab w:leader="none" w:pos="185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of its Subsidiaries, fails or neglects to perform, keep, or observe any other term, provision, condition, covenant or agreement contained in this Agreement or any Loan Documents, and as to any default (other than those specified elsewhere in this Section 8) under such other term, provision, condition, covenant or agreement that can be cured, has failed to cure the default within ten (10) days after the earlier of the date that a Responsible Officer of Borrower has knowledge of the occurrence thereof or Borrower receives written notice thereof from Collateral Agent;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Grace periods provided under this Section shall not apply, among other things, to financial covenants or any other covenants set forth in subsection (a) above;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154" w:name="page155"/>
    <w:bookmarkEnd w:id="154"/>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8.3  Material Adverse Change. </w:t>
      </w:r>
      <w:r>
        <w:rPr>
          <w:rFonts w:ascii="Times New Roman" w:cs="Times New Roman" w:eastAsia="Times New Roman" w:hAnsi="Times New Roman"/>
          <w:sz w:val="18"/>
          <w:szCs w:val="18"/>
          <w:color w:val="auto"/>
        </w:rPr>
        <w:t>A Material Adverse Change occurs;</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8.4  Attachment; Levy; Restraint on Business.</w:t>
      </w:r>
    </w:p>
    <w:p>
      <w:pPr>
        <w:spacing w:after="0" w:line="228" w:lineRule="exact"/>
        <w:rPr>
          <w:sz w:val="20"/>
          <w:szCs w:val="20"/>
          <w:color w:val="auto"/>
        </w:rPr>
      </w:pPr>
    </w:p>
    <w:p>
      <w:pPr>
        <w:jc w:val="both"/>
        <w:ind w:firstLine="1505"/>
        <w:spacing w:after="0" w:line="255" w:lineRule="auto"/>
        <w:tabs>
          <w:tab w:leader="none" w:pos="185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service of process seeking to attach, by trustee or similar process, any funds in excess of One Hundred Thousand Dollars ($100,000) of Borrower or any of its Subsidiaries or of any entity under control of Borrower or its Subsidiaries on deposit with any Lender or any Lender’s Affiliate or any bank or other institution at which Borrower or any of its Subsidiaries maintains a Collateral Account, or (ii) a notice of lien, levy, or assessment is filed against Borrower or any of its Subsidiaries or their respective assets by any government agency, and the same under subclauses (i) and</w:t>
      </w:r>
    </w:p>
    <w:p>
      <w:pPr>
        <w:ind w:firstLine="8"/>
        <w:spacing w:after="0" w:line="259" w:lineRule="auto"/>
        <w:tabs>
          <w:tab w:leader="none" w:pos="27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are not, within ten (10) days after the occurrence thereof, discharged or stayed (whether through the posting of a bond or otherwise); provided, however, no Credit Extensions shall be made during any ten (10) day cure period; and</w:t>
      </w:r>
    </w:p>
    <w:p>
      <w:pPr>
        <w:spacing w:after="0" w:line="181" w:lineRule="exact"/>
        <w:rPr>
          <w:rFonts w:ascii="Times New Roman" w:cs="Times New Roman" w:eastAsia="Times New Roman" w:hAnsi="Times New Roman"/>
          <w:sz w:val="18"/>
          <w:szCs w:val="18"/>
          <w:color w:val="auto"/>
        </w:rPr>
      </w:pPr>
    </w:p>
    <w:p>
      <w:pPr>
        <w:jc w:val="both"/>
        <w:ind w:right="20" w:firstLine="1505"/>
        <w:spacing w:after="0" w:line="265" w:lineRule="auto"/>
        <w:tabs>
          <w:tab w:leader="none" w:pos="185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material portion of Borrower’s or any of its Subsidiaries’ assets (as determined taking Borrower and its Subsidiaries as a whole) is attached, seized, levied on, or comes into possession of a trustee or receiver, or (ii) any court order enjoins, restrains, or prevents Borrower or any of its Subsidiaries from conducting any part of its business;</w:t>
      </w:r>
    </w:p>
    <w:p>
      <w:pPr>
        <w:spacing w:after="0" w:line="172" w:lineRule="exact"/>
        <w:rPr>
          <w:sz w:val="20"/>
          <w:szCs w:val="20"/>
          <w:color w:val="auto"/>
        </w:rPr>
      </w:pPr>
    </w:p>
    <w:p>
      <w:pPr>
        <w:jc w:val="both"/>
        <w:ind w:firstLine="749"/>
        <w:spacing w:after="0" w:line="221" w:lineRule="exact"/>
        <w:rPr>
          <w:sz w:val="20"/>
          <w:szCs w:val="20"/>
          <w:color w:val="auto"/>
        </w:rPr>
      </w:pPr>
      <w:r>
        <w:rPr>
          <w:rFonts w:ascii="Times New Roman" w:cs="Times New Roman" w:eastAsia="Times New Roman" w:hAnsi="Times New Roman"/>
          <w:sz w:val="18"/>
          <w:szCs w:val="18"/>
          <w:b w:val="1"/>
          <w:bCs w:val="1"/>
          <w:color w:val="auto"/>
        </w:rPr>
        <w:t xml:space="preserve">8.5 Insolvency. </w:t>
      </w:r>
      <w:r>
        <w:rPr>
          <w:rFonts w:ascii="Times New Roman" w:cs="Times New Roman" w:eastAsia="Times New Roman" w:hAnsi="Times New Roman"/>
          <w:sz w:val="18"/>
          <w:szCs w:val="18"/>
          <w:color w:val="auto"/>
        </w:rPr>
        <w:t>(a) Borrower is or becomes Insolvent, or Borrower and its Subsidiaries, taken as a whole, are or become Insolvent;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or any of its Subsidiaries begins an Insolvency Proceeding; or (c) an Insolvency Proceeding is begun against Borrower or any of its Subsidiaries and not dismissed or stayed within forty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five (45) days (but no Credit Extensions shall be made while Borrower or any Subsidiary is Insolvent and/or until any Insolvency Proceeding is dismissed);</w:t>
      </w:r>
    </w:p>
    <w:p>
      <w:pPr>
        <w:spacing w:after="0" w:line="194"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8.6 Other Agreements. </w:t>
      </w:r>
      <w:r>
        <w:rPr>
          <w:rFonts w:ascii="Times New Roman" w:cs="Times New Roman" w:eastAsia="Times New Roman" w:hAnsi="Times New Roman"/>
          <w:sz w:val="18"/>
          <w:szCs w:val="18"/>
          <w:color w:val="auto"/>
        </w:rPr>
        <w:t>There is a default in any agreement to which Borrower or any of its Subsidiaries is a party with a third party or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resulting in a right by such third party or parties, whether or not exercised, to accelerate the maturity of any Indebtedness in an amount in excess of One Million Dollars ($1,000,000.00) or that could reasonably be expected to have a Material Adverse Change;</w:t>
      </w:r>
    </w:p>
    <w:p>
      <w:pPr>
        <w:spacing w:after="0" w:line="171" w:lineRule="exact"/>
        <w:rPr>
          <w:sz w:val="20"/>
          <w:szCs w:val="20"/>
          <w:color w:val="auto"/>
        </w:rPr>
      </w:pPr>
    </w:p>
    <w:p>
      <w:pPr>
        <w:jc w:val="both"/>
        <w:ind w:firstLine="749"/>
        <w:spacing w:after="0" w:line="221" w:lineRule="exact"/>
        <w:rPr>
          <w:sz w:val="20"/>
          <w:szCs w:val="20"/>
          <w:color w:val="auto"/>
        </w:rPr>
      </w:pPr>
      <w:r>
        <w:rPr>
          <w:rFonts w:ascii="Times New Roman" w:cs="Times New Roman" w:eastAsia="Times New Roman" w:hAnsi="Times New Roman"/>
          <w:sz w:val="18"/>
          <w:szCs w:val="18"/>
          <w:b w:val="1"/>
          <w:bCs w:val="1"/>
          <w:color w:val="auto"/>
        </w:rPr>
        <w:t xml:space="preserve">8.7 Judgments. </w:t>
      </w:r>
      <w:r>
        <w:rPr>
          <w:rFonts w:ascii="Times New Roman" w:cs="Times New Roman" w:eastAsia="Times New Roman" w:hAnsi="Times New Roman"/>
          <w:sz w:val="18"/>
          <w:szCs w:val="18"/>
          <w:color w:val="auto"/>
        </w:rPr>
        <w:t>One or more judgments, orders, or decrees for the payment of money in an amount, individually or in the aggregate, of at least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Million Dollars ($1,000,000.00) (not covered by independent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insurance as to which liability has been accepted by such insurance carrier) shall be rendered against Borrower or any of its Subsidiaries and shall remain unsatisfied, unvacated, or unstayed for a period of ten (10) Business Days after the entry thereof (provided that no Credit Extensions will be made prior to the satisfaction, vacation, or stay of such judgment, order or decree);</w:t>
      </w:r>
    </w:p>
    <w:p>
      <w:pPr>
        <w:spacing w:after="0" w:line="19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8.8 Misrepresentations. </w:t>
      </w:r>
      <w:r>
        <w:rPr>
          <w:rFonts w:ascii="Times New Roman" w:cs="Times New Roman" w:eastAsia="Times New Roman" w:hAnsi="Times New Roman"/>
          <w:sz w:val="18"/>
          <w:szCs w:val="18"/>
          <w:color w:val="auto"/>
        </w:rPr>
        <w:t>Borrower or any of its Subsidiaries or any Person acting for Borrower or any of its Subsidiaries makes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 warranty, or other statement now or later in this Agreement, any Loan Document or in any writing delivered to Collateral Agent and/or Lenders or to induce Collateral Agent and/or the Lenders to enter this Agreement or any Loan Document, and such representation, warranty, or other statement is incorrect in any material respect when made;</w:t>
      </w:r>
    </w:p>
    <w:p>
      <w:pPr>
        <w:spacing w:after="0" w:line="177"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8.9 Subordinated Debt. </w:t>
      </w:r>
      <w:r>
        <w:rPr>
          <w:rFonts w:ascii="Times New Roman" w:cs="Times New Roman" w:eastAsia="Times New Roman" w:hAnsi="Times New Roman"/>
          <w:sz w:val="18"/>
          <w:szCs w:val="18"/>
          <w:color w:val="auto"/>
        </w:rPr>
        <w:t>A default or breach occurs under any agreement between Borrower or any of its Subsidiaries and any creditor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or any of its Subsidiaries that signed a subordination, intercreditor, or other similar agreement with Collateral Agent or the Lenders, or any creditor that has signed such an agreement with Collateral Agent or the Lenders breaches any terms of such agreement;</w:t>
      </w:r>
    </w:p>
    <w:p>
      <w:pPr>
        <w:spacing w:after="0" w:line="171"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8.10 Guaranty. </w:t>
      </w:r>
      <w:r>
        <w:rPr>
          <w:rFonts w:ascii="Times New Roman" w:cs="Times New Roman" w:eastAsia="Times New Roman" w:hAnsi="Times New Roman"/>
          <w:sz w:val="18"/>
          <w:szCs w:val="18"/>
          <w:color w:val="auto"/>
        </w:rPr>
        <w:t>(a) Any Guaranty terminates or ceases for any reason to be in full force and effect (other than in accordance with its terms);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Guarantor does not perform any obligation or covenant under any Guaranty; (c) any circumstance described in Sections 8.3, 8.4, 8.5, 8.7, or 8.8 occurs with respect to any Guarantor, or (d) except as permitted by Section 7.3, the liquidation, winding up, or termination of existence of any Guarantor;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55" w:name="page156"/>
    <w:bookmarkEnd w:id="155"/>
    <w:p>
      <w:pPr>
        <w:jc w:val="both"/>
        <w:ind w:firstLine="749"/>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8.11 Governmental Approvals. </w:t>
      </w:r>
      <w:r>
        <w:rPr>
          <w:rFonts w:ascii="Times New Roman" w:cs="Times New Roman" w:eastAsia="Times New Roman" w:hAnsi="Times New Roman"/>
          <w:sz w:val="18"/>
          <w:szCs w:val="18"/>
          <w:color w:val="auto"/>
        </w:rPr>
        <w:t>Any Governmental Approval shall have been revoked, rescinded, suspended, modified in an adverse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not renewed in the ordinary course for a full term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such revocation, rescission, suspension, modification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renewal has resulted in or could reasonably be expected to result in a Material Adverse Change; or</w:t>
      </w:r>
    </w:p>
    <w:p>
      <w:pPr>
        <w:spacing w:after="0" w:line="154" w:lineRule="exact"/>
        <w:rPr>
          <w:sz w:val="20"/>
          <w:szCs w:val="20"/>
          <w:color w:val="auto"/>
        </w:rPr>
      </w:pPr>
    </w:p>
    <w:p>
      <w:pPr>
        <w:jc w:val="both"/>
        <w:ind w:firstLine="749"/>
        <w:spacing w:after="0" w:line="285" w:lineRule="auto"/>
        <w:rPr>
          <w:sz w:val="20"/>
          <w:szCs w:val="20"/>
          <w:color w:val="auto"/>
        </w:rPr>
      </w:pPr>
      <w:r>
        <w:rPr>
          <w:rFonts w:ascii="Times New Roman" w:cs="Times New Roman" w:eastAsia="Times New Roman" w:hAnsi="Times New Roman"/>
          <w:sz w:val="18"/>
          <w:szCs w:val="18"/>
          <w:b w:val="1"/>
          <w:bCs w:val="1"/>
          <w:color w:val="auto"/>
        </w:rPr>
        <w:t>8.12 Lien Priority</w:t>
      </w:r>
      <w:r>
        <w:rPr>
          <w:rFonts w:ascii="Times New Roman" w:cs="Times New Roman" w:eastAsia="Times New Roman" w:hAnsi="Times New Roman"/>
          <w:sz w:val="18"/>
          <w:szCs w:val="18"/>
          <w:color w:val="auto"/>
        </w:rPr>
        <w:t>. Any Lien created hereunder or by any other Loan Document shall at any time fail to constitute a valid and perfected Lien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the Collateral purported to be secured thereby, subject to no prior or equal Lien (the Collateral may also be subject to Permitted Liens).</w:t>
      </w:r>
    </w:p>
    <w:p>
      <w:pPr>
        <w:spacing w:after="0" w:line="128"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b w:val="1"/>
          <w:bCs w:val="1"/>
          <w:color w:val="auto"/>
        </w:rPr>
        <w:t>8.13 Delisting</w:t>
      </w:r>
      <w:r>
        <w:rPr>
          <w:rFonts w:ascii="Times New Roman" w:cs="Times New Roman" w:eastAsia="Times New Roman" w:hAnsi="Times New Roman"/>
          <w:sz w:val="18"/>
          <w:szCs w:val="18"/>
          <w:color w:val="auto"/>
        </w:rPr>
        <w:t>. The shares of common stock of Soleno are delisted from NASDAQ Capital Market because of failure to comply with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listing standards thereof or due to a voluntary delisting which results in such shares not being listed on any other nationally recognized stock exchange in the United States having listing standards at least as restrictive as the NASDAQ Capital Market.</w:t>
      </w:r>
    </w:p>
    <w:p>
      <w:pPr>
        <w:spacing w:after="0" w:line="131" w:lineRule="exact"/>
        <w:rPr>
          <w:sz w:val="20"/>
          <w:szCs w:val="20"/>
          <w:color w:val="auto"/>
        </w:rPr>
      </w:pPr>
    </w:p>
    <w:p>
      <w:pPr>
        <w:ind w:left="360" w:hanging="352"/>
        <w:spacing w:after="0"/>
        <w:tabs>
          <w:tab w:leader="none" w:pos="3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AND REMEDIES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9.1  Rights and Remedies</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jc w:val="both"/>
        <w:ind w:firstLine="1505"/>
        <w:spacing w:after="0" w:line="254" w:lineRule="auto"/>
        <w:tabs>
          <w:tab w:leader="none" w:pos="185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 Event of Default, Collateral Agent may, and at the written direction of Required Lenders shall, without notice or demand, do any or all of the following: (i) 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spacing w:after="0" w:line="146" w:lineRule="exact"/>
        <w:rPr>
          <w:rFonts w:ascii="Times New Roman" w:cs="Times New Roman" w:eastAsia="Times New Roman" w:hAnsi="Times New Roman"/>
          <w:sz w:val="18"/>
          <w:szCs w:val="18"/>
          <w:color w:val="auto"/>
        </w:rPr>
      </w:pPr>
    </w:p>
    <w:p>
      <w:pPr>
        <w:jc w:val="both"/>
        <w:ind w:firstLine="1505"/>
        <w:spacing w:after="0" w:line="265" w:lineRule="auto"/>
        <w:tabs>
          <w:tab w:leader="none" w:pos="185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rights of Collateral Agent and the Lenders set forth in Section 9.1(a) above, upon the occurrence and during the continuance of an Event of Default, Collateral Agent shall have the right at the written direction of the Required Lenders, without notice or demand, to do any or all of the following:</w:t>
      </w:r>
    </w:p>
    <w:p>
      <w:pPr>
        <w:spacing w:after="0" w:line="135"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foreclose upon and/or sell or otherwise liquidate, the Collateral;</w:t>
      </w:r>
    </w:p>
    <w:p>
      <w:pPr>
        <w:spacing w:after="0" w:line="197" w:lineRule="exact"/>
        <w:rPr>
          <w:rFonts w:ascii="Times New Roman" w:cs="Times New Roman" w:eastAsia="Times New Roman" w:hAnsi="Times New Roman"/>
          <w:sz w:val="18"/>
          <w:szCs w:val="18"/>
          <w:color w:val="auto"/>
        </w:rPr>
      </w:pPr>
    </w:p>
    <w:p>
      <w:pPr>
        <w:ind w:right="40" w:firstLine="2254"/>
        <w:spacing w:after="0" w:line="281" w:lineRule="auto"/>
        <w:tabs>
          <w:tab w:leader="none" w:pos="260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to the Obligations any (a) balances and deposits of Borrower that Collateral Agent or any Lender holds or controls, or (b) any amount held or controlled by Collateral Agent or any Lender owing to or for the credit or the account of Borrower; and/or</w:t>
      </w:r>
    </w:p>
    <w:p>
      <w:pPr>
        <w:spacing w:after="0" w:line="121"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and prosecute an Insolvency Proceeding or consent to Borrower commencing any Insolvency Proceeding.</w:t>
      </w:r>
    </w:p>
    <w:p>
      <w:pPr>
        <w:spacing w:after="0" w:line="183" w:lineRule="exact"/>
        <w:rPr>
          <w:rFonts w:ascii="Times New Roman" w:cs="Times New Roman" w:eastAsia="Times New Roman" w:hAnsi="Times New Roman"/>
          <w:sz w:val="18"/>
          <w:szCs w:val="18"/>
          <w:color w:val="auto"/>
        </w:rPr>
      </w:pPr>
    </w:p>
    <w:p>
      <w:pPr>
        <w:ind w:firstLine="1505"/>
        <w:spacing w:after="0" w:line="281" w:lineRule="auto"/>
        <w:tabs>
          <w:tab w:leader="none" w:pos="185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rights of Collateral Agent and the Lenders set forth in Sections 9.1(a) and (b) above, upon the occurrence and during the continuance of an Event of Default, Collateral Agent shall have the right, without notice or demand, to do any or all of the following:</w:t>
      </w:r>
    </w:p>
    <w:p>
      <w:pPr>
        <w:spacing w:after="0" w:line="134" w:lineRule="exact"/>
        <w:rPr>
          <w:rFonts w:ascii="Times New Roman" w:cs="Times New Roman" w:eastAsia="Times New Roman" w:hAnsi="Times New Roman"/>
          <w:sz w:val="18"/>
          <w:szCs w:val="18"/>
          <w:color w:val="auto"/>
        </w:rPr>
      </w:pPr>
    </w:p>
    <w:p>
      <w:pPr>
        <w:jc w:val="both"/>
        <w:ind w:firstLine="2254"/>
        <w:spacing w:after="0" w:line="265" w:lineRule="auto"/>
        <w:tabs>
          <w:tab w:leader="none" w:pos="260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spacing w:after="0" w:line="135" w:lineRule="exact"/>
        <w:rPr>
          <w:rFonts w:ascii="Times New Roman" w:cs="Times New Roman" w:eastAsia="Times New Roman" w:hAnsi="Times New Roman"/>
          <w:sz w:val="18"/>
          <w:szCs w:val="18"/>
          <w:color w:val="auto"/>
        </w:rPr>
      </w:pPr>
    </w:p>
    <w:p>
      <w:pPr>
        <w:jc w:val="both"/>
        <w:ind w:firstLine="2254"/>
        <w:spacing w:after="0" w:line="257" w:lineRule="auto"/>
        <w:tabs>
          <w:tab w:leader="none" w:pos="260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payments and do any acts it considers necessary or reasonable to protect the Collateral and/or its security interest in the Collateral. Borrower shall assemble the Collateral if Collateral Agent requests and make it available in a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56" w:name="page157"/>
    <w:bookmarkEnd w:id="156"/>
    <w:p>
      <w:pPr>
        <w:jc w:val="both"/>
        <w:ind w:firstLine="2254"/>
        <w:spacing w:after="0" w:line="219" w:lineRule="exact"/>
        <w:tabs>
          <w:tab w:leader="none" w:pos="260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 reclaim, recover, store, finish, maintain, repair, prepare for sale, and/or advertise for sale, the Collateral. Collateral Agent is hereby granted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royalty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license or other right to use, without charge,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w:t>
      </w:r>
    </w:p>
    <w:p>
      <w:pPr>
        <w:spacing w:after="0" w:line="199" w:lineRule="exact"/>
        <w:rPr>
          <w:rFonts w:ascii="Times New Roman" w:cs="Times New Roman" w:eastAsia="Times New Roman" w:hAnsi="Times New Roman"/>
          <w:sz w:val="18"/>
          <w:szCs w:val="18"/>
          <w:color w:val="auto"/>
        </w:rPr>
      </w:pPr>
    </w:p>
    <w:p>
      <w:pPr>
        <w:jc w:val="both"/>
        <w:ind w:firstLine="2254"/>
        <w:spacing w:after="0" w:line="265" w:lineRule="auto"/>
        <w:tabs>
          <w:tab w:leader="none" w:pos="260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a “hold” on any account maintained with Collateral Agent or the Lenders and/or deliver a notice of exclusive control, any entitlement order, or other directions or instructions pursuant to any Control Agreement or similar agreements providing control of any Collateral;</w:t>
      </w:r>
    </w:p>
    <w:p>
      <w:pPr>
        <w:spacing w:after="0" w:line="176"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and receive possession of Borrower’s Books;</w:t>
      </w:r>
    </w:p>
    <w:p>
      <w:pPr>
        <w:spacing w:after="0" w:line="223" w:lineRule="exact"/>
        <w:rPr>
          <w:rFonts w:ascii="Times New Roman" w:cs="Times New Roman" w:eastAsia="Times New Roman" w:hAnsi="Times New Roman"/>
          <w:sz w:val="18"/>
          <w:szCs w:val="18"/>
          <w:color w:val="auto"/>
        </w:rPr>
      </w:pPr>
    </w:p>
    <w:p>
      <w:pPr>
        <w:jc w:val="both"/>
        <w:ind w:right="20" w:firstLine="2254"/>
        <w:spacing w:after="0" w:line="265" w:lineRule="auto"/>
        <w:tabs>
          <w:tab w:leader="none" w:pos="260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 receiver to seize, manage and realize any of the Collateral, and such receiver shall have any right and authority as any competent court will grant or authorize in accordance with any applicable law, including any power or authority to manage the business of Borrower or any of its Subsidiaries; and</w:t>
      </w:r>
    </w:p>
    <w:p>
      <w:pPr>
        <w:spacing w:after="0" w:line="176" w:lineRule="exact"/>
        <w:rPr>
          <w:rFonts w:ascii="Times New Roman" w:cs="Times New Roman" w:eastAsia="Times New Roman" w:hAnsi="Times New Roman"/>
          <w:sz w:val="18"/>
          <w:szCs w:val="18"/>
          <w:color w:val="auto"/>
        </w:rPr>
      </w:pPr>
    </w:p>
    <w:p>
      <w:pPr>
        <w:jc w:val="both"/>
        <w:ind w:right="20" w:firstLine="2254"/>
        <w:spacing w:after="0" w:line="311" w:lineRule="auto"/>
        <w:tabs>
          <w:tab w:leader="none" w:pos="2605"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any provision of this Section 9.1 to the contrary, upon the occurrence of any Event of Default, Collateral Agent shall have the right to exercise any and all remedies referenced in this Section 9.1 without the written consent of Required Lenders following the occurrence of an Exigent Circumstance. As used in the immediately preceding sentence, “</w:t>
      </w:r>
      <w:r>
        <w:rPr>
          <w:rFonts w:ascii="Times New Roman" w:cs="Times New Roman" w:eastAsia="Times New Roman" w:hAnsi="Times New Roman"/>
          <w:sz w:val="18"/>
          <w:szCs w:val="18"/>
          <w:b w:val="1"/>
          <w:bCs w:val="1"/>
          <w:color w:val="auto"/>
        </w:rPr>
        <w:t>Exigent Circumstance</w:t>
      </w:r>
      <w:r>
        <w:rPr>
          <w:rFonts w:ascii="Times New Roman" w:cs="Times New Roman" w:eastAsia="Times New Roman" w:hAnsi="Times New Roman"/>
          <w:sz w:val="18"/>
          <w:szCs w:val="18"/>
          <w:color w:val="auto"/>
        </w:rPr>
        <w:t>” 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w:t>
      </w:r>
    </w:p>
    <w:p>
      <w:pPr>
        <w:spacing w:after="0" w:line="144" w:lineRule="exact"/>
        <w:rPr>
          <w:sz w:val="20"/>
          <w:szCs w:val="20"/>
          <w:color w:val="auto"/>
        </w:rPr>
      </w:pPr>
    </w:p>
    <w:p>
      <w:pPr>
        <w:jc w:val="both"/>
        <w:ind w:firstLine="749"/>
        <w:spacing w:after="0" w:line="220" w:lineRule="exact"/>
        <w:rPr>
          <w:sz w:val="20"/>
          <w:szCs w:val="20"/>
          <w:color w:val="auto"/>
        </w:rPr>
      </w:pPr>
      <w:r>
        <w:rPr>
          <w:rFonts w:ascii="Times New Roman" w:cs="Times New Roman" w:eastAsia="Times New Roman" w:hAnsi="Times New Roman"/>
          <w:sz w:val="18"/>
          <w:szCs w:val="18"/>
          <w:b w:val="1"/>
          <w:bCs w:val="1"/>
          <w:color w:val="auto"/>
        </w:rPr>
        <w:t xml:space="preserve">9.2 Power of Attorney. </w:t>
      </w:r>
      <w:r>
        <w:rPr>
          <w:rFonts w:ascii="Times New Roman" w:cs="Times New Roman" w:eastAsia="Times New Roman" w:hAnsi="Times New Roman"/>
          <w:sz w:val="18"/>
          <w:szCs w:val="18"/>
          <w:color w:val="auto"/>
        </w:rPr>
        <w:t>Borrower hereby irrevocably appoints Collateral Agent as its lawful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exercisable upon the occurrence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 (c) settle and adjust disputes and claims about the Accounts directly with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 hereby appoints Collateral Agent as its lawful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to sign Borrower’s or any of its Subsidiaries’ name on any documents necessary to perfect or continue the perfection of Collateral Agent’s security interest in the Collateral regardless of whether an Event of Default has occurred until all Obligations (other than inchoate indemnity and reimbursement obligations and any other obligations which, by their terms, are to survive the termination of this Agreement) have been satisfied in full and Collateral Agent and the Lenders are under no further obligation to make Credit Extensions hereunder. Collateral Agent’s foregoing appointment as Borrower’s or any of its Subsidiaries’ attorney in fact, and all of Collateral Agent’s rights and powers, coupled with an interest, are irrevocable until all Obligations (other than inchoate indemnity and reimbursement obligations and any other obligations which, by their terms, are to survive the termination of this Agreement) have been fully repaid and performed and Collateral Agent’s and the Lenders’ obligation to provide Credit Extensions terminates.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57" w:name="page158"/>
    <w:bookmarkEnd w:id="157"/>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9.3 Protective Payments. </w:t>
      </w:r>
      <w:r>
        <w:rPr>
          <w:rFonts w:ascii="Times New Roman" w:cs="Times New Roman" w:eastAsia="Times New Roman" w:hAnsi="Times New Roman"/>
          <w:sz w:val="18"/>
          <w:szCs w:val="18"/>
          <w:color w:val="auto"/>
        </w:rPr>
        <w:t>If Borrower or any of its Subsidiaries fail to obtain the insurance called for by Section 6.5 or fails to pay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premium thereon or fails to 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spacing w:after="0" w:line="399"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9.4 Application of Payments and Proceeds. </w:t>
      </w:r>
      <w:r>
        <w:rPr>
          <w:rFonts w:ascii="Times New Roman" w:cs="Times New Roman" w:eastAsia="Times New Roman" w:hAnsi="Times New Roman"/>
          <w:sz w:val="18"/>
          <w:szCs w:val="18"/>
          <w:color w:val="auto"/>
        </w:rPr>
        <w:t>Notwithstanding anything to the contrary contained in this Agreement, upon the occurrence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indebtedness or obligations of Borrower owing to Collateral Agent or any Lender under the Loan Documents. Any balance remaining shall be delivered to Borrower or to whoever may be lawfully entitled to receive such balance or as a court of competent jurisdiction may direct. In carrying out the foregoing,</w:t>
      </w:r>
    </w:p>
    <w:p>
      <w:pPr>
        <w:spacing w:after="0" w:line="4" w:lineRule="exact"/>
        <w:rPr>
          <w:sz w:val="20"/>
          <w:szCs w:val="20"/>
          <w:color w:val="auto"/>
        </w:rPr>
      </w:pPr>
    </w:p>
    <w:p>
      <w:pPr>
        <w:jc w:val="both"/>
        <w:ind w:firstLine="8"/>
        <w:spacing w:after="0" w:line="250" w:lineRule="auto"/>
        <w:tabs>
          <w:tab w:leader="none" w:pos="25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Pro Rata Share unless expressly provided otherwise. Collateral Agent, or if applicable, each Lender, shall promptly remit to the other Lenders such sums as may be necessary to ensure the ratable repayment of each Lender’s portion of any Term Loan and the ratable distribution of interest, fees and reimbursements paid or made by Borrower. Notwithstanding the foregoing, a Lender receiving a scheduled payment shall not be responsible for determining whether the other Lenders also received their scheduled payment on such date; provided, however, if it is later determined that a Lender received more than its ratable share of scheduled payments made on any date or dates, then such Lender shall remit to Collateral Agent or other Lenders such sums as may be necessary to ensure the ratable payment of such scheduled payments, as instructed by Collateral Agent. If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Collateral Agent and other Lenders for purposes of perfecting Collateral Agent’s security interest therein.</w:t>
      </w:r>
    </w:p>
    <w:p>
      <w:pPr>
        <w:spacing w:after="0" w:line="19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9.5 Liability for Collateral. </w:t>
      </w:r>
      <w:r>
        <w:rPr>
          <w:rFonts w:ascii="Times New Roman" w:cs="Times New Roman" w:eastAsia="Times New Roman" w:hAnsi="Times New Roman"/>
          <w:sz w:val="18"/>
          <w:szCs w:val="18"/>
          <w:color w:val="auto"/>
        </w:rPr>
        <w:t>So long as Collateral Agent and the Lenders comply with reasonable banking practices regarding the safekeeping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Collateral in the possession or under the control of Collateral Agent and the Lenders, Collateral Agent and the Lenders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7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9.6 No Waiver; Remedies Cumulative. </w:t>
      </w:r>
      <w:r>
        <w:rPr>
          <w:rFonts w:ascii="Times New Roman" w:cs="Times New Roman" w:eastAsia="Times New Roman" w:hAnsi="Times New Roman"/>
          <w:sz w:val="18"/>
          <w:szCs w:val="18"/>
          <w:color w:val="auto"/>
        </w:rPr>
        <w:t>Failure by Collateral Agent or any Lender, at any time or times, to require strict performance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of any provision of this Agreement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58" w:name="page159"/>
    <w:bookmarkEnd w:id="158"/>
    <w:p>
      <w:pPr>
        <w:jc w:val="both"/>
        <w:spacing w:after="0" w:line="260" w:lineRule="auto"/>
        <w:rPr>
          <w:sz w:val="20"/>
          <w:szCs w:val="20"/>
          <w:color w:val="auto"/>
        </w:rPr>
      </w:pPr>
      <w:r>
        <w:rPr>
          <w:rFonts w:ascii="Times New Roman" w:cs="Times New Roman" w:eastAsia="Times New Roman" w:hAnsi="Times New Roman"/>
          <w:sz w:val="18"/>
          <w:szCs w:val="18"/>
          <w:color w:val="auto"/>
        </w:rPr>
        <w:t>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spacing w:after="0" w:line="177"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9.7 Demand Waiver. </w:t>
      </w:r>
      <w:r>
        <w:rPr>
          <w:rFonts w:ascii="Times New Roman" w:cs="Times New Roman" w:eastAsia="Times New Roman" w:hAnsi="Times New Roman"/>
          <w:sz w:val="18"/>
          <w:szCs w:val="18"/>
          <w:color w:val="auto"/>
        </w:rPr>
        <w:t>Borrower waives, to the fullest extent permitted by law, demand, notice of default or dishonor, notice of payment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nonpayment, notice of any default, nonpayment at maturity, release, compromise, settlement, extension, or renewal of accounts, documents, instruments, chattel paper, and guarantees held by Collateral Agent or any Lender on which Borrower or any Subsidiary is liable.</w:t>
      </w:r>
    </w:p>
    <w:p>
      <w:pPr>
        <w:spacing w:after="0" w:line="171" w:lineRule="exact"/>
        <w:rPr>
          <w:sz w:val="20"/>
          <w:szCs w:val="20"/>
          <w:color w:val="auto"/>
        </w:rPr>
      </w:pPr>
    </w:p>
    <w:p>
      <w:pPr>
        <w:ind w:left="360" w:hanging="352"/>
        <w:spacing w:after="0"/>
        <w:tabs>
          <w:tab w:leader="none" w:pos="3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24" w:lineRule="exact"/>
        <w:rPr>
          <w:sz w:val="20"/>
          <w:szCs w:val="20"/>
          <w:color w:val="auto"/>
        </w:rPr>
      </w:pPr>
    </w:p>
    <w:p>
      <w:pPr>
        <w:jc w:val="both"/>
        <w:ind w:firstLine="749"/>
        <w:spacing w:after="0" w:line="219" w:lineRule="exact"/>
        <w:rPr>
          <w:sz w:val="20"/>
          <w:szCs w:val="20"/>
          <w:color w:val="auto"/>
        </w:rPr>
      </w:pPr>
      <w:r>
        <w:rPr>
          <w:rFonts w:ascii="Times New Roman" w:cs="Times New Roman" w:eastAsia="Times New Roman" w:hAnsi="Times New Roman"/>
          <w:sz w:val="18"/>
          <w:szCs w:val="18"/>
          <w:color w:val="auto"/>
        </w:rPr>
        <w:t>All notices, consents, requests, approvals, demands, or other communication (collectively, “</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or electronic mail transmission; (c) one (1) Business Day after deposit with a reputable overnight courier with all charges prepaid; or (d) when delivered, if hand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delivered by messenger, all of which shall be addressed to the party to be notified and sent to the address, facsimile number, or email address indicated below. Any of Collateral Agent, Lender or Borrower may change its mailing address, facsimile number, or email address by giving the other party written notice thereof in accordance with the terms of this Section 10.</w:t>
      </w:r>
    </w:p>
    <w:p>
      <w:pPr>
        <w:sectPr>
          <w:pgSz w:w="11900" w:h="16838" w:orient="portrait"/>
          <w:cols w:equalWidth="0" w:num="1">
            <w:col w:w="11240"/>
          </w:cols>
          <w:pgMar w:left="320" w:top="1414" w:right="339" w:bottom="1440" w:gutter="0" w:footer="0" w:header="0"/>
        </w:sectPr>
      </w:pPr>
    </w:p>
    <w:p>
      <w:pPr>
        <w:spacing w:after="0" w:line="22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If to Borrower:</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SOLENO THERAPEUTICS, INC., on behalf of each</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Marine Parkway,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Redwood City, CA 94065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3600" w:space="720"/>
            <w:col w:w="6920"/>
          </w:cols>
          <w:pgMar w:left="320" w:top="1414" w:right="339" w:bottom="1440" w:gutter="0" w:footer="0" w:header="0"/>
          <w:type w:val="continuous"/>
        </w:sectPr>
      </w:pPr>
    </w:p>
    <w:p>
      <w:pPr>
        <w:spacing w:after="0" w:line="3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with a copy (which shall not</w:t>
      </w:r>
    </w:p>
    <w:p>
      <w:pPr>
        <w:spacing w:after="0" w:line="3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constitute notice) to:</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Wilson Sonsini Goodrich &amp; Rosati, P.C.</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-19685</wp:posOffset>
            </wp:positionV>
            <wp:extent cx="2857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3760" w:space="560"/>
            <w:col w:w="6920"/>
          </w:cols>
          <w:pgMar w:left="320" w:top="1414" w:right="339" w:bottom="1440" w:gutter="0" w:footer="0" w:header="0"/>
          <w:type w:val="continuous"/>
        </w:sectPr>
      </w:pPr>
    </w:p>
    <w:p>
      <w:pPr>
        <w:spacing w:after="0" w:line="3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If to Collateral Agent: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OXFORD FINANCE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Oxford Finance Advisors, LLC, its manager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 South Union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Alexandria, VA 22314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3600" w:space="720"/>
            <w:col w:w="6920"/>
          </w:cols>
          <w:pgMar w:left="320" w:top="1414" w:right="3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type w:val="continuous"/>
        </w:sectPr>
      </w:pPr>
    </w:p>
    <w:bookmarkStart w:id="159" w:name="page160"/>
    <w:bookmarkEnd w:id="159"/>
    <w:p>
      <w:pPr>
        <w:jc w:val="center"/>
        <w:ind w:left="820"/>
        <w:spacing w:after="0"/>
        <w:rPr>
          <w:sz w:val="20"/>
          <w:szCs w:val="20"/>
          <w:color w:val="auto"/>
        </w:rPr>
      </w:pPr>
      <w:r>
        <w:rPr>
          <w:rFonts w:ascii="Times New Roman" w:cs="Times New Roman" w:eastAsia="Times New Roman" w:hAnsi="Times New Roman"/>
          <w:sz w:val="17"/>
          <w:szCs w:val="17"/>
          <w:color w:val="auto"/>
        </w:rPr>
        <w:t>If to Lenders: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OXFORD FINANCE CREDIT FUND II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Oxford Finance Advisors, LLC, its manager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 South Union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Alexandria, VA 22314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3600" w:space="720"/>
            <w:col w:w="6920"/>
          </w:cols>
          <w:pgMar w:left="320" w:top="1414" w:right="339" w:bottom="1440" w:gutter="0" w:footer="0" w:header="0"/>
        </w:sectPr>
      </w:pPr>
    </w:p>
    <w:p>
      <w:pPr>
        <w:spacing w:after="0" w:line="3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OXFORD FINANCE CREDIT FUND III LP</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color w:val="auto"/>
        </w:rPr>
        <w:t>c/o Oxford Finance Advisors, LLC, its manager</w:t>
      </w:r>
    </w:p>
    <w:p>
      <w:pPr>
        <w:spacing w:after="0" w:line="2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115 South Union Street</w:t>
      </w:r>
    </w:p>
    <w:p>
      <w:pPr>
        <w:spacing w:after="0" w:line="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Suite 300</w:t>
      </w:r>
    </w:p>
    <w:p>
      <w:pPr>
        <w:spacing w:after="0" w:line="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Alexandria, VA 22314</w:t>
      </w:r>
    </w:p>
    <w:p>
      <w:pPr>
        <w:spacing w:after="0" w:line="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Fax: [***]</w:t>
      </w:r>
    </w:p>
    <w:p>
      <w:pPr>
        <w:spacing w:after="0" w:line="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Email: [***]</w:t>
      </w:r>
    </w:p>
    <w:p>
      <w:pPr>
        <w:sectPr>
          <w:pgSz w:w="11900" w:h="16838" w:orient="portrait"/>
          <w:cols w:equalWidth="0" w:num="1">
            <w:col w:w="11240"/>
          </w:cols>
          <w:pgMar w:left="320" w:top="1414" w:right="339" w:bottom="1440" w:gutter="0" w:footer="0" w:header="0"/>
          <w:type w:val="continuous"/>
        </w:sectPr>
      </w:pPr>
    </w:p>
    <w:p>
      <w:pPr>
        <w:spacing w:after="0" w:line="23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with a copy (which shall not</w:t>
      </w:r>
    </w:p>
    <w:p>
      <w:pPr>
        <w:spacing w:after="0" w:line="3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constitute notice) to:</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4365 Executive Drive Suite 1100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Diego, California 92121-2133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3760" w:space="560"/>
            <w:col w:w="6920"/>
          </w:cols>
          <w:pgMar w:left="320" w:top="1414" w:right="339" w:bottom="1440" w:gutter="0" w:footer="0" w:header="0"/>
          <w:type w:val="continuous"/>
        </w:sectPr>
      </w:pPr>
    </w:p>
    <w:p>
      <w:pPr>
        <w:spacing w:after="0" w:line="28" w:lineRule="exact"/>
        <w:rPr>
          <w:sz w:val="20"/>
          <w:szCs w:val="20"/>
          <w:color w:val="auto"/>
        </w:rPr>
      </w:pPr>
    </w:p>
    <w:p>
      <w:pPr>
        <w:ind w:left="360" w:hanging="352"/>
        <w:spacing w:after="0"/>
        <w:tabs>
          <w:tab w:leader="none" w:pos="3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VENUE AND JURY TRIAL WAIVER, AND JUDICIAL REFERENCE</w:t>
      </w:r>
    </w:p>
    <w:p>
      <w:pPr>
        <w:spacing w:after="0" w:line="228"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California law governs the Loan Documents without regard to principles of conflicts of law. Borrower, Collateral Agent and each Lender each submit to the exclusive jurisdiction of the State and Federal courts in Santa Clara County, California; provided, however, that nothing in this Agreement shall be deemed to operate to preclude Collateral Agent or any Lender from bringing suit or taking other legal action in any other jurisdiction to realize on the Collateral or any other security for the Obligations, or to enforce a judgment or other court order in favor of Collateral Agent or any Lender.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TO THE FULLEST EXTENT PERMITTED BY APPLICABLE LAW, BORROWER, COLLATERAL AGENT AND EACH LENDER EACH WAIVE THEIR RIGHT TO A JURY TRIAL OF ANY CLAIM OR CAUSE OF ACTION ARISING OUT OF OR BASED UPON THIS AGREEMENT, THE LOAN DOCUMENTS OR ANY CONTEMPLATED TRANSACTION, INCLUDING CONTRACT, TORT, BREACH OF DUTY AND ALL OTHER CLAIMS. THIS WAIVER IS A MATERIAL INDUCEMENT FOR EACH PARTY TO ENTER INTO THIS AGREEMENT. EACH PARTY HAS REVIEWED THIS WAIVER WITH ITS COUNSEL.</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type w:val="continuous"/>
        </w:sectPr>
      </w:pPr>
    </w:p>
    <w:bookmarkStart w:id="160" w:name="page161"/>
    <w:bookmarkEnd w:id="160"/>
    <w:p>
      <w:pPr>
        <w:jc w:val="both"/>
        <w:spacing w:after="0" w:line="217" w:lineRule="exact"/>
        <w:rPr>
          <w:sz w:val="20"/>
          <w:szCs w:val="20"/>
          <w:color w:val="auto"/>
        </w:rPr>
      </w:pPr>
      <w:r>
        <w:rPr>
          <w:rFonts w:ascii="Times New Roman" w:cs="Times New Roman" w:eastAsia="Times New Roman" w:hAnsi="Times New Roman"/>
          <w:sz w:val="18"/>
          <w:szCs w:val="18"/>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 644(a). Nothing in this paragraph shall limit the right of any party at any time to exercise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help remedies, foreclose against collateral, or obtain provisional remedies. The private judge shall also determine all issues relating to the applicability, interpretation, and enforceability of this paragraph.</w:t>
      </w:r>
    </w:p>
    <w:p>
      <w:pPr>
        <w:spacing w:after="0" w:line="194" w:lineRule="exact"/>
        <w:rPr>
          <w:sz w:val="20"/>
          <w:szCs w:val="20"/>
          <w:color w:val="auto"/>
        </w:rPr>
      </w:pPr>
    </w:p>
    <w:p>
      <w:pPr>
        <w:ind w:left="360" w:hanging="352"/>
        <w:spacing w:after="0"/>
        <w:tabs>
          <w:tab w:leader="none" w:pos="3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24"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12.1 Successors and Assigns. </w:t>
      </w:r>
      <w:r>
        <w:rPr>
          <w:rFonts w:ascii="Times New Roman" w:cs="Times New Roman" w:eastAsia="Times New Roman" w:hAnsi="Times New Roman"/>
          <w:sz w:val="18"/>
          <w:szCs w:val="18"/>
          <w:color w:val="auto"/>
        </w:rPr>
        <w:t>This Agreement binds and is for the benefit of the successors and permitted assigns of each party. Borrower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transfer, pledge or assign this Agreement or any rights or obligations under it without Collateral Agent’s and each Lender’s prior written consent (which may be granted or withheld in Collateral Agent’s and each Lender’s discretion, subject to Section 12.6). The Lenders have the right, without the consent of or notice to Borrower, to sell, transfer, assign, pledge, negotiate, or grant participation in (any such sale, transfer, assignment, negotiation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grant of a participation, a </w:t>
      </w:r>
      <w:r>
        <w:rPr>
          <w:rFonts w:ascii="Times New Roman" w:cs="Times New Roman" w:eastAsia="Times New Roman" w:hAnsi="Times New Roman"/>
          <w:sz w:val="18"/>
          <w:szCs w:val="18"/>
          <w:b w:val="1"/>
          <w:bCs w:val="1"/>
          <w:color w:val="auto"/>
        </w:rPr>
        <w:t>“Lender Transfer”</w:t>
      </w:r>
      <w:r>
        <w:rPr>
          <w:rFonts w:ascii="Times New Roman" w:cs="Times New Roman" w:eastAsia="Times New Roman" w:hAnsi="Times New Roman"/>
          <w:sz w:val="18"/>
          <w:szCs w:val="18"/>
          <w:color w:val="auto"/>
        </w:rPr>
        <w:t xml:space="preserve">) all or any part of, or any interest in, the Lenders’ obligations, rights, and benefits under this Agreement and the other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Lender Transfer (other than a transfer, pledge, sale or assignment to an Eligible Assignee) of its obligations, rights, and benefits under this Agreement and the other Loan Documents shall require the prior written consent of the Required Lenders (such approved assignee, an “</w:t>
      </w:r>
      <w:r>
        <w:rPr>
          <w:rFonts w:ascii="Times New Roman" w:cs="Times New Roman" w:eastAsia="Times New Roman" w:hAnsi="Times New Roman"/>
          <w:sz w:val="18"/>
          <w:szCs w:val="18"/>
          <w:b w:val="1"/>
          <w:bCs w:val="1"/>
          <w:color w:val="auto"/>
        </w:rPr>
        <w:t>Approved Lender</w:t>
      </w:r>
      <w:r>
        <w:rPr>
          <w:rFonts w:ascii="Times New Roman" w:cs="Times New Roman" w:eastAsia="Times New Roman" w:hAnsi="Times New Roman"/>
          <w:sz w:val="18"/>
          <w:szCs w:val="18"/>
          <w:color w:val="auto"/>
        </w:rPr>
        <w:t>”). Borrower and Collateral Agent shall be entitled to continue to deal solely and directly with such Lender in connection with the interests so assigned until Collateral Agent shall have received and accepted an effective assignment agreement in form satisfactory to Collateral Agent executed, delivered and fully completed by the applicable parties thereto, and shall have received such other information regarding such Eligible Assignee or Approved Lender as Collateral Agent reasonably shall require. Notwithstanding anything to the contrary contained herein, so long as no Event of Default has occurred and is continuing, no Lender Transfer (other than a Lender Transfer in connection with (x) assignments by a Lender due to a forced divestiture at the request of any regulatory agency; or (y) upon the occurrence of a default, event of default or similar occurrence with respect to a Lender’s own financing or securitization transactions) shall be permitted, without Borrower’s consent, to any Person which is an Affiliate or Subsidiary of Borrower, a direct competitor of Borrower or a vulture hedge fund, each as determined by Collateral Agent. Collateral Agent, acting as a non-fiduciary agent of Borrower (solely for tax purposes), shall maintain (a) a copy (or electronic equivalent) of the documentation for each Lender Transfer delivered to it, and (b) a register for recordation of the names, addresses, Term Loan Commitments of and Obligations owing to, each Lender. Entries in the register shall be conclusive, absent manifest error, and Borrower, Collateral Agent and Lenders shall treat each Person recorded in such register as a Lender for all purposes under the Loan Documents, notwithstanding any notice to the contrary. The register shall be available for inspection by Borrower or any Lender, from time to time upon reasonable notice. Each Lender that sells a participation shall, acting as a non-fiduciary agent of Borrower (solely for tax purposes), maintain a register in which it enters the participant’s name, address and interest in Term Loan Commitments and Obligations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Entries in the Participant Register shall be conclusive, absent manifest error, and such Lender shall treat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61" w:name="page162"/>
    <w:bookmarkEnd w:id="161"/>
    <w:p>
      <w:pPr>
        <w:jc w:val="both"/>
        <w:spacing w:after="0" w:line="260" w:lineRule="auto"/>
        <w:rPr>
          <w:sz w:val="20"/>
          <w:szCs w:val="20"/>
          <w:color w:val="auto"/>
        </w:rPr>
      </w:pPr>
      <w:r>
        <w:rPr>
          <w:rFonts w:ascii="Times New Roman" w:cs="Times New Roman" w:eastAsia="Times New Roman" w:hAnsi="Times New Roman"/>
          <w:sz w:val="18"/>
          <w:szCs w:val="18"/>
          <w:color w:val="auto"/>
        </w:rPr>
        <w:t>each Person recorded in the register as the owner of the participation for all purposes, notwithstanding any notice to the contrary. No Lender shall have an obligation to disclose any information in such Participant Register, except to the extent necessary to establish that a participant’s interest is in registered form under the Internal Revenue Code and Treasury Regulations Section 5f.103-1(c). Collateral Agent (in its capacity as Collateral Agent) shall have no responsibility for maintaining a Participant Register.</w:t>
      </w:r>
    </w:p>
    <w:p>
      <w:pPr>
        <w:spacing w:after="0" w:line="17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12.2 Indemnification. </w:t>
      </w:r>
      <w:r>
        <w:rPr>
          <w:rFonts w:ascii="Times New Roman" w:cs="Times New Roman" w:eastAsia="Times New Roman" w:hAnsi="Times New Roman"/>
          <w:sz w:val="18"/>
          <w:szCs w:val="18"/>
          <w:color w:val="auto"/>
        </w:rPr>
        <w:t>Borrower agrees to indemnify, defend and hold Collateral Agent and the Lenders and their respective directors,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agents, attorneys, or any other Person affiliated with or representing Collateral Agent or the Lenders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harmless against: (a) all obligations, demands, claims, and liabilities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asserted by any other party in connection with; related to; following; or arising from, out of or under, the transactions contemplated by the Loan Documents; and (b) all losses or Lenders’ Expenses incurred, or paid by Indemnified Person in connection with; related to; following; or arising from, out of or under, the transactions contemplated by the Loan Documents between Collateral Agent, and/or the Lenders and Borrower (including reasonable attorneys’ fees and expenses), except for Claims and/or losses directly caused by such Indemnified Person’s gross negligence or willful misconduct. Borrower hereby further indemnifies, defends and holds each Indemnified Person harmless from and against any and all liabilities, obligations, losses, damages, penalties, actions, judgments, suits, claims, costs, expenses and disbursements of any kind or nature whatsoever (including the reasonable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 This Section 12.2 shall not apply with respect to taxes, other than taxes that represent claims, damages, losses or liability arising from any non-tax claim.</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12.3 Time of Essence. </w:t>
      </w:r>
      <w:r>
        <w:rPr>
          <w:rFonts w:ascii="Times New Roman" w:cs="Times New Roman" w:eastAsia="Times New Roman" w:hAnsi="Times New Roman"/>
          <w:sz w:val="18"/>
          <w:szCs w:val="18"/>
          <w:color w:val="auto"/>
        </w:rPr>
        <w:t>Time is of the essence for the performance of all Obligations in this Agreement.</w:t>
      </w:r>
    </w:p>
    <w:p>
      <w:pPr>
        <w:spacing w:after="0" w:line="224" w:lineRule="exact"/>
        <w:rPr>
          <w:sz w:val="20"/>
          <w:szCs w:val="20"/>
          <w:color w:val="auto"/>
        </w:rPr>
      </w:pPr>
    </w:p>
    <w:p>
      <w:pPr>
        <w:jc w:val="both"/>
        <w:ind w:firstLine="749"/>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12.4 Severability of Provisions. </w:t>
      </w:r>
      <w:r>
        <w:rPr>
          <w:rFonts w:ascii="Times New Roman" w:cs="Times New Roman" w:eastAsia="Times New Roman" w:hAnsi="Times New Roman"/>
          <w:sz w:val="18"/>
          <w:szCs w:val="18"/>
          <w:color w:val="auto"/>
        </w:rPr>
        <w:t>Each provision of this Agreement is severable from every other provision in determining the enforceability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provision.</w:t>
      </w:r>
    </w:p>
    <w:p>
      <w:pPr>
        <w:spacing w:after="0" w:line="15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12.5 Correction of Loan Documents. </w:t>
      </w:r>
      <w:r>
        <w:rPr>
          <w:rFonts w:ascii="Times New Roman" w:cs="Times New Roman" w:eastAsia="Times New Roman" w:hAnsi="Times New Roman"/>
          <w:sz w:val="18"/>
          <w:szCs w:val="18"/>
          <w:color w:val="auto"/>
        </w:rPr>
        <w:t>Collateral Agent and the Lenders may correct patent errors and fill in any blanks in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other Loan Documents consistent with the agreement of the parties so long as Collateral Agent and Lenders provide Borrower with written notice of such correction and allow Borrower at least ten (10) days to object to such correction. In the event of such objection, such correction shall not be made except by an amendment signed by Borrower, Collateral Agent and the requisite Lenders in accordance with Section 12.6 hereof.</w:t>
      </w:r>
    </w:p>
    <w:p>
      <w:pPr>
        <w:spacing w:after="0" w:line="177"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12.6 Amendments in Writing; Integration. </w:t>
      </w:r>
      <w:r>
        <w:rPr>
          <w:rFonts w:ascii="Times New Roman" w:cs="Times New Roman" w:eastAsia="Times New Roman" w:hAnsi="Times New Roman"/>
          <w:sz w:val="18"/>
          <w:szCs w:val="18"/>
          <w:color w:val="auto"/>
        </w:rPr>
        <w:t>(a) No amendment, modification, termination or waiver of any provision of this Agreement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Loan 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spacing w:after="0" w:line="175" w:lineRule="exact"/>
        <w:rPr>
          <w:sz w:val="20"/>
          <w:szCs w:val="20"/>
          <w:color w:val="auto"/>
        </w:rPr>
      </w:pPr>
    </w:p>
    <w:p>
      <w:pPr>
        <w:ind w:right="20" w:firstLine="2254"/>
        <w:spacing w:after="0" w:line="281" w:lineRule="auto"/>
        <w:tabs>
          <w:tab w:leader="none" w:pos="260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amendment, waiver or other modification that would have the effect of increasing or reducing a Lender’s Term Loan Commitment or Commitment Percentage shall be effective as to such Lender without such Lender’s written consent;</w:t>
      </w:r>
    </w:p>
    <w:p>
      <w:pPr>
        <w:spacing w:after="0" w:line="161" w:lineRule="exact"/>
        <w:rPr>
          <w:rFonts w:ascii="Times New Roman" w:cs="Times New Roman" w:eastAsia="Times New Roman" w:hAnsi="Times New Roman"/>
          <w:sz w:val="18"/>
          <w:szCs w:val="18"/>
          <w:color w:val="auto"/>
        </w:rPr>
      </w:pPr>
    </w:p>
    <w:p>
      <w:pPr>
        <w:ind w:right="40" w:firstLine="2254"/>
        <w:spacing w:after="0" w:line="281" w:lineRule="auto"/>
        <w:tabs>
          <w:tab w:leader="none" w:pos="260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amendment, waiver or modification that would affect the rights and duties of Collateral Agent shall be effective without Collateral Agent’s written consent or signature;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62" w:name="page163"/>
    <w:bookmarkEnd w:id="162"/>
    <w:p>
      <w:pPr>
        <w:jc w:val="both"/>
        <w:ind w:firstLine="2254"/>
        <w:spacing w:after="0" w:line="254" w:lineRule="auto"/>
        <w:tabs>
          <w:tab w:leader="none" w:pos="2605"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amendment, waiver or other modification shall, unless signed by all the Lenders directly affected thereby, (A) reduce the principal of, rate of interest on or any fees with respect to any Term Loan or forgive any principal, interest (other than default interest) or fees (other than late charges) with respect to any Term Loan (B) postpone the date fixed for, or waive, any payment of principal of any Term Loan or of interest on any Term Loan (other than default interest) or any fees provided for hereunder (other than late charges or for any termination of any commitment); (C) change the definition of the term “</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or the percentage of Lenders which shall be required for the Lenders to take any action hereunder;</w:t>
      </w:r>
    </w:p>
    <w:p>
      <w:pPr>
        <w:jc w:val="both"/>
        <w:ind w:firstLine="8"/>
        <w:spacing w:after="0" w:line="250" w:lineRule="auto"/>
        <w:tabs>
          <w:tab w:leader="none" w:pos="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Section 12.6 or the definitions of the terms used in this Section 12.6 insofar as the definitions affect the substance of this Section 12.6;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or (I) amend any of the provisions of Section 12.10. It is hereby understood and agreed that all Lenders shall be deemed directly affected by an amendment, waiver or other modification of the type described in the preceding clauses (C), (D), (E), (F), (G) and (H) of the preceding sentence;</w:t>
      </w:r>
    </w:p>
    <w:p>
      <w:pPr>
        <w:spacing w:after="0" w:line="195" w:lineRule="exact"/>
        <w:rPr>
          <w:rFonts w:ascii="Times New Roman" w:cs="Times New Roman" w:eastAsia="Times New Roman" w:hAnsi="Times New Roman"/>
          <w:sz w:val="18"/>
          <w:szCs w:val="18"/>
          <w:color w:val="auto"/>
        </w:rPr>
      </w:pPr>
    </w:p>
    <w:p>
      <w:pPr>
        <w:jc w:val="both"/>
        <w:ind w:firstLine="2254"/>
        <w:spacing w:after="0" w:line="265" w:lineRule="auto"/>
        <w:tabs>
          <w:tab w:leader="none" w:pos="2605"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foregoing clauses (i), (ii) and (iii) are subject to the provisions of any interlender or agency agreement among the Lenders and Collateral Agent pursuant to which any Lender may agree to give its consent in connection with any amendment, waiver or modification of the Loan Documents only in the event of the unanimous agreement of all Lenders.</w:t>
      </w:r>
    </w:p>
    <w:p>
      <w:pPr>
        <w:spacing w:after="0" w:line="135" w:lineRule="exact"/>
        <w:rPr>
          <w:rFonts w:ascii="Times New Roman" w:cs="Times New Roman" w:eastAsia="Times New Roman" w:hAnsi="Times New Roman"/>
          <w:sz w:val="18"/>
          <w:szCs w:val="18"/>
          <w:color w:val="auto"/>
        </w:rPr>
      </w:pPr>
    </w:p>
    <w:p>
      <w:pPr>
        <w:ind w:right="20" w:firstLine="1505"/>
        <w:spacing w:after="0" w:line="245" w:lineRule="exact"/>
        <w:tabs>
          <w:tab w:leader="none" w:pos="185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expressly provided for in Section 12.6(a)(i)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(iii), Collateral Agent may, if requested by the Required Lenders, from time to time designate covenants in this Agreement less restrictive by notification to a representative of Borrower.</w:t>
      </w:r>
    </w:p>
    <w:p>
      <w:pPr>
        <w:spacing w:after="0" w:line="197" w:lineRule="exact"/>
        <w:rPr>
          <w:rFonts w:ascii="Times New Roman" w:cs="Times New Roman" w:eastAsia="Times New Roman" w:hAnsi="Times New Roman"/>
          <w:sz w:val="18"/>
          <w:szCs w:val="18"/>
          <w:color w:val="auto"/>
        </w:rPr>
      </w:pPr>
    </w:p>
    <w:p>
      <w:pPr>
        <w:jc w:val="both"/>
        <w:ind w:firstLine="1505"/>
        <w:spacing w:after="0" w:line="265" w:lineRule="auto"/>
        <w:tabs>
          <w:tab w:leader="none" w:pos="185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Loan Documents represent the entire agreement about this subject matter and supersede prior negotiations or agreements. All prior agreements, understandings, representations, warranties, and negotiations between the parties about the subject matter of this Agreement and the Loan Documents merge into this Agreement and the Loan Documents.</w:t>
      </w:r>
    </w:p>
    <w:p>
      <w:pPr>
        <w:spacing w:after="0" w:line="172" w:lineRule="exact"/>
        <w:rPr>
          <w:sz w:val="20"/>
          <w:szCs w:val="20"/>
          <w:color w:val="auto"/>
        </w:rPr>
      </w:pPr>
    </w:p>
    <w:p>
      <w:pPr>
        <w:jc w:val="both"/>
        <w:ind w:firstLine="749"/>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12.7 Counterparts. </w:t>
      </w:r>
      <w:r>
        <w:rPr>
          <w:rFonts w:ascii="Times New Roman" w:cs="Times New Roman" w:eastAsia="Times New Roman" w:hAnsi="Times New Roman"/>
          <w:sz w:val="18"/>
          <w:szCs w:val="18"/>
          <w:color w:val="auto"/>
        </w:rPr>
        <w:t>This Agreement may be executed in any number of counterparts and by different parties on separate counterparts,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when executed and delivered, is an original, and all taken together, constitute one Agreement.</w:t>
      </w:r>
    </w:p>
    <w:p>
      <w:pPr>
        <w:spacing w:after="0" w:line="15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12.8 Survival. </w:t>
      </w:r>
      <w:r>
        <w:rPr>
          <w:rFonts w:ascii="Times New Roman" w:cs="Times New Roman" w:eastAsia="Times New Roman" w:hAnsi="Times New Roman"/>
          <w:sz w:val="18"/>
          <w:szCs w:val="18"/>
          <w:color w:val="auto"/>
        </w:rPr>
        <w:t>All covenants, representations and warranties made in this Agreement continue in full force and effect until this Agreement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pursuant to its terms and all Obligations (other than inchoate indemnity and reimbursement obligations and any other obligations which, by their terms, are to survive the termination of this Agreement and any other obligations which, by their terms, are to survive the termination of this Agreement) have been satisfied. The obligation of Borrower in Section 12.2 to indemnify each Lender and Collateral Agent, as well as the confidentiality provisions in Section 12.9 below, shall survive until the statute of limitations with respect to such claim or cause of action shall have run.</w:t>
      </w:r>
    </w:p>
    <w:p>
      <w:pPr>
        <w:spacing w:after="0" w:line="180"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12.9 Confidentiality. </w:t>
      </w:r>
      <w:r>
        <w:rPr>
          <w:rFonts w:ascii="Times New Roman" w:cs="Times New Roman" w:eastAsia="Times New Roman" w:hAnsi="Times New Roman"/>
          <w:sz w:val="18"/>
          <w:szCs w:val="18"/>
          <w:color w:val="auto"/>
        </w:rPr>
        <w:t>In handling any confidential information of Borrower, the Lenders and Collateral Agent shall exercise the same degree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care that it exercises for their own proprietary information, but disclosure of information may be made: (a) subject to the terms and conditions of this Agreement including this Section 12.9, on a need to know basis to the Lenders’ and Collateral Agent’s Subsidiaries or Affiliates, or in connection with a Lender’s own financing or securitization transactions and upon the occurrence of a default, event of default or similar occurrence with respect to such financing or securitization transaction; (b) to prospective transferees (other than those identified in (a) above) or purchasers of any interest in the Credit Extensions (provided, however, the Lenders and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63" w:name="page164"/>
    <w:bookmarkEnd w:id="163"/>
    <w:p>
      <w:pPr>
        <w:jc w:val="both"/>
        <w:spacing w:after="0" w:line="252" w:lineRule="auto"/>
        <w:rPr>
          <w:sz w:val="20"/>
          <w:szCs w:val="20"/>
          <w:color w:val="auto"/>
        </w:rPr>
      </w:pPr>
      <w:r>
        <w:rPr>
          <w:rFonts w:ascii="Times New Roman" w:cs="Times New Roman" w:eastAsia="Times New Roman" w:hAnsi="Times New Roman"/>
          <w:sz w:val="18"/>
          <w:szCs w:val="18"/>
          <w:color w:val="auto"/>
        </w:rPr>
        <w:t>Collateral Agent shall, except upon the occurrence and during the continuance of an Event of Default, obtain such prospective transferee’s or purchaser’s agreement to the terms of this provision or to similar confidentiality terms and Borrower is an express third-party beneficiary thereof); (c) 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with the Lenders and Collateral Agent with terms no less restrictive than those contained herein and Borrower is an express third-party beneficiary thereof, and the information is used solely for purposes of providing services to Lenders and/or Collateral Agent. Confidential information does not include information that either: (i) is in the public domain or in the Lenders’ and/or Collateral Agent’s possession on a non-confidential basis when disclosed to the Lenders and/or Collateral Agent, or becomes part of the public domain after disclosure to the Lenders and/or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related to the administration of this Agreement and the Loan Documents, including, without limitation, for the development of client databases, reporting purposes, and market analysis. This Section 12.9 shall survive the termination of this Agreement. The agreements provided under this Section 12.9 supersede all prior agreements, understanding, representations, warranties, and negotiations between the parties about the subject matter of this Section 12.9.</w:t>
      </w:r>
    </w:p>
    <w:p>
      <w:pPr>
        <w:spacing w:after="0" w:line="18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12.10 Public Announcement. </w:t>
      </w:r>
      <w:r>
        <w:rPr>
          <w:rFonts w:ascii="Times New Roman" w:cs="Times New Roman" w:eastAsia="Times New Roman" w:hAnsi="Times New Roman"/>
          <w:sz w:val="18"/>
          <w:szCs w:val="18"/>
          <w:color w:val="auto"/>
        </w:rPr>
        <w:t>Notwithstanding anything else herein to the contrary, Borrower hereby agrees that, at any time after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publicly disclosed this Agreement, Collateral Agent and each Lender may make a public announcement of the transactions contemplated by this Agreement, and may publicize the same on its company website, in marketing materials, newspapers and other publications, and otherwise, and in connection therewith may, in consultation with Soleno, use Borrower’s name, tradenames, logos, and any information related to the transactions to the extent such information is not confidential or has not been redacted in Soleno’s filing of this Agreement with the SEC.</w:t>
      </w:r>
    </w:p>
    <w:p>
      <w:pPr>
        <w:spacing w:after="0" w:line="16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12.11 Right of Set Off. </w:t>
      </w:r>
      <w:r>
        <w:rPr>
          <w:rFonts w:ascii="Times New Roman" w:cs="Times New Roman" w:eastAsia="Times New Roman" w:hAnsi="Times New Roman"/>
          <w:sz w:val="18"/>
          <w:szCs w:val="18"/>
          <w:color w:val="auto"/>
        </w:rPr>
        <w:t>Borrower hereby grants to Collateral Agent and to each Lender, a lien, security interest and right of set off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for all 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Borrower even though unmatured and regardless of the adequacy of any other collateral securing the Obligations.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 TO THE EXTENT PERMITTED BY APPLICABLE LAW.</w:t>
      </w:r>
    </w:p>
    <w:p>
      <w:pPr>
        <w:spacing w:after="0" w:line="15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12.12 Cooperation of Borrower. </w:t>
      </w:r>
      <w:r>
        <w:rPr>
          <w:rFonts w:ascii="Times New Roman" w:cs="Times New Roman" w:eastAsia="Times New Roman" w:hAnsi="Times New Roman"/>
          <w:sz w:val="18"/>
          <w:szCs w:val="18"/>
          <w:color w:val="auto"/>
        </w:rPr>
        <w:t>If necessary, Borrower agrees to (i) execute any documents (including new Secured Promissory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required to effectuate and acknowledge each assignment of a Term Loan Commitment or Loan to an assignee in accordance with Section 12.1,</w:t>
      </w:r>
    </w:p>
    <w:p>
      <w:pPr>
        <w:spacing w:after="0" w:line="2" w:lineRule="exact"/>
        <w:rPr>
          <w:sz w:val="20"/>
          <w:szCs w:val="20"/>
          <w:color w:val="auto"/>
        </w:rPr>
      </w:pPr>
    </w:p>
    <w:p>
      <w:pPr>
        <w:jc w:val="both"/>
        <w:ind w:firstLine="8"/>
        <w:spacing w:after="0" w:line="251" w:lineRule="auto"/>
        <w:tabs>
          <w:tab w:leader="none" w:pos="29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reasonable times and upon reasonable prior notice (unless an Event of Default has occurred and is continuing), make Borrower’s management available to meet with Collateral Agent and prospective participants and assignees of Term Loan Commitments or Credit Extensions (which meetings shall be conducted no more often than once every twelve months unless an Event of Default has occurred and is continuing), and (iii) assist Collateral Agent or the Lenders in the preparation of information relating to the financial affairs of Borrower as any prospective participant or assignee of a Term Loan Commitment or Term Loan reasonably may request. Subject to the provisions of Section 12.9, Borrower authorizes each Lender to disclose to any prospective participant or assignee of a Term Loan Commitment,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64" w:name="page165"/>
    <w:bookmarkEnd w:id="164"/>
    <w:p>
      <w:pPr>
        <w:jc w:val="both"/>
        <w:ind w:firstLine="749"/>
        <w:spacing w:after="0" w:line="217" w:lineRule="exact"/>
        <w:rPr>
          <w:sz w:val="20"/>
          <w:szCs w:val="20"/>
          <w:color w:val="auto"/>
        </w:rPr>
      </w:pPr>
      <w:r>
        <w:rPr>
          <w:rFonts w:ascii="Times New Roman" w:cs="Times New Roman" w:eastAsia="Times New Roman" w:hAnsi="Times New Roman"/>
          <w:sz w:val="18"/>
          <w:szCs w:val="18"/>
          <w:b w:val="1"/>
          <w:bCs w:val="1"/>
          <w:color w:val="auto"/>
        </w:rPr>
        <w:t>12.13 Borrower Liability</w:t>
      </w:r>
      <w:r>
        <w:rPr>
          <w:rFonts w:ascii="Times New Roman" w:cs="Times New Roman" w:eastAsia="Times New Roman" w:hAnsi="Times New Roman"/>
          <w:sz w:val="18"/>
          <w:szCs w:val="18"/>
          <w:color w:val="auto"/>
        </w:rPr>
        <w:t>. Either Borrower may, acting singly, request Credit Extensions hereunder. Each Borrower hereby appoints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as agent for the other for all purposes hereunder, including with respect to requesting Credit Extensions hereunder. Each Borrower hereunder shall be jointly and severally obligated to repay all Credit Extensions made hereunder, regardless of which Borrower actually receives said Credit Extension, as if each Borrower hereunder directly received all Credit Extensions. Each Borrower waives (a) any suretyship defenses available to it under the Code or any other applicable law, including, without limitation, the benefit of California Civil Code Section 2815 permitting revocation as to future transactions and the benefit of California Civil Code Sections 1432, 2809, 2810, 2819, 2839, 2845, 2847, 2848, 2849, 2850, and 2899 and 3433, and (b) any right to require Collateral Agent or any Lender to: (i) proceed against any Borrower or any other person; (ii) proceed against or exhaust any security; or (iii) pursue any other remedy. Collateral Agent and or any Lender may exercise or not exercise any right or remedy it has against any Borrower or any security it holds (including the right to foreclose by judicial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judicial sale) without affecting any Borrower’s liability. Notwithstanding any other provision of this Agreement or other related document, each Borrower irrevocably waives all rights that it may have at law or in equity (including, without limitation, any law subrogating Borrower to the rights of Collateral Agent and the Lenders under this Agreement) to seek contribution, indemnification or any other form of reimbursement from any other Borrower, or any other Person now or hereafter primarily or secondarily liable for any of the Obligations, for any payment made by Borrower with respect to the Obligations in connection with this Agreement or otherwise and all rights that it might have to benefit from, or to participate in, any security for the Obligations as a result of any payment made by Borrower with respect to the Obligations in connection with this Agreement or otherwise. Any agreement providing for indemnification, reimbursement or any other arrangement prohibited under this Section shall be null and void. If any payment is made to a Borrower in contravention of this Section, such Borrower shall hold such payment in trust for Collateral Agent and the Lenders and such payment shall be promptly delivered to Collateral Agent for application to the Obligations, whether matured or unmatured.</w:t>
      </w:r>
    </w:p>
    <w:p>
      <w:pPr>
        <w:spacing w:after="0" w:line="199" w:lineRule="exact"/>
        <w:rPr>
          <w:sz w:val="20"/>
          <w:szCs w:val="20"/>
          <w:color w:val="auto"/>
        </w:rPr>
      </w:pPr>
    </w:p>
    <w:p>
      <w:pPr>
        <w:ind w:left="360" w:hanging="352"/>
        <w:spacing w:after="0"/>
        <w:tabs>
          <w:tab w:leader="none" w:pos="3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13.1 Definitions. </w:t>
      </w:r>
      <w:r>
        <w:rPr>
          <w:rFonts w:ascii="Times New Roman" w:cs="Times New Roman" w:eastAsia="Times New Roman" w:hAnsi="Times New Roman"/>
          <w:sz w:val="18"/>
          <w:szCs w:val="18"/>
          <w:color w:val="auto"/>
        </w:rPr>
        <w:t>As used in this Agreement, the following terms have the following meanings:</w:t>
      </w:r>
    </w:p>
    <w:p>
      <w:pPr>
        <w:spacing w:after="0" w:line="224" w:lineRule="exact"/>
        <w:rPr>
          <w:sz w:val="20"/>
          <w:szCs w:val="20"/>
          <w:color w:val="auto"/>
        </w:rPr>
      </w:pPr>
    </w:p>
    <w:p>
      <w:pPr>
        <w:jc w:val="both"/>
        <w:ind w:firstLine="749"/>
        <w:spacing w:after="0" w:line="28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1-Month CME Term SOFR</w:t>
      </w:r>
      <w:r>
        <w:rPr>
          <w:rFonts w:ascii="Times New Roman" w:cs="Times New Roman" w:eastAsia="Times New Roman" w:hAnsi="Times New Roman"/>
          <w:sz w:val="18"/>
          <w:szCs w:val="18"/>
          <w:color w:val="auto"/>
        </w:rPr>
        <w:t>” is the 1-month CME Term SOFR reference rate as published by the CME Term SOFR Administrator on the CME Term SOFR Administrator’s Website.</w:t>
      </w:r>
    </w:p>
    <w:p>
      <w:pPr>
        <w:spacing w:after="0" w:line="155" w:lineRule="exact"/>
        <w:rPr>
          <w:sz w:val="20"/>
          <w:szCs w:val="20"/>
          <w:color w:val="auto"/>
        </w:rPr>
      </w:pPr>
    </w:p>
    <w:p>
      <w:pPr>
        <w:jc w:val="both"/>
        <w:ind w:firstLine="749"/>
        <w:spacing w:after="0" w:line="28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is any “account” as defined in the Code with such additions to such term as may hereafter be made, and includes, without limitation, all accounts receivable and other sums owing to Borrower.</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Debtor</w:t>
      </w:r>
      <w:r>
        <w:rPr>
          <w:rFonts w:ascii="Times New Roman" w:cs="Times New Roman" w:eastAsia="Times New Roman" w:hAnsi="Times New Roman"/>
          <w:sz w:val="18"/>
          <w:szCs w:val="18"/>
          <w:color w:val="auto"/>
        </w:rPr>
        <w:t>” is any “account debtor” as defined in the Code with such additions to such term as may hereafter be made.</w:t>
      </w:r>
    </w:p>
    <w:p>
      <w:pPr>
        <w:spacing w:after="0" w:line="22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means the purchase or other acquisition by any Person, in a single transaction or in a series of related transactions, of all or substantially all of the property of another Person, or of a division or other business segment, line or unit of another Person, or at least a majority of the voting Equity Interests of another Person, in each case whether or not involving a merger or consolidation with such other Person and whether for cash, property, services, assumption of Indebtedness, securities or otherwise.</w:t>
      </w:r>
    </w:p>
    <w:p>
      <w:pPr>
        <w:spacing w:after="0" w:line="177"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defined in the preamble hereof.</w:t>
      </w:r>
    </w:p>
    <w:p>
      <w:pPr>
        <w:spacing w:after="0" w:line="224" w:lineRule="exact"/>
        <w:rPr>
          <w:sz w:val="20"/>
          <w:szCs w:val="20"/>
          <w:color w:val="auto"/>
        </w:rPr>
      </w:pPr>
    </w:p>
    <w:p>
      <w:pPr>
        <w:jc w:val="both"/>
        <w:ind w:firstLine="749"/>
        <w:spacing w:after="0" w:line="28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Amortization Date</w:t>
      </w:r>
      <w:r>
        <w:rPr>
          <w:rFonts w:ascii="Times New Roman" w:cs="Times New Roman" w:eastAsia="Times New Roman" w:hAnsi="Times New Roman"/>
          <w:sz w:val="18"/>
          <w:szCs w:val="18"/>
          <w:color w:val="auto"/>
        </w:rPr>
        <w:t>” is February 1, 2029; provided, however, if Borrower achieves the Interest-Only Extension Milestone as of or after the first anniversary of the Effective Date, then the Amortization Date with respect to all Term Loans shall be extended to February 1, 2030.</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Projections</w:t>
      </w:r>
      <w:r>
        <w:rPr>
          <w:rFonts w:ascii="Times New Roman" w:cs="Times New Roman" w:eastAsia="Times New Roman" w:hAnsi="Times New Roman"/>
          <w:sz w:val="18"/>
          <w:szCs w:val="18"/>
          <w:color w:val="auto"/>
        </w:rPr>
        <w:t>” is defined in Section 6.2(a).</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65" w:name="page166"/>
    <w:bookmarkEnd w:id="165"/>
    <w:p>
      <w:pPr>
        <w:jc w:val="both"/>
        <w:ind w:right="20" w:firstLine="749"/>
        <w:spacing w:after="0" w:line="24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Terrorism Laws</w:t>
      </w:r>
      <w:r>
        <w:rPr>
          <w:rFonts w:ascii="Times New Roman" w:cs="Times New Roman" w:eastAsia="Times New Roman" w:hAnsi="Times New Roman"/>
          <w:sz w:val="18"/>
          <w:szCs w:val="18"/>
          <w:color w:val="auto"/>
        </w:rPr>
        <w:t>” are any laws relating to terrorism or money laundering, including Executive Order No. 13224 (effective September 24, 2001), the USA PATRIOT Act, the laws comprising or implementing the Bank Secrecy Act, and the laws administered by OFAC.</w:t>
      </w:r>
    </w:p>
    <w:p>
      <w:pPr>
        <w:spacing w:after="0" w:line="19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is any (a) Person, investment company, fund, securitization vehicle or conduit that is (or will be) engaged in making, purchasing, holding or otherwise investing in commercial loans and similar extensions of credit in the ordinary course of its business and that is administered or managed by (i) a Lender, (ii) an Affiliate of a Lender, or (iii) a Person (other than a natural person) or an Affiliate of a Person (other than a natural person) that administers or manages a Lender, or (b) any Person (other than a natural person) which temporarily warehouses loans, or provides financing or securitizations, in each case, for any Lender or any entity described in the preceding clause (a).</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Lender</w:t>
      </w:r>
      <w:r>
        <w:rPr>
          <w:rFonts w:ascii="Times New Roman" w:cs="Times New Roman" w:eastAsia="Times New Roman" w:hAnsi="Times New Roman"/>
          <w:sz w:val="18"/>
          <w:szCs w:val="18"/>
          <w:color w:val="auto"/>
        </w:rPr>
        <w:t>” is defined in Section 12.1.</w:t>
      </w:r>
    </w:p>
    <w:p>
      <w:pPr>
        <w:spacing w:after="0" w:line="22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Basic Rate</w:t>
      </w:r>
      <w:r>
        <w:rPr>
          <w:rFonts w:ascii="Times New Roman" w:cs="Times New Roman" w:eastAsia="Times New Roman" w:hAnsi="Times New Roman"/>
          <w:sz w:val="18"/>
          <w:szCs w:val="18"/>
          <w:color w:val="auto"/>
        </w:rPr>
        <w:t xml:space="preserve">” is with respect to each Term Loan, the per annum rate of interest (based on a year of three hundred sixty (360) days) equal to (a) greater of (i) the lesser of (x) the 1-Month CME Term SOFR on the last Business Day of the month that immediately precedes the month in which the interest will accrue and (y) seven and twelve hundredths of one percent (7.12%); and (ii) two percent (2.00%),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five and one half of one percent (5.50%). Notwithstanding the foregoing, (x) in no event shall the Basic Rate for any Term Loan be less than seven and one half of one percent (7.50%) or greater than twelve and sixty-two hundreds of one percent (12.62%), (y) upon the occurrence of a Benchmark Transition Event, Collateral Agent may, in good faith and with reference to the margin above such interest rate in this definition, amend this Agreement to replace the Benchmark with a replacement interest rate and replacement margin above such interest rate that results in a substantially similar interest rate floor and total rate in effect immediately prior to the effectiveness of such replacement interest rate and replacement margin, and any such amendment shall become effective at 5:00 p.m. Eastern time on the third Business Day after Collateral Agent has notified Borrower of such amendment. Any determination, decision or election that may be made by Collateral Agent pursuant hereto will be conclusive and binding absent manifest error and may be made in Collateral Agent’s sole discretion and without consent from any other party.</w:t>
      </w:r>
    </w:p>
    <w:p>
      <w:pPr>
        <w:spacing w:after="0" w:line="186"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is, initially, the 1-Month CME Term SOFR; provided, that if a Benchmark Transition Event has occurred with respect to the 1-Month CME Term SOFR or the then-current Benchmark, then “Benchmark” means the applicable replacement rate that has replaced the immediately preceding benchmark rate pursuant to the defined term “Basic Rate”.</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228" w:lineRule="exact"/>
        <w:rPr>
          <w:sz w:val="20"/>
          <w:szCs w:val="20"/>
          <w:color w:val="auto"/>
        </w:rPr>
      </w:pPr>
    </w:p>
    <w:p>
      <w:pPr>
        <w:jc w:val="both"/>
        <w:ind w:firstLine="756"/>
        <w:spacing w:after="0" w:line="265" w:lineRule="auto"/>
        <w:tabs>
          <w:tab w:leader="none" w:pos="110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for such Benchmark announcing that such Person has ceased or will cease to provide such Benchmark, permanently or indefinitely, provided that, at the time of such statement or publication, there is no successor administrator that will continue to provide such Benchmark;</w:t>
      </w:r>
    </w:p>
    <w:p>
      <w:pPr>
        <w:spacing w:after="0" w:line="176" w:lineRule="exact"/>
        <w:rPr>
          <w:rFonts w:ascii="Times New Roman" w:cs="Times New Roman" w:eastAsia="Times New Roman" w:hAnsi="Times New Roman"/>
          <w:sz w:val="18"/>
          <w:szCs w:val="18"/>
          <w:color w:val="auto"/>
        </w:rPr>
      </w:pPr>
    </w:p>
    <w:p>
      <w:pPr>
        <w:jc w:val="both"/>
        <w:ind w:firstLine="756"/>
        <w:spacing w:after="0" w:line="257" w:lineRule="auto"/>
        <w:tabs>
          <w:tab w:leader="none" w:pos="110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for such Benchmark, the U.S. Federal Reserve System,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which states that the administrator for such Benchmark has ceased or will cease to provide such Benchmark permanently or indefinitely, provided that, at the time of such statement or publication, there is no successor administrator that will continue to provide such Benchmark; or</w:t>
      </w:r>
    </w:p>
    <w:p>
      <w:pPr>
        <w:spacing w:after="0" w:line="184" w:lineRule="exact"/>
        <w:rPr>
          <w:rFonts w:ascii="Times New Roman" w:cs="Times New Roman" w:eastAsia="Times New Roman" w:hAnsi="Times New Roman"/>
          <w:sz w:val="18"/>
          <w:szCs w:val="18"/>
          <w:color w:val="auto"/>
        </w:rPr>
      </w:pPr>
    </w:p>
    <w:p>
      <w:pPr>
        <w:jc w:val="both"/>
        <w:ind w:firstLine="756"/>
        <w:spacing w:after="0" w:line="265" w:lineRule="auto"/>
        <w:tabs>
          <w:tab w:leader="none" w:pos="110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for such Benchmark announcing that such Benchmark is no longer representative or in compliance with the International Organization of Securities Commissions Principles for Financial Benchmarks.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166" w:name="page167"/>
    <w:bookmarkEnd w:id="166"/>
    <w:p>
      <w:pPr>
        <w:jc w:val="both"/>
        <w:ind w:firstLine="749"/>
        <w:spacing w:after="0" w:line="220"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Blocked Person</w:t>
      </w:r>
      <w:r>
        <w:rPr>
          <w:rFonts w:ascii="Times New Roman" w:cs="Times New Roman" w:eastAsia="Times New Roman" w:hAnsi="Times New Roman"/>
          <w:sz w:val="18"/>
          <w:szCs w:val="18"/>
          <w:color w:val="auto"/>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is defined in the preamble hereof.</w:t>
      </w:r>
    </w:p>
    <w:p>
      <w:pPr>
        <w:spacing w:after="0" w:line="224"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Borrower’s Books</w:t>
      </w:r>
      <w:r>
        <w:rPr>
          <w:rFonts w:ascii="Times New Roman" w:cs="Times New Roman" w:eastAsia="Times New Roman" w:hAnsi="Times New Roman"/>
          <w:sz w:val="18"/>
          <w:szCs w:val="18"/>
          <w:color w:val="auto"/>
        </w:rPr>
        <w:t>” 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is any day that is not a Saturday, Sunday or a day on which Collateral Agent is closed.</w:t>
      </w:r>
    </w:p>
    <w:p>
      <w:pPr>
        <w:spacing w:after="0" w:line="224" w:lineRule="exact"/>
        <w:rPr>
          <w:sz w:val="20"/>
          <w:szCs w:val="20"/>
          <w:color w:val="auto"/>
        </w:rPr>
      </w:pPr>
    </w:p>
    <w:p>
      <w:pPr>
        <w:jc w:val="both"/>
        <w:ind w:firstLine="749"/>
        <w:spacing w:after="0" w:line="21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certificates of deposit maturing no more than one (1) year after issue provided that the account in which any such certificate of deposit is maintained is subject to a Control Agreement in favor of Collateral Agent to the extent required by this Agreement, (d) money market accounts at least ninety-five percent (95%) of the assets of which constitute Cash Equivalents of the kinds described in clauses (a) through (c) of this definition. For the avoidance of doubt, the direct purchase by Borrower or any of its Subsidiaries of any Auction Rate Securities, or purchasing participations in, or entering into any type of swap or other derivative transaction with respect to, or otherwise holding or engaging in any ownership interest in any type of Auction Rate Security by Borrower or any of its Subsidiaries shall be conclusively determined by the Lenders as an ineligible Cash Equivalent, and any such transaction shall expressly violate each other provision of this Agreement governing Permitted Investments. Notwithstanding the foregoing, Cash Equivalents does not include and Borrower, and each of its Subsidiaries, are prohibited from purchasing, purchasing participations in, entering into any type of swap or other equivalent derivative transaction with respect to, or otherwise holding or engaging in any ownership interest in any type of debt instrument, including, without limitation, any corporate or municipal bonds with a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nominal maturity for which the interest rate is reset through a dutch auction and more commonly referred to as an auction rate security (each, an “</w:t>
      </w:r>
      <w:r>
        <w:rPr>
          <w:rFonts w:ascii="Times New Roman" w:cs="Times New Roman" w:eastAsia="Times New Roman" w:hAnsi="Times New Roman"/>
          <w:sz w:val="18"/>
          <w:szCs w:val="18"/>
          <w:b w:val="1"/>
          <w:bCs w:val="1"/>
          <w:color w:val="auto"/>
        </w:rPr>
        <w:t>Auction Rate Security</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are defined in Section 12.2.</w:t>
      </w:r>
    </w:p>
    <w:p>
      <w:pPr>
        <w:spacing w:after="0" w:line="224" w:lineRule="exact"/>
        <w:rPr>
          <w:sz w:val="20"/>
          <w:szCs w:val="20"/>
          <w:color w:val="auto"/>
        </w:rPr>
      </w:pPr>
    </w:p>
    <w:p>
      <w:pPr>
        <w:jc w:val="both"/>
        <w:ind w:firstLine="749"/>
        <w:spacing w:after="0" w:line="28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CME Term SOFR Administrator</w:t>
      </w:r>
      <w:r>
        <w:rPr>
          <w:rFonts w:ascii="Times New Roman" w:cs="Times New Roman" w:eastAsia="Times New Roman" w:hAnsi="Times New Roman"/>
          <w:sz w:val="18"/>
          <w:szCs w:val="18"/>
          <w:color w:val="auto"/>
        </w:rPr>
        <w:t>” is CME Group Benchmark Administration Limited, as administrator of the forward-looking term SOFR, or any successor administrator.</w:t>
      </w:r>
    </w:p>
    <w:p>
      <w:pPr>
        <w:spacing w:after="0" w:line="155" w:lineRule="exact"/>
        <w:rPr>
          <w:sz w:val="20"/>
          <w:szCs w:val="20"/>
          <w:color w:val="auto"/>
        </w:rPr>
      </w:pPr>
    </w:p>
    <w:p>
      <w:pPr>
        <w:jc w:val="both"/>
        <w:ind w:firstLine="749"/>
        <w:spacing w:after="0" w:line="28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CME Term SOFR Administrator’s Website</w:t>
      </w:r>
      <w:r>
        <w:rPr>
          <w:rFonts w:ascii="Times New Roman" w:cs="Times New Roman" w:eastAsia="Times New Roman" w:hAnsi="Times New Roman"/>
          <w:sz w:val="18"/>
          <w:szCs w:val="18"/>
          <w:color w:val="auto"/>
        </w:rPr>
        <w:t>” is the website of the CME Group Benchmark Administrator at http://www.cmegroup.com, or any successor source.</w:t>
      </w:r>
    </w:p>
    <w:p>
      <w:pPr>
        <w:spacing w:after="0" w:line="15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xml:space="preserve">” is any and all properties, rights and assets of Borrower described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67" w:name="page168"/>
    <w:bookmarkEnd w:id="167"/>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Account</w:t>
      </w:r>
      <w:r>
        <w:rPr>
          <w:rFonts w:ascii="Times New Roman" w:cs="Times New Roman" w:eastAsia="Times New Roman" w:hAnsi="Times New Roman"/>
          <w:sz w:val="18"/>
          <w:szCs w:val="18"/>
          <w:color w:val="auto"/>
        </w:rPr>
        <w:t>” is any Deposit Account, Securities Account, Commodity Account or any other bank account.</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is, Oxford, not in its individual capacity, but solely in its capacity as agent on behalf of and for the benefit of the Lenders.</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Percentage</w:t>
      </w:r>
      <w:r>
        <w:rPr>
          <w:rFonts w:ascii="Times New Roman" w:cs="Times New Roman" w:eastAsia="Times New Roman" w:hAnsi="Times New Roman"/>
          <w:sz w:val="18"/>
          <w:szCs w:val="18"/>
          <w:color w:val="auto"/>
        </w:rPr>
        <w:t xml:space="preserve">” is set forth in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as amended from time to time.</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Account</w:t>
      </w:r>
      <w:r>
        <w:rPr>
          <w:rFonts w:ascii="Times New Roman" w:cs="Times New Roman" w:eastAsia="Times New Roman" w:hAnsi="Times New Roman"/>
          <w:sz w:val="18"/>
          <w:szCs w:val="18"/>
          <w:color w:val="auto"/>
        </w:rPr>
        <w:t>” is any “commodity account” as defined in the Code with such additions to such term as may hereafter be made.</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 is defined in Section 10.</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xml:space="preserve">” is that certain certificate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jc w:val="both"/>
        <w:ind w:firstLine="749"/>
        <w:spacing w:after="0" w:line="21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is, for any Person, any direct or indirect liability, contingent or not, of that Person for (a) any indebtedness, lease, dividend, letter of credit or other obligation of another Person such as an obligation directly or indirectly guaranteed, endorsed,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designed to protect a Person against fluctuation in interest rates, currency exchange rates or commodity prices; but “Contingent Obligation” does not include endorsements in the ordinary course of business, customary warranty obligations or customary indemnification obligations.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9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 Agreement</w:t>
      </w:r>
      <w:r>
        <w:rPr>
          <w:rFonts w:ascii="Times New Roman" w:cs="Times New Roman" w:eastAsia="Times New Roman" w:hAnsi="Times New Roman"/>
          <w:sz w:val="18"/>
          <w:szCs w:val="18"/>
          <w:color w:val="auto"/>
        </w:rPr>
        <w:t>” is any control agreement entered into among the depository institution at which Borrower or any of its Subsidiaries maintains a Deposit Account or the securities intermediary or commodity intermediary at which Borrower or any of its Subsidiaries maintains a Securities Account or a Commodity Account, Borrower and such Subsidiary, and Collateral Agent pursuant to which Collateral Agent obtains control (within the meaning of the Code) for the benefit of the Lenders over such Deposit Account, Securities Account, or Commodity Account.</w:t>
      </w:r>
    </w:p>
    <w:p>
      <w:pPr>
        <w:spacing w:after="0" w:line="177" w:lineRule="exact"/>
        <w:rPr>
          <w:sz w:val="20"/>
          <w:szCs w:val="20"/>
          <w:color w:val="auto"/>
        </w:rPr>
      </w:pPr>
    </w:p>
    <w:p>
      <w:pPr>
        <w:jc w:val="both"/>
        <w:ind w:firstLine="749"/>
        <w:spacing w:after="0" w:line="28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are any and all copyright rights, copyright applications, copyright registrations and like protections in each work or authorship and derivative work thereof, whether published or unpublished and whether or not the same also constitutes a trade secret.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Extension</w:t>
      </w:r>
      <w:r>
        <w:rPr>
          <w:rFonts w:ascii="Times New Roman" w:cs="Times New Roman" w:eastAsia="Times New Roman" w:hAnsi="Times New Roman"/>
          <w:sz w:val="18"/>
          <w:szCs w:val="18"/>
          <w:color w:val="auto"/>
        </w:rPr>
        <w:t>” is any Term Loan or any other extension of credit by Collateral Agent or Lenders for Borrower’s benefit.</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Party</w:t>
      </w:r>
      <w:r>
        <w:rPr>
          <w:rFonts w:ascii="Times New Roman" w:cs="Times New Roman" w:eastAsia="Times New Roman" w:hAnsi="Times New Roman"/>
          <w:sz w:val="18"/>
          <w:szCs w:val="18"/>
          <w:color w:val="auto"/>
        </w:rPr>
        <w:t>” means each Borrower and any Guarantor.</w:t>
      </w:r>
    </w:p>
    <w:p>
      <w:pPr>
        <w:spacing w:after="0" w:line="22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DCCR Net Product Revenue</w:t>
      </w:r>
      <w:r>
        <w:rPr>
          <w:rFonts w:ascii="Times New Roman" w:cs="Times New Roman" w:eastAsia="Times New Roman" w:hAnsi="Times New Roman"/>
          <w:sz w:val="18"/>
          <w:szCs w:val="18"/>
          <w:color w:val="auto"/>
        </w:rPr>
        <w:t>” means net product revenue (as determined in accordance with GAAP) from the sale of DCCR (diazoxide choline) extended release tablets for [***] by Borrower or its Subsidiaries exclusively attributable to sales made and booked in the United States (which shall in any event shall be booked by Borrower). For the avoidance of doubt, net product revenue shall not include any of the following to the extent not recognizable as revenue in accordance with GAAP: (i) trade, quantity and cash discounts allowed by Borrower, (ii) discounts, refunds, rebates, charge backs, retroactive price adjustment and any other allowances which effectively reduce net selling price, (iii) product returns and allowances, (iv) allowances for shipping or other distribution expenses, (iv) set-offs and counterclaims, (v) any upfront or non-sales-based milestone payments under royalty, profit sharing, business development or licensing transactions, and (vi) any other similar and customary deductions that are typically deducted from gross revenue and not included in net revenue in accordance with GAAP.</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68" w:name="page169"/>
    <w:bookmarkEnd w:id="168"/>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is defined in Section 2.3(b).</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is any “deposit account” as defined in the Code with such additions to such term as may hereafter be made.</w:t>
      </w:r>
    </w:p>
    <w:p>
      <w:pPr>
        <w:spacing w:after="0" w:line="224" w:lineRule="exact"/>
        <w:rPr>
          <w:sz w:val="20"/>
          <w:szCs w:val="20"/>
          <w:color w:val="auto"/>
        </w:rPr>
      </w:pPr>
    </w:p>
    <w:p>
      <w:pPr>
        <w:jc w:val="both"/>
        <w:ind w:firstLine="749"/>
        <w:spacing w:after="0" w:line="28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Deposit Account</w:t>
      </w:r>
      <w:r>
        <w:rPr>
          <w:rFonts w:ascii="Times New Roman" w:cs="Times New Roman" w:eastAsia="Times New Roman" w:hAnsi="Times New Roman"/>
          <w:sz w:val="18"/>
          <w:szCs w:val="18"/>
          <w:color w:val="auto"/>
        </w:rPr>
        <w:t>” is Soleno’s deposit account, account number [***], maintained with Silicon Valley Bank, a division of First-Citizens Bank &amp; Trust Company.</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Disbursement Letter</w:t>
      </w:r>
      <w:r>
        <w:rPr>
          <w:rFonts w:ascii="Times New Roman" w:cs="Times New Roman" w:eastAsia="Times New Roman" w:hAnsi="Times New Roman"/>
          <w:sz w:val="18"/>
          <w:szCs w:val="18"/>
          <w:color w:val="auto"/>
        </w:rPr>
        <w:t xml:space="preserve">” is that certain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Division</w:t>
      </w:r>
      <w:r>
        <w:rPr>
          <w:rFonts w:ascii="Times New Roman" w:cs="Times New Roman" w:eastAsia="Times New Roman" w:hAnsi="Times New Roman"/>
          <w:sz w:val="18"/>
          <w:szCs w:val="18"/>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or any analogous action taken pursuant to any other applicable law with respect to any corporation, limited liability company, partnership or other entity.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and “$” each mean lawful money of the United States.</w:t>
      </w:r>
    </w:p>
    <w:p>
      <w:pPr>
        <w:spacing w:after="0" w:line="224" w:lineRule="exact"/>
        <w:rPr>
          <w:sz w:val="20"/>
          <w:szCs w:val="20"/>
          <w:color w:val="auto"/>
        </w:rPr>
      </w:pPr>
    </w:p>
    <w:p>
      <w:pPr>
        <w:jc w:val="both"/>
        <w:ind w:right="20" w:firstLine="749"/>
        <w:spacing w:after="0" w:line="28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 Subsidiary</w:t>
      </w:r>
      <w:r>
        <w:rPr>
          <w:rFonts w:ascii="Times New Roman" w:cs="Times New Roman" w:eastAsia="Times New Roman" w:hAnsi="Times New Roman"/>
          <w:sz w:val="18"/>
          <w:szCs w:val="18"/>
          <w:color w:val="auto"/>
        </w:rPr>
        <w:t>” means any Subsidiary organized under the laws of the United States of America, any State thereof, the District of Columbia, or any other jurisdiction within the United States of America.</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defined in the preamble of this Agreement.</w:t>
      </w:r>
    </w:p>
    <w:p>
      <w:pPr>
        <w:spacing w:after="0" w:line="22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is (i) a Lender, (ii) an Affiliate of a Lender, (iii) an Approved Fund and (iv)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 finance companies, in each case, which either (A) has a rating of BBB or higher from Standard &amp; Poor’s Rating Group and a rating of Baa2 or higher from Moody’s Investors Service, Inc. at the date that it becomes a Lender or (B) has total assets in excess of Five Billion Dollars ($5,000,000,000.00), and in each case of clauses (i) through (iv), which, through its applicable lending office, is capable of lending to Borrower without the imposition of any withholding or similar taxes; provided that notwithstanding the foregoing, “Eligible Assignee” shall not include, unless an Event of Default has occurred and is continuing, (i) Borrower or any of Borrower’s Affiliates or Subsidiaries or (ii) a direct competitor of Borrower or a vulture hedge fund, each as determined by Collateral Agent. Notwithstanding the foregoing, (x) in connection with assignments by a Lender due to a forced divestiture at the request of any regulatory agency, the restrictions set forth herein shall not apply and Eligible Assignee shall mean any Person or party and (y) in connection with a Lender’s own financing or securitization transactions, the restrictions set forth herein shall not apply and Eligible Assignee shall mean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Collateral Agent shall have received and accepted an effective assignment agreement from such Person or party in form satisfactory to Collateral Agent executed, delivered and fully completed by the applicable parties thereto, and shall have received such other information regarding such Eligible Assignee as Collateral Agent reasonably shall require.</w:t>
      </w:r>
    </w:p>
    <w:p>
      <w:pPr>
        <w:spacing w:after="0" w:line="184" w:lineRule="exact"/>
        <w:rPr>
          <w:sz w:val="20"/>
          <w:szCs w:val="20"/>
          <w:color w:val="auto"/>
        </w:rPr>
      </w:pPr>
    </w:p>
    <w:p>
      <w:pPr>
        <w:jc w:val="both"/>
        <w:ind w:firstLine="749"/>
        <w:spacing w:after="0" w:line="28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is the Employee Retirement Income Security Act of 1974, as amended, and its regulations.</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is defined in Section 8.</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69" w:name="page170"/>
    <w:bookmarkEnd w:id="169"/>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Accounts</w:t>
      </w:r>
      <w:r>
        <w:rPr>
          <w:rFonts w:ascii="Times New Roman" w:cs="Times New Roman" w:eastAsia="Times New Roman" w:hAnsi="Times New Roman"/>
          <w:sz w:val="18"/>
          <w:szCs w:val="18"/>
          <w:color w:val="auto"/>
        </w:rPr>
        <w:t>” is defined in Section 6.6(b).</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right="20" w:firstLine="749"/>
        <w:spacing w:after="0" w:line="28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Reserve Bank of New York’s Website</w:t>
      </w:r>
      <w:r>
        <w:rPr>
          <w:rFonts w:ascii="Times New Roman" w:cs="Times New Roman" w:eastAsia="Times New Roman" w:hAnsi="Times New Roman"/>
          <w:sz w:val="18"/>
          <w:szCs w:val="18"/>
          <w:color w:val="auto"/>
        </w:rPr>
        <w:t>” means the website of the Federal Reserve Bank of New York at http://www.newyorkfed.org, or any successor source.</w:t>
      </w:r>
    </w:p>
    <w:p>
      <w:pPr>
        <w:spacing w:after="0" w:line="15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Payment</w:t>
      </w:r>
      <w:r>
        <w:rPr>
          <w:rFonts w:ascii="Times New Roman" w:cs="Times New Roman" w:eastAsia="Times New Roman" w:hAnsi="Times New Roman"/>
          <w:sz w:val="18"/>
          <w:szCs w:val="18"/>
          <w:color w:val="auto"/>
        </w:rPr>
        <w:t>” is a payment (in addition to and not a substitution for the regular monthly payments of principal plus accrued interest) due on the earliest to occur of (a) the Maturity Date, or (b) the acceleration of any Term Loan, or (c) the prepayment of a Term Loan pursuant to Section 2.2(c) or (d), equal to the original principal amount of such Term Loan multiplied by the Final Payment Percentage, payable to Lenders in accordance with their respective Pro Rata Shares.</w:t>
      </w:r>
    </w:p>
    <w:p>
      <w:pPr>
        <w:spacing w:after="0" w:line="177"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Payment Percentage</w:t>
      </w:r>
      <w:r>
        <w:rPr>
          <w:rFonts w:ascii="Times New Roman" w:cs="Times New Roman" w:eastAsia="Times New Roman" w:hAnsi="Times New Roman"/>
          <w:sz w:val="18"/>
          <w:szCs w:val="18"/>
          <w:color w:val="auto"/>
        </w:rPr>
        <w:t>” is five percent (5.00%); provided, however, if Borrower achieves the Interest-Only Extension Milestone and the Amortization Date is extended to February 1, 2030 and the Maturity Date is extended to December 1, 2030, then the Final Payment Percentage shall be six and one half of one percent (6.5%).</w:t>
      </w:r>
    </w:p>
    <w:p>
      <w:pPr>
        <w:spacing w:after="0" w:line="171"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means (a) a Subsidiary other than any Domestic Subsidiary and (b) a Domestic Subsidiary substantially all of the assets of which consist of equity interests in, or other securities of or debt obligations owed by, one or more “controlled foreign corporations” within the meaning of Section 957(a) of the Internal Revenue Code (or are treated as consisting of such assets for U.S. federal income tax purposes).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Date</w:t>
      </w:r>
      <w:r>
        <w:rPr>
          <w:rFonts w:ascii="Times New Roman" w:cs="Times New Roman" w:eastAsia="Times New Roman" w:hAnsi="Times New Roman"/>
          <w:sz w:val="18"/>
          <w:szCs w:val="18"/>
          <w:color w:val="auto"/>
        </w:rPr>
        <w:t>” is any date on which a Credit Extension is made to or on account of Borrower which shall be a Business Day.</w:t>
      </w:r>
    </w:p>
    <w:p>
      <w:pPr>
        <w:spacing w:after="0" w:line="22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spacing w:after="0" w:line="17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Intangibles</w:t>
      </w:r>
      <w:r>
        <w:rPr>
          <w:rFonts w:ascii="Times New Roman" w:cs="Times New Roman" w:eastAsia="Times New Roman" w:hAnsi="Times New Roman"/>
          <w:sz w:val="18"/>
          <w:szCs w:val="18"/>
          <w:color w:val="auto"/>
        </w:rPr>
        <w:t>” are all “general intangibles” as defined in the Code in effect on the date hereof with such additions to such term as may hereafter be made,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Faith Deposit</w:t>
      </w:r>
      <w:r>
        <w:rPr>
          <w:rFonts w:ascii="Times New Roman" w:cs="Times New Roman" w:eastAsia="Times New Roman" w:hAnsi="Times New Roman"/>
          <w:sz w:val="18"/>
          <w:szCs w:val="18"/>
          <w:color w:val="auto"/>
        </w:rPr>
        <w:t>” is defined in Section 2.5(e).</w:t>
      </w:r>
    </w:p>
    <w:p>
      <w:pPr>
        <w:spacing w:after="0" w:line="224" w:lineRule="exact"/>
        <w:rPr>
          <w:sz w:val="20"/>
          <w:szCs w:val="20"/>
          <w:color w:val="auto"/>
        </w:rPr>
      </w:pPr>
    </w:p>
    <w:p>
      <w:pPr>
        <w:jc w:val="both"/>
        <w:ind w:firstLine="749"/>
        <w:spacing w:after="0" w:line="28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Approval</w:t>
      </w:r>
      <w:r>
        <w:rPr>
          <w:rFonts w:ascii="Times New Roman" w:cs="Times New Roman" w:eastAsia="Times New Roman" w:hAnsi="Times New Roman"/>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55" w:lineRule="exact"/>
        <w:rPr>
          <w:sz w:val="20"/>
          <w:szCs w:val="20"/>
          <w:color w:val="auto"/>
        </w:rPr>
      </w:pPr>
    </w:p>
    <w:p>
      <w:pPr>
        <w:jc w:val="both"/>
        <w:ind w:firstLine="749"/>
        <w:spacing w:after="0" w:line="23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regulatory organization.</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is any Person providing a Guaranty in favor of Collateral Agent.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70" w:name="page171"/>
    <w:bookmarkEnd w:id="170"/>
    <w:p>
      <w:pPr>
        <w:jc w:val="both"/>
        <w:ind w:firstLine="749"/>
        <w:spacing w:after="0" w:line="28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is any guarantee of all or any part of the Obligations, as the same may from time to time be amended, restated, modified or otherwise supplemented.</w:t>
      </w:r>
    </w:p>
    <w:p>
      <w:pPr>
        <w:spacing w:after="0" w:line="155"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is defined in Section 12.2.</w:t>
      </w:r>
    </w:p>
    <w:p>
      <w:pPr>
        <w:spacing w:after="0" w:line="224"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Insolvent</w:t>
      </w:r>
      <w:r>
        <w:rPr>
          <w:rFonts w:ascii="Times New Roman" w:cs="Times New Roman" w:eastAsia="Times New Roman" w:hAnsi="Times New Roman"/>
          <w:sz w:val="18"/>
          <w:szCs w:val="18"/>
          <w:color w:val="auto"/>
        </w:rPr>
        <w:t>” means not Solvent.</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of Borrower’s or any Subsidiary’s right, title and interest in and to the following:</w:t>
      </w:r>
    </w:p>
    <w:p>
      <w:pPr>
        <w:spacing w:after="0" w:line="228" w:lineRule="exact"/>
        <w:rPr>
          <w:sz w:val="20"/>
          <w:szCs w:val="20"/>
          <w:color w:val="auto"/>
        </w:rPr>
      </w:pPr>
    </w:p>
    <w:p>
      <w:pPr>
        <w:ind w:left="1860" w:hanging="355"/>
        <w:spacing w:after="0"/>
        <w:tabs>
          <w:tab w:leader="none" w:pos="18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Copyrights, Trademarks and Patents;</w:t>
      </w:r>
    </w:p>
    <w:p>
      <w:pPr>
        <w:spacing w:after="0" w:line="183" w:lineRule="exact"/>
        <w:rPr>
          <w:rFonts w:ascii="Times New Roman" w:cs="Times New Roman" w:eastAsia="Times New Roman" w:hAnsi="Times New Roman"/>
          <w:sz w:val="18"/>
          <w:szCs w:val="18"/>
          <w:color w:val="auto"/>
        </w:rPr>
      </w:pPr>
    </w:p>
    <w:p>
      <w:pPr>
        <w:ind w:left="1860" w:hanging="355"/>
        <w:spacing w:after="0" w:line="207" w:lineRule="exact"/>
        <w:tabs>
          <w:tab w:leader="none" w:pos="18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trade secrets and trade secret rights, including, without limitation, any rights to unpatented inventions,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manuals;</w:t>
      </w:r>
    </w:p>
    <w:p>
      <w:pPr>
        <w:spacing w:after="0" w:line="204" w:lineRule="exact"/>
        <w:rPr>
          <w:sz w:val="20"/>
          <w:szCs w:val="20"/>
          <w:color w:val="auto"/>
        </w:rPr>
      </w:pPr>
    </w:p>
    <w:p>
      <w:pPr>
        <w:ind w:left="1860" w:hanging="355"/>
        <w:spacing w:after="0"/>
        <w:tabs>
          <w:tab w:leader="none" w:pos="18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source code;</w:t>
      </w:r>
    </w:p>
    <w:p>
      <w:pPr>
        <w:spacing w:after="0" w:line="224"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design rights which may be available to Borrower;</w:t>
      </w:r>
    </w:p>
    <w:p>
      <w:pPr>
        <w:spacing w:after="0" w:line="223" w:lineRule="exact"/>
        <w:rPr>
          <w:rFonts w:ascii="Times New Roman" w:cs="Times New Roman" w:eastAsia="Times New Roman" w:hAnsi="Times New Roman"/>
          <w:sz w:val="18"/>
          <w:szCs w:val="18"/>
          <w:color w:val="auto"/>
        </w:rPr>
      </w:pPr>
    </w:p>
    <w:p>
      <w:pPr>
        <w:ind w:right="20" w:firstLine="1505"/>
        <w:spacing w:after="0" w:line="281" w:lineRule="auto"/>
        <w:tabs>
          <w:tab w:leader="none" w:pos="185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61"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amendments, renewals and extensions of any of the Copyrights, Trademarks or Patents.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Interest-Only Extension Milestone</w:t>
      </w:r>
      <w:r>
        <w:rPr>
          <w:rFonts w:ascii="Times New Roman" w:cs="Times New Roman" w:eastAsia="Times New Roman" w:hAnsi="Times New Roman"/>
          <w:sz w:val="18"/>
          <w:szCs w:val="18"/>
          <w:color w:val="auto"/>
        </w:rPr>
        <w:t>” means [***].</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Internal Revenue Code</w:t>
      </w:r>
      <w:r>
        <w:rPr>
          <w:rFonts w:ascii="Times New Roman" w:cs="Times New Roman" w:eastAsia="Times New Roman" w:hAnsi="Times New Roman"/>
          <w:sz w:val="18"/>
          <w:szCs w:val="18"/>
          <w:color w:val="auto"/>
        </w:rPr>
        <w:t>” means the U.S. Internal Revenue Code of 1986, as amended.</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U.S. Internal Revenue Service.</w:t>
      </w:r>
    </w:p>
    <w:p>
      <w:pPr>
        <w:spacing w:after="0" w:line="22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177" w:lineRule="exact"/>
        <w:rPr>
          <w:sz w:val="20"/>
          <w:szCs w:val="20"/>
          <w:color w:val="auto"/>
        </w:rPr>
      </w:pPr>
    </w:p>
    <w:p>
      <w:pPr>
        <w:jc w:val="both"/>
        <w:ind w:firstLine="749"/>
        <w:spacing w:after="0" w:line="28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is any beneficial ownership interest by any Person in any other Person (including stock, partnership interest or other securities), and any loan, advance or capital contribution to any other Person.</w:t>
      </w:r>
    </w:p>
    <w:p>
      <w:pPr>
        <w:spacing w:after="0" w:line="155" w:lineRule="exact"/>
        <w:rPr>
          <w:sz w:val="20"/>
          <w:szCs w:val="20"/>
          <w:color w:val="auto"/>
        </w:rPr>
      </w:pPr>
    </w:p>
    <w:p>
      <w:pPr>
        <w:jc w:val="both"/>
        <w:ind w:firstLine="749"/>
        <w:spacing w:after="0" w:line="28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Agreement</w:t>
      </w:r>
      <w:r>
        <w:rPr>
          <w:rFonts w:ascii="Times New Roman" w:cs="Times New Roman" w:eastAsia="Times New Roman" w:hAnsi="Times New Roman"/>
          <w:sz w:val="18"/>
          <w:szCs w:val="18"/>
          <w:color w:val="auto"/>
        </w:rPr>
        <w:t>” is that certain Intellectual Property Security Agreement entered into by and between Borrower and Collateral Agent dated as of the Effective Date, as such may be amended from time to time.</w:t>
      </w:r>
    </w:p>
    <w:p>
      <w:pPr>
        <w:spacing w:after="0" w:line="155" w:lineRule="exact"/>
        <w:rPr>
          <w:sz w:val="20"/>
          <w:szCs w:val="20"/>
          <w:color w:val="auto"/>
        </w:rPr>
      </w:pPr>
    </w:p>
    <w:p>
      <w:pPr>
        <w:jc w:val="both"/>
        <w:ind w:right="20" w:firstLine="749"/>
        <w:spacing w:after="0" w:line="28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Person</w:t>
      </w:r>
      <w:r>
        <w:rPr>
          <w:rFonts w:ascii="Times New Roman" w:cs="Times New Roman" w:eastAsia="Times New Roman" w:hAnsi="Times New Roman"/>
          <w:sz w:val="18"/>
          <w:szCs w:val="18"/>
          <w:color w:val="auto"/>
        </w:rPr>
        <w:t>” is each of Borrower’s (i) Chief Executive Officer, who is Anish Bhatnagar, M.D. as of the Effective Date, and (ii) Chief Financial Officer, who is Jim Mackaness as of the Effective Date.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71" w:name="page172"/>
    <w:bookmarkEnd w:id="171"/>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is any one of the Lenders.</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xml:space="preserve">” are the Persons identified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and each assignee that becomes a party to this Agreement pursuant to Section 12.1.</w:t>
      </w:r>
    </w:p>
    <w:p>
      <w:pPr>
        <w:spacing w:after="0" w:line="22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 Expenses</w:t>
      </w:r>
      <w:r>
        <w:rPr>
          <w:rFonts w:ascii="Times New Roman" w:cs="Times New Roman" w:eastAsia="Times New Roman" w:hAnsi="Times New Roman"/>
          <w:sz w:val="18"/>
          <w:szCs w:val="18"/>
          <w:color w:val="auto"/>
        </w:rPr>
        <w:t>” are all audit fees and expenses, costs, and expenses (including reasonable attorneys’ fees and expenses, as well as appraisal fees, fees incurred on account of lien searches, inspection fees, and filing fees) for preparing, amending, negotiating, administering, defending and enforcing the Loan Documents (including, without limitation, those incurred in connection with appeals or Insolvency Proceedings) or otherwise incurred by Collateral Agent and/or the Lenders in connection with the Loan Documents.</w:t>
      </w:r>
    </w:p>
    <w:p>
      <w:pPr>
        <w:spacing w:after="0" w:line="177" w:lineRule="exact"/>
        <w:rPr>
          <w:sz w:val="20"/>
          <w:szCs w:val="20"/>
          <w:color w:val="auto"/>
        </w:rPr>
      </w:pPr>
    </w:p>
    <w:p>
      <w:pPr>
        <w:jc w:val="both"/>
        <w:ind w:firstLine="749"/>
        <w:spacing w:after="0" w:line="28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5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are, collectively, this Agreement, the Perfection Certificate, each Compliance Certificate, each Disbursement Letter, the Post Closing Letter, the IP Agreement, any subordination agreements, any note, or notes or guaranties executed by Borrower or any other Person pursuant to this Agreement, and any other present or future agreement entered into by Borrower, any Guarantor or any other Person for the benefit of the Lenders and Collateral Agent in connection with this Agreement; all as amended, restated, supplemented or otherwise modified.</w:t>
      </w:r>
    </w:p>
    <w:p>
      <w:pPr>
        <w:spacing w:after="0" w:line="17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Capitalization</w:t>
      </w:r>
      <w:r>
        <w:rPr>
          <w:rFonts w:ascii="Times New Roman" w:cs="Times New Roman" w:eastAsia="Times New Roman" w:hAnsi="Times New Roman"/>
          <w:sz w:val="18"/>
          <w:szCs w:val="18"/>
          <w:color w:val="auto"/>
        </w:rPr>
        <w:t>” means, as of any date of determination, the product of (a) the number of Soleno’s shares of common stock outstanding on such date of determination and (b) the closing price of one share of Soleno’s common stock as quoted on www.nasdaq.com (or other exchange where such shares are listed for trading), or if such page is not available, any other commercially available source providing quotations of such closing price as reasonably selected by Soleno, on such date of determination.</w:t>
      </w:r>
    </w:p>
    <w:p>
      <w:pPr>
        <w:spacing w:after="0" w:line="177"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is (a) a material impairment in the perfection or priority of Collateral Agent’s Lien in the Collateral or in the value of such Collateral; (b) a material adverse change in the business, operations or condition (financial or otherwise) of Borrower (taken as a whole), or Borrower and its Subsidiaries taken as a whole; or (c) a material impairment of the prospect of repayment of any portion of the Obligations.</w:t>
      </w:r>
    </w:p>
    <w:p>
      <w:pPr>
        <w:spacing w:after="0" w:line="171"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is, for each Term Loan, December 1, 2029; provided, however, if Borrower achieves the Interest-Only Extension Milestone as of or after the first anniversary of the Effective Date, then the Amortization Date is extended to February 1, 2030, and the Maturity Date is December 1, 2030.</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Cash Requisite Cash Level</w:t>
      </w:r>
      <w:r>
        <w:rPr>
          <w:rFonts w:ascii="Times New Roman" w:cs="Times New Roman" w:eastAsia="Times New Roman" w:hAnsi="Times New Roman"/>
          <w:sz w:val="18"/>
          <w:szCs w:val="18"/>
          <w:color w:val="auto"/>
        </w:rPr>
        <w:t>” means [***].</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Revenue Requisite Cash Level</w:t>
      </w:r>
      <w:r>
        <w:rPr>
          <w:rFonts w:ascii="Times New Roman" w:cs="Times New Roman" w:eastAsia="Times New Roman" w:hAnsi="Times New Roman"/>
          <w:sz w:val="18"/>
          <w:szCs w:val="18"/>
          <w:color w:val="auto"/>
        </w:rPr>
        <w:t>” means [***].</w:t>
      </w:r>
    </w:p>
    <w:p>
      <w:pPr>
        <w:spacing w:after="0" w:line="22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are all of Borrower’s obligations to pay when due any debts, principal, interest, Lenders’ Expenses, the Prepayment Fee, the Final Payment, and other amounts Borrower owes the Lenders now or later, in connection with, related to, following, or arising from, out of or under, this Agreement or, the other Loan Documents, or otherwise, and including interest accruing after Insolvency Proceedings begin (whether or not allowed) and debts, liabilities, or obligations of Borrower assigned to the Lenders and/or Collateral Agent, and the performance of Borrower’s duties under the Loan Documents.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is the U.S. Department of Treasury Office of Foreign Assets Control.</w:t>
      </w:r>
    </w:p>
    <w:p>
      <w:pPr>
        <w:spacing w:after="0" w:line="224" w:lineRule="exact"/>
        <w:rPr>
          <w:sz w:val="20"/>
          <w:szCs w:val="20"/>
          <w:color w:val="auto"/>
        </w:rPr>
      </w:pPr>
    </w:p>
    <w:p>
      <w:pPr>
        <w:jc w:val="both"/>
        <w:ind w:right="20"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 Lists</w:t>
      </w:r>
      <w:r>
        <w:rPr>
          <w:rFonts w:ascii="Times New Roman" w:cs="Times New Roman" w:eastAsia="Times New Roman" w:hAnsi="Times New Roman"/>
          <w:sz w:val="18"/>
          <w:szCs w:val="18"/>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72" w:name="page173"/>
    <w:bookmarkEnd w:id="172"/>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Documents</w:t>
      </w:r>
      <w:r>
        <w:rPr>
          <w:rFonts w:ascii="Times New Roman" w:cs="Times New Roman" w:eastAsia="Times New Roman" w:hAnsi="Times New Roman"/>
          <w:sz w:val="18"/>
          <w:szCs w:val="18"/>
          <w:color w:val="auto"/>
        </w:rPr>
        <w:t>” are, for any Person, such Person’s formation documents, as certified by the Secretary of State (or equivalent agency) of such Person’s jurisdiction of organization on a date that is no earlier than thirty (30) days prior to the Effective Date in the case of formation documents delivered on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is defined in Section 12.1.</w:t>
      </w:r>
    </w:p>
    <w:p>
      <w:pPr>
        <w:spacing w:after="0" w:line="224" w:lineRule="exact"/>
        <w:rPr>
          <w:sz w:val="20"/>
          <w:szCs w:val="20"/>
          <w:color w:val="auto"/>
        </w:rPr>
      </w:pPr>
    </w:p>
    <w:p>
      <w:pPr>
        <w:jc w:val="both"/>
        <w:ind w:right="20" w:firstLine="749"/>
        <w:spacing w:after="0" w:line="28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all patents, patent applications and like protections including without limitation improvements, divisions, continuations, renewals, reissues, extensions and continuations-in-part of the same.</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is the first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calendar day of each calendar month, commencing on February 1, 2025.</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is defined in Section 5.1.</w:t>
      </w:r>
    </w:p>
    <w:p>
      <w:pPr>
        <w:spacing w:after="0" w:line="22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means an Acquisition through the payment of consideration (including, but not limited to cash, the value of any of Borrower’s capital stock issued or exchanged, and the value of any deferred compensation and/or earn-out obligations), of no more than (i) [***] of cash consideration, plus (ii) the issuance of Borrower’s capital stock so long as the number of shares or the voting power of Borrower’s capital stock issued with respect to any one Person is less than twenty percent (20%) of the total shares or voting power of Borrower’s capital stock outstanding before the issuance; provided that the aforementioned dollar amount and percentage shall apply with respect to any one Acquisition and all Acquisitions in the aggregate from the Effective Date until this Agreement has terminated pursuant to its terms and all Obligations (other than inchoate indemnity and reimbursement obligations and any other obligations which, by their terms, are to survive the termination of this Agreement and any other obligations which, by their terms, are to survive the termination of this Agreement) have been satisfied, and shall be determined as of the date of each such Acquisition and such percentages shall be added together for the determination of the aggregate percentage, in each case to the extent that each of the following conditions shall have been satisfied:</w:t>
      </w:r>
    </w:p>
    <w:p>
      <w:pPr>
        <w:spacing w:after="0" w:line="192" w:lineRule="exact"/>
        <w:rPr>
          <w:sz w:val="20"/>
          <w:szCs w:val="20"/>
          <w:color w:val="auto"/>
        </w:rPr>
      </w:pPr>
    </w:p>
    <w:p>
      <w:pPr>
        <w:ind w:left="1500"/>
        <w:spacing w:after="0"/>
        <w:tabs>
          <w:tab w:leader="none" w:pos="1840" w:val="left"/>
        </w:tabs>
        <w:rPr>
          <w:sz w:val="20"/>
          <w:szCs w:val="20"/>
          <w:color w:val="auto"/>
        </w:rPr>
      </w:pPr>
      <w:r>
        <w:rPr>
          <w:rFonts w:ascii="Times New Roman" w:cs="Times New Roman" w:eastAsia="Times New Roman" w:hAnsi="Times New Roman"/>
          <w:sz w:val="18"/>
          <w:szCs w:val="18"/>
          <w:color w:val="auto"/>
        </w:rPr>
        <w:t>(a)</w:t>
        <w:tab/>
        <w:t>immediately prior to, and after giving effect thereto, no Event of Default shall have occurred and be continuing or would result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therefrom;</w:t>
      </w:r>
    </w:p>
    <w:p>
      <w:pPr>
        <w:spacing w:after="0" w:line="206" w:lineRule="exact"/>
        <w:rPr>
          <w:sz w:val="20"/>
          <w:szCs w:val="20"/>
          <w:color w:val="auto"/>
        </w:rPr>
      </w:pPr>
    </w:p>
    <w:p>
      <w:pPr>
        <w:ind w:left="1860" w:hanging="355"/>
        <w:spacing w:after="0"/>
        <w:tabs>
          <w:tab w:leader="none" w:pos="18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in connection therewith shall be consummated, in all material respects, in accordance with applicable law;</w:t>
      </w:r>
    </w:p>
    <w:p>
      <w:pPr>
        <w:spacing w:after="0" w:line="223" w:lineRule="exact"/>
        <w:rPr>
          <w:rFonts w:ascii="Times New Roman" w:cs="Times New Roman" w:eastAsia="Times New Roman" w:hAnsi="Times New Roman"/>
          <w:sz w:val="18"/>
          <w:szCs w:val="18"/>
          <w:color w:val="auto"/>
        </w:rPr>
      </w:pPr>
    </w:p>
    <w:p>
      <w:pPr>
        <w:ind w:right="20" w:firstLine="1505"/>
        <w:spacing w:after="0" w:line="281" w:lineRule="auto"/>
        <w:tabs>
          <w:tab w:leader="none" w:pos="185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acquired Person or assets shall be in the same line of business as is conducted by Borrower as of the Effective Date (or a line of business reasonably related thereto);</w:t>
      </w:r>
    </w:p>
    <w:p>
      <w:pPr>
        <w:spacing w:after="0" w:line="161" w:lineRule="exact"/>
        <w:rPr>
          <w:rFonts w:ascii="Times New Roman" w:cs="Times New Roman" w:eastAsia="Times New Roman" w:hAnsi="Times New Roman"/>
          <w:sz w:val="18"/>
          <w:szCs w:val="18"/>
          <w:color w:val="auto"/>
        </w:rPr>
      </w:pPr>
    </w:p>
    <w:p>
      <w:pPr>
        <w:ind w:right="20" w:firstLine="1505"/>
        <w:spacing w:after="0" w:line="281" w:lineRule="auto"/>
        <w:tabs>
          <w:tab w:leader="none" w:pos="185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Acquisition shall not cause the focus or locations of Borrower’s and its Subsidiaries’ operations (when taken as a whole) to be located outside of the United States;</w:t>
      </w:r>
    </w:p>
    <w:p>
      <w:pPr>
        <w:spacing w:after="0" w:line="161" w:lineRule="exact"/>
        <w:rPr>
          <w:rFonts w:ascii="Times New Roman" w:cs="Times New Roman" w:eastAsia="Times New Roman" w:hAnsi="Times New Roman"/>
          <w:sz w:val="18"/>
          <w:szCs w:val="18"/>
          <w:color w:val="auto"/>
        </w:rPr>
      </w:pPr>
    </w:p>
    <w:p>
      <w:pPr>
        <w:ind w:right="20" w:firstLine="1505"/>
        <w:spacing w:after="0" w:line="281" w:lineRule="auto"/>
        <w:tabs>
          <w:tab w:leader="none" w:pos="185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purchase or other Acquisition of Shares, all of the Shares acquired or otherwise issued by such Person or any newly formed Subsidiary in connection with such acquisition shall be wholly owned by Borrower or a Subsidiary;</w:t>
      </w:r>
    </w:p>
    <w:p>
      <w:pPr>
        <w:spacing w:after="0" w:line="161" w:lineRule="exact"/>
        <w:rPr>
          <w:rFonts w:ascii="Times New Roman" w:cs="Times New Roman" w:eastAsia="Times New Roman" w:hAnsi="Times New Roman"/>
          <w:sz w:val="18"/>
          <w:szCs w:val="18"/>
          <w:color w:val="auto"/>
        </w:rPr>
      </w:pPr>
    </w:p>
    <w:p>
      <w:pPr>
        <w:ind w:right="20" w:firstLine="1505"/>
        <w:spacing w:after="0" w:line="281" w:lineRule="auto"/>
        <w:tabs>
          <w:tab w:leader="none" w:pos="185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such Acquisition, neither Borrower nor any of its Subsidiaries (including for this purpose, the target of the Acquisition) shall acquire or be subject to any Indebtedness or Liens that are not otherwise permitted hereunder;</w:t>
      </w:r>
    </w:p>
    <w:p>
      <w:pPr>
        <w:spacing w:after="0" w:line="161" w:lineRule="exact"/>
        <w:rPr>
          <w:rFonts w:ascii="Times New Roman" w:cs="Times New Roman" w:eastAsia="Times New Roman" w:hAnsi="Times New Roman"/>
          <w:sz w:val="18"/>
          <w:szCs w:val="18"/>
          <w:color w:val="auto"/>
        </w:rPr>
      </w:pPr>
    </w:p>
    <w:p>
      <w:pPr>
        <w:jc w:val="both"/>
        <w:ind w:firstLine="1505"/>
        <w:spacing w:after="0" w:line="257" w:lineRule="auto"/>
        <w:tabs>
          <w:tab w:leader="none" w:pos="185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have delivered to the Collateral Agent and Lenders at least five (5) Business Days (or such shorter period as may be acceptable to Collateral Agent and Lenders) prior to such proposed Acquisition (i) a copy of the purchase agreement related to the proposed Acquisition (and any related documents reasonably requested by the Collateral Agent and Lenders), (ii) a general description of the acquired assets or acquired business line or unit or division and the competitive position of such business line or unit or division within the industry, (iii) the sources and uses of funds to finance the proposed Acquisition, and (iv) to the extent available, quarterly and annual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73" w:name="page174"/>
    <w:bookmarkEnd w:id="173"/>
    <w:p>
      <w:pPr>
        <w:spacing w:after="0" w:line="281" w:lineRule="auto"/>
        <w:rPr>
          <w:sz w:val="20"/>
          <w:szCs w:val="20"/>
          <w:color w:val="auto"/>
        </w:rPr>
      </w:pPr>
      <w:r>
        <w:rPr>
          <w:rFonts w:ascii="Times New Roman" w:cs="Times New Roman" w:eastAsia="Times New Roman" w:hAnsi="Times New Roman"/>
          <w:sz w:val="18"/>
          <w:szCs w:val="18"/>
          <w:color w:val="auto"/>
        </w:rPr>
        <w:t>audited financial statements of the Person whose Shares or assets are being acquired for the twelve (12) month period immediately prior to such proposed Acquisition;</w:t>
      </w:r>
    </w:p>
    <w:p>
      <w:pPr>
        <w:spacing w:after="0" w:line="162" w:lineRule="exact"/>
        <w:rPr>
          <w:sz w:val="20"/>
          <w:szCs w:val="20"/>
          <w:color w:val="auto"/>
        </w:rPr>
      </w:pPr>
    </w:p>
    <w:p>
      <w:pPr>
        <w:jc w:val="both"/>
        <w:ind w:firstLine="1505"/>
        <w:spacing w:after="0" w:line="265" w:lineRule="auto"/>
        <w:tabs>
          <w:tab w:leader="none" w:pos="185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Agent and the Lenders have received a certificate from a Responsible Officer together with Board approved projections certifying and setting forth in reasonable detail that Borrower has enough cash on hand to pay its projected expenses and all debt service when due for a period of eighteen (18) months after the consummation of such transaction (after giving effect to such transaction); and</w:t>
      </w:r>
    </w:p>
    <w:p>
      <w:pPr>
        <w:spacing w:after="0" w:line="176"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Permitted Acquisition shall be consensual and shall have been approved by the target’s board of directors.</w:t>
      </w:r>
    </w:p>
    <w:p>
      <w:pPr>
        <w:spacing w:after="0" w:line="22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Notwithstanding anything to the contrary contained herein, in order for any Acquisition of Shares or assets of another Person to constitute a Permitted Acquisition, Borrower must comply with all of the following: (a) within thirty (30) days of the closing of such Permitted Acquisition (or such longer period as may be acceptable to Collateral Agent), the applicable Borrower (or Subsidiary) making such Permitted Acquisition and the target shall have executed such documents and taken such actions as may be required under Section 6.12; (b) the applicable Borrower shall have delivered to Collateral Agent and Lenders, in form and substance satisfactory to the Collateral Agent and Lenders and sufficiently in advance (and in any case no later than five (5) Business Days prior to such Permitted Acquisition (or such shorter period as may be acceptable to Collateral Agent and Lenders)), such other financial information, financial analysis, documentation or other information relating to such Permitted Acquisition and the pro forma certifications required by clause (c) below, in each case, as Collateral Agent and Lenders shall reasonably request; (c) on or prior to the date of such Permitted Acquisition, the Collateral Agent and Lenders shall have received, in form and substance reasonably satisfactory to the Collateral Agent and Lenders, a certificate of the chief financial officer of Borrower certifying compliance with the requirements contained in this definition of “Permitted Acquisition” and with the other applicable terms of the Loan Documents (before and after giving effect to such Permitted Acquisition); and (d) Borrower shall provide to the Collateral Agent and Lenders a copy of the executed purchase agreement or similar agreement with respect to any such Acquisition.</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is:</w:t>
      </w:r>
    </w:p>
    <w:p>
      <w:pPr>
        <w:spacing w:after="0" w:line="228" w:lineRule="exact"/>
        <w:rPr>
          <w:sz w:val="20"/>
          <w:szCs w:val="20"/>
          <w:color w:val="auto"/>
        </w:rPr>
      </w:pPr>
    </w:p>
    <w:p>
      <w:pPr>
        <w:ind w:left="1500"/>
        <w:spacing w:after="0"/>
        <w:tabs>
          <w:tab w:leader="none" w:pos="1840" w:val="left"/>
        </w:tabs>
        <w:rPr>
          <w:sz w:val="20"/>
          <w:szCs w:val="20"/>
          <w:color w:val="auto"/>
        </w:rPr>
      </w:pPr>
      <w:r>
        <w:rPr>
          <w:rFonts w:ascii="Times New Roman" w:cs="Times New Roman" w:eastAsia="Times New Roman" w:hAnsi="Times New Roman"/>
          <w:sz w:val="18"/>
          <w:szCs w:val="18"/>
          <w:color w:val="auto"/>
        </w:rPr>
        <w:t>(a)</w:t>
        <w:tab/>
        <w:t>Borrower’s or any Credit Party’s Indebtedness to the Lenders and Collateral Agent under this Agreement and the other Loan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w:t>
      </w:r>
    </w:p>
    <w:p>
      <w:pPr>
        <w:spacing w:after="0" w:line="206" w:lineRule="exact"/>
        <w:rPr>
          <w:sz w:val="20"/>
          <w:szCs w:val="20"/>
          <w:color w:val="auto"/>
        </w:rPr>
      </w:pPr>
    </w:p>
    <w:p>
      <w:pPr>
        <w:ind w:left="1860" w:hanging="355"/>
        <w:spacing w:after="0"/>
        <w:tabs>
          <w:tab w:leader="none" w:pos="18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existing on the Effective Date and disclosed on the Perfection Certificate;</w:t>
      </w:r>
    </w:p>
    <w:p>
      <w:pPr>
        <w:spacing w:after="0" w:line="223"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w:t>
      </w:r>
    </w:p>
    <w:p>
      <w:pPr>
        <w:spacing w:after="0" w:line="223"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to trade creditors incurred in the ordinary course of business;</w:t>
      </w:r>
    </w:p>
    <w:p>
      <w:pPr>
        <w:spacing w:after="0" w:line="223" w:lineRule="exact"/>
        <w:rPr>
          <w:rFonts w:ascii="Times New Roman" w:cs="Times New Roman" w:eastAsia="Times New Roman" w:hAnsi="Times New Roman"/>
          <w:sz w:val="18"/>
          <w:szCs w:val="18"/>
          <w:color w:val="auto"/>
        </w:rPr>
      </w:pPr>
    </w:p>
    <w:p>
      <w:pPr>
        <w:jc w:val="both"/>
        <w:ind w:firstLine="1505"/>
        <w:spacing w:after="0" w:line="256" w:lineRule="auto"/>
        <w:tabs>
          <w:tab w:leader="none" w:pos="185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capitalized lease obligations and purchase money Indebtedness, in each case incurred by Borrower or any of its Subsidiaries to finance the acquisition, repair, improvement or construction of fixed or capital assets of such person, provided that (i) the aggregate outstanding principal amount of all such Indebtedness does not exceed Five Hundred Thousand Dollars ($500,000.00) at any time and (ii) at the time incurred,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183" w:lineRule="exact"/>
        <w:rPr>
          <w:rFonts w:ascii="Times New Roman" w:cs="Times New Roman" w:eastAsia="Times New Roman" w:hAnsi="Times New Roman"/>
          <w:sz w:val="18"/>
          <w:szCs w:val="18"/>
          <w:color w:val="auto"/>
        </w:rPr>
      </w:pPr>
    </w:p>
    <w:p>
      <w:pPr>
        <w:jc w:val="both"/>
        <w:ind w:firstLine="1505"/>
        <w:spacing w:after="0" w:line="265" w:lineRule="auto"/>
        <w:tabs>
          <w:tab w:leader="none" w:pos="185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incurred as a result of endorsing negotiable instruments received in the ordinary course of Borrower’s business and (ii) Indebtedness arising from the honoring by a bank or other financial institution of a check, draft or similar instrument in the ordinary course of business; and</w:t>
      </w:r>
    </w:p>
    <w:p>
      <w:pPr>
        <w:spacing w:after="0" w:line="176" w:lineRule="exact"/>
        <w:rPr>
          <w:rFonts w:ascii="Times New Roman" w:cs="Times New Roman" w:eastAsia="Times New Roman" w:hAnsi="Times New Roman"/>
          <w:sz w:val="18"/>
          <w:szCs w:val="18"/>
          <w:color w:val="auto"/>
        </w:rPr>
      </w:pPr>
    </w:p>
    <w:p>
      <w:pPr>
        <w:jc w:val="both"/>
        <w:ind w:firstLine="1505"/>
        <w:spacing w:after="0" w:line="265" w:lineRule="auto"/>
        <w:tabs>
          <w:tab w:leader="none" w:pos="185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intercompany Indebtedness between or among Credit Parties, (ii) Indebtedness between any Subsidiary that is not a Credit Party and any other Subsidiary that is not a Credit Party, and (iii) Indebtedness of any Subsidiary that is not a Borrower or other Credit Party owing to a Borrower or other Credit Party provided that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74" w:name="page175"/>
    <w:bookmarkEnd w:id="174"/>
    <w:p>
      <w:pPr>
        <w:spacing w:after="0" w:line="281" w:lineRule="auto"/>
        <w:rPr>
          <w:sz w:val="20"/>
          <w:szCs w:val="20"/>
          <w:color w:val="auto"/>
        </w:rPr>
      </w:pPr>
      <w:r>
        <w:rPr>
          <w:rFonts w:ascii="Times New Roman" w:cs="Times New Roman" w:eastAsia="Times New Roman" w:hAnsi="Times New Roman"/>
          <w:sz w:val="18"/>
          <w:szCs w:val="18"/>
          <w:color w:val="auto"/>
        </w:rPr>
        <w:t>the aggregate outstanding amount of Indebtedness of all Subsidiaries pursuant to this clause (iii) does not exceed Five Hundred Thousand Dollars ($500,000.00) at any time;</w:t>
      </w:r>
    </w:p>
    <w:p>
      <w:pPr>
        <w:spacing w:after="0" w:line="162" w:lineRule="exact"/>
        <w:rPr>
          <w:sz w:val="20"/>
          <w:szCs w:val="20"/>
          <w:color w:val="auto"/>
        </w:rPr>
      </w:pPr>
    </w:p>
    <w:p>
      <w:pPr>
        <w:ind w:right="20" w:firstLine="1505"/>
        <w:spacing w:after="0" w:line="281" w:lineRule="auto"/>
        <w:tabs>
          <w:tab w:leader="none" w:pos="185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performance, bid, appeal and surety bonds and performance and completion guarantees and similar obligations, in each case in the ordinary course of business and not to exceed Five Hundred Thousand Dollars ($500,000.00) in the aggregate at any time;</w:t>
      </w:r>
    </w:p>
    <w:p>
      <w:pPr>
        <w:spacing w:after="0" w:line="161" w:lineRule="exact"/>
        <w:rPr>
          <w:rFonts w:ascii="Times New Roman" w:cs="Times New Roman" w:eastAsia="Times New Roman" w:hAnsi="Times New Roman"/>
          <w:sz w:val="18"/>
          <w:szCs w:val="18"/>
          <w:color w:val="auto"/>
        </w:rPr>
      </w:pPr>
    </w:p>
    <w:p>
      <w:pPr>
        <w:ind w:right="20" w:firstLine="1505"/>
        <w:spacing w:after="0" w:line="281" w:lineRule="auto"/>
        <w:tabs>
          <w:tab w:leader="none" w:pos="185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letters of credit, bank guarantees, bankers’ acceptances, warehouse receipts or similar instruments issued or created in the ordinary course of business and not to exceed Five Hundred Thousand Dollars ($500,000.00) in the aggregate at any time;</w:t>
      </w:r>
    </w:p>
    <w:p>
      <w:pPr>
        <w:spacing w:after="0" w:line="161" w:lineRule="exact"/>
        <w:rPr>
          <w:rFonts w:ascii="Times New Roman" w:cs="Times New Roman" w:eastAsia="Times New Roman" w:hAnsi="Times New Roman"/>
          <w:sz w:val="18"/>
          <w:szCs w:val="18"/>
          <w:color w:val="auto"/>
        </w:rPr>
      </w:pPr>
    </w:p>
    <w:p>
      <w:pPr>
        <w:jc w:val="both"/>
        <w:ind w:right="20" w:firstLine="1505"/>
        <w:spacing w:after="0" w:line="265" w:lineRule="auto"/>
        <w:tabs>
          <w:tab w:leader="none" w:pos="185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any cash management services, corporate credit cards, netting services, automatic clearinghouse arrangements, overdraft protections, employee credit card programs and other cash management and similar arrangements in the ordinary course of business and not to exceed One Million Dollars ($1,000,000.00) in the aggregate at any time;</w:t>
      </w:r>
    </w:p>
    <w:p>
      <w:pPr>
        <w:spacing w:after="0" w:line="176" w:lineRule="exact"/>
        <w:rPr>
          <w:rFonts w:ascii="Times New Roman" w:cs="Times New Roman" w:eastAsia="Times New Roman" w:hAnsi="Times New Roman"/>
          <w:sz w:val="18"/>
          <w:szCs w:val="18"/>
          <w:color w:val="auto"/>
        </w:rPr>
      </w:pPr>
    </w:p>
    <w:p>
      <w:pPr>
        <w:ind w:right="20" w:firstLine="1505"/>
        <w:spacing w:after="0" w:line="281" w:lineRule="auto"/>
        <w:tabs>
          <w:tab w:leader="none" w:pos="185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intercompany Indebtedness with respect to cost plus or transfer pricing arrangements for the purchase of goods and services in the ordinary course of business;</w:t>
      </w:r>
    </w:p>
    <w:p>
      <w:pPr>
        <w:spacing w:after="0" w:line="161"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unsecured Indebtedness not to exceed Five Hundred Thousand Dollars ($500,000.00) in the aggregate at any time;</w:t>
      </w:r>
    </w:p>
    <w:p>
      <w:pPr>
        <w:spacing w:after="0" w:line="223" w:lineRule="exact"/>
        <w:rPr>
          <w:rFonts w:ascii="Times New Roman" w:cs="Times New Roman" w:eastAsia="Times New Roman" w:hAnsi="Times New Roman"/>
          <w:sz w:val="18"/>
          <w:szCs w:val="18"/>
          <w:color w:val="auto"/>
        </w:rPr>
      </w:pPr>
    </w:p>
    <w:p>
      <w:pPr>
        <w:jc w:val="both"/>
        <w:ind w:firstLine="1505"/>
        <w:spacing w:after="0" w:line="265" w:lineRule="auto"/>
        <w:tabs>
          <w:tab w:leader="none" w:pos="185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an amount not to exceed Twenty-One Million Two Hundred Fifty Thousand ($21,250,000) to the former Essentialis stockholders upon the achievement of certain future commercial milestones associated with the sales of DCCR in accordance the merger agreement with Essentialis; and</w:t>
      </w:r>
    </w:p>
    <w:p>
      <w:pPr>
        <w:spacing w:after="0" w:line="176" w:lineRule="exact"/>
        <w:rPr>
          <w:rFonts w:ascii="Times New Roman" w:cs="Times New Roman" w:eastAsia="Times New Roman" w:hAnsi="Times New Roman"/>
          <w:sz w:val="18"/>
          <w:szCs w:val="18"/>
          <w:color w:val="auto"/>
        </w:rPr>
      </w:pPr>
    </w:p>
    <w:p>
      <w:pPr>
        <w:jc w:val="both"/>
        <w:ind w:firstLine="1505"/>
        <w:spacing w:after="0" w:line="265" w:lineRule="auto"/>
        <w:tabs>
          <w:tab w:leader="none" w:pos="185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refinancings, modifications, amendments and restatements of any items of Permitted Indebtedness (a) through (l) above, provided that the principal amount thereof is not increased or the terms thereof are not modified to impose materially more burdensome terms upon Borrower, or its Subsidiary, as the case may be.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are:</w:t>
      </w:r>
    </w:p>
    <w:p>
      <w:pPr>
        <w:spacing w:after="0" w:line="228" w:lineRule="exact"/>
        <w:rPr>
          <w:sz w:val="20"/>
          <w:szCs w:val="20"/>
          <w:color w:val="auto"/>
        </w:rPr>
      </w:pPr>
    </w:p>
    <w:p>
      <w:pPr>
        <w:ind w:left="1860" w:hanging="355"/>
        <w:spacing w:after="0"/>
        <w:tabs>
          <w:tab w:leader="none" w:pos="18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disclosed on the Perfection Certificate and existing on the Effective Date;</w:t>
      </w:r>
    </w:p>
    <w:p>
      <w:pPr>
        <w:spacing w:after="0" w:line="223" w:lineRule="exact"/>
        <w:rPr>
          <w:rFonts w:ascii="Times New Roman" w:cs="Times New Roman" w:eastAsia="Times New Roman" w:hAnsi="Times New Roman"/>
          <w:sz w:val="18"/>
          <w:szCs w:val="18"/>
          <w:color w:val="auto"/>
        </w:rPr>
      </w:pPr>
    </w:p>
    <w:p>
      <w:pPr>
        <w:jc w:val="both"/>
        <w:ind w:firstLine="1505"/>
        <w:spacing w:after="0" w:line="260" w:lineRule="auto"/>
        <w:tabs>
          <w:tab w:leader="none" w:pos="185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consisting of cash and Cash Equivalents held in Borrower’s or any Subsidiary’s Collateral Accounts that are maintained in accordance with Section 6.6 of this Agreement, and (ii) any other Investments permitted by Soleno’s investment policy, as amended from time to time, provided that such investment policy (and any such amendment thereto) has been approved in writing by Collateral Agent solely for purposes of this Agreement;</w:t>
      </w:r>
    </w:p>
    <w:p>
      <w:pPr>
        <w:spacing w:after="0" w:line="180" w:lineRule="exact"/>
        <w:rPr>
          <w:rFonts w:ascii="Times New Roman" w:cs="Times New Roman" w:eastAsia="Times New Roman" w:hAnsi="Times New Roman"/>
          <w:sz w:val="18"/>
          <w:szCs w:val="18"/>
          <w:color w:val="auto"/>
        </w:rPr>
      </w:pPr>
    </w:p>
    <w:p>
      <w:pPr>
        <w:ind w:right="40" w:firstLine="1505"/>
        <w:spacing w:after="0" w:line="281" w:lineRule="auto"/>
        <w:tabs>
          <w:tab w:leader="none" w:pos="185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endorsement of negotiable instruments for deposit or collection or similar transactions in the ordinary course of Borrower and its Subsidiaries;</w:t>
      </w:r>
    </w:p>
    <w:p>
      <w:pPr>
        <w:spacing w:after="0" w:line="161"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Collateral Accounts in which Collateral Agent has a perfected security interest to the extent required by</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6.6;</w:t>
      </w:r>
    </w:p>
    <w:p>
      <w:pPr>
        <w:spacing w:after="0" w:line="20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connection with Transfers permitted by Section 7.1;</w:t>
      </w:r>
    </w:p>
    <w:p>
      <w:pPr>
        <w:spacing w:after="0" w:line="223" w:lineRule="exact"/>
        <w:rPr>
          <w:rFonts w:ascii="Times New Roman" w:cs="Times New Roman" w:eastAsia="Times New Roman" w:hAnsi="Times New Roman"/>
          <w:sz w:val="18"/>
          <w:szCs w:val="18"/>
          <w:color w:val="auto"/>
        </w:rPr>
      </w:pPr>
    </w:p>
    <w:p>
      <w:pPr>
        <w:jc w:val="both"/>
        <w:ind w:firstLine="1505"/>
        <w:spacing w:after="0" w:line="260" w:lineRule="auto"/>
        <w:tabs>
          <w:tab w:leader="none" w:pos="185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Five Hundred Thousand Dollars ($500,000.00) in the aggregate for (i) and (ii) in any fiscal year;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75" w:name="page176"/>
    <w:bookmarkEnd w:id="175"/>
    <w:p>
      <w:pPr>
        <w:ind w:right="20" w:firstLine="1505"/>
        <w:spacing w:after="0" w:line="281" w:lineRule="auto"/>
        <w:tabs>
          <w:tab w:leader="none" w:pos="185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61" w:lineRule="exact"/>
        <w:rPr>
          <w:rFonts w:ascii="Times New Roman" w:cs="Times New Roman" w:eastAsia="Times New Roman" w:hAnsi="Times New Roman"/>
          <w:sz w:val="18"/>
          <w:szCs w:val="18"/>
          <w:color w:val="auto"/>
        </w:rPr>
      </w:pPr>
    </w:p>
    <w:p>
      <w:pPr>
        <w:jc w:val="both"/>
        <w:ind w:firstLine="1505"/>
        <w:spacing w:after="0" w:line="265" w:lineRule="auto"/>
        <w:tabs>
          <w:tab w:leader="none" w:pos="185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accounts receivable, notes receivable of, or prepaid royalties and other credit extensions, to customers and suppliers who are not Affiliates, in the ordinary course of business; provided that this paragraph (h) shall not apply to Investments of Borrower in any Subsidiary;</w:t>
      </w:r>
    </w:p>
    <w:p>
      <w:pPr>
        <w:spacing w:after="0" w:line="176" w:lineRule="exact"/>
        <w:rPr>
          <w:rFonts w:ascii="Times New Roman" w:cs="Times New Roman" w:eastAsia="Times New Roman" w:hAnsi="Times New Roman"/>
          <w:sz w:val="18"/>
          <w:szCs w:val="18"/>
          <w:color w:val="auto"/>
        </w:rPr>
      </w:pPr>
    </w:p>
    <w:p>
      <w:pPr>
        <w:ind w:right="40" w:firstLine="1505"/>
        <w:spacing w:after="0" w:line="239" w:lineRule="exact"/>
        <w:tabs>
          <w:tab w:leader="none" w:pos="185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Investments in joint ventures or strategic alliances in the ordinary course of Borrower’s business consisting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licensing of technology, the development of technology or the providing of technical support;</w:t>
      </w:r>
    </w:p>
    <w:p>
      <w:pPr>
        <w:spacing w:after="0" w:line="170" w:lineRule="exact"/>
        <w:rPr>
          <w:rFonts w:ascii="Times New Roman" w:cs="Times New Roman" w:eastAsia="Times New Roman" w:hAnsi="Times New Roman"/>
          <w:sz w:val="18"/>
          <w:szCs w:val="18"/>
          <w:color w:val="auto"/>
        </w:rPr>
      </w:pPr>
    </w:p>
    <w:p>
      <w:pPr>
        <w:jc w:val="both"/>
        <w:ind w:firstLine="1505"/>
        <w:spacing w:after="0" w:line="260" w:lineRule="auto"/>
        <w:tabs>
          <w:tab w:leader="none" w:pos="185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Permitted Investments permitted by clause (g) of the definition of Permitted Indebtedness, (i) Investments by a Credit Party in another Credit Party, (ii) Investments by a Subsidiary that is not a Credit Party in another Subsidiary that is not a Credit Party and (iii) Investments by a Credit Party in any Subsidiary that is not a Credit Party provided that the aggregate amount of Investments by Credit Parties in Subsidiaries that are not a Credit Party pursuant to this clause (iii) shall not exceed One Million Dollars ($1,000,000.00) in the aggregate in any fiscal year;</w:t>
      </w:r>
    </w:p>
    <w:p>
      <w:pPr>
        <w:spacing w:after="0" w:line="180" w:lineRule="exact"/>
        <w:rPr>
          <w:rFonts w:ascii="Times New Roman" w:cs="Times New Roman" w:eastAsia="Times New Roman" w:hAnsi="Times New Roman"/>
          <w:sz w:val="18"/>
          <w:szCs w:val="18"/>
          <w:color w:val="auto"/>
        </w:rPr>
      </w:pPr>
    </w:p>
    <w:p>
      <w:pPr>
        <w:ind w:right="20" w:firstLine="1505"/>
        <w:spacing w:after="0" w:line="281" w:lineRule="auto"/>
        <w:tabs>
          <w:tab w:leader="none" w:pos="185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Investments, intercompany receivables with respect to cost plus or transfer pricing arrangements for the purchase of goods and services in the ordinary course of business permitted by clause (k) of the definition of Permitted Indebtedness;</w:t>
      </w:r>
    </w:p>
    <w:p>
      <w:pPr>
        <w:spacing w:after="0" w:line="161"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Acquisition; and</w:t>
      </w:r>
    </w:p>
    <w:p>
      <w:pPr>
        <w:spacing w:after="0" w:line="224"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not to exceed Five Hundred Thousand Dollars ($500,000.00) in the aggregate in any fiscal year.</w:t>
      </w:r>
    </w:p>
    <w:p>
      <w:pPr>
        <w:spacing w:after="0" w:line="220" w:lineRule="exact"/>
        <w:rPr>
          <w:sz w:val="20"/>
          <w:szCs w:val="20"/>
          <w:color w:val="auto"/>
        </w:rPr>
      </w:pPr>
    </w:p>
    <w:p>
      <w:pPr>
        <w:jc w:val="both"/>
        <w:ind w:firstLine="749"/>
        <w:spacing w:after="0" w:line="21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Licenses</w:t>
      </w:r>
      <w:r>
        <w:rPr>
          <w:rFonts w:ascii="Times New Roman" w:cs="Times New Roman" w:eastAsia="Times New Roman" w:hAnsi="Times New Roman"/>
          <w:sz w:val="18"/>
          <w:szCs w:val="18"/>
          <w:color w:val="auto"/>
        </w:rPr>
        <w:t>” are (A) any commercially available license, any open-source software or any “off the shelf” or “shrink wrap” license, (B) label licenses, (C)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exclusive and exclusive licenses for the use of the Intellectual Property of Borrower or any of its Subsidiaries entered into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each such license described in clause (C), (i) no Event of Default has occurred or is continuing at the time such license is entered into; (ii) the license constitutes an arms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(iii) in the case of any exclusive license, (x) Borrower delivers ten (10) days’ prior written notice and a brief summary of the terms of the proposed license to Collateral Agent and the Lenders and delivers to Collateral Agent and the Lenders copies of the final executed licensing documents in connection with the exclusive license promptly upon consummation thereof, and (y) any such license could not result in a legal transfer of title of the licensed property but may be exclusive in respects other than territory and may be exclusive as to territory only as to discrete geographical areas outside of the United States; and (iv) all upfront payments, royalties, milestone payments or other proceeds arising from the licensing agreement that are payable to Borrower or any of its Subsidiaries are paid to a Deposit Account that is governed by a Control Agreement, and (D) other licenses as may be consented to by the Required Lenders.</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are:</w:t>
      </w:r>
    </w:p>
    <w:p>
      <w:pPr>
        <w:spacing w:after="0" w:line="228" w:lineRule="exact"/>
        <w:rPr>
          <w:sz w:val="20"/>
          <w:szCs w:val="20"/>
          <w:color w:val="auto"/>
        </w:rPr>
      </w:pPr>
    </w:p>
    <w:p>
      <w:pPr>
        <w:ind w:left="1500"/>
        <w:spacing w:after="0"/>
        <w:tabs>
          <w:tab w:leader="none" w:pos="1840" w:val="left"/>
        </w:tabs>
        <w:rPr>
          <w:sz w:val="20"/>
          <w:szCs w:val="20"/>
          <w:color w:val="auto"/>
        </w:rPr>
      </w:pPr>
      <w:r>
        <w:rPr>
          <w:rFonts w:ascii="Times New Roman" w:cs="Times New Roman" w:eastAsia="Times New Roman" w:hAnsi="Times New Roman"/>
          <w:sz w:val="18"/>
          <w:szCs w:val="18"/>
          <w:color w:val="auto"/>
        </w:rPr>
        <w:t>(a)</w:t>
        <w:tab/>
        <w:t>Liens existing on the Effective Date and disclosed on the Perfection Certificate or  arising under this Agreement and the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Documents;</w:t>
      </w:r>
    </w:p>
    <w:p>
      <w:pPr>
        <w:spacing w:after="0" w:line="206" w:lineRule="exact"/>
        <w:rPr>
          <w:sz w:val="20"/>
          <w:szCs w:val="20"/>
          <w:color w:val="auto"/>
        </w:rPr>
      </w:pPr>
    </w:p>
    <w:p>
      <w:pPr>
        <w:jc w:val="both"/>
        <w:ind w:firstLine="1505"/>
        <w:spacing w:after="0" w:line="265" w:lineRule="auto"/>
        <w:tabs>
          <w:tab w:leader="none" w:pos="185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fees, assessments or other government charges or levies, either (i) not due and payable or (ii) being contested in good faith and for which Borrower maintains adequate reserves on its Books, provided that no notice of any such Lien has been filed or recorded under the Internal Revenue Code of 1986, as amended, and the Treasury Regulations adopted thereunder;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76" w:name="page177"/>
    <w:bookmarkEnd w:id="176"/>
    <w:p>
      <w:pPr>
        <w:jc w:val="both"/>
        <w:ind w:firstLine="1505"/>
        <w:spacing w:after="0" w:line="261" w:lineRule="auto"/>
        <w:tabs>
          <w:tab w:leader="none" w:pos="185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under clause (e) of the definition of “ </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provided that (i) such Liens exist prior to the acquisition of, or attach substantially simultaneous with, or within thirty (30) days after the, acquisition, lease, repair, improvement or construction of, such property financed or leased by such Indebtedness and (ii) such Liens do not extend to any property of Borrower or any Subsidiary other than the property (and proceeds thereof) acquired, leased or built, or the improvements or repairs, financed by such Indebtedness;</w:t>
      </w:r>
    </w:p>
    <w:p>
      <w:pPr>
        <w:spacing w:after="0" w:line="181" w:lineRule="exact"/>
        <w:rPr>
          <w:rFonts w:ascii="Times New Roman" w:cs="Times New Roman" w:eastAsia="Times New Roman" w:hAnsi="Times New Roman"/>
          <w:sz w:val="18"/>
          <w:szCs w:val="18"/>
          <w:color w:val="auto"/>
        </w:rPr>
      </w:pPr>
    </w:p>
    <w:p>
      <w:pPr>
        <w:jc w:val="both"/>
        <w:ind w:firstLine="1505"/>
        <w:spacing w:after="0" w:line="257" w:lineRule="auto"/>
        <w:tabs>
          <w:tab w:leader="none" w:pos="185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Five Hundred Thousand Dollars ($500,000.00) (excluding from such cap any location to the extent Collateral Agents is party to a bailee waiver with respect thereto),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44" w:lineRule="exact"/>
        <w:rPr>
          <w:rFonts w:ascii="Times New Roman" w:cs="Times New Roman" w:eastAsia="Times New Roman" w:hAnsi="Times New Roman"/>
          <w:sz w:val="18"/>
          <w:szCs w:val="18"/>
          <w:color w:val="auto"/>
        </w:rPr>
      </w:pPr>
    </w:p>
    <w:p>
      <w:pPr>
        <w:ind w:right="40" w:firstLine="1505"/>
        <w:spacing w:after="0" w:line="245" w:lineRule="exact"/>
        <w:tabs>
          <w:tab w:leader="none" w:pos="185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payment of workers’ compensation, employment insurance, old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age pensions, social security and other like obligations incurred in the ordinary course of business (other than Liens imposed by ERISA);</w:t>
      </w:r>
    </w:p>
    <w:p>
      <w:pPr>
        <w:spacing w:after="0" w:line="197" w:lineRule="exact"/>
        <w:rPr>
          <w:rFonts w:ascii="Times New Roman" w:cs="Times New Roman" w:eastAsia="Times New Roman" w:hAnsi="Times New Roman"/>
          <w:sz w:val="18"/>
          <w:szCs w:val="18"/>
          <w:color w:val="auto"/>
        </w:rPr>
      </w:pPr>
    </w:p>
    <w:p>
      <w:pPr>
        <w:jc w:val="both"/>
        <w:ind w:right="20" w:firstLine="1505"/>
        <w:spacing w:after="0" w:line="265" w:lineRule="auto"/>
        <w:tabs>
          <w:tab w:leader="none" w:pos="185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incurred in the extension, renewal or refinancing of the Indebtedness secured by Liens described in (a) through (c), </w:t>
      </w:r>
      <w:r>
        <w:rPr>
          <w:rFonts w:ascii="Times New Roman" w:cs="Times New Roman" w:eastAsia="Times New Roman" w:hAnsi="Times New Roman"/>
          <w:sz w:val="18"/>
          <w:szCs w:val="18"/>
          <w:u w:val="single" w:color="auto"/>
          <w:color w:val="auto"/>
        </w:rPr>
        <w:t>but</w:t>
      </w:r>
      <w:r>
        <w:rPr>
          <w:rFonts w:ascii="Times New Roman" w:cs="Times New Roman" w:eastAsia="Times New Roman" w:hAnsi="Times New Roman"/>
          <w:sz w:val="18"/>
          <w:szCs w:val="18"/>
          <w:color w:val="auto"/>
        </w:rPr>
        <w:t xml:space="preserve"> any extension, renewal or replacement Lien must be limited to the property encumbered by the existing Lien and the principal amount of the Indebtedness may not increase;</w:t>
      </w:r>
    </w:p>
    <w:p>
      <w:pPr>
        <w:spacing w:after="0" w:line="176" w:lineRule="exact"/>
        <w:rPr>
          <w:rFonts w:ascii="Times New Roman" w:cs="Times New Roman" w:eastAsia="Times New Roman" w:hAnsi="Times New Roman"/>
          <w:sz w:val="18"/>
          <w:szCs w:val="18"/>
          <w:color w:val="auto"/>
        </w:rPr>
      </w:pPr>
    </w:p>
    <w:p>
      <w:pPr>
        <w:jc w:val="both"/>
        <w:ind w:firstLine="1505"/>
        <w:spacing w:after="0" w:line="220" w:lineRule="exact"/>
        <w:tabs>
          <w:tab w:leader="none" w:pos="185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of real property granted in the ordinary course of Borrower’s business (or, if referring to another Person, in the ordinary course of such Person’s business), and leases, subleases,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or any Lender a security interest therein;</w:t>
      </w:r>
    </w:p>
    <w:p>
      <w:pPr>
        <w:spacing w:after="0" w:line="197" w:lineRule="exact"/>
        <w:rPr>
          <w:rFonts w:ascii="Times New Roman" w:cs="Times New Roman" w:eastAsia="Times New Roman" w:hAnsi="Times New Roman"/>
          <w:sz w:val="18"/>
          <w:szCs w:val="18"/>
          <w:color w:val="auto"/>
        </w:rPr>
      </w:pPr>
    </w:p>
    <w:p>
      <w:pPr>
        <w:jc w:val="both"/>
        <w:ind w:firstLine="1505"/>
        <w:spacing w:after="0" w:line="265" w:lineRule="auto"/>
        <w:tabs>
          <w:tab w:leader="none" w:pos="185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banker’s liens, rights of setoff and Liens in favor of financial institutions incurred in the ordinary course of business arising in connection with Borrower’s or any Subsidiary’s deposit accounts or securities accounts held at such institutions solely to secure payment of fees and similar costs and expenses and provided such accounts are maintained in compliance with Section 6.6(b) hereof;</w:t>
      </w:r>
    </w:p>
    <w:p>
      <w:pPr>
        <w:spacing w:after="0" w:line="176"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judgments, decrees or attachments in circumstances not constituting an Event of Default under Section 8.4 or</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w:t>
      </w:r>
    </w:p>
    <w:p>
      <w:pPr>
        <w:spacing w:after="0" w:line="20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Permitted Licenses;</w:t>
      </w:r>
    </w:p>
    <w:p>
      <w:pPr>
        <w:spacing w:after="0" w:line="223" w:lineRule="exact"/>
        <w:rPr>
          <w:rFonts w:ascii="Times New Roman" w:cs="Times New Roman" w:eastAsia="Times New Roman" w:hAnsi="Times New Roman"/>
          <w:sz w:val="18"/>
          <w:szCs w:val="18"/>
          <w:color w:val="auto"/>
        </w:rPr>
      </w:pPr>
    </w:p>
    <w:p>
      <w:pPr>
        <w:jc w:val="both"/>
        <w:ind w:firstLine="1505"/>
        <w:spacing w:after="0" w:line="265" w:lineRule="auto"/>
        <w:tabs>
          <w:tab w:leader="none" w:pos="185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to secure the performance of bids, trade contracts (other than for Indebtedness for borrowed money), leases, statutory obligations, surety and appeal bonds, performance bonds and other obligations of a like nature incurred in the ordinary course of business; provided, however, that the aggregate amount of such deposits does not exceed One Million Dollars ($1,000,000.00) at any time;</w:t>
      </w:r>
    </w:p>
    <w:p>
      <w:pPr>
        <w:spacing w:after="0" w:line="176" w:lineRule="exact"/>
        <w:rPr>
          <w:rFonts w:ascii="Times New Roman" w:cs="Times New Roman" w:eastAsia="Times New Roman" w:hAnsi="Times New Roman"/>
          <w:sz w:val="18"/>
          <w:szCs w:val="18"/>
          <w:color w:val="auto"/>
        </w:rPr>
      </w:pPr>
    </w:p>
    <w:p>
      <w:pPr>
        <w:jc w:val="both"/>
        <w:ind w:firstLine="1505"/>
        <w:spacing w:after="0" w:line="265" w:lineRule="auto"/>
        <w:tabs>
          <w:tab w:leader="none" w:pos="185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zoning restrictions, rights of way, restrictions, minor defects, irregularities in title,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76" w:lineRule="exact"/>
        <w:rPr>
          <w:rFonts w:ascii="Times New Roman" w:cs="Times New Roman" w:eastAsia="Times New Roman" w:hAnsi="Times New Roman"/>
          <w:sz w:val="18"/>
          <w:szCs w:val="18"/>
          <w:color w:val="auto"/>
        </w:rPr>
      </w:pPr>
    </w:p>
    <w:p>
      <w:pPr>
        <w:ind w:right="20" w:firstLine="1505"/>
        <w:spacing w:after="0" w:line="281" w:lineRule="auto"/>
        <w:tabs>
          <w:tab w:leader="none" w:pos="185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161" w:lineRule="exact"/>
        <w:rPr>
          <w:rFonts w:ascii="Times New Roman" w:cs="Times New Roman" w:eastAsia="Times New Roman" w:hAnsi="Times New Roman"/>
          <w:sz w:val="18"/>
          <w:szCs w:val="18"/>
          <w:color w:val="auto"/>
        </w:rPr>
      </w:pPr>
    </w:p>
    <w:p>
      <w:pPr>
        <w:ind w:right="20" w:firstLine="1505"/>
        <w:spacing w:after="0" w:line="281" w:lineRule="auto"/>
        <w:tabs>
          <w:tab w:leader="none" w:pos="185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proceeds securing the payment of financed insurance premiums that are promptly paid on or before the date they become due (provided that such Liens extend only to such insurance proceeds and not to any other property or assets);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77" w:name="page178"/>
    <w:bookmarkEnd w:id="177"/>
    <w:p>
      <w:pPr>
        <w:ind w:left="1860" w:hanging="355"/>
        <w:spacing w:after="0"/>
        <w:tabs>
          <w:tab w:leader="none" w:pos="18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as security for contested taxes or contested import or customs duties; and</w:t>
      </w:r>
    </w:p>
    <w:p>
      <w:pPr>
        <w:spacing w:after="0" w:line="223"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collateral to secure letters of credit permitted under clause (i) of the definition of Permitted Indebtedness.</w:t>
      </w:r>
    </w:p>
    <w:p>
      <w:pPr>
        <w:spacing w:after="0" w:line="220" w:lineRule="exact"/>
        <w:rPr>
          <w:sz w:val="20"/>
          <w:szCs w:val="20"/>
          <w:color w:val="auto"/>
        </w:rPr>
      </w:pPr>
    </w:p>
    <w:p>
      <w:pPr>
        <w:ind w:firstLine="749"/>
        <w:spacing w:after="0" w:line="28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 Closing Letter</w:t>
      </w:r>
      <w:r>
        <w:rPr>
          <w:rFonts w:ascii="Times New Roman" w:cs="Times New Roman" w:eastAsia="Times New Roman" w:hAnsi="Times New Roman"/>
          <w:sz w:val="18"/>
          <w:szCs w:val="18"/>
          <w:color w:val="auto"/>
        </w:rPr>
        <w:t>” is that certain Post Closing Letter dated as of the Effective Date by and between Collateral Agent and Borrower.</w:t>
      </w:r>
    </w:p>
    <w:p>
      <w:pPr>
        <w:spacing w:after="0" w:line="224" w:lineRule="exact"/>
        <w:rPr>
          <w:sz w:val="20"/>
          <w:szCs w:val="20"/>
          <w:color w:val="auto"/>
        </w:rPr>
      </w:pPr>
    </w:p>
    <w:p>
      <w:pPr>
        <w:ind w:firstLine="749"/>
        <w:spacing w:after="0" w:line="28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Fee</w:t>
      </w:r>
      <w:r>
        <w:rPr>
          <w:rFonts w:ascii="Times New Roman" w:cs="Times New Roman" w:eastAsia="Times New Roman" w:hAnsi="Times New Roman"/>
          <w:sz w:val="18"/>
          <w:szCs w:val="18"/>
          <w:color w:val="auto"/>
        </w:rPr>
        <w:t>” is, with respect to any Term Loan subject to prepayment prior to the Maturity Date, whether by mandatory or voluntary prepayment, acceleration or otherwise, an additional fee payable to the Lenders in amount equal to:</w:t>
      </w:r>
    </w:p>
    <w:p>
      <w:pPr>
        <w:spacing w:after="0" w:line="159" w:lineRule="exact"/>
        <w:rPr>
          <w:sz w:val="20"/>
          <w:szCs w:val="20"/>
          <w:color w:val="auto"/>
        </w:rPr>
      </w:pPr>
    </w:p>
    <w:p>
      <w:pPr>
        <w:ind w:right="20" w:firstLine="749"/>
        <w:spacing w:after="0" w:line="281" w:lineRule="auto"/>
        <w:rPr>
          <w:sz w:val="20"/>
          <w:szCs w:val="20"/>
          <w:color w:val="auto"/>
        </w:rPr>
      </w:pPr>
      <w:r>
        <w:rPr>
          <w:rFonts w:ascii="Times New Roman" w:cs="Times New Roman" w:eastAsia="Times New Roman" w:hAnsi="Times New Roman"/>
          <w:sz w:val="18"/>
          <w:szCs w:val="18"/>
          <w:color w:val="auto"/>
        </w:rPr>
        <w:t>for a prepayment made on or after the Funding Date of such Term Loan through and including the first anniversary of the Funding Date of such Term Loan, [***] of the principal amount of such Term Loan prepaid;</w:t>
      </w:r>
    </w:p>
    <w:p>
      <w:pPr>
        <w:spacing w:after="0" w:line="162" w:lineRule="exact"/>
        <w:rPr>
          <w:sz w:val="20"/>
          <w:szCs w:val="20"/>
          <w:color w:val="auto"/>
        </w:rPr>
      </w:pPr>
    </w:p>
    <w:p>
      <w:pPr>
        <w:ind w:right="40" w:firstLine="2254"/>
        <w:spacing w:after="0" w:line="281" w:lineRule="auto"/>
        <w:tabs>
          <w:tab w:leader="none" w:pos="260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prepayment made after the date which is after the first anniversary of the Funding Date of such Term Loan through and including the second anniversary of the Funding Date of such Term Loan, [***] of the principal amount of the Term Loans prepaid; and</w:t>
      </w:r>
    </w:p>
    <w:p>
      <w:pPr>
        <w:spacing w:after="0" w:line="161" w:lineRule="exact"/>
        <w:rPr>
          <w:rFonts w:ascii="Times New Roman" w:cs="Times New Roman" w:eastAsia="Times New Roman" w:hAnsi="Times New Roman"/>
          <w:sz w:val="18"/>
          <w:szCs w:val="18"/>
          <w:color w:val="auto"/>
        </w:rPr>
      </w:pPr>
    </w:p>
    <w:p>
      <w:pPr>
        <w:ind w:right="20" w:firstLine="2254"/>
        <w:spacing w:after="0" w:line="281" w:lineRule="auto"/>
        <w:tabs>
          <w:tab w:leader="none" w:pos="260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prepayment made after the second anniversary of the Funding Date of such Term Loan and prior to the Maturity Date, no Prepayment Fee shall be applicable.</w:t>
      </w:r>
    </w:p>
    <w:p>
      <w:pPr>
        <w:spacing w:after="0" w:line="158"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is, as of any date of determination, with respect to each Lender, a percentage (expressed as a decimal, rounded to the ninth decimal place) determined by dividing the outstanding principal amount of Term Loans held by such Lender by the aggregate outstanding principal amount of all Term Loans.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Organization</w:t>
      </w:r>
      <w:r>
        <w:rPr>
          <w:rFonts w:ascii="Times New Roman" w:cs="Times New Roman" w:eastAsia="Times New Roman" w:hAnsi="Times New Roman"/>
          <w:sz w:val="18"/>
          <w:szCs w:val="18"/>
          <w:color w:val="auto"/>
        </w:rPr>
        <w:t>” is any “registered organization” as defined in the Code with such additions to such term as may hereafter be made.</w:t>
      </w:r>
    </w:p>
    <w:p>
      <w:pPr>
        <w:spacing w:after="0" w:line="22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means (i) for so long as all of the Persons that are Lenders on the Effective Date (each an “</w:t>
      </w:r>
      <w:r>
        <w:rPr>
          <w:rFonts w:ascii="Times New Roman" w:cs="Times New Roman" w:eastAsia="Times New Roman" w:hAnsi="Times New Roman"/>
          <w:sz w:val="18"/>
          <w:szCs w:val="18"/>
          <w:b w:val="1"/>
          <w:bCs w:val="1"/>
          <w:color w:val="auto"/>
        </w:rPr>
        <w:t>Original Lender</w:t>
      </w:r>
      <w:r>
        <w:rPr>
          <w:rFonts w:ascii="Times New Roman" w:cs="Times New Roman" w:eastAsia="Times New Roman" w:hAnsi="Times New Roman"/>
          <w:sz w:val="18"/>
          <w:szCs w:val="18"/>
          <w:color w:val="auto"/>
        </w:rPr>
        <w:t>”) have not assigned or transferred any of their interests in their Term Loan, Lenders holding one hundred percent (100%) of the aggregate outstanding principal balance of the Term Loan, or (ii) at any time from and after any Original Lender has assigned or transferred any interest in its Term Loan, Lenders holding at least sixty six percent (66%) of the aggregate outstanding principal balance of the Term Loan and, in respect of this clause (ii), (A) each Original Lender that has not assigned or transferred any portion of its Term Loan, (B) each assignee or transferee of an Original Lender’s interest in the Term Loan, but only to the extent that such assignee or transferee is an Affiliate or Approved Fund of such Original Lender, and (C) any Person providing financing to any Person described in clauses (A) and (B) above; provided, however, that this clause (C) shall only apply upon the occurrence of a default, event of default or similar occurrence with respect to such financing.</w:t>
      </w:r>
    </w:p>
    <w:p>
      <w:pPr>
        <w:spacing w:after="0" w:line="187"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 of Law</w:t>
      </w:r>
      <w:r>
        <w:rPr>
          <w:rFonts w:ascii="Times New Roman" w:cs="Times New Roman" w:eastAsia="Times New Roman" w:hAnsi="Times New Roman"/>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is any of the President, Chief Executive Officer, or Chief Financial Officer of Borrower acting alone.</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Revenue Covenant Trigger Date</w:t>
      </w:r>
      <w:r>
        <w:rPr>
          <w:rFonts w:ascii="Times New Roman" w:cs="Times New Roman" w:eastAsia="Times New Roman" w:hAnsi="Times New Roman"/>
          <w:sz w:val="18"/>
          <w:szCs w:val="18"/>
          <w:color w:val="auto"/>
        </w:rPr>
        <w:t>” means [***].</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Promissory Note</w:t>
      </w:r>
      <w:r>
        <w:rPr>
          <w:rFonts w:ascii="Times New Roman" w:cs="Times New Roman" w:eastAsia="Times New Roman" w:hAnsi="Times New Roman"/>
          <w:sz w:val="18"/>
          <w:szCs w:val="18"/>
          <w:color w:val="auto"/>
        </w:rPr>
        <w:t>” is defined in Section 2.4.</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78" w:name="page179"/>
    <w:bookmarkEnd w:id="178"/>
    <w:p>
      <w:pPr>
        <w:jc w:val="both"/>
        <w:ind w:firstLine="749"/>
        <w:spacing w:after="0" w:line="28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Promissory Note Record</w:t>
      </w:r>
      <w:r>
        <w:rPr>
          <w:rFonts w:ascii="Times New Roman" w:cs="Times New Roman" w:eastAsia="Times New Roman" w:hAnsi="Times New Roman"/>
          <w:sz w:val="18"/>
          <w:szCs w:val="18"/>
          <w:color w:val="auto"/>
        </w:rPr>
        <w:t>” is a record maintained by each Lender with respect to the outstanding Obligations owed by Borrower to Lender and credits made thereto.</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Account</w:t>
      </w:r>
      <w:r>
        <w:rPr>
          <w:rFonts w:ascii="Times New Roman" w:cs="Times New Roman" w:eastAsia="Times New Roman" w:hAnsi="Times New Roman"/>
          <w:sz w:val="18"/>
          <w:szCs w:val="18"/>
          <w:color w:val="auto"/>
        </w:rPr>
        <w:t>” is any “securities account” as defined in the Code with such additions to such term as may hereafter be made.</w:t>
      </w:r>
    </w:p>
    <w:p>
      <w:pPr>
        <w:spacing w:after="0" w:line="224" w:lineRule="exact"/>
        <w:rPr>
          <w:sz w:val="20"/>
          <w:szCs w:val="20"/>
          <w:color w:val="auto"/>
        </w:rPr>
      </w:pPr>
    </w:p>
    <w:p>
      <w:pPr>
        <w:jc w:val="both"/>
        <w:ind w:firstLine="749"/>
        <w:spacing w:after="0" w:line="220"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 one hundred percent (100%) of the issued and outstanding capital stock, membership units or other securities owned or held of record by Borrower or any other Credit Party , in any Subsidiary; provided that, in the event Borrower, demonstrates to Collateral Agent’s reasonable satisfaction, that a pledge of more than sixty five percent (65%) of the Shares of any such Subsidiary which is a Foreign Subsidiary, creates a present and existing adverse tax consequence to Borrower or its Subsidiaries under the U.S. Internal Revenue Code, “Shares” shall mean sixty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five percent (65%) of the issued and outstanding capital stock, membership units or other securities owned or held of record by Borrower or any other Credit Party in such Foreign Subsidiary.</w:t>
      </w:r>
    </w:p>
    <w:p>
      <w:pPr>
        <w:spacing w:after="0" w:line="194"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w:t>
      </w:r>
    </w:p>
    <w:p>
      <w:pPr>
        <w:spacing w:after="0" w:line="17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is indebtedness incurred by Borrower or any of its Subsidiaries subordinated in writin to all Indebtedness of Borrower and/or its Subsidiaries to the Lenders (pursuant to a subordination, intercreditor, or other similar agreement in form and substance satisfactory to Collateral Agent and the Lenders entered into between Collateral Agent, Borrower, and/or any of its Subsidiaries, and the other creditor), on terms acceptable to Collateral Agent and the Lenders.</w:t>
      </w:r>
    </w:p>
    <w:p>
      <w:pPr>
        <w:spacing w:after="0" w:line="177" w:lineRule="exact"/>
        <w:rPr>
          <w:sz w:val="20"/>
          <w:szCs w:val="20"/>
          <w:color w:val="auto"/>
        </w:rPr>
      </w:pPr>
    </w:p>
    <w:p>
      <w:pPr>
        <w:jc w:val="both"/>
        <w:ind w:firstLine="749"/>
        <w:spacing w:after="0" w:line="28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is defined in Section 2.2(a)(v) hereof.</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A Loan</w:t>
      </w:r>
      <w:r>
        <w:rPr>
          <w:rFonts w:ascii="Times New Roman" w:cs="Times New Roman" w:eastAsia="Times New Roman" w:hAnsi="Times New Roman"/>
          <w:sz w:val="18"/>
          <w:szCs w:val="18"/>
          <w:color w:val="auto"/>
        </w:rPr>
        <w:t>” is defined in Section 2.2(a)(i) hereof.</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B Loan</w:t>
      </w:r>
      <w:r>
        <w:rPr>
          <w:rFonts w:ascii="Times New Roman" w:cs="Times New Roman" w:eastAsia="Times New Roman" w:hAnsi="Times New Roman"/>
          <w:sz w:val="18"/>
          <w:szCs w:val="18"/>
          <w:color w:val="auto"/>
        </w:rPr>
        <w:t>” is defined in Section 2.2(a)(ii) hereof.</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 B Draw Period</w:t>
      </w:r>
      <w:r>
        <w:rPr>
          <w:rFonts w:ascii="Times New Roman" w:cs="Times New Roman" w:eastAsia="Times New Roman" w:hAnsi="Times New Roman"/>
          <w:sz w:val="17"/>
          <w:szCs w:val="17"/>
          <w:color w:val="auto"/>
        </w:rPr>
        <w:t>” is the period commencing on the date of the occurrence of [***] and ending on the earlier of (i) September 30, 2025 and</w:t>
      </w:r>
    </w:p>
    <w:p>
      <w:pPr>
        <w:spacing w:after="0" w:line="42" w:lineRule="exact"/>
        <w:rPr>
          <w:sz w:val="20"/>
          <w:szCs w:val="20"/>
          <w:color w:val="auto"/>
        </w:rPr>
      </w:pPr>
    </w:p>
    <w:p>
      <w:pPr>
        <w:ind w:firstLine="8"/>
        <w:spacing w:after="0" w:line="259" w:lineRule="auto"/>
        <w:tabs>
          <w:tab w:leader="none" w:pos="26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Event of Default; provided, however, that the Term B Draw Period shall not commence if on the date of the occurrence of [***] an Event of Default has occurred and is continuing.</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 Loan</w:t>
      </w:r>
      <w:r>
        <w:rPr>
          <w:rFonts w:ascii="Times New Roman" w:cs="Times New Roman" w:eastAsia="Times New Roman" w:hAnsi="Times New Roman"/>
          <w:sz w:val="18"/>
          <w:szCs w:val="18"/>
          <w:color w:val="auto"/>
        </w:rPr>
        <w:t>” is defined in Section 2.2(a)(iii) hereof.</w:t>
      </w:r>
    </w:p>
    <w:p>
      <w:pPr>
        <w:spacing w:after="0" w:line="224"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 Draw Period</w:t>
      </w:r>
      <w:r>
        <w:rPr>
          <w:rFonts w:ascii="Times New Roman" w:cs="Times New Roman" w:eastAsia="Times New Roman" w:hAnsi="Times New Roman"/>
          <w:sz w:val="18"/>
          <w:szCs w:val="18"/>
          <w:color w:val="auto"/>
        </w:rPr>
        <w:t>” is the period commencing on the later of (i) date of the occurrence of [***] and (ii) October 1, 2025, and ending on the earlier of (i) September 30, 2026 and (ii) the occurrence of an Event of Default; provided, however, that the Term C Draw Period shall not commence if on the date of the occurrence of [***] an Event of Default has occurred and is continuing.</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D Loan</w:t>
      </w:r>
      <w:r>
        <w:rPr>
          <w:rFonts w:ascii="Times New Roman" w:cs="Times New Roman" w:eastAsia="Times New Roman" w:hAnsi="Times New Roman"/>
          <w:sz w:val="18"/>
          <w:szCs w:val="18"/>
          <w:color w:val="auto"/>
        </w:rPr>
        <w:t>” is defined in Section 2.2(a)(iv) hereof.</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 D Draw Period</w:t>
      </w:r>
      <w:r>
        <w:rPr>
          <w:rFonts w:ascii="Times New Roman" w:cs="Times New Roman" w:eastAsia="Times New Roman" w:hAnsi="Times New Roman"/>
          <w:sz w:val="17"/>
          <w:szCs w:val="17"/>
          <w:color w:val="auto"/>
        </w:rPr>
        <w:t>” is the period commencing on the date of the occurrence of [***] and ending on the earlier of (i) September 30, 2026 and</w:t>
      </w:r>
    </w:p>
    <w:p>
      <w:pPr>
        <w:spacing w:after="0" w:line="42" w:lineRule="exact"/>
        <w:rPr>
          <w:sz w:val="20"/>
          <w:szCs w:val="20"/>
          <w:color w:val="auto"/>
        </w:rPr>
      </w:pPr>
    </w:p>
    <w:p>
      <w:pPr>
        <w:ind w:right="20" w:firstLine="8"/>
        <w:spacing w:after="0" w:line="259" w:lineRule="auto"/>
        <w:tabs>
          <w:tab w:leader="none" w:pos="26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Event of Default; provided, however, that the Term D Draw Period shall not commence if on the date of the occurrence of [***] an Event of Default has occurred and is continuing.</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E Loan</w:t>
      </w:r>
      <w:r>
        <w:rPr>
          <w:rFonts w:ascii="Times New Roman" w:cs="Times New Roman" w:eastAsia="Times New Roman" w:hAnsi="Times New Roman"/>
          <w:sz w:val="18"/>
          <w:szCs w:val="18"/>
          <w:color w:val="auto"/>
        </w:rPr>
        <w:t>” is defined in Section 2.2(a)(v) hereof.</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79" w:name="page180"/>
    <w:bookmarkEnd w:id="179"/>
    <w:p>
      <w:pPr>
        <w:ind w:firstLine="749"/>
        <w:spacing w:after="0" w:line="28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Commitment</w:t>
      </w:r>
      <w:r>
        <w:rPr>
          <w:rFonts w:ascii="Times New Roman" w:cs="Times New Roman" w:eastAsia="Times New Roman" w:hAnsi="Times New Roman"/>
          <w:sz w:val="18"/>
          <w:szCs w:val="18"/>
          <w:color w:val="auto"/>
        </w:rPr>
        <w:t xml:space="preserve">” is, for any Lender, the obligation of such Lender to make a Term Loan, up to the principal amount shown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 Loan Commitments</w:t>
      </w:r>
      <w:r>
        <w:rPr>
          <w:rFonts w:ascii="Times New Roman" w:cs="Times New Roman" w:eastAsia="Times New Roman" w:hAnsi="Times New Roman"/>
          <w:sz w:val="18"/>
          <w:szCs w:val="18"/>
          <w:color w:val="auto"/>
        </w:rPr>
        <w:t>” means the aggregate amount of such commitments of all Lenders.</w:t>
      </w:r>
    </w:p>
    <w:p>
      <w:pPr>
        <w:spacing w:after="0" w:line="155" w:lineRule="exact"/>
        <w:rPr>
          <w:sz w:val="20"/>
          <w:szCs w:val="20"/>
          <w:color w:val="auto"/>
        </w:rPr>
      </w:pPr>
    </w:p>
    <w:p>
      <w:pPr>
        <w:ind w:firstLine="749"/>
        <w:spacing w:after="0" w:line="28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is defined in Section 7.1.</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Tax Indemnity Amount</w:t>
      </w:r>
      <w:r>
        <w:rPr>
          <w:rFonts w:ascii="Times New Roman" w:cs="Times New Roman" w:eastAsia="Times New Roman" w:hAnsi="Times New Roman"/>
          <w:sz w:val="18"/>
          <w:szCs w:val="18"/>
          <w:color w:val="auto"/>
        </w:rPr>
        <w:t>” is defined in Section 2.6 hereof.</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Balance of Page Intentionally Left Blank</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835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80" w:name="page181"/>
    <w:bookmarkEnd w:id="180"/>
    <w:p>
      <w:pPr>
        <w:ind w:left="7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executed as of the Effective Date.</w:t>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SOLENO THERAPEUTICS, INC.</w:t>
      </w: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Mackaness</w:t>
            </w:r>
          </w:p>
        </w:tc>
      </w:tr>
      <w:tr>
        <w:trPr>
          <w:trHeight w:val="2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James Mackaness</w:t>
            </w:r>
          </w:p>
        </w:tc>
      </w:tr>
      <w:tr>
        <w:trPr>
          <w:trHeight w:val="22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ESSENTIALIS, INC.</w:t>
      </w: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Mackaness</w:t>
            </w:r>
          </w:p>
        </w:tc>
      </w:tr>
      <w:tr>
        <w:trPr>
          <w:trHeight w:val="2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Mackaness</w:t>
            </w:r>
          </w:p>
        </w:tc>
      </w:tr>
      <w:tr>
        <w:trPr>
          <w:trHeight w:val="27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2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to Loan and Security Agreement</w:t>
      </w:r>
      <w:r>
        <w:rPr>
          <w:rFonts w:ascii="Times New Roman" w:cs="Times New Roman" w:eastAsia="Times New Roman" w:hAnsi="Times New Roman"/>
          <w:sz w:val="18"/>
          <w:szCs w:val="18"/>
          <w:b w:val="1"/>
          <w:bCs w:val="1"/>
          <w:color w:val="auto"/>
        </w:rPr>
        <w: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83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410" w:right="1440" w:bottom="1440" w:gutter="0" w:footer="0" w:header="0"/>
        </w:sectPr>
      </w:pPr>
    </w:p>
    <w:bookmarkStart w:id="181" w:name="page182"/>
    <w:bookmarkEnd w:id="181"/>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COLLATERAL AGENT AND LENDER:</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OXFORD FINANCE LLC</w:t>
      </w:r>
    </w:p>
    <w:p>
      <w:pPr>
        <w:spacing w:after="0" w:line="224"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Colette H. Featherly</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Colette H. Featherly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-127635</wp:posOffset>
            </wp:positionV>
            <wp:extent cx="325818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8">
                      <a:extLst>
                        <a:ext uri="{28A0092B-C50C-407E-A947-70E740481C1C}"/>
                      </a:extLst>
                    </a:blip>
                    <a:srcRect/>
                    <a:stretch>
                      <a:fillRect/>
                    </a:stretch>
                  </pic:blipFill>
                  <pic:spPr bwMode="auto">
                    <a:xfrm>
                      <a:off x="0" y="0"/>
                      <a:ext cx="325818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Its: Senior Vice President</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LENDERS:</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OXFORD FINANCE CREDIT FUND II 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Oxford Finance Advisors, LLC, its manager</w:t>
      </w: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Colette H. Featherly</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Colette H. Featherly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-127635</wp:posOffset>
            </wp:positionV>
            <wp:extent cx="325818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9">
                      <a:extLst>
                        <a:ext uri="{28A0092B-C50C-407E-A947-70E740481C1C}"/>
                      </a:extLst>
                    </a:blip>
                    <a:srcRect/>
                    <a:stretch>
                      <a:fillRect/>
                    </a:stretch>
                  </pic:blipFill>
                  <pic:spPr bwMode="auto">
                    <a:xfrm>
                      <a:off x="0" y="0"/>
                      <a:ext cx="325818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Its: Senior Vice President</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OXFORD FINANCE CREDIT FUND III 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Oxford Finance Advisors, LLC, its manager</w:t>
      </w: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Colette H. Featherly</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Colette H. Featherly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-127635</wp:posOffset>
            </wp:positionV>
            <wp:extent cx="325818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0">
                      <a:extLst>
                        <a:ext uri="{28A0092B-C50C-407E-A947-70E740481C1C}"/>
                      </a:extLst>
                    </a:blip>
                    <a:srcRect/>
                    <a:stretch>
                      <a:fillRect/>
                    </a:stretch>
                  </pic:blipFill>
                  <pic:spPr bwMode="auto">
                    <a:xfrm>
                      <a:off x="0" y="0"/>
                      <a:ext cx="325818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Its: Senior Vice President</w:t>
      </w:r>
    </w:p>
    <w:p>
      <w:pPr>
        <w:spacing w:after="0" w:line="336" w:lineRule="exact"/>
        <w:rPr>
          <w:sz w:val="20"/>
          <w:szCs w:val="20"/>
          <w:color w:val="auto"/>
        </w:rPr>
      </w:pPr>
    </w:p>
    <w:p>
      <w:pPr>
        <w:jc w:val="right"/>
        <w:ind w:right="265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to Loan and Security Agreement</w:t>
      </w:r>
      <w:r>
        <w:rPr>
          <w:rFonts w:ascii="Times New Roman" w:cs="Times New Roman" w:eastAsia="Times New Roman" w:hAnsi="Times New Roman"/>
          <w:sz w:val="18"/>
          <w:szCs w:val="18"/>
          <w:b w:val="1"/>
          <w:bCs w:val="1"/>
          <w:color w:val="auto"/>
        </w:rPr>
        <w: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83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SCHEDULE 1.1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Lenders and Commitments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A Loans</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Lender</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Loan Commitment</w:t>
            </w:r>
          </w:p>
        </w:tc>
        <w:tc>
          <w:tcPr>
            <w:tcW w:w="3720" w:type="dxa"/>
            <w:vAlign w:val="bottom"/>
            <w:tcBorders>
              <w:top w:val="single" w:sz="8" w:color="auto"/>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Commitment Percentage</w:t>
            </w:r>
          </w:p>
        </w:tc>
      </w:tr>
      <w:tr>
        <w:trPr>
          <w:trHeight w:val="227"/>
        </w:trPr>
        <w:tc>
          <w:tcPr>
            <w:tcW w:w="3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OXFORD FINANCE LLC</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$35,000,000.00</w:t>
            </w:r>
          </w:p>
        </w:tc>
        <w:tc>
          <w:tcPr>
            <w:tcW w:w="3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70.00%</w:t>
            </w:r>
          </w:p>
        </w:tc>
      </w:tr>
      <w:tr>
        <w:trPr>
          <w:trHeight w:val="22"/>
        </w:trPr>
        <w:tc>
          <w:tcPr>
            <w:tcW w:w="3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OXFORD FINANCE CREDIT FUND II LP</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$7,500,000.00</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15.00%</w:t>
            </w:r>
          </w:p>
        </w:tc>
      </w:tr>
      <w:tr>
        <w:trPr>
          <w:trHeight w:val="209"/>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OXFORD FINANCE CREDIT FUND III LP</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$7,500,000.00</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15.00%</w:t>
            </w:r>
          </w:p>
        </w:tc>
      </w:tr>
      <w:tr>
        <w:trPr>
          <w:trHeight w:val="209"/>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$50,000,000.00</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100.00%</w:t>
            </w:r>
          </w:p>
        </w:tc>
      </w:tr>
      <w:tr>
        <w:trPr>
          <w:trHeight w:val="424"/>
        </w:trPr>
        <w:tc>
          <w:tcPr>
            <w:tcW w:w="37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B Loans</w:t>
            </w:r>
          </w:p>
        </w:tc>
        <w:tc>
          <w:tcPr>
            <w:tcW w:w="3720" w:type="dxa"/>
            <w:vAlign w:val="bottom"/>
            <w:tcBorders>
              <w:bottom w:val="single" w:sz="8" w:color="auto"/>
            </w:tcBorders>
          </w:tcPr>
          <w:p>
            <w:pPr>
              <w:spacing w:after="0"/>
              <w:rPr>
                <w:sz w:val="24"/>
                <w:szCs w:val="24"/>
                <w:color w:val="auto"/>
              </w:rPr>
            </w:pPr>
          </w:p>
        </w:tc>
      </w:tr>
      <w:tr>
        <w:trPr>
          <w:trHeight w:val="209"/>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Lender</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Loan Commitment</w:t>
            </w:r>
          </w:p>
        </w:tc>
        <w:tc>
          <w:tcPr>
            <w:tcW w:w="3720" w:type="dxa"/>
            <w:vAlign w:val="bottom"/>
            <w:tcBorders>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Commitment Percentage</w:t>
            </w:r>
          </w:p>
        </w:tc>
      </w:tr>
      <w:tr>
        <w:trPr>
          <w:trHeight w:val="209"/>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OXFORD FINANCE LLC</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$50,000,000.00</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r>
      <w:tr>
        <w:trPr>
          <w:trHeight w:val="209"/>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$50,000,000.00</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100.00%</w:t>
            </w:r>
          </w:p>
        </w:tc>
      </w:tr>
      <w:tr>
        <w:trPr>
          <w:trHeight w:val="441"/>
        </w:trPr>
        <w:tc>
          <w:tcPr>
            <w:tcW w:w="37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C Loans</w:t>
            </w:r>
          </w:p>
        </w:tc>
        <w:tc>
          <w:tcPr>
            <w:tcW w:w="3720" w:type="dxa"/>
            <w:vAlign w:val="bottom"/>
            <w:tcBorders>
              <w:bottom w:val="single" w:sz="8" w:color="auto"/>
            </w:tcBorders>
          </w:tcPr>
          <w:p>
            <w:pPr>
              <w:spacing w:after="0"/>
              <w:rPr>
                <w:sz w:val="24"/>
                <w:szCs w:val="24"/>
                <w:color w:val="auto"/>
              </w:rPr>
            </w:pPr>
          </w:p>
        </w:tc>
      </w:tr>
      <w:tr>
        <w:trPr>
          <w:trHeight w:val="209"/>
        </w:trPr>
        <w:tc>
          <w:tcPr>
            <w:tcW w:w="378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Lender</w:t>
            </w:r>
          </w:p>
        </w:tc>
        <w:tc>
          <w:tcPr>
            <w:tcW w:w="374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Term Loan Commitment</w:t>
            </w:r>
          </w:p>
        </w:tc>
        <w:tc>
          <w:tcPr>
            <w:tcW w:w="3720" w:type="dxa"/>
            <w:vAlign w:val="bottom"/>
            <w:tcBorders>
              <w:bottom w:val="single" w:sz="8" w:color="auto"/>
              <w:right w:val="single" w:sz="8" w:color="auto"/>
            </w:tcBorders>
          </w:tcPr>
          <w:p>
            <w:pPr>
              <w:ind w:left="900"/>
              <w:spacing w:after="0" w:line="189" w:lineRule="exact"/>
              <w:rPr>
                <w:sz w:val="20"/>
                <w:szCs w:val="20"/>
                <w:color w:val="auto"/>
              </w:rPr>
            </w:pPr>
            <w:r>
              <w:rPr>
                <w:rFonts w:ascii="Times New Roman" w:cs="Times New Roman" w:eastAsia="Times New Roman" w:hAnsi="Times New Roman"/>
                <w:sz w:val="18"/>
                <w:szCs w:val="18"/>
                <w:b w:val="1"/>
                <w:bCs w:val="1"/>
                <w:color w:val="auto"/>
              </w:rPr>
              <w:t>Commitment Percentage</w:t>
            </w:r>
          </w:p>
        </w:tc>
      </w:tr>
      <w:tr>
        <w:trPr>
          <w:trHeight w:val="192"/>
        </w:trPr>
        <w:tc>
          <w:tcPr>
            <w:tcW w:w="378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OXFORD FINANCE LLC</w:t>
            </w:r>
          </w:p>
        </w:tc>
        <w:tc>
          <w:tcPr>
            <w:tcW w:w="3740" w:type="dxa"/>
            <w:vAlign w:val="bottom"/>
            <w:tcBorders>
              <w:bottom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$25,000,000.00</w:t>
            </w:r>
          </w:p>
        </w:tc>
        <w:tc>
          <w:tcPr>
            <w:tcW w:w="3720" w:type="dxa"/>
            <w:vAlign w:val="bottom"/>
            <w:tcBorders>
              <w:bottom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100.00%</w:t>
            </w:r>
          </w:p>
        </w:tc>
      </w:tr>
      <w:tr>
        <w:trPr>
          <w:trHeight w:val="209"/>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$25,000,000.00</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100.00%</w:t>
            </w:r>
          </w:p>
        </w:tc>
      </w:tr>
      <w:tr>
        <w:trPr>
          <w:trHeight w:val="441"/>
        </w:trPr>
        <w:tc>
          <w:tcPr>
            <w:tcW w:w="37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D Loans</w:t>
            </w:r>
          </w:p>
        </w:tc>
        <w:tc>
          <w:tcPr>
            <w:tcW w:w="3720" w:type="dxa"/>
            <w:vAlign w:val="bottom"/>
            <w:tcBorders>
              <w:bottom w:val="single" w:sz="8" w:color="auto"/>
            </w:tcBorders>
          </w:tcPr>
          <w:p>
            <w:pPr>
              <w:spacing w:after="0"/>
              <w:rPr>
                <w:sz w:val="24"/>
                <w:szCs w:val="24"/>
                <w:color w:val="auto"/>
              </w:rPr>
            </w:pPr>
          </w:p>
        </w:tc>
      </w:tr>
      <w:tr>
        <w:trPr>
          <w:trHeight w:val="209"/>
        </w:trPr>
        <w:tc>
          <w:tcPr>
            <w:tcW w:w="378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Lender</w:t>
            </w:r>
          </w:p>
        </w:tc>
        <w:tc>
          <w:tcPr>
            <w:tcW w:w="374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Term Loan Commitment</w:t>
            </w:r>
          </w:p>
        </w:tc>
        <w:tc>
          <w:tcPr>
            <w:tcW w:w="3720" w:type="dxa"/>
            <w:vAlign w:val="bottom"/>
            <w:tcBorders>
              <w:bottom w:val="single" w:sz="8" w:color="auto"/>
              <w:right w:val="single" w:sz="8" w:color="auto"/>
            </w:tcBorders>
          </w:tcPr>
          <w:p>
            <w:pPr>
              <w:ind w:left="900"/>
              <w:spacing w:after="0" w:line="189" w:lineRule="exact"/>
              <w:rPr>
                <w:sz w:val="20"/>
                <w:szCs w:val="20"/>
                <w:color w:val="auto"/>
              </w:rPr>
            </w:pPr>
            <w:r>
              <w:rPr>
                <w:rFonts w:ascii="Times New Roman" w:cs="Times New Roman" w:eastAsia="Times New Roman" w:hAnsi="Times New Roman"/>
                <w:sz w:val="18"/>
                <w:szCs w:val="18"/>
                <w:b w:val="1"/>
                <w:bCs w:val="1"/>
                <w:color w:val="auto"/>
              </w:rPr>
              <w:t>Commitment Percentage</w:t>
            </w:r>
          </w:p>
        </w:tc>
      </w:tr>
      <w:tr>
        <w:trPr>
          <w:trHeight w:val="192"/>
        </w:trPr>
        <w:tc>
          <w:tcPr>
            <w:tcW w:w="378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OXFORD FINANCE LLC</w:t>
            </w:r>
          </w:p>
        </w:tc>
        <w:tc>
          <w:tcPr>
            <w:tcW w:w="3740" w:type="dxa"/>
            <w:vAlign w:val="bottom"/>
            <w:tcBorders>
              <w:bottom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$25,000,000.00</w:t>
            </w:r>
          </w:p>
        </w:tc>
        <w:tc>
          <w:tcPr>
            <w:tcW w:w="3720" w:type="dxa"/>
            <w:vAlign w:val="bottom"/>
            <w:tcBorders>
              <w:bottom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100.00%</w:t>
            </w:r>
          </w:p>
        </w:tc>
      </w:tr>
      <w:tr>
        <w:trPr>
          <w:trHeight w:val="209"/>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$25,000,000.00</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100.00%</w:t>
            </w:r>
          </w:p>
        </w:tc>
      </w:tr>
      <w:tr>
        <w:trPr>
          <w:trHeight w:val="640"/>
        </w:trPr>
        <w:tc>
          <w:tcPr>
            <w:tcW w:w="37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 (all Term Loans A-D)</w:t>
            </w:r>
          </w:p>
        </w:tc>
        <w:tc>
          <w:tcPr>
            <w:tcW w:w="3720" w:type="dxa"/>
            <w:vAlign w:val="bottom"/>
            <w:tcBorders>
              <w:bottom w:val="single" w:sz="8" w:color="auto"/>
            </w:tcBorders>
          </w:tcPr>
          <w:p>
            <w:pPr>
              <w:spacing w:after="0"/>
              <w:rPr>
                <w:sz w:val="24"/>
                <w:szCs w:val="24"/>
                <w:color w:val="auto"/>
              </w:rPr>
            </w:pPr>
          </w:p>
        </w:tc>
      </w:tr>
      <w:tr>
        <w:trPr>
          <w:trHeight w:val="209"/>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Lender</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Loan Commitment</w:t>
            </w:r>
          </w:p>
        </w:tc>
        <w:tc>
          <w:tcPr>
            <w:tcW w:w="3720" w:type="dxa"/>
            <w:vAlign w:val="bottom"/>
            <w:tcBorders>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Commitment Percentage</w:t>
            </w:r>
          </w:p>
        </w:tc>
      </w:tr>
      <w:tr>
        <w:trPr>
          <w:trHeight w:val="227"/>
        </w:trPr>
        <w:tc>
          <w:tcPr>
            <w:tcW w:w="3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OXFORD FINANCE LLC</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$135,000,000.00</w:t>
            </w:r>
          </w:p>
        </w:tc>
        <w:tc>
          <w:tcPr>
            <w:tcW w:w="3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90.00%</w:t>
            </w:r>
          </w:p>
        </w:tc>
      </w:tr>
      <w:tr>
        <w:trPr>
          <w:trHeight w:val="49"/>
        </w:trPr>
        <w:tc>
          <w:tcPr>
            <w:tcW w:w="3780" w:type="dxa"/>
            <w:vAlign w:val="bottom"/>
            <w:tcBorders>
              <w:left w:val="single" w:sz="8" w:color="auto"/>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3720" w:type="dxa"/>
            <w:vAlign w:val="bottom"/>
            <w:tcBorders>
              <w:bottom w:val="single" w:sz="8" w:color="auto"/>
              <w:right w:val="single" w:sz="8" w:color="auto"/>
            </w:tcBorders>
          </w:tcPr>
          <w:p>
            <w:pPr>
              <w:spacing w:after="0"/>
              <w:rPr>
                <w:sz w:val="4"/>
                <w:szCs w:val="4"/>
                <w:color w:val="auto"/>
              </w:rPr>
            </w:pPr>
          </w:p>
        </w:tc>
      </w:tr>
      <w:tr>
        <w:trPr>
          <w:trHeight w:val="209"/>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OXFORD FINANCE CREDIT FUND II LP</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$7,500,000.00</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r>
      <w:tr>
        <w:trPr>
          <w:trHeight w:val="209"/>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OXFORD FINANCE CREDIT FUND III LP</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$7,500,000.00</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r>
      <w:tr>
        <w:trPr>
          <w:trHeight w:val="209"/>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$150,000,000.00</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100.00%</w:t>
            </w:r>
          </w:p>
        </w:tc>
      </w:tr>
    </w:tbl>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835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Collateral</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Collateral consists of all of Borrower’s right, title and interest in and to the following personal property:</w:t>
      </w:r>
    </w:p>
    <w:p>
      <w:pPr>
        <w:spacing w:after="0" w:line="183" w:lineRule="exact"/>
        <w:rPr>
          <w:sz w:val="20"/>
          <w:szCs w:val="20"/>
          <w:color w:val="auto"/>
        </w:rPr>
      </w:pPr>
    </w:p>
    <w:p>
      <w:pPr>
        <w:jc w:val="both"/>
        <w:ind w:firstLine="749"/>
        <w:spacing w:after="0" w:line="227" w:lineRule="exact"/>
        <w:rPr>
          <w:sz w:val="20"/>
          <w:szCs w:val="20"/>
          <w:color w:val="auto"/>
        </w:rPr>
      </w:pPr>
      <w:r>
        <w:rPr>
          <w:rFonts w:ascii="Times New Roman" w:cs="Times New Roman" w:eastAsia="Times New Roman" w:hAnsi="Times New Roman"/>
          <w:sz w:val="18"/>
          <w:szCs w:val="18"/>
          <w:color w:val="auto"/>
        </w:rPr>
        <w:t>All goods, Accounts (including health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care receivables), Equipment, Inventory, contract rights or rights to payment of money, leases, license agreements, franchise agreements, General Intangibles (including all Intellectual Property),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99" w:lineRule="exact"/>
        <w:rPr>
          <w:sz w:val="20"/>
          <w:szCs w:val="20"/>
          <w:color w:val="auto"/>
        </w:rPr>
      </w:pPr>
    </w:p>
    <w:p>
      <w:pPr>
        <w:jc w:val="both"/>
        <w:ind w:firstLine="749"/>
        <w:spacing w:after="0" w:line="311" w:lineRule="auto"/>
        <w:rPr>
          <w:sz w:val="20"/>
          <w:szCs w:val="20"/>
          <w:color w:val="auto"/>
        </w:rPr>
      </w:pPr>
      <w:r>
        <w:rPr>
          <w:rFonts w:ascii="Times New Roman" w:cs="Times New Roman" w:eastAsia="Times New Roman" w:hAnsi="Times New Roman"/>
          <w:sz w:val="17"/>
          <w:szCs w:val="17"/>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4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color w:val="auto"/>
        </w:rPr>
        <w:t xml:space="preserve">Notwithstanding the foregoing, the Collateral does not include (i) any Shares that have more than 65% of the total combined voting power of all classes of Shares of any Foreign Subsidiary that are entitled to vote (as determined under U.S. federal tax principles) (the “Foreign Subsidiary Interests”), if Borrower demonstrates to Collateral Agent’s reasonable satisfaction that a pledge of the Foreign Subsidiary Interests creates a present and existing adverse tax consequence to Borrower under the Internal Revenue Code; (ii) any license or contract, in each case if the granting of a Lien in such license or contract is prohibited by or would constitute a default under the agreement governing such license or contract (but (A) only to the extent such prohibition is enforceable under applicable law and (B) other than to the extent that any such term would be rendered ineffective pursuant to Sections 9-406, 9-408 or 9-409 (or any other Section) of Division 9 of the Code); provided that upon the termination, lapsing or expiration of any such prohibition, such license or contract, as applicable, shall automatically be subject to the security interest granted in favor of Collateral Agent hereunder and become part of the “Collateral”; (iii) any Excluded Account, (iv) Equipment that is subject to a Lien that is otherwise permitted pursuant to subsection (c) of the definition of “Permitted Liens” if the holder of such Lien has expressly prohibited Credit Party in writing from granting Liens on such property in favor of third parties; provided that immediately upon the ineffectiveness, lapse, or termination of any such provision, the term “Collateral” shall include, and Credit Party shall be deemed to have granted a security interest in, all of its rights, title and interests in and to such property as if such provision had never been in effect, (v) any “intent to use” trademarks at all times prior to the first use thereof, whether by the actual use thereof in commerce, the recording of a statement of use with the United States Patent and Trademark Office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upon submission and acceptance by the United States Patent and Trademark Office of an amendment to allege use of an intent-to-use trademark application pursuant to 15 U.S.C. Section 1060(a) (or any successor provision) such intent-to-use application shall constitute Collateral, (vi) margin stock, or (f) motor vehicles and assets subject to a certificate of title except to the extent a security interest therein can be perfected by the filing of a UCC financing statement.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835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84" w:name="page185"/>
    <w:bookmarkEnd w:id="184"/>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u w:val="single" w:color="auto"/>
          <w:color w:val="auto"/>
        </w:rPr>
        <w:t>Form of Disbursement Letter</w:t>
      </w:r>
    </w:p>
    <w:p>
      <w:pPr>
        <w:spacing w:after="0" w:line="23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835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410" w:right="1440"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jc w:val="center"/>
              <w:ind w:right="3630"/>
              <w:spacing w:after="0"/>
              <w:rPr>
                <w:sz w:val="20"/>
                <w:szCs w:val="20"/>
                <w:color w:val="auto"/>
              </w:rPr>
            </w:pPr>
            <w:r>
              <w:rPr>
                <w:rFonts w:ascii="Times New Roman" w:cs="Times New Roman" w:eastAsia="Times New Roman" w:hAnsi="Times New Roman"/>
                <w:sz w:val="18"/>
                <w:szCs w:val="18"/>
                <w:b w:val="1"/>
                <w:bCs w:val="1"/>
                <w:color w:val="auto"/>
                <w:w w:val="99"/>
              </w:rPr>
              <w:t>DISBURSEMENT LETTER</w:t>
            </w:r>
          </w:p>
        </w:tc>
      </w:tr>
      <w:tr>
        <w:trPr>
          <w:trHeight w:val="431"/>
        </w:trPr>
        <w:tc>
          <w:tcPr>
            <w:tcW w:w="3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0" w:type="dxa"/>
            <w:vAlign w:val="bottom"/>
          </w:tcPr>
          <w:p>
            <w:pPr>
              <w:jc w:val="center"/>
              <w:ind w:right="4950"/>
              <w:spacing w:after="0"/>
              <w:rPr>
                <w:sz w:val="20"/>
                <w:szCs w:val="20"/>
                <w:color w:val="auto"/>
              </w:rPr>
            </w:pPr>
            <w:r>
              <w:rPr>
                <w:rFonts w:ascii="Times New Roman" w:cs="Times New Roman" w:eastAsia="Times New Roman" w:hAnsi="Times New Roman"/>
                <w:sz w:val="18"/>
                <w:szCs w:val="18"/>
                <w:color w:val="auto"/>
                <w:w w:val="99"/>
              </w:rPr>
              <w:t>[DATE]</w:t>
            </w:r>
          </w:p>
        </w:tc>
      </w:tr>
      <w:tr>
        <w:trPr>
          <w:trHeight w:val="39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The undersigned, being the duly elected and acting</w:t>
            </w:r>
          </w:p>
        </w:tc>
        <w:tc>
          <w:tcPr>
            <w:tcW w:w="1320" w:type="dxa"/>
            <w:vAlign w:val="bottom"/>
            <w:tcBorders>
              <w:bottom w:val="single" w:sz="8" w:color="auto"/>
            </w:tcBorders>
          </w:tcPr>
          <w:p>
            <w:pPr>
              <w:spacing w:after="0"/>
              <w:rPr>
                <w:sz w:val="24"/>
                <w:szCs w:val="24"/>
                <w:color w:val="auto"/>
              </w:rPr>
            </w:pPr>
          </w:p>
        </w:tc>
        <w:tc>
          <w:tcPr>
            <w:tcW w:w="6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of SOLENO THERAPEUTICS, INC., a Delaware corporation with offices located at</w:t>
            </w:r>
          </w:p>
        </w:tc>
      </w:tr>
    </w:tbl>
    <w:p>
      <w:pPr>
        <w:spacing w:after="0" w:line="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100 Marine Parkway, Suite 400, Redwood City, CA 94065 (“</w:t>
      </w:r>
      <w:r>
        <w:rPr>
          <w:rFonts w:ascii="Times New Roman" w:cs="Times New Roman" w:eastAsia="Times New Roman" w:hAnsi="Times New Roman"/>
          <w:sz w:val="18"/>
          <w:szCs w:val="18"/>
          <w:b w:val="1"/>
          <w:bCs w:val="1"/>
          <w:color w:val="auto"/>
        </w:rPr>
        <w:t>Soleno</w:t>
      </w:r>
      <w:r>
        <w:rPr>
          <w:rFonts w:ascii="Times New Roman" w:cs="Times New Roman" w:eastAsia="Times New Roman" w:hAnsi="Times New Roman"/>
          <w:sz w:val="18"/>
          <w:szCs w:val="18"/>
          <w:color w:val="auto"/>
        </w:rPr>
        <w:t>”), ESSENTIALIS, INC., a Delaware corporation with offices located at 100 Marine Parkway, Suite 400, Redwood City, CA 94065 (“</w:t>
      </w:r>
      <w:r>
        <w:rPr>
          <w:rFonts w:ascii="Times New Roman" w:cs="Times New Roman" w:eastAsia="Times New Roman" w:hAnsi="Times New Roman"/>
          <w:sz w:val="18"/>
          <w:szCs w:val="18"/>
          <w:b w:val="1"/>
          <w:bCs w:val="1"/>
          <w:color w:val="auto"/>
        </w:rPr>
        <w:t>Essentialis</w:t>
      </w:r>
      <w:r>
        <w:rPr>
          <w:rFonts w:ascii="Times New Roman" w:cs="Times New Roman" w:eastAsia="Times New Roman" w:hAnsi="Times New Roman"/>
          <w:sz w:val="18"/>
          <w:szCs w:val="18"/>
          <w:color w:val="auto"/>
        </w:rPr>
        <w:t>”, together with Soleno, individually and collectively, jointly and severally,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xml:space="preserve">”), does hereby certify to </w:t>
      </w:r>
      <w:r>
        <w:rPr>
          <w:rFonts w:ascii="Times New Roman" w:cs="Times New Roman" w:eastAsia="Times New Roman" w:hAnsi="Times New Roman"/>
          <w:sz w:val="18"/>
          <w:szCs w:val="18"/>
          <w:b w:val="1"/>
          <w:bCs w:val="1"/>
          <w:color w:val="auto"/>
        </w:rPr>
        <w:t>OXFORD FINANCE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Oxford</w:t>
      </w:r>
      <w:r>
        <w:rPr>
          <w:rFonts w:ascii="Times New Roman" w:cs="Times New Roman" w:eastAsia="Times New Roman" w:hAnsi="Times New Roman"/>
          <w:sz w:val="18"/>
          <w:szCs w:val="18"/>
          <w:color w:val="auto"/>
        </w:rPr>
        <w:t>”), as collateral agent acting on behalf of the Lenders from time to time party to (as defined herein) the Loan Agreement (as defined below) (the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in connection with that certain Loan and Security Agreement dated as of December 17, 2024, by and among Borrower, Collateral Agent and the Lenders from time to time party thereto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with other capitalized terms used below having the meanings ascribed thereto in the Loan Agreement) that:</w:t>
      </w:r>
    </w:p>
    <w:p>
      <w:pPr>
        <w:spacing w:after="0" w:line="183" w:lineRule="exact"/>
        <w:rPr>
          <w:sz w:val="20"/>
          <w:szCs w:val="20"/>
          <w:color w:val="auto"/>
        </w:rPr>
      </w:pPr>
    </w:p>
    <w:p>
      <w:pPr>
        <w:ind w:right="360" w:firstLine="756"/>
        <w:spacing w:after="0" w:line="281" w:lineRule="auto"/>
        <w:tabs>
          <w:tab w:leader="none" w:pos="101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Borrower in Section 5 of the Loan Agreement and in the other Loan Documents are true and correct in all material respects as of the date hereof.</w:t>
      </w:r>
    </w:p>
    <w:p>
      <w:pPr>
        <w:spacing w:after="0" w:line="161" w:lineRule="exact"/>
        <w:rPr>
          <w:rFonts w:ascii="Times New Roman" w:cs="Times New Roman" w:eastAsia="Times New Roman" w:hAnsi="Times New Roman"/>
          <w:sz w:val="18"/>
          <w:szCs w:val="18"/>
          <w:color w:val="auto"/>
        </w:rPr>
      </w:pPr>
    </w:p>
    <w:p>
      <w:pPr>
        <w:ind w:left="1020" w:hanging="264"/>
        <w:spacing w:after="0"/>
        <w:tabs>
          <w:tab w:leader="none" w:pos="10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or condition has occurred that would constitute an Event of Default under the Loan Agreement or any other Loan Document.</w:t>
      </w:r>
    </w:p>
    <w:p>
      <w:pPr>
        <w:spacing w:after="0" w:line="224" w:lineRule="exact"/>
        <w:rPr>
          <w:rFonts w:ascii="Times New Roman" w:cs="Times New Roman" w:eastAsia="Times New Roman" w:hAnsi="Times New Roman"/>
          <w:sz w:val="18"/>
          <w:szCs w:val="18"/>
          <w:color w:val="auto"/>
        </w:rPr>
      </w:pPr>
    </w:p>
    <w:p>
      <w:pPr>
        <w:ind w:left="1020" w:hanging="264"/>
        <w:spacing w:after="0"/>
        <w:tabs>
          <w:tab w:leader="none" w:pos="10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is in compliance with the covenants and requirements contained in Sections 4, 6 and 7 of the Loan Agreement.</w:t>
      </w:r>
    </w:p>
    <w:p>
      <w:pPr>
        <w:spacing w:after="0" w:line="223" w:lineRule="exact"/>
        <w:rPr>
          <w:rFonts w:ascii="Times New Roman" w:cs="Times New Roman" w:eastAsia="Times New Roman" w:hAnsi="Times New Roman"/>
          <w:sz w:val="18"/>
          <w:szCs w:val="18"/>
          <w:color w:val="auto"/>
        </w:rPr>
      </w:pPr>
    </w:p>
    <w:p>
      <w:pPr>
        <w:ind w:right="300" w:firstLine="756"/>
        <w:spacing w:after="0" w:line="281" w:lineRule="auto"/>
        <w:tabs>
          <w:tab w:leader="none" w:pos="101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referred to in Section 3 of the Loan Agreement to the making of the Loan to be made on or about the date hereof have been satisfied or waived by Collateral Agent.</w:t>
      </w:r>
    </w:p>
    <w:p>
      <w:pPr>
        <w:spacing w:after="0" w:line="161" w:lineRule="exact"/>
        <w:rPr>
          <w:rFonts w:ascii="Times New Roman" w:cs="Times New Roman" w:eastAsia="Times New Roman" w:hAnsi="Times New Roman"/>
          <w:sz w:val="18"/>
          <w:szCs w:val="18"/>
          <w:color w:val="auto"/>
        </w:rPr>
      </w:pPr>
    </w:p>
    <w:p>
      <w:pPr>
        <w:ind w:left="1020" w:hanging="264"/>
        <w:spacing w:after="0"/>
        <w:tabs>
          <w:tab w:leader="none" w:pos="10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Adverse Change has occurred.</w:t>
      </w:r>
    </w:p>
    <w:p>
      <w:pPr>
        <w:spacing w:after="0" w:line="224" w:lineRule="exact"/>
        <w:rPr>
          <w:rFonts w:ascii="Times New Roman" w:cs="Times New Roman" w:eastAsia="Times New Roman" w:hAnsi="Times New Roman"/>
          <w:sz w:val="18"/>
          <w:szCs w:val="18"/>
          <w:color w:val="auto"/>
        </w:rPr>
      </w:pPr>
    </w:p>
    <w:p>
      <w:pPr>
        <w:ind w:left="1020" w:hanging="264"/>
        <w:spacing w:after="0"/>
        <w:tabs>
          <w:tab w:leader="none" w:pos="10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a Responsible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[Balance of Page Intentionally Left Blank]</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835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86" w:name="page187"/>
    <w:bookmarkEnd w:id="186"/>
    <w:tbl>
      <w:tblPr>
        <w:tblLayout w:type="fixed"/>
        <w:tblInd w:w="76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7.  The proceeds of the Term [A][B][C][D] Loan shall be disbursed as follows:</w:t>
            </w:r>
          </w:p>
        </w:tc>
        <w:tc>
          <w:tcPr>
            <w:tcW w:w="2440" w:type="dxa"/>
            <w:vAlign w:val="bottom"/>
          </w:tcPr>
          <w:p>
            <w:pPr>
              <w:spacing w:after="0"/>
              <w:rPr>
                <w:sz w:val="20"/>
                <w:szCs w:val="20"/>
                <w:color w:val="auto"/>
              </w:rPr>
            </w:pPr>
          </w:p>
        </w:tc>
      </w:tr>
      <w:tr>
        <w:trPr>
          <w:trHeight w:val="413"/>
        </w:trPr>
        <w:tc>
          <w:tcPr>
            <w:tcW w:w="764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Disbursement from Collateral Agent:</w:t>
            </w:r>
          </w:p>
        </w:tc>
        <w:tc>
          <w:tcPr>
            <w:tcW w:w="2440" w:type="dxa"/>
            <w:vAlign w:val="bottom"/>
          </w:tcPr>
          <w:p>
            <w:pPr>
              <w:spacing w:after="0"/>
              <w:rPr>
                <w:sz w:val="24"/>
                <w:szCs w:val="24"/>
                <w:color w:val="auto"/>
              </w:rPr>
            </w:pPr>
          </w:p>
        </w:tc>
      </w:tr>
      <w:tr>
        <w:trPr>
          <w:trHeight w:val="215"/>
        </w:trPr>
        <w:tc>
          <w:tcPr>
            <w:tcW w:w="76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Loan Amount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w:t>
            </w:r>
          </w:p>
        </w:tc>
      </w:tr>
      <w:tr>
        <w:trPr>
          <w:trHeight w:val="180"/>
        </w:trPr>
        <w:tc>
          <w:tcPr>
            <w:tcW w:w="7640" w:type="dxa"/>
            <w:vAlign w:val="bottom"/>
          </w:tcPr>
          <w:p>
            <w:pPr>
              <w:ind w:left="1260"/>
              <w:spacing w:after="0" w:line="180" w:lineRule="exact"/>
              <w:rPr>
                <w:sz w:val="20"/>
                <w:szCs w:val="20"/>
                <w:color w:val="auto"/>
              </w:rPr>
            </w:pPr>
            <w:r>
              <w:rPr>
                <w:rFonts w:ascii="Times New Roman" w:cs="Times New Roman" w:eastAsia="Times New Roman" w:hAnsi="Times New Roman"/>
                <w:sz w:val="18"/>
                <w:szCs w:val="18"/>
                <w:color w:val="auto"/>
              </w:rPr>
              <w:t>Plus:</w:t>
            </w:r>
          </w:p>
        </w:tc>
        <w:tc>
          <w:tcPr>
            <w:tcW w:w="2440" w:type="dxa"/>
            <w:vAlign w:val="bottom"/>
          </w:tcPr>
          <w:p>
            <w:pPr>
              <w:spacing w:after="0"/>
              <w:rPr>
                <w:sz w:val="15"/>
                <w:szCs w:val="15"/>
                <w:color w:val="auto"/>
              </w:rPr>
            </w:pPr>
          </w:p>
        </w:tc>
      </w:tr>
      <w:tr>
        <w:trPr>
          <w:trHeight w:val="303"/>
        </w:trPr>
        <w:tc>
          <w:tcPr>
            <w:tcW w:w="7640" w:type="dxa"/>
            <w:vAlign w:val="bottom"/>
          </w:tcPr>
          <w:p>
            <w:pPr>
              <w:ind w:left="1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Deposit Received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w:t>
            </w:r>
          </w:p>
        </w:tc>
      </w:tr>
      <w:tr>
        <w:trPr>
          <w:trHeight w:val="344"/>
        </w:trPr>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Less:</w:t>
            </w:r>
          </w:p>
        </w:tc>
        <w:tc>
          <w:tcPr>
            <w:tcW w:w="2440" w:type="dxa"/>
            <w:vAlign w:val="bottom"/>
          </w:tcPr>
          <w:p>
            <w:pPr>
              <w:spacing w:after="0"/>
              <w:rPr>
                <w:sz w:val="24"/>
                <w:szCs w:val="24"/>
                <w:color w:val="auto"/>
              </w:rPr>
            </w:pPr>
          </w:p>
        </w:tc>
      </w:tr>
      <w:tr>
        <w:trPr>
          <w:trHeight w:val="215"/>
        </w:trPr>
        <w:tc>
          <w:tcPr>
            <w:tcW w:w="7640" w:type="dxa"/>
            <w:vAlign w:val="bottom"/>
          </w:tcPr>
          <w:p>
            <w:pPr>
              <w:ind w:left="1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Facility Fee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w:t>
            </w:r>
          </w:p>
        </w:tc>
      </w:tr>
      <w:tr>
        <w:trPr>
          <w:trHeight w:val="215"/>
        </w:trPr>
        <w:tc>
          <w:tcPr>
            <w:tcW w:w="7640" w:type="dxa"/>
            <w:vAlign w:val="bottom"/>
          </w:tcPr>
          <w:p>
            <w:pPr>
              <w:ind w:left="1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Interim Interest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w:t>
            </w:r>
          </w:p>
        </w:tc>
      </w:tr>
      <w:tr>
        <w:trPr>
          <w:trHeight w:val="303"/>
        </w:trPr>
        <w:tc>
          <w:tcPr>
            <w:tcW w:w="7640" w:type="dxa"/>
            <w:vAlign w:val="bottom"/>
          </w:tcPr>
          <w:p>
            <w:pPr>
              <w:ind w:left="1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Lender’s Legal Fees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w:t>
            </w:r>
          </w:p>
        </w:tc>
      </w:tr>
      <w:tr>
        <w:trPr>
          <w:trHeight w:val="613"/>
        </w:trPr>
        <w:tc>
          <w:tcPr>
            <w:tcW w:w="764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TOTAL TERM [A][B][C][D] LOAN NET PROCEEDS FROM LENDERS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$_______________</w:t>
            </w:r>
          </w:p>
        </w:tc>
      </w:tr>
    </w:tbl>
    <w:p>
      <w:pPr>
        <w:spacing w:after="0" w:line="197" w:lineRule="exact"/>
        <w:rPr>
          <w:sz w:val="20"/>
          <w:szCs w:val="20"/>
          <w:color w:val="auto"/>
        </w:rPr>
      </w:pPr>
    </w:p>
    <w:p>
      <w:pPr>
        <w:ind w:left="1020" w:hanging="264"/>
        <w:spacing w:after="0"/>
        <w:tabs>
          <w:tab w:leader="none" w:pos="10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[A][B][C][D] Loan shall amortize in accordance with the Amortization Table attached hereto.</w:t>
      </w:r>
    </w:p>
    <w:p>
      <w:pPr>
        <w:spacing w:after="0" w:line="224" w:lineRule="exact"/>
        <w:rPr>
          <w:rFonts w:ascii="Times New Roman" w:cs="Times New Roman" w:eastAsia="Times New Roman" w:hAnsi="Times New Roman"/>
          <w:sz w:val="18"/>
          <w:szCs w:val="18"/>
          <w:color w:val="auto"/>
        </w:rPr>
      </w:pPr>
    </w:p>
    <w:p>
      <w:pPr>
        <w:ind w:left="1020" w:hanging="264"/>
        <w:spacing w:after="0"/>
        <w:tabs>
          <w:tab w:leader="none" w:pos="10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net proceeds of the Term Loans shall be transferred to the Designated Deposit Account as follows:</w:t>
      </w:r>
    </w:p>
    <w:p>
      <w:pPr>
        <w:sectPr>
          <w:pgSz w:w="11900" w:h="16838" w:orient="portrait"/>
          <w:cols w:equalWidth="0" w:num="1">
            <w:col w:w="10840"/>
          </w:cols>
          <w:pgMar w:left="320" w:top="1414" w:right="739" w:bottom="1440" w:gutter="0" w:footer="0" w:header="0"/>
        </w:sectPr>
      </w:pPr>
    </w:p>
    <w:p>
      <w:pPr>
        <w:spacing w:after="0" w:line="2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Account Name:</w:t>
      </w:r>
    </w:p>
    <w:p>
      <w:pPr>
        <w:spacing w:after="0" w:line="1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Bank Name:</w:t>
      </w:r>
    </w:p>
    <w:p>
      <w:pPr>
        <w:spacing w:after="0" w:line="1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Bank Address:</w:t>
      </w:r>
    </w:p>
    <w:p>
      <w:pPr>
        <w:spacing w:after="0" w:line="200" w:lineRule="exact"/>
        <w:rPr>
          <w:sz w:val="20"/>
          <w:szCs w:val="20"/>
          <w:color w:val="auto"/>
        </w:rPr>
      </w:pPr>
    </w:p>
    <w:p>
      <w:pPr>
        <w:spacing w:after="0" w:line="2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Account Number:</w:t>
      </w:r>
    </w:p>
    <w:p>
      <w:pPr>
        <w:spacing w:after="0" w:line="12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ABA Number: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SOLENO THERAPEUTICS, INC.</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00" w:lineRule="exact"/>
        <w:rPr>
          <w:sz w:val="20"/>
          <w:szCs w:val="20"/>
          <w:color w:val="auto"/>
        </w:rPr>
      </w:pPr>
    </w:p>
    <w:p>
      <w:pPr>
        <w:sectPr>
          <w:pgSz w:w="11900" w:h="16838" w:orient="portrait"/>
          <w:cols w:equalWidth="0" w:num="2">
            <w:col w:w="3940" w:space="720"/>
            <w:col w:w="6180"/>
          </w:cols>
          <w:pgMar w:left="320" w:top="1414"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i w:val="1"/>
          <w:iCs w:val="1"/>
          <w:color w:val="auto"/>
        </w:rPr>
        <w:t>[Balance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20" w:firstLine="8"/>
        <w:spacing w:after="0" w:line="259" w:lineRule="exact"/>
        <w:tabs>
          <w:tab w:leader="none" w:pos="13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fees and costs are through the Effective Date.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closing legal fees and costs, payable after the Effective Date, to be invoiced and paid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285623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6">
                      <a:extLst>
                        <a:ext uri="{28A0092B-C50C-407E-A947-70E740481C1C}"/>
                      </a:extLst>
                    </a:blip>
                    <a:srcRect/>
                    <a:stretch>
                      <a:fillRect/>
                    </a:stretch>
                  </pic:blipFill>
                  <pic:spPr bwMode="auto">
                    <a:xfrm>
                      <a:off x="0" y="0"/>
                      <a:ext cx="2856230" cy="825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835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40"/>
          </w:cols>
          <w:pgMar w:left="320" w:top="1414" w:right="739" w:bottom="1440" w:gutter="0" w:footer="0" w:header="0"/>
          <w:type w:val="continuous"/>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color w:val="auto"/>
        </w:rPr>
        <w:t>Dated as of the date first set forth above.</w:t>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SOLENO THERAPEUTICS, INC.</w:t>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33610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8">
                      <a:extLst>
                        <a:ext uri="{28A0092B-C50C-407E-A947-70E740481C1C}"/>
                      </a:extLst>
                    </a:blip>
                    <a:srcRect/>
                    <a:stretch>
                      <a:fillRect/>
                    </a:stretch>
                  </pic:blipFill>
                  <pic:spPr bwMode="auto">
                    <a:xfrm>
                      <a:off x="0" y="0"/>
                      <a:ext cx="336105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13970</wp:posOffset>
            </wp:positionV>
            <wp:extent cx="312166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9">
                      <a:extLst>
                        <a:ext uri="{28A0092B-C50C-407E-A947-70E740481C1C}"/>
                      </a:extLst>
                    </a:blip>
                    <a:srcRect/>
                    <a:stretch>
                      <a:fillRect/>
                    </a:stretch>
                  </pic:blipFill>
                  <pic:spPr bwMode="auto">
                    <a:xfrm>
                      <a:off x="0" y="0"/>
                      <a:ext cx="3121660" cy="825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13970</wp:posOffset>
            </wp:positionV>
            <wp:extent cx="322453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0">
                      <a:extLst>
                        <a:ext uri="{28A0092B-C50C-407E-A947-70E740481C1C}"/>
                      </a:extLst>
                    </a:blip>
                    <a:srcRect/>
                    <a:stretch>
                      <a:fillRect/>
                    </a:stretch>
                  </pic:blipFill>
                  <pic:spPr bwMode="auto">
                    <a:xfrm>
                      <a:off x="0" y="0"/>
                      <a:ext cx="3224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ESSENTIALIS, INC.</w:t>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33610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1">
                      <a:extLst>
                        <a:ext uri="{28A0092B-C50C-407E-A947-70E740481C1C}"/>
                      </a:extLst>
                    </a:blip>
                    <a:srcRect/>
                    <a:stretch>
                      <a:fillRect/>
                    </a:stretch>
                  </pic:blipFill>
                  <pic:spPr bwMode="auto">
                    <a:xfrm>
                      <a:off x="0" y="0"/>
                      <a:ext cx="336105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13970</wp:posOffset>
            </wp:positionV>
            <wp:extent cx="312166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2">
                      <a:extLst>
                        <a:ext uri="{28A0092B-C50C-407E-A947-70E740481C1C}"/>
                      </a:extLst>
                    </a:blip>
                    <a:srcRect/>
                    <a:stretch>
                      <a:fillRect/>
                    </a:stretch>
                  </pic:blipFill>
                  <pic:spPr bwMode="auto">
                    <a:xfrm>
                      <a:off x="0" y="0"/>
                      <a:ext cx="3121660" cy="825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13970</wp:posOffset>
            </wp:positionV>
            <wp:extent cx="322453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3">
                      <a:extLst>
                        <a:ext uri="{28A0092B-C50C-407E-A947-70E740481C1C}"/>
                      </a:extLst>
                    </a:blip>
                    <a:srcRect/>
                    <a:stretch>
                      <a:fillRect/>
                    </a:stretch>
                  </pic:blipFill>
                  <pic:spPr bwMode="auto">
                    <a:xfrm>
                      <a:off x="0" y="0"/>
                      <a:ext cx="3224530" cy="8255"/>
                    </a:xfrm>
                    <a:prstGeom prst="rect">
                      <a:avLst/>
                    </a:prstGeom>
                    <a:noFill/>
                  </pic:spPr>
                </pic:pic>
              </a:graphicData>
            </a:graphic>
          </wp:anchor>
        </w:drawing>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COLLATERAL AGENT ON BEHALF OF LENDERS:</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OXFORD FINANCE LLC</w:t>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33610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4">
                      <a:extLst>
                        <a:ext uri="{28A0092B-C50C-407E-A947-70E740481C1C}"/>
                      </a:extLst>
                    </a:blip>
                    <a:srcRect/>
                    <a:stretch>
                      <a:fillRect/>
                    </a:stretch>
                  </pic:blipFill>
                  <pic:spPr bwMode="auto">
                    <a:xfrm>
                      <a:off x="0" y="0"/>
                      <a:ext cx="336105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13970</wp:posOffset>
            </wp:positionV>
            <wp:extent cx="312166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5">
                      <a:extLst>
                        <a:ext uri="{28A0092B-C50C-407E-A947-70E740481C1C}"/>
                      </a:extLst>
                    </a:blip>
                    <a:srcRect/>
                    <a:stretch>
                      <a:fillRect/>
                    </a:stretch>
                  </pic:blipFill>
                  <pic:spPr bwMode="auto">
                    <a:xfrm>
                      <a:off x="0" y="0"/>
                      <a:ext cx="3121660" cy="825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13970</wp:posOffset>
            </wp:positionV>
            <wp:extent cx="322453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6">
                      <a:extLst>
                        <a:ext uri="{28A0092B-C50C-407E-A947-70E740481C1C}"/>
                      </a:extLst>
                    </a:blip>
                    <a:srcRect/>
                    <a:stretch>
                      <a:fillRect/>
                    </a:stretch>
                  </pic:blipFill>
                  <pic:spPr bwMode="auto">
                    <a:xfrm>
                      <a:off x="0" y="0"/>
                      <a:ext cx="3224530"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835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414" w:right="1440" w:bottom="1440" w:gutter="0" w:footer="0" w:header="0"/>
        </w:sectPr>
      </w:pPr>
    </w:p>
    <w:bookmarkStart w:id="188" w:name="page189"/>
    <w:bookmarkEnd w:id="188"/>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AMORTIZATION TABLE</w:t>
      </w:r>
    </w:p>
    <w:p>
      <w:pPr>
        <w:spacing w:after="0" w:line="4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(Term [A][B][C][D] Loan)</w:t>
      </w:r>
    </w:p>
    <w:p>
      <w:pPr>
        <w:spacing w:after="0" w:line="20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835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410" w:right="1440" w:bottom="1440" w:gutter="0" w:footer="0" w:header="0"/>
        </w:sectPr>
      </w:pPr>
    </w:p>
    <w:bookmarkStart w:id="189" w:name="page190"/>
    <w:bookmarkEnd w:id="189"/>
    <w:tbl>
      <w:tblPr>
        <w:tblLayout w:type="fixed"/>
        <w:tblInd w:w="10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7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EXHIBIT C</w:t>
            </w:r>
          </w:p>
        </w:tc>
      </w:tr>
      <w:tr>
        <w:trPr>
          <w:trHeight w:val="390"/>
        </w:trPr>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Compliance Certificate</w:t>
            </w:r>
          </w:p>
        </w:tc>
      </w:tr>
      <w:tr>
        <w:trPr>
          <w:trHeight w:val="45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536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OXFORD FINANCE LLC, as Collateral Agent</w:t>
            </w:r>
          </w:p>
        </w:tc>
      </w:tr>
      <w:tr>
        <w:trPr>
          <w:trHeight w:val="4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53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SOLENO THERAPEUTICS, INC. and ESSENTIALIS, INC.</w:t>
            </w:r>
          </w:p>
        </w:tc>
      </w:tr>
    </w:tbl>
    <w:p>
      <w:pPr>
        <w:spacing w:after="0" w:line="1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undersigned authorized officer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of SOLENO THERAPEUTICS, INC., a Delaware corporation with offices located at 100 Marine Parkway, Suite 400, Redwood City, CA 94065 (“</w:t>
      </w:r>
      <w:r>
        <w:rPr>
          <w:rFonts w:ascii="Times New Roman" w:cs="Times New Roman" w:eastAsia="Times New Roman" w:hAnsi="Times New Roman"/>
          <w:sz w:val="18"/>
          <w:szCs w:val="18"/>
          <w:b w:val="1"/>
          <w:bCs w:val="1"/>
          <w:color w:val="auto"/>
        </w:rPr>
        <w:t>Soleno</w:t>
      </w:r>
      <w:r>
        <w:rPr>
          <w:rFonts w:ascii="Times New Roman" w:cs="Times New Roman" w:eastAsia="Times New Roman" w:hAnsi="Times New Roman"/>
          <w:sz w:val="18"/>
          <w:szCs w:val="18"/>
          <w:color w:val="auto"/>
        </w:rPr>
        <w:t>”), ESSENTIALIS, INC., a Delaware corporation with offices located at 100 Marine Parkway, Suite 400, Redwood City, CA 94065 (“</w:t>
      </w:r>
      <w:r>
        <w:rPr>
          <w:rFonts w:ascii="Times New Roman" w:cs="Times New Roman" w:eastAsia="Times New Roman" w:hAnsi="Times New Roman"/>
          <w:sz w:val="18"/>
          <w:szCs w:val="18"/>
          <w:b w:val="1"/>
          <w:bCs w:val="1"/>
          <w:color w:val="auto"/>
        </w:rPr>
        <w:t>Essentialis</w:t>
      </w:r>
      <w:r>
        <w:rPr>
          <w:rFonts w:ascii="Times New Roman" w:cs="Times New Roman" w:eastAsia="Times New Roman" w:hAnsi="Times New Roman"/>
          <w:sz w:val="18"/>
          <w:szCs w:val="18"/>
          <w:color w:val="auto"/>
        </w:rPr>
        <w:t>”, together with Soleno, individually and collectively, jointly and severally,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hereby certifies that in accordance with the terms and conditions of the Loan and Security Agreement by and among Borrower, Collateral Agent, and the Lenders from time to time party thereto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capitalized terms used but not otherwise defined herein shall have the meanings given them in the Loan Agreement),</w:t>
      </w:r>
    </w:p>
    <w:p>
      <w:pPr>
        <w:spacing w:after="0" w:line="183" w:lineRule="exact"/>
        <w:rPr>
          <w:sz w:val="20"/>
          <w:szCs w:val="20"/>
          <w:color w:val="auto"/>
        </w:rPr>
      </w:pPr>
    </w:p>
    <w:p>
      <w:pPr>
        <w:ind w:left="1120" w:hanging="364"/>
        <w:spacing w:after="0"/>
        <w:tabs>
          <w:tab w:leader="none" w:pos="11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is in complete compliance for the period ending _______________ with all required covenants except as noted below;</w:t>
      </w:r>
    </w:p>
    <w:p>
      <w:pPr>
        <w:spacing w:after="0" w:line="223" w:lineRule="exact"/>
        <w:rPr>
          <w:rFonts w:ascii="Times New Roman" w:cs="Times New Roman" w:eastAsia="Times New Roman" w:hAnsi="Times New Roman"/>
          <w:sz w:val="18"/>
          <w:szCs w:val="18"/>
          <w:color w:val="auto"/>
        </w:rPr>
      </w:pPr>
    </w:p>
    <w:p>
      <w:pPr>
        <w:ind w:left="1120" w:hanging="364"/>
        <w:spacing w:after="0"/>
        <w:tabs>
          <w:tab w:leader="none" w:pos="11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Events of Default, except as noted below;</w:t>
      </w:r>
    </w:p>
    <w:p>
      <w:pPr>
        <w:spacing w:after="0" w:line="224" w:lineRule="exact"/>
        <w:rPr>
          <w:rFonts w:ascii="Times New Roman" w:cs="Times New Roman" w:eastAsia="Times New Roman" w:hAnsi="Times New Roman"/>
          <w:sz w:val="18"/>
          <w:szCs w:val="18"/>
          <w:color w:val="auto"/>
        </w:rPr>
      </w:pPr>
    </w:p>
    <w:p>
      <w:pPr>
        <w:jc w:val="both"/>
        <w:ind w:firstLine="756"/>
        <w:spacing w:after="0" w:line="260" w:lineRule="auto"/>
        <w:tabs>
          <w:tab w:leader="none" w:pos="110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noted below, all representations and warranties of Borrower stated in the Loan Documents are true and correct in all material respects on this date and for the period described in (a), above;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80" w:lineRule="exact"/>
        <w:rPr>
          <w:rFonts w:ascii="Times New Roman" w:cs="Times New Roman" w:eastAsia="Times New Roman" w:hAnsi="Times New Roman"/>
          <w:sz w:val="18"/>
          <w:szCs w:val="18"/>
          <w:color w:val="auto"/>
        </w:rPr>
      </w:pPr>
    </w:p>
    <w:p>
      <w:pPr>
        <w:jc w:val="both"/>
        <w:ind w:firstLine="756"/>
        <w:spacing w:after="0" w:line="265" w:lineRule="auto"/>
        <w:tabs>
          <w:tab w:leader="none" w:pos="110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of Borrower’s Subsidiaries, has timely filed all required income tax returns and other material tax returns and reports, Borrower, and each of Borrower’s Subsidiaries, has timely paid all foreign, federal, state, and local taxes, assessments, deposits and contributions owed by Borrower, or Subsidiary, except as otherwise permitted pursuant to the terms of Section 5.8 of the Loan Agreement;</w:t>
      </w:r>
    </w:p>
    <w:p>
      <w:pPr>
        <w:spacing w:after="0" w:line="176" w:lineRule="exact"/>
        <w:rPr>
          <w:rFonts w:ascii="Times New Roman" w:cs="Times New Roman" w:eastAsia="Times New Roman" w:hAnsi="Times New Roman"/>
          <w:sz w:val="18"/>
          <w:szCs w:val="18"/>
          <w:color w:val="auto"/>
        </w:rPr>
      </w:pPr>
    </w:p>
    <w:p>
      <w:pPr>
        <w:ind w:right="20" w:firstLine="756"/>
        <w:spacing w:after="0" w:line="281" w:lineRule="auto"/>
        <w:tabs>
          <w:tab w:leader="none" w:pos="110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Liens have been levied or claims made against Borrower or any of its Subsidiaries relating to unpaid employee payroll or benefits of which Borrower has not previously provided written notification to Collateral Agent and the Lenders.</w:t>
      </w:r>
    </w:p>
    <w:p>
      <w:pPr>
        <w:spacing w:after="0" w:line="162"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Attached are the required documents, if any, supporting our certification(s). The Officer, on behalf of Borrower, further certifies that the attached financial statements are prepared in accordance with Generally Accepted Accounting Principles (GAAP) and are consistently applied from one period to the next except as explained in an accompanying letter or footnotes and except, in the case of unaudited financial statements, for the absence of footnotes and subject to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audit adjustments as to the interim financial statements.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835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color w:val="auto"/>
        </w:rPr>
        <w:t>Please indicate compliance status since the last Compliance Certificate by circling Yes, No, or N/A under “Complies” column.</w:t>
      </w:r>
    </w:p>
    <w:p>
      <w:pPr>
        <w:spacing w:after="0" w:line="372" w:lineRule="exact"/>
        <w:rPr>
          <w:sz w:val="20"/>
          <w:szCs w:val="20"/>
          <w:color w:val="auto"/>
        </w:rPr>
      </w:pPr>
    </w:p>
    <w:p>
      <w:pPr>
        <w:jc w:val="right"/>
        <w:ind w:right="640"/>
        <w:spacing w:after="0"/>
        <w:tabs>
          <w:tab w:leader="none" w:pos="5160" w:val="left"/>
          <w:tab w:leader="none" w:pos="2520" w:val="left"/>
          <w:tab w:leader="none" w:pos="700" w:val="left"/>
        </w:tabs>
        <w:rPr>
          <w:sz w:val="20"/>
          <w:szCs w:val="20"/>
          <w:color w:val="auto"/>
        </w:rPr>
      </w:pPr>
      <w:r>
        <w:rPr>
          <w:rFonts w:ascii="Times New Roman" w:cs="Times New Roman" w:eastAsia="Times New Roman" w:hAnsi="Times New Roman"/>
          <w:sz w:val="18"/>
          <w:szCs w:val="18"/>
          <w:b w:val="1"/>
          <w:bCs w:val="1"/>
          <w:color w:val="auto"/>
        </w:rPr>
        <w:t>Reporting Covenant</w:t>
      </w:r>
      <w:r>
        <w:rPr>
          <w:sz w:val="20"/>
          <w:szCs w:val="20"/>
          <w:color w:val="auto"/>
        </w:rPr>
        <w:tab/>
      </w:r>
      <w:r>
        <w:rPr>
          <w:rFonts w:ascii="Times New Roman" w:cs="Times New Roman" w:eastAsia="Times New Roman" w:hAnsi="Times New Roman"/>
          <w:sz w:val="18"/>
          <w:szCs w:val="18"/>
          <w:b w:val="1"/>
          <w:bCs w:val="1"/>
          <w:color w:val="auto"/>
        </w:rPr>
        <w:t>Requirement</w:t>
      </w:r>
      <w:r>
        <w:rPr>
          <w:sz w:val="20"/>
          <w:szCs w:val="20"/>
          <w:color w:val="auto"/>
        </w:rPr>
        <w:tab/>
      </w:r>
      <w:r>
        <w:rPr>
          <w:rFonts w:ascii="Times New Roman" w:cs="Times New Roman" w:eastAsia="Times New Roman" w:hAnsi="Times New Roman"/>
          <w:sz w:val="18"/>
          <w:szCs w:val="18"/>
          <w:b w:val="1"/>
          <w:bCs w:val="1"/>
          <w:color w:val="auto"/>
        </w:rPr>
        <w:t>Actual</w:t>
      </w:r>
      <w:r>
        <w:rPr>
          <w:sz w:val="20"/>
          <w:szCs w:val="20"/>
          <w:color w:val="auto"/>
        </w:rPr>
        <w:tab/>
      </w:r>
      <w:r>
        <w:rPr>
          <w:rFonts w:ascii="Times New Roman" w:cs="Times New Roman" w:eastAsia="Times New Roman" w:hAnsi="Times New Roman"/>
          <w:sz w:val="18"/>
          <w:szCs w:val="18"/>
          <w:b w:val="1"/>
          <w:bCs w:val="1"/>
          <w:color w:val="auto"/>
        </w:rPr>
        <w:t>Complies</w:t>
      </w:r>
    </w:p>
    <w:p>
      <w:pPr>
        <w:sectPr>
          <w:pgSz w:w="11900" w:h="16838" w:orient="portrait"/>
          <w:cols w:equalWidth="0" w:num="1">
            <w:col w:w="10980"/>
          </w:cols>
          <w:pgMar w:left="320" w:top="1410" w:right="599" w:bottom="1440" w:gutter="0" w:footer="0" w:header="0"/>
        </w:sectPr>
      </w:pPr>
    </w:p>
    <w:p>
      <w:pPr>
        <w:spacing w:after="0" w:line="156" w:lineRule="exact"/>
        <w:rPr>
          <w:sz w:val="20"/>
          <w:szCs w:val="20"/>
          <w:color w:val="auto"/>
        </w:rPr>
      </w:pPr>
    </w:p>
    <w:p>
      <w:pPr>
        <w:ind w:left="880" w:hanging="775"/>
        <w:spacing w:after="0"/>
        <w:tabs>
          <w:tab w:leader="none" w:pos="880" w:val="left"/>
        </w:tabs>
        <w:numPr>
          <w:ilvl w:val="0"/>
          <w:numId w:val="145"/>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Financial statements</w:t>
      </w:r>
    </w:p>
    <w:p>
      <w:pPr>
        <w:spacing w:after="0" w:line="385" w:lineRule="exact"/>
        <w:rPr>
          <w:rFonts w:ascii="Times New Roman" w:cs="Times New Roman" w:eastAsia="Times New Roman" w:hAnsi="Times New Roman"/>
          <w:sz w:val="36"/>
          <w:szCs w:val="36"/>
          <w:b w:val="1"/>
          <w:bCs w:val="1"/>
          <w:color w:val="auto"/>
          <w:vertAlign w:val="subscript"/>
        </w:rPr>
      </w:pPr>
    </w:p>
    <w:p>
      <w:pPr>
        <w:ind w:left="880" w:right="160" w:hanging="775"/>
        <w:spacing w:after="0" w:line="283" w:lineRule="auto"/>
        <w:tabs>
          <w:tab w:leader="none" w:pos="880" w:val="left"/>
        </w:tabs>
        <w:numPr>
          <w:ilvl w:val="0"/>
          <w:numId w:val="145"/>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color w:val="auto"/>
        </w:rPr>
        <w:t>Annual (CPA Audited) statements Annual Financial Projections/Budget</w:t>
      </w:r>
    </w:p>
    <w:p>
      <w:pPr>
        <w:ind w:left="880" w:hanging="775"/>
        <w:spacing w:after="0" w:line="187" w:lineRule="auto"/>
        <w:tabs>
          <w:tab w:leader="none" w:pos="880" w:val="left"/>
        </w:tabs>
        <w:numPr>
          <w:ilvl w:val="0"/>
          <w:numId w:val="145"/>
        </w:numPr>
        <w:rPr>
          <w:rFonts w:ascii="Times New Roman" w:cs="Times New Roman" w:eastAsia="Times New Roman" w:hAnsi="Times New Roman"/>
          <w:sz w:val="24"/>
          <w:szCs w:val="24"/>
          <w:b w:val="1"/>
          <w:bCs w:val="1"/>
          <w:color w:val="auto"/>
          <w:vertAlign w:val="superscript"/>
        </w:rPr>
      </w:pPr>
      <w:r>
        <w:rPr>
          <w:rFonts w:ascii="Times New Roman" w:cs="Times New Roman" w:eastAsia="Times New Roman" w:hAnsi="Times New Roman"/>
          <w:sz w:val="14"/>
          <w:szCs w:val="14"/>
          <w:color w:val="auto"/>
        </w:rPr>
        <w:t>(prepared on a monthly basis)</w:t>
      </w:r>
    </w:p>
    <w:p>
      <w:pPr>
        <w:ind w:left="880" w:hanging="775"/>
        <w:spacing w:after="0" w:line="351" w:lineRule="exact"/>
        <w:tabs>
          <w:tab w:leader="none" w:pos="880" w:val="left"/>
        </w:tabs>
        <w:numPr>
          <w:ilvl w:val="0"/>
          <w:numId w:val="146"/>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Filings</w:t>
      </w:r>
    </w:p>
    <w:p>
      <w:pPr>
        <w:spacing w:after="0" w:line="44" w:lineRule="exact"/>
        <w:rPr>
          <w:rFonts w:ascii="Times New Roman" w:cs="Times New Roman" w:eastAsia="Times New Roman" w:hAnsi="Times New Roman"/>
          <w:sz w:val="36"/>
          <w:szCs w:val="36"/>
          <w:b w:val="1"/>
          <w:bCs w:val="1"/>
          <w:color w:val="auto"/>
          <w:vertAlign w:val="subscript"/>
        </w:rPr>
      </w:pPr>
    </w:p>
    <w:p>
      <w:pPr>
        <w:ind w:left="880" w:hanging="775"/>
        <w:spacing w:after="0"/>
        <w:tabs>
          <w:tab w:leader="none" w:pos="880" w:val="left"/>
        </w:tabs>
        <w:numPr>
          <w:ilvl w:val="0"/>
          <w:numId w:val="146"/>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Compliance Certificate</w:t>
      </w:r>
    </w:p>
    <w:p>
      <w:pPr>
        <w:spacing w:after="0" w:line="70" w:lineRule="exact"/>
        <w:rPr>
          <w:rFonts w:ascii="Times New Roman" w:cs="Times New Roman" w:eastAsia="Times New Roman" w:hAnsi="Times New Roman"/>
          <w:sz w:val="36"/>
          <w:szCs w:val="36"/>
          <w:b w:val="1"/>
          <w:bCs w:val="1"/>
          <w:color w:val="auto"/>
          <w:vertAlign w:val="subscript"/>
        </w:rPr>
      </w:pPr>
    </w:p>
    <w:p>
      <w:pPr>
        <w:ind w:left="880" w:hanging="775"/>
        <w:spacing w:after="0"/>
        <w:tabs>
          <w:tab w:leader="none" w:pos="880" w:val="left"/>
        </w:tabs>
        <w:numPr>
          <w:ilvl w:val="0"/>
          <w:numId w:val="146"/>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IP Report</w:t>
      </w:r>
    </w:p>
    <w:p>
      <w:pPr>
        <w:spacing w:after="0" w:line="89" w:lineRule="exact"/>
        <w:rPr>
          <w:rFonts w:ascii="Times New Roman" w:cs="Times New Roman" w:eastAsia="Times New Roman" w:hAnsi="Times New Roman"/>
          <w:sz w:val="36"/>
          <w:szCs w:val="36"/>
          <w:b w:val="1"/>
          <w:bCs w:val="1"/>
          <w:color w:val="auto"/>
          <w:vertAlign w:val="subscript"/>
        </w:rPr>
      </w:pPr>
    </w:p>
    <w:p>
      <w:pPr>
        <w:ind w:left="880" w:right="140"/>
        <w:spacing w:after="0" w:line="275" w:lineRule="auto"/>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7"/>
          <w:szCs w:val="17"/>
          <w:color w:val="auto"/>
        </w:rPr>
        <w:t>Total amount of Borrower’s cash and cash equivalents and investments</w:t>
      </w:r>
    </w:p>
    <w:p>
      <w:pPr>
        <w:spacing w:after="0" w:line="1" w:lineRule="exact"/>
        <w:rPr>
          <w:rFonts w:ascii="Times New Roman" w:cs="Times New Roman" w:eastAsia="Times New Roman" w:hAnsi="Times New Roman"/>
          <w:sz w:val="36"/>
          <w:szCs w:val="36"/>
          <w:b w:val="1"/>
          <w:bCs w:val="1"/>
          <w:color w:val="auto"/>
          <w:vertAlign w:val="subscript"/>
        </w:rPr>
      </w:pPr>
    </w:p>
    <w:p>
      <w:pPr>
        <w:ind w:left="880" w:right="60" w:hanging="775"/>
        <w:spacing w:after="0" w:line="187" w:lineRule="auto"/>
        <w:tabs>
          <w:tab w:leader="none" w:pos="880" w:val="left"/>
        </w:tabs>
        <w:numPr>
          <w:ilvl w:val="0"/>
          <w:numId w:val="146"/>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described in clause (b)(ii) of Permitted Investments at the last day of the measurement period</w:t>
      </w:r>
    </w:p>
    <w:p>
      <w:pPr>
        <w:spacing w:after="0" w:line="90" w:lineRule="exact"/>
        <w:rPr>
          <w:rFonts w:ascii="Times New Roman" w:cs="Times New Roman" w:eastAsia="Times New Roman" w:hAnsi="Times New Roman"/>
          <w:sz w:val="36"/>
          <w:szCs w:val="36"/>
          <w:b w:val="1"/>
          <w:bCs w:val="1"/>
          <w:color w:val="auto"/>
          <w:vertAlign w:val="subscript"/>
        </w:rPr>
      </w:pPr>
    </w:p>
    <w:p>
      <w:pPr>
        <w:ind w:left="880"/>
        <w:spacing w:after="0" w:line="275" w:lineRule="auto"/>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7"/>
          <w:szCs w:val="17"/>
          <w:color w:val="auto"/>
        </w:rPr>
        <w:t>Total amount of Borrower’s Subsidiaries’ cash and cash equivalents</w:t>
      </w:r>
    </w:p>
    <w:p>
      <w:pPr>
        <w:spacing w:after="0" w:line="1" w:lineRule="exact"/>
        <w:rPr>
          <w:rFonts w:ascii="Times New Roman" w:cs="Times New Roman" w:eastAsia="Times New Roman" w:hAnsi="Times New Roman"/>
          <w:sz w:val="36"/>
          <w:szCs w:val="36"/>
          <w:b w:val="1"/>
          <w:bCs w:val="1"/>
          <w:color w:val="auto"/>
          <w:vertAlign w:val="subscript"/>
        </w:rPr>
      </w:pPr>
    </w:p>
    <w:p>
      <w:pPr>
        <w:jc w:val="both"/>
        <w:ind w:left="880" w:hanging="775"/>
        <w:spacing w:after="0" w:line="187" w:lineRule="auto"/>
        <w:tabs>
          <w:tab w:leader="none" w:pos="880" w:val="left"/>
        </w:tabs>
        <w:numPr>
          <w:ilvl w:val="0"/>
          <w:numId w:val="146"/>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and investments described in clause (b) (ii) of Permitted Investments at the last day of the measurement period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Quarterly within 45 days after quarter end (for first three fiscal quarters of Soleno’s fiscal year)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90 days after FYE</w:t>
      </w:r>
    </w:p>
    <w:p>
      <w:pPr>
        <w:spacing w:after="0" w:line="25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Annually (within 30 days of FYE), and when revised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applicable, within 5 days of filing</w:t>
      </w:r>
    </w:p>
    <w:p>
      <w:pPr>
        <w:spacing w:after="0" w:line="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Quarterly within 45 days after quarter end (for first three fiscal quarters of Soleno’s fiscal year; 90 days for Q4)</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Compliance Certificate</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Yes</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N/A</w:t>
            </w:r>
          </w:p>
        </w:tc>
      </w:tr>
      <w:tr>
        <w:trPr>
          <w:trHeight w:val="620"/>
        </w:trPr>
        <w:tc>
          <w:tcPr>
            <w:tcW w:w="1160" w:type="dxa"/>
            <w:vAlign w:val="bottom"/>
          </w:tcPr>
          <w:p>
            <w:pPr>
              <w:spacing w:after="0"/>
              <w:rPr>
                <w:sz w:val="24"/>
                <w:szCs w:val="24"/>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Yes</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N/A</w:t>
            </w:r>
          </w:p>
        </w:tc>
      </w:tr>
      <w:tr>
        <w:trPr>
          <w:trHeight w:val="566"/>
        </w:trPr>
        <w:tc>
          <w:tcPr>
            <w:tcW w:w="1160" w:type="dxa"/>
            <w:vAlign w:val="bottom"/>
          </w:tcPr>
          <w:p>
            <w:pPr>
              <w:spacing w:after="0"/>
              <w:rPr>
                <w:sz w:val="24"/>
                <w:szCs w:val="24"/>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Yes</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N/A</w:t>
            </w:r>
          </w:p>
        </w:tc>
      </w:tr>
      <w:tr>
        <w:trPr>
          <w:trHeight w:val="431"/>
        </w:trPr>
        <w:tc>
          <w:tcPr>
            <w:tcW w:w="1160" w:type="dxa"/>
            <w:vAlign w:val="bottom"/>
          </w:tcPr>
          <w:p>
            <w:pPr>
              <w:spacing w:after="0"/>
              <w:rPr>
                <w:sz w:val="24"/>
                <w:szCs w:val="24"/>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Yes</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N/A</w:t>
            </w:r>
          </w:p>
        </w:tc>
      </w:tr>
      <w:tr>
        <w:trPr>
          <w:trHeight w:val="485"/>
        </w:trPr>
        <w:tc>
          <w:tcPr>
            <w:tcW w:w="1160" w:type="dxa"/>
            <w:vAlign w:val="bottom"/>
          </w:tcPr>
          <w:p>
            <w:pPr>
              <w:spacing w:after="0"/>
              <w:rPr>
                <w:sz w:val="24"/>
                <w:szCs w:val="24"/>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Yes</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N/A</w:t>
            </w:r>
          </w:p>
        </w:tc>
      </w:tr>
      <w:tr>
        <w:trPr>
          <w:trHeight w:val="485"/>
        </w:trPr>
        <w:tc>
          <w:tcPr>
            <w:tcW w:w="1160" w:type="dxa"/>
            <w:vAlign w:val="bottom"/>
          </w:tcPr>
          <w:p>
            <w:pPr>
              <w:spacing w:after="0"/>
              <w:rPr>
                <w:sz w:val="24"/>
                <w:szCs w:val="24"/>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Yes</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N/A</w:t>
            </w:r>
          </w:p>
        </w:tc>
      </w:tr>
      <w:tr>
        <w:trPr>
          <w:trHeight w:val="754"/>
        </w:trPr>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6"/>
              </w:rPr>
              <w:t>$________</w:t>
            </w: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Yes</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1500" w:val="left"/>
          <w:tab w:leader="none" w:pos="2360" w:val="left"/>
          <w:tab w:leader="none" w:pos="3160" w:val="left"/>
        </w:tabs>
        <w:rPr>
          <w:sz w:val="20"/>
          <w:szCs w:val="20"/>
          <w:color w:val="auto"/>
        </w:rPr>
      </w:pPr>
      <w:r>
        <w:rPr>
          <w:rFonts w:ascii="Times New Roman" w:cs="Times New Roman" w:eastAsia="Times New Roman" w:hAnsi="Times New Roman"/>
          <w:sz w:val="18"/>
          <w:szCs w:val="18"/>
          <w:color w:val="auto"/>
        </w:rPr>
        <w:t>$________</w:t>
      </w:r>
      <w:r>
        <w:rPr>
          <w:sz w:val="20"/>
          <w:szCs w:val="20"/>
          <w:color w:val="auto"/>
        </w:rPr>
        <w:tab/>
      </w: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N/A</w:t>
      </w:r>
    </w:p>
    <w:p>
      <w:pPr>
        <w:spacing w:after="0" w:line="493" w:lineRule="exact"/>
        <w:rPr>
          <w:sz w:val="20"/>
          <w:szCs w:val="20"/>
          <w:color w:val="auto"/>
        </w:rPr>
      </w:pPr>
    </w:p>
    <w:p>
      <w:pPr>
        <w:sectPr>
          <w:pgSz w:w="11900" w:h="16838" w:orient="portrait"/>
          <w:cols w:equalWidth="0" w:num="3">
            <w:col w:w="3700" w:space="360"/>
            <w:col w:w="3020" w:space="400"/>
            <w:col w:w="3500"/>
          </w:cols>
          <w:pgMar w:left="320" w:top="1410" w:right="599" w:bottom="1440" w:gutter="0" w:footer="0" w:header="0"/>
          <w:type w:val="continuous"/>
        </w:sectPr>
      </w:pPr>
    </w:p>
    <w:tbl>
      <w:tblPr>
        <w:tblLayout w:type="fixed"/>
        <w:tblInd w:w="100" w:type="dxa"/>
        <w:tblCellMar>
          <w:top w:w="0" w:type="dxa"/>
          <w:left w:w="0" w:type="dxa"/>
          <w:bottom w:w="0" w:type="dxa"/>
          <w:right w:w="0" w:type="dxa"/>
        </w:tblCellMar>
      </w:tblPr>
      <w:tr>
        <w:trPr>
          <w:trHeight w:val="215"/>
        </w:trPr>
        <w:tc>
          <w:tcPr>
            <w:tcW w:w="500" w:type="dxa"/>
            <w:vAlign w:val="bottom"/>
          </w:tcPr>
          <w:p>
            <w:pPr>
              <w:spacing w:after="0"/>
              <w:rPr>
                <w:sz w:val="18"/>
                <w:szCs w:val="18"/>
                <w:color w:val="auto"/>
              </w:rPr>
            </w:pPr>
          </w:p>
        </w:tc>
        <w:tc>
          <w:tcPr>
            <w:tcW w:w="4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amount of cash and cash</w:t>
            </w:r>
          </w:p>
        </w:tc>
        <w:tc>
          <w:tcPr>
            <w:tcW w:w="3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1"/>
              </w:rPr>
              <w:t>10)</w:t>
            </w:r>
          </w:p>
        </w:tc>
        <w:tc>
          <w:tcPr>
            <w:tcW w:w="4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equivalents at the last day of the</w:t>
            </w:r>
          </w:p>
        </w:tc>
        <w:tc>
          <w:tcPr>
            <w:tcW w:w="31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$________</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Yes</w:t>
            </w: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No</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500" w:type="dxa"/>
            <w:vAlign w:val="bottom"/>
            <w:vMerge w:val="continue"/>
          </w:tcPr>
          <w:p>
            <w:pPr>
              <w:spacing w:after="0"/>
              <w:rPr>
                <w:sz w:val="20"/>
                <w:szCs w:val="20"/>
                <w:color w:val="auto"/>
              </w:rPr>
            </w:pPr>
          </w:p>
        </w:tc>
        <w:tc>
          <w:tcPr>
            <w:tcW w:w="4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measurement period held at Foreign</w:t>
            </w:r>
          </w:p>
        </w:tc>
        <w:tc>
          <w:tcPr>
            <w:tcW w:w="318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880"/>
        <w:spacing w:after="0"/>
        <w:rPr>
          <w:sz w:val="20"/>
          <w:szCs w:val="20"/>
          <w:color w:val="auto"/>
        </w:rPr>
      </w:pPr>
      <w:r>
        <w:rPr>
          <w:rFonts w:ascii="Times New Roman" w:cs="Times New Roman" w:eastAsia="Times New Roman" w:hAnsi="Times New Roman"/>
          <w:sz w:val="18"/>
          <w:szCs w:val="18"/>
          <w:color w:val="auto"/>
        </w:rPr>
        <w:t>Subsidiaries (converted to USD)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835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80"/>
          </w:cols>
          <w:pgMar w:left="320" w:top="1410" w:right="599" w:bottom="1440" w:gutter="0" w:footer="0" w:header="0"/>
          <w:type w:val="continuous"/>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auto"/>
        </w:rPr>
        <w:t>Deposit and Securities Accounts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(Please list all accounts; attach separate sheet if additional space needed)</w:t>
      </w:r>
    </w:p>
    <w:p>
      <w:pPr>
        <w:sectPr>
          <w:pgSz w:w="11900" w:h="16838" w:orient="portrait"/>
          <w:cols w:equalWidth="0" w:num="1">
            <w:col w:w="11000"/>
          </w:cols>
          <w:pgMar w:left="320" w:top="1410" w:right="579" w:bottom="1440" w:gutter="0" w:footer="0" w:header="0"/>
        </w:sectPr>
      </w:pPr>
    </w:p>
    <w:p>
      <w:pPr>
        <w:spacing w:after="0" w:line="294"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24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Institution Name</w:t>
            </w:r>
          </w:p>
        </w:tc>
        <w:tc>
          <w:tcPr>
            <w:tcW w:w="24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Account Number</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New Account?</w:t>
            </w:r>
          </w:p>
        </w:tc>
        <w:tc>
          <w:tcPr>
            <w:tcW w:w="280" w:type="dxa"/>
            <w:vAlign w:val="bottom"/>
          </w:tcPr>
          <w:p>
            <w:pPr>
              <w:spacing w:after="0"/>
              <w:rPr>
                <w:sz w:val="20"/>
                <w:szCs w:val="20"/>
                <w:color w:val="auto"/>
              </w:rPr>
            </w:pPr>
          </w:p>
        </w:tc>
      </w:tr>
      <w:tr>
        <w:trPr>
          <w:trHeight w:val="377"/>
        </w:trPr>
        <w:tc>
          <w:tcPr>
            <w:tcW w:w="242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w w:val="93"/>
              </w:rPr>
              <w:t>1)</w:t>
            </w:r>
          </w:p>
        </w:tc>
        <w:tc>
          <w:tcPr>
            <w:tcW w:w="2480" w:type="dxa"/>
            <w:vAlign w:val="bottom"/>
          </w:tcPr>
          <w:p>
            <w:pPr>
              <w:spacing w:after="0"/>
              <w:rPr>
                <w:sz w:val="24"/>
                <w:szCs w:val="24"/>
                <w:color w:val="auto"/>
              </w:rPr>
            </w:pPr>
          </w:p>
        </w:tc>
        <w:tc>
          <w:tcPr>
            <w:tcW w:w="17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Yes</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0"/>
              </w:rPr>
              <w:t>No</w:t>
            </w:r>
          </w:p>
        </w:tc>
      </w:tr>
      <w:tr>
        <w:trPr>
          <w:trHeight w:val="377"/>
        </w:trPr>
        <w:tc>
          <w:tcPr>
            <w:tcW w:w="242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w w:val="93"/>
              </w:rPr>
              <w:t>2)</w:t>
            </w:r>
          </w:p>
        </w:tc>
        <w:tc>
          <w:tcPr>
            <w:tcW w:w="2480" w:type="dxa"/>
            <w:vAlign w:val="bottom"/>
          </w:tcPr>
          <w:p>
            <w:pPr>
              <w:spacing w:after="0"/>
              <w:rPr>
                <w:sz w:val="24"/>
                <w:szCs w:val="24"/>
                <w:color w:val="auto"/>
              </w:rPr>
            </w:pPr>
          </w:p>
        </w:tc>
        <w:tc>
          <w:tcPr>
            <w:tcW w:w="17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Yes</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0"/>
              </w:rPr>
              <w:t>No</w:t>
            </w:r>
          </w:p>
        </w:tc>
      </w:tr>
      <w:tr>
        <w:trPr>
          <w:trHeight w:val="377"/>
        </w:trPr>
        <w:tc>
          <w:tcPr>
            <w:tcW w:w="242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w w:val="93"/>
              </w:rPr>
              <w:t>3)</w:t>
            </w:r>
          </w:p>
        </w:tc>
        <w:tc>
          <w:tcPr>
            <w:tcW w:w="2480" w:type="dxa"/>
            <w:vAlign w:val="bottom"/>
          </w:tcPr>
          <w:p>
            <w:pPr>
              <w:spacing w:after="0"/>
              <w:rPr>
                <w:sz w:val="24"/>
                <w:szCs w:val="24"/>
                <w:color w:val="auto"/>
              </w:rPr>
            </w:pPr>
          </w:p>
        </w:tc>
        <w:tc>
          <w:tcPr>
            <w:tcW w:w="17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Yes</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0"/>
              </w:rPr>
              <w:t>No</w:t>
            </w:r>
          </w:p>
        </w:tc>
      </w:tr>
      <w:tr>
        <w:trPr>
          <w:trHeight w:val="377"/>
        </w:trPr>
        <w:tc>
          <w:tcPr>
            <w:tcW w:w="242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w w:val="93"/>
              </w:rPr>
              <w:t>4)</w:t>
            </w:r>
          </w:p>
        </w:tc>
        <w:tc>
          <w:tcPr>
            <w:tcW w:w="2480" w:type="dxa"/>
            <w:vAlign w:val="bottom"/>
          </w:tcPr>
          <w:p>
            <w:pPr>
              <w:spacing w:after="0"/>
              <w:rPr>
                <w:sz w:val="24"/>
                <w:szCs w:val="24"/>
                <w:color w:val="auto"/>
              </w:rPr>
            </w:pPr>
          </w:p>
        </w:tc>
        <w:tc>
          <w:tcPr>
            <w:tcW w:w="17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Yes</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0"/>
              </w:rPr>
              <w:t>No</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Covenants</w:t>
      </w:r>
    </w:p>
    <w:p>
      <w:pPr>
        <w:spacing w:after="0" w:line="224" w:lineRule="exact"/>
        <w:rPr>
          <w:sz w:val="20"/>
          <w:szCs w:val="20"/>
          <w:color w:val="auto"/>
        </w:rPr>
      </w:pPr>
    </w:p>
    <w:p>
      <w:pPr>
        <w:ind w:left="1500"/>
        <w:spacing w:after="0"/>
        <w:tabs>
          <w:tab w:leader="none" w:pos="4820" w:val="left"/>
        </w:tabs>
        <w:rPr>
          <w:sz w:val="20"/>
          <w:szCs w:val="20"/>
          <w:color w:val="auto"/>
        </w:rPr>
      </w:pPr>
      <w:r>
        <w:rPr>
          <w:rFonts w:ascii="Times New Roman" w:cs="Times New Roman" w:eastAsia="Times New Roman" w:hAnsi="Times New Roman"/>
          <w:sz w:val="18"/>
          <w:szCs w:val="18"/>
          <w:b w:val="1"/>
          <w:bCs w:val="1"/>
          <w:color w:val="auto"/>
        </w:rPr>
        <w:t>Covenant</w:t>
      </w:r>
      <w:r>
        <w:rPr>
          <w:sz w:val="20"/>
          <w:szCs w:val="20"/>
          <w:color w:val="auto"/>
        </w:rPr>
        <w:tab/>
      </w:r>
      <w:r>
        <w:rPr>
          <w:rFonts w:ascii="Times New Roman" w:cs="Times New Roman" w:eastAsia="Times New Roman" w:hAnsi="Times New Roman"/>
          <w:sz w:val="18"/>
          <w:szCs w:val="18"/>
          <w:b w:val="1"/>
          <w:bCs w:val="1"/>
          <w:color w:val="auto"/>
        </w:rPr>
        <w:t>Requirement</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 Control Agreement in place?</w:t>
      </w:r>
    </w:p>
    <w:p>
      <w:pPr>
        <w:spacing w:after="0" w:line="191" w:lineRule="exact"/>
        <w:rPr>
          <w:sz w:val="20"/>
          <w:szCs w:val="20"/>
          <w:color w:val="auto"/>
        </w:rPr>
      </w:pPr>
    </w:p>
    <w:p>
      <w:pPr>
        <w:jc w:val="both"/>
        <w:ind w:left="940"/>
        <w:spacing w:after="0"/>
        <w:tabs>
          <w:tab w:leader="none" w:pos="28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170" w:lineRule="exact"/>
        <w:rPr>
          <w:sz w:val="20"/>
          <w:szCs w:val="20"/>
          <w:color w:val="auto"/>
        </w:rPr>
      </w:pPr>
    </w:p>
    <w:p>
      <w:pPr>
        <w:jc w:val="both"/>
        <w:ind w:left="940"/>
        <w:spacing w:after="0"/>
        <w:tabs>
          <w:tab w:leader="none" w:pos="28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170" w:lineRule="exact"/>
        <w:rPr>
          <w:sz w:val="20"/>
          <w:szCs w:val="20"/>
          <w:color w:val="auto"/>
        </w:rPr>
      </w:pPr>
    </w:p>
    <w:p>
      <w:pPr>
        <w:jc w:val="both"/>
        <w:ind w:left="940"/>
        <w:spacing w:after="0"/>
        <w:tabs>
          <w:tab w:leader="none" w:pos="28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170" w:lineRule="exact"/>
        <w:rPr>
          <w:sz w:val="20"/>
          <w:szCs w:val="20"/>
          <w:color w:val="auto"/>
        </w:rPr>
      </w:pPr>
    </w:p>
    <w:p>
      <w:pPr>
        <w:jc w:val="both"/>
        <w:ind w:left="940"/>
        <w:spacing w:after="0"/>
        <w:tabs>
          <w:tab w:leader="none" w:pos="28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Actual</w:t>
      </w:r>
      <w:r>
        <w:rPr>
          <w:sz w:val="20"/>
          <w:szCs w:val="20"/>
          <w:color w:val="auto"/>
        </w:rPr>
        <w:tab/>
      </w:r>
      <w:r>
        <w:rPr>
          <w:rFonts w:ascii="Times New Roman" w:cs="Times New Roman" w:eastAsia="Times New Roman" w:hAnsi="Times New Roman"/>
          <w:sz w:val="18"/>
          <w:szCs w:val="18"/>
          <w:b w:val="1"/>
          <w:bCs w:val="1"/>
          <w:color w:val="auto"/>
        </w:rPr>
        <w:t>Compliance</w:t>
      </w:r>
    </w:p>
    <w:p>
      <w:pPr>
        <w:spacing w:after="0" w:line="161" w:lineRule="exact"/>
        <w:rPr>
          <w:sz w:val="20"/>
          <w:szCs w:val="20"/>
          <w:color w:val="auto"/>
        </w:rPr>
      </w:pPr>
    </w:p>
    <w:p>
      <w:pPr>
        <w:sectPr>
          <w:pgSz w:w="11900" w:h="16838" w:orient="portrait"/>
          <w:cols w:equalWidth="0" w:num="2">
            <w:col w:w="7100" w:space="440"/>
            <w:col w:w="3460"/>
          </w:cols>
          <w:pgMar w:left="320" w:top="1410" w:right="579" w:bottom="1440" w:gutter="0" w:footer="0" w:header="0"/>
          <w:type w:val="continuous"/>
        </w:sectPr>
      </w:pPr>
    </w:p>
    <w:p>
      <w:pPr>
        <w:ind w:left="100" w:right="600"/>
        <w:spacing w:after="0" w:line="281" w:lineRule="auto"/>
        <w:rPr>
          <w:sz w:val="20"/>
          <w:szCs w:val="20"/>
          <w:color w:val="auto"/>
        </w:rPr>
      </w:pPr>
      <w:r>
        <w:rPr>
          <w:rFonts w:ascii="Times New Roman" w:cs="Times New Roman" w:eastAsia="Times New Roman" w:hAnsi="Times New Roman"/>
          <w:sz w:val="18"/>
          <w:szCs w:val="18"/>
          <w:color w:val="auto"/>
        </w:rPr>
        <w:t>Minimum DCCR Net Product Revenue (trailing 12 months)</w:t>
      </w:r>
    </w:p>
    <w:p>
      <w:pPr>
        <w:spacing w:after="0" w:line="200" w:lineRule="exact"/>
        <w:rPr>
          <w:sz w:val="20"/>
          <w:szCs w:val="20"/>
          <w:color w:val="auto"/>
        </w:rPr>
      </w:pPr>
    </w:p>
    <w:p>
      <w:pPr>
        <w:spacing w:after="0" w:line="2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Revenue Covenant Waiver</w:t>
      </w:r>
    </w:p>
    <w:p>
      <w:pPr>
        <w:spacing w:after="0" w:line="27" w:lineRule="exact"/>
        <w:rPr>
          <w:sz w:val="20"/>
          <w:szCs w:val="20"/>
          <w:color w:val="auto"/>
        </w:rPr>
      </w:pPr>
    </w:p>
    <w:p>
      <w:pPr>
        <w:ind w:left="100"/>
        <w:spacing w:after="0" w:line="253" w:lineRule="auto"/>
        <w:rPr>
          <w:sz w:val="20"/>
          <w:szCs w:val="20"/>
          <w:color w:val="auto"/>
        </w:rPr>
      </w:pPr>
      <w:r>
        <w:rPr>
          <w:rFonts w:ascii="Times New Roman" w:cs="Times New Roman" w:eastAsia="Times New Roman" w:hAnsi="Times New Roman"/>
          <w:sz w:val="18"/>
          <w:szCs w:val="18"/>
          <w:color w:val="auto"/>
        </w:rPr>
        <w:t>(Revenue Covenant will not be tested at the end of any fiscal quarter if Borrower maintains at least one of these requirements for each day during such fiscal quarter)</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1058"/>
        <w:spacing w:after="0"/>
        <w:rPr>
          <w:sz w:val="20"/>
          <w:szCs w:val="20"/>
          <w:color w:val="auto"/>
        </w:rPr>
      </w:pPr>
      <w:r>
        <w:rPr>
          <w:rFonts w:ascii="Times New Roman" w:cs="Times New Roman" w:eastAsia="Times New Roman" w:hAnsi="Times New Roman"/>
          <w:sz w:val="18"/>
          <w:szCs w:val="18"/>
          <w:color w:val="auto"/>
        </w:rPr>
        <w:t>$_________</w:t>
      </w:r>
    </w:p>
    <w:p>
      <w:pPr>
        <w:spacing w:after="0" w:line="278" w:lineRule="exact"/>
        <w:rPr>
          <w:sz w:val="20"/>
          <w:szCs w:val="20"/>
          <w:color w:val="auto"/>
        </w:rPr>
      </w:pPr>
    </w:p>
    <w:p>
      <w:pPr>
        <w:ind w:left="-2" w:right="180" w:firstLine="2"/>
        <w:spacing w:after="0" w:line="281" w:lineRule="auto"/>
        <w:tabs>
          <w:tab w:leader="none" w:pos="209" w:val="left"/>
        </w:tabs>
        <w:numPr>
          <w:ilvl w:val="0"/>
          <w:numId w:val="14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Borrower’s Market Capitalization is equal to or greater than $[***];</w:t>
      </w:r>
    </w:p>
    <w:p>
      <w:pPr>
        <w:spacing w:after="0" w:line="161" w:lineRule="exact"/>
        <w:rPr>
          <w:rFonts w:ascii="MS PGothic" w:cs="MS PGothic" w:eastAsia="MS PGothic" w:hAnsi="MS PGothic"/>
          <w:sz w:val="18"/>
          <w:szCs w:val="18"/>
          <w:color w:val="auto"/>
        </w:rPr>
      </w:pPr>
    </w:p>
    <w:p>
      <w:pPr>
        <w:ind w:left="-2" w:firstLine="2"/>
        <w:spacing w:after="0" w:line="257" w:lineRule="auto"/>
        <w:tabs>
          <w:tab w:leader="none" w:pos="209" w:val="left"/>
        </w:tabs>
        <w:numPr>
          <w:ilvl w:val="0"/>
          <w:numId w:val="14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Borrower’s total unrestricted cash plus Cash Equivalents is equal to or [***] the aggregate outstanding aggregate original principal amount of Term Loans outstanding.</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tabs>
          <w:tab w:leader="none" w:pos="1520" w:val="left"/>
          <w:tab w:leader="none" w:pos="2280" w:val="left"/>
          <w:tab w:leader="none" w:pos="2980" w:val="left"/>
        </w:tabs>
        <w:rPr>
          <w:sz w:val="20"/>
          <w:szCs w:val="20"/>
          <w:color w:val="auto"/>
        </w:rPr>
      </w:pPr>
      <w:r>
        <w:rPr>
          <w:rFonts w:ascii="Times New Roman" w:cs="Times New Roman" w:eastAsia="Times New Roman" w:hAnsi="Times New Roman"/>
          <w:sz w:val="18"/>
          <w:szCs w:val="18"/>
          <w:color w:val="auto"/>
        </w:rPr>
        <w:t>$________</w:t>
      </w:r>
      <w:r>
        <w:rPr>
          <w:sz w:val="20"/>
          <w:szCs w:val="20"/>
          <w:color w:val="auto"/>
        </w:rPr>
        <w:tab/>
      </w: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1520" w:val="left"/>
          <w:tab w:leader="none" w:pos="2160" w:val="left"/>
          <w:tab w:leader="none" w:pos="2820" w:val="left"/>
        </w:tabs>
        <w:rPr>
          <w:sz w:val="20"/>
          <w:szCs w:val="20"/>
          <w:color w:val="auto"/>
        </w:rPr>
      </w:pPr>
      <w:r>
        <w:rPr>
          <w:rFonts w:ascii="Times New Roman" w:cs="Times New Roman" w:eastAsia="Times New Roman" w:hAnsi="Times New Roman"/>
          <w:sz w:val="18"/>
          <w:szCs w:val="18"/>
          <w:color w:val="auto"/>
        </w:rPr>
        <w:t>$________</w:t>
      </w:r>
      <w:r>
        <w:rPr>
          <w:sz w:val="20"/>
          <w:szCs w:val="20"/>
          <w:color w:val="auto"/>
        </w:rPr>
        <w:tab/>
      </w: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N/A</w:t>
      </w:r>
    </w:p>
    <w:p>
      <w:pPr>
        <w:spacing w:after="0" w:line="974" w:lineRule="exact"/>
        <w:rPr>
          <w:sz w:val="20"/>
          <w:szCs w:val="20"/>
          <w:color w:val="auto"/>
        </w:rPr>
      </w:pPr>
    </w:p>
    <w:p>
      <w:pPr>
        <w:sectPr>
          <w:pgSz w:w="11900" w:h="16838" w:orient="portrait"/>
          <w:cols w:equalWidth="0" w:num="3">
            <w:col w:w="3540" w:space="282"/>
            <w:col w:w="2998" w:space="620"/>
            <w:col w:w="3560"/>
          </w:cols>
          <w:pgMar w:left="320" w:top="1410"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ectPr>
          <w:pgSz w:w="11900" w:h="16838" w:orient="portrait"/>
          <w:cols w:equalWidth="0" w:num="1">
            <w:col w:w="11000"/>
          </w:cols>
          <w:pgMar w:left="320" w:top="1410" w:right="579" w:bottom="1440" w:gutter="0" w:footer="0" w:header="0"/>
          <w:type w:val="continuous"/>
        </w:sectPr>
      </w:pPr>
    </w:p>
    <w:p>
      <w:pPr>
        <w:spacing w:after="0" w:line="241" w:lineRule="exact"/>
        <w:rPr>
          <w:sz w:val="20"/>
          <w:szCs w:val="20"/>
          <w:color w:val="auto"/>
        </w:rPr>
      </w:pPr>
    </w:p>
    <w:p>
      <w:pPr>
        <w:ind w:left="900" w:hanging="570"/>
        <w:spacing w:after="0"/>
        <w:tabs>
          <w:tab w:leader="none" w:pos="90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Have there been any changes in management since the last Compliance Certificate?</w:t>
      </w:r>
    </w:p>
    <w:p>
      <w:pPr>
        <w:spacing w:after="0" w:line="331" w:lineRule="exact"/>
        <w:rPr>
          <w:rFonts w:ascii="Times New Roman" w:cs="Times New Roman" w:eastAsia="Times New Roman" w:hAnsi="Times New Roman"/>
          <w:sz w:val="18"/>
          <w:szCs w:val="18"/>
          <w:b w:val="1"/>
          <w:bCs w:val="1"/>
          <w:color w:val="auto"/>
        </w:rPr>
      </w:pPr>
    </w:p>
    <w:p>
      <w:pPr>
        <w:ind w:left="900" w:hanging="570"/>
        <w:spacing w:after="0"/>
        <w:tabs>
          <w:tab w:leader="none" w:pos="900" w:val="left"/>
        </w:tabs>
        <w:numPr>
          <w:ilvl w:val="0"/>
          <w:numId w:val="1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Have there been any transfers/sales/disposals/retirement of Collateral or IP prohibited by the Loan Agreement?</w:t>
      </w:r>
    </w:p>
    <w:p>
      <w:pPr>
        <w:spacing w:after="0" w:line="200" w:lineRule="exact"/>
        <w:rPr>
          <w:rFonts w:ascii="Times New Roman" w:cs="Times New Roman" w:eastAsia="Times New Roman" w:hAnsi="Times New Roman"/>
          <w:sz w:val="17"/>
          <w:szCs w:val="17"/>
          <w:b w:val="1"/>
          <w:bCs w:val="1"/>
          <w:color w:val="auto"/>
        </w:rPr>
      </w:pPr>
    </w:p>
    <w:p>
      <w:pPr>
        <w:spacing w:after="0" w:line="224" w:lineRule="exact"/>
        <w:rPr>
          <w:rFonts w:ascii="Times New Roman" w:cs="Times New Roman" w:eastAsia="Times New Roman" w:hAnsi="Times New Roman"/>
          <w:sz w:val="17"/>
          <w:szCs w:val="17"/>
          <w:b w:val="1"/>
          <w:bCs w:val="1"/>
          <w:color w:val="auto"/>
        </w:rPr>
      </w:pPr>
    </w:p>
    <w:p>
      <w:pPr>
        <w:ind w:left="900" w:right="160" w:hanging="570"/>
        <w:spacing w:after="0" w:line="183" w:lineRule="auto"/>
        <w:tabs>
          <w:tab w:leader="none" w:pos="900" w:val="left"/>
        </w:tabs>
        <w:numPr>
          <w:ilvl w:val="0"/>
          <w:numId w:val="148"/>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color w:val="auto"/>
        </w:rPr>
        <w:t>Have there been any new or pending claims or causes of action against Borrower that involve more than One Million Dollars ($1,000,000.00)?</w:t>
      </w:r>
    </w:p>
    <w:p>
      <w:pPr>
        <w:spacing w:after="0" w:line="347" w:lineRule="exact"/>
        <w:rPr>
          <w:rFonts w:ascii="Times New Roman" w:cs="Times New Roman" w:eastAsia="Times New Roman" w:hAnsi="Times New Roman"/>
          <w:sz w:val="34"/>
          <w:szCs w:val="34"/>
          <w:b w:val="1"/>
          <w:bCs w:val="1"/>
          <w:color w:val="auto"/>
          <w:vertAlign w:val="subscript"/>
        </w:rPr>
      </w:pPr>
    </w:p>
    <w:p>
      <w:pPr>
        <w:ind w:left="900"/>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color w:val="auto"/>
        </w:rPr>
        <w:t>Have there been any amendments of or other changes to the Operating Documents of Borrower or any of its</w:t>
      </w:r>
    </w:p>
    <w:p>
      <w:pPr>
        <w:spacing w:after="0" w:line="26" w:lineRule="exact"/>
        <w:rPr>
          <w:rFonts w:ascii="Times New Roman" w:cs="Times New Roman" w:eastAsia="Times New Roman" w:hAnsi="Times New Roman"/>
          <w:sz w:val="34"/>
          <w:szCs w:val="34"/>
          <w:b w:val="1"/>
          <w:bCs w:val="1"/>
          <w:color w:val="auto"/>
          <w:vertAlign w:val="subscript"/>
        </w:rPr>
      </w:pPr>
    </w:p>
    <w:p>
      <w:pPr>
        <w:ind w:left="900" w:right="280" w:hanging="570"/>
        <w:spacing w:after="0" w:line="187" w:lineRule="auto"/>
        <w:tabs>
          <w:tab w:leader="none" w:pos="900" w:val="left"/>
        </w:tabs>
        <w:numPr>
          <w:ilvl w:val="0"/>
          <w:numId w:val="148"/>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Subsidiaries? If Soleno is no longer subject to the reporting requirements of under the Securities Exchange Act of 1934, as amended, has there been a material change to the capitalization table of Soleno? If yes, provide copies of any such amendments or changes with this Compliance Certificate.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33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200" w:lineRule="exact"/>
        <w:rPr>
          <w:sz w:val="20"/>
          <w:szCs w:val="20"/>
          <w:color w:val="auto"/>
        </w:rPr>
      </w:pPr>
    </w:p>
    <w:p>
      <w:pPr>
        <w:spacing w:after="0" w:line="32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548" w:lineRule="exact"/>
        <w:rPr>
          <w:sz w:val="20"/>
          <w:szCs w:val="20"/>
          <w:color w:val="auto"/>
        </w:rPr>
      </w:pPr>
    </w:p>
    <w:p>
      <w:pPr>
        <w:sectPr>
          <w:pgSz w:w="11900" w:h="16838" w:orient="portrait"/>
          <w:cols w:equalWidth="0" w:num="2">
            <w:col w:w="8880" w:space="500"/>
            <w:col w:w="1620"/>
          </w:cols>
          <w:pgMar w:left="320" w:top="1410" w:right="579" w:bottom="1440" w:gutter="0" w:footer="0" w:header="0"/>
          <w:type w:val="continuous"/>
        </w:sect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835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00"/>
          </w:cols>
          <w:pgMar w:left="320" w:top="1410" w:right="579" w:bottom="1440" w:gutter="0" w:footer="0" w:header="0"/>
          <w:type w:val="continuous"/>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auto"/>
        </w:rPr>
        <w:t>Exceptions</w:t>
      </w:r>
    </w:p>
    <w:p>
      <w:pPr>
        <w:spacing w:after="0" w:line="22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Please explain any exceptions with respect to the certification above: (If no exceptions exist, state “No exceptions.” Attach separate sheet if additional space needed.)</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SOLENO THERAPEUTICS, INC.</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17145</wp:posOffset>
            </wp:positionV>
            <wp:extent cx="164211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2">
                      <a:extLst>
                        <a:ext uri="{28A0092B-C50C-407E-A947-70E740481C1C}"/>
                      </a:extLst>
                    </a:blip>
                    <a:srcRect/>
                    <a:stretch>
                      <a:fillRect/>
                    </a:stretch>
                  </pic:blipFill>
                  <pic:spPr bwMode="auto">
                    <a:xfrm>
                      <a:off x="0" y="0"/>
                      <a:ext cx="164211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13970</wp:posOffset>
            </wp:positionV>
            <wp:extent cx="164211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3">
                      <a:extLst>
                        <a:ext uri="{28A0092B-C50C-407E-A947-70E740481C1C}"/>
                      </a:extLst>
                    </a:blip>
                    <a:srcRect/>
                    <a:stretch>
                      <a:fillRect/>
                    </a:stretch>
                  </pic:blipFill>
                  <pic:spPr bwMode="auto">
                    <a:xfrm>
                      <a:off x="0" y="0"/>
                      <a:ext cx="1642110" cy="825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13970</wp:posOffset>
            </wp:positionV>
            <wp:extent cx="164211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4">
                      <a:extLst>
                        <a:ext uri="{28A0092B-C50C-407E-A947-70E740481C1C}"/>
                      </a:extLst>
                    </a:blip>
                    <a:srcRect/>
                    <a:stretch>
                      <a:fillRect/>
                    </a:stretch>
                  </pic:blipFill>
                  <pic:spPr bwMode="auto">
                    <a:xfrm>
                      <a:off x="0" y="0"/>
                      <a:ext cx="164211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ESSENTIALIS, INC.</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17145</wp:posOffset>
            </wp:positionV>
            <wp:extent cx="164211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5">
                      <a:extLst>
                        <a:ext uri="{28A0092B-C50C-407E-A947-70E740481C1C}"/>
                      </a:extLst>
                    </a:blip>
                    <a:srcRect/>
                    <a:stretch>
                      <a:fillRect/>
                    </a:stretch>
                  </pic:blipFill>
                  <pic:spPr bwMode="auto">
                    <a:xfrm>
                      <a:off x="0" y="0"/>
                      <a:ext cx="164211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13970</wp:posOffset>
            </wp:positionV>
            <wp:extent cx="164211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6">
                      <a:extLst>
                        <a:ext uri="{28A0092B-C50C-407E-A947-70E740481C1C}"/>
                      </a:extLst>
                    </a:blip>
                    <a:srcRect/>
                    <a:stretch>
                      <a:fillRect/>
                    </a:stretch>
                  </pic:blipFill>
                  <pic:spPr bwMode="auto">
                    <a:xfrm>
                      <a:off x="0" y="0"/>
                      <a:ext cx="1642110" cy="825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13970</wp:posOffset>
            </wp:positionV>
            <wp:extent cx="164211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7">
                      <a:extLst>
                        <a:ext uri="{28A0092B-C50C-407E-A947-70E740481C1C}"/>
                      </a:extLst>
                    </a:blip>
                    <a:srcRect/>
                    <a:stretch>
                      <a:fillRect/>
                    </a:stretch>
                  </pic:blipFill>
                  <pic:spPr bwMode="auto">
                    <a:xfrm>
                      <a:off x="0" y="0"/>
                      <a:ext cx="164211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tbl>
      <w:tblPr>
        <w:tblLayout w:type="fixed"/>
        <w:tblInd w:w="4340" w:type="dxa"/>
        <w:tblCellMar>
          <w:top w:w="0" w:type="dxa"/>
          <w:left w:w="0" w:type="dxa"/>
          <w:bottom w:w="0" w:type="dxa"/>
          <w:right w:w="0" w:type="dxa"/>
        </w:tblCellMar>
      </w:tblPr>
      <w:tr>
        <w:trPr>
          <w:trHeight w:val="238"/>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LENDER USE ONLY</w:t>
            </w: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31"/>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Received by:</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2"/>
              </w:rPr>
              <w:t>Date:</w:t>
            </w:r>
          </w:p>
        </w:tc>
      </w:tr>
      <w:tr>
        <w:trPr>
          <w:trHeight w:val="42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Verified by:</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2"/>
              </w:rPr>
              <w:t>Date:</w:t>
            </w:r>
          </w:p>
        </w:tc>
      </w:tr>
      <w:tr>
        <w:trPr>
          <w:trHeight w:val="425"/>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Compliance Status:</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Yes</w:t>
            </w:r>
          </w:p>
        </w:tc>
        <w:tc>
          <w:tcPr>
            <w:tcW w:w="1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5598160</wp:posOffset>
            </wp:positionH>
            <wp:positionV relativeFrom="paragraph">
              <wp:posOffset>-563880</wp:posOffset>
            </wp:positionV>
            <wp:extent cx="109474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8">
                      <a:extLst>
                        <a:ext uri="{28A0092B-C50C-407E-A947-70E740481C1C}"/>
                      </a:extLst>
                    </a:blip>
                    <a:srcRect/>
                    <a:stretch>
                      <a:fillRect/>
                    </a:stretch>
                  </pic:blipFill>
                  <pic:spPr bwMode="auto">
                    <a:xfrm>
                      <a:off x="0" y="0"/>
                      <a:ext cx="1094740" cy="8255"/>
                    </a:xfrm>
                    <a:prstGeom prst="rect">
                      <a:avLst/>
                    </a:prstGeom>
                    <a:noFill/>
                  </pic:spPr>
                </pic:pic>
              </a:graphicData>
            </a:graphic>
          </wp:anchor>
        </w:drawing>
        <w:drawing>
          <wp:anchor simplePos="0" relativeHeight="251657728" behindDoc="1" locked="0" layoutInCell="0" allowOverlap="1">
            <wp:simplePos x="0" y="0"/>
            <wp:positionH relativeFrom="column">
              <wp:posOffset>5598160</wp:posOffset>
            </wp:positionH>
            <wp:positionV relativeFrom="paragraph">
              <wp:posOffset>-281940</wp:posOffset>
            </wp:positionV>
            <wp:extent cx="109474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9">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835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40"/>
          </w:cols>
          <w:pgMar w:left="320" w:top="1410" w:right="739" w:bottom="1440" w:gutter="0" w:footer="0" w:header="0"/>
        </w:sectPr>
      </w:pPr>
    </w:p>
    <w:bookmarkStart w:id="193" w:name="page194"/>
    <w:bookmarkEnd w:id="193"/>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Form of Secured Promissory Note</w:t>
      </w:r>
    </w:p>
    <w:p>
      <w:pPr>
        <w:spacing w:after="0" w:line="22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835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410" w:right="1440"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7"/>
          <w:szCs w:val="17"/>
          <w:b w:val="1"/>
          <w:bCs w:val="1"/>
          <w:color w:val="auto"/>
        </w:rPr>
        <w:t>SECURED PROMISSORY NOTE</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[A][B][C][D] Loan)</w:t>
      </w:r>
    </w:p>
    <w:p>
      <w:pPr>
        <w:sectPr>
          <w:pgSz w:w="11900" w:h="16838" w:orient="portrait"/>
          <w:cols w:equalWidth="0" w:num="1">
            <w:col w:w="11240"/>
          </w:cols>
          <w:pgMar w:left="320" w:top="1410" w:right="339" w:bottom="1440" w:gutter="0" w:footer="0" w:header="0"/>
        </w:sect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$____________________</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[DATE]</w:t>
      </w:r>
    </w:p>
    <w:p>
      <w:pPr>
        <w:spacing w:after="0" w:line="200" w:lineRule="exact"/>
        <w:rPr>
          <w:sz w:val="20"/>
          <w:szCs w:val="20"/>
          <w:color w:val="auto"/>
        </w:rPr>
      </w:pPr>
    </w:p>
    <w:p>
      <w:pPr>
        <w:sectPr>
          <w:pgSz w:w="11900" w:h="16838" w:orient="portrait"/>
          <w:cols w:equalWidth="0" w:num="2">
            <w:col w:w="9340" w:space="720"/>
            <w:col w:w="1180"/>
          </w:cols>
          <w:pgMar w:left="320" w:top="1410" w:right="339" w:bottom="1440" w:gutter="0" w:footer="0" w:header="0"/>
          <w:type w:val="continuous"/>
        </w:sectPr>
      </w:pPr>
    </w:p>
    <w:p>
      <w:pPr>
        <w:spacing w:after="0" w:line="5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FOR VALUE RECEIVED, the undersigned, SOLENO THERAPEUTICS, INC., a Delaware corporation with offices located at 100 Marine Parkway, Suite 400, Redwood City, CA 94065 (“</w:t>
      </w:r>
      <w:r>
        <w:rPr>
          <w:rFonts w:ascii="Times New Roman" w:cs="Times New Roman" w:eastAsia="Times New Roman" w:hAnsi="Times New Roman"/>
          <w:sz w:val="18"/>
          <w:szCs w:val="18"/>
          <w:b w:val="1"/>
          <w:bCs w:val="1"/>
          <w:color w:val="auto"/>
        </w:rPr>
        <w:t>Soleno</w:t>
      </w:r>
      <w:r>
        <w:rPr>
          <w:rFonts w:ascii="Times New Roman" w:cs="Times New Roman" w:eastAsia="Times New Roman" w:hAnsi="Times New Roman"/>
          <w:sz w:val="18"/>
          <w:szCs w:val="18"/>
          <w:color w:val="auto"/>
        </w:rPr>
        <w:t>”), ESSENTIALIS, INC., a Delaware corporation with offices located at 100 Marine Parkway, Suite 400, Redwood City, CA 94065 (“</w:t>
      </w:r>
      <w:r>
        <w:rPr>
          <w:rFonts w:ascii="Times New Roman" w:cs="Times New Roman" w:eastAsia="Times New Roman" w:hAnsi="Times New Roman"/>
          <w:sz w:val="18"/>
          <w:szCs w:val="18"/>
          <w:b w:val="1"/>
          <w:bCs w:val="1"/>
          <w:color w:val="auto"/>
        </w:rPr>
        <w:t>Essentialis</w:t>
      </w:r>
      <w:r>
        <w:rPr>
          <w:rFonts w:ascii="Times New Roman" w:cs="Times New Roman" w:eastAsia="Times New Roman" w:hAnsi="Times New Roman"/>
          <w:sz w:val="18"/>
          <w:szCs w:val="18"/>
          <w:color w:val="auto"/>
        </w:rPr>
        <w:t>”, together with Soleno, individually and collectively, jointly and severally,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HEREBY PROMISES TO PAY [OXFORD FINANCE LLC] [OXFORD FINANCE CREDIT FUND II LP] [OXFORD FINANCE CREDIT FUND III LP], or its registered assigns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the principal amount of [___________] MILLION DOLLARS ($______________) or such lesser amount as shall equal the</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outstanding principal balance of the Term [A][B][C][D] Loan made to Borrower by Lender, plus interest on the aggregate unpaid principal amount of such Term [A][B][C][D] Loan, at the rates and in accordance with the terms of the Loan and Security Agreement dated December 17, 2024 by and among Borrower, Lender, Oxford Finance LLC, as Collateral Agent, and the other Lenders from time to time party thereto (as amended, restated, supplemented or otherwise modified from time to time,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If not sooner paid, the entire principal amount and all accrued and unpaid interest hereunder shall be due and payable on the Maturity Date as set forth in the Loan Agreement. Any capitalized term not otherwise defined herein shall have the meaning attributed to such term in the Loan Agreement.</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Principal, interest and all other amounts due with respect to the Term [A][B][C][D] Loan, are payable in lawful money of the United States of America to Lender as set forth in the Loan Agreement and this Secured Promissory Note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The principal amount of this Note and the interest rate applicable thereto, and all payments made with respect thereto, shall be recorded by Lender and, prior to any transfer hereof, endorsed on the grid attached hereto which is part of this Note.</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Loan Agreement, among other things, (a) provides for the making of a secured Term [A][B][C][D] Loan by Lender to Borrower, and (b) contains provisions for acceleration of the maturity hereof upon the happening of certain stated events.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Note may not be prepaid except as set forth in Section 2.2 (c) and Section 2.2(d) of the Loan Agreement.</w:t>
      </w:r>
    </w:p>
    <w:p>
      <w:pPr>
        <w:spacing w:after="0" w:line="22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This Note and the obligation of Borrower to repay the unpaid principal amount of the Term [A][B][C][D] Loan, interest on the Term [A][B][C][D] Loan and all other amounts due Lender under the Loan Agreement is secured under the Loan Agreement.</w:t>
      </w:r>
    </w:p>
    <w:p>
      <w:pPr>
        <w:spacing w:after="0" w:line="16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Presentment for payment, demand, notice of protest and all other demands and notices of any kind in connection with the execution, delivery, performance and enforcement of this Note are hereby waived.</w:t>
      </w:r>
    </w:p>
    <w:p>
      <w:pPr>
        <w:spacing w:after="0" w:line="16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Note shall be governed by, and construed and interpreted in accordance with, the internal laws of the State of California.</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ownership of an interest in this Note shall be registered on a record of ownership maintained by Lender or its agent. Notwithstanding anything else in this Note to the contrary, the right to the principal of, and stated interest on, this Note may be transferred only if the transfer is registered on such record of ownership and the transferee is identified as the owner of an 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[Balance of Page Intentionally Left Blank]</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835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type w:val="continuous"/>
        </w:sectPr>
      </w:pPr>
    </w:p>
    <w:bookmarkStart w:id="195" w:name="page196"/>
    <w:bookmarkEnd w:id="195"/>
    <w:p>
      <w:pPr>
        <w:jc w:val="center"/>
        <w:ind w:left="720"/>
        <w:spacing w:after="0"/>
        <w:rPr>
          <w:sz w:val="20"/>
          <w:szCs w:val="20"/>
          <w:color w:val="auto"/>
        </w:rPr>
      </w:pPr>
      <w:r>
        <w:rPr>
          <w:rFonts w:ascii="Times New Roman" w:cs="Times New Roman" w:eastAsia="Times New Roman" w:hAnsi="Times New Roman"/>
          <w:sz w:val="17"/>
          <w:szCs w:val="17"/>
          <w:color w:val="auto"/>
        </w:rPr>
        <w:t>IN WITNESS WHEREOF, Borrower has caused this Note to be duly executed by one of its officers thereunto duly authorized on the date hereof.</w:t>
      </w:r>
    </w:p>
    <w:p>
      <w:pPr>
        <w:spacing w:after="0" w:line="2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SOLENO THERAPEUTICS, INC.</w:t>
      </w:r>
    </w:p>
    <w:p>
      <w:pPr>
        <w:spacing w:after="0" w:line="200" w:lineRule="exact"/>
        <w:rPr>
          <w:sz w:val="20"/>
          <w:szCs w:val="20"/>
          <w:color w:val="auto"/>
        </w:rPr>
      </w:pPr>
    </w:p>
    <w:p>
      <w:pPr>
        <w:spacing w:after="0" w:line="2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17145</wp:posOffset>
            </wp:positionV>
            <wp:extent cx="359219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3">
                      <a:extLst>
                        <a:ext uri="{28A0092B-C50C-407E-A947-70E740481C1C}"/>
                      </a:extLst>
                    </a:blip>
                    <a:srcRect/>
                    <a:stretch>
                      <a:fillRect/>
                    </a:stretch>
                  </pic:blipFill>
                  <pic:spPr bwMode="auto">
                    <a:xfrm>
                      <a:off x="0" y="0"/>
                      <a:ext cx="3592195" cy="8255"/>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13970</wp:posOffset>
            </wp:positionV>
            <wp:extent cx="33864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4">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13970</wp:posOffset>
            </wp:positionV>
            <wp:extent cx="34550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5">
                      <a:extLst>
                        <a:ext uri="{28A0092B-C50C-407E-A947-70E740481C1C}"/>
                      </a:extLst>
                    </a:blip>
                    <a:srcRect/>
                    <a:stretch>
                      <a:fillRect/>
                    </a:stretch>
                  </pic:blipFill>
                  <pic:spPr bwMode="auto">
                    <a:xfrm>
                      <a:off x="0" y="0"/>
                      <a:ext cx="3455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ESSENTIALIS, INC.</w:t>
      </w:r>
    </w:p>
    <w:p>
      <w:pPr>
        <w:spacing w:after="0" w:line="200" w:lineRule="exact"/>
        <w:rPr>
          <w:sz w:val="20"/>
          <w:szCs w:val="20"/>
          <w:color w:val="auto"/>
        </w:rPr>
      </w:pPr>
    </w:p>
    <w:p>
      <w:pPr>
        <w:spacing w:after="0" w:line="2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17145</wp:posOffset>
            </wp:positionV>
            <wp:extent cx="359219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6">
                      <a:extLst>
                        <a:ext uri="{28A0092B-C50C-407E-A947-70E740481C1C}"/>
                      </a:extLst>
                    </a:blip>
                    <a:srcRect/>
                    <a:stretch>
                      <a:fillRect/>
                    </a:stretch>
                  </pic:blipFill>
                  <pic:spPr bwMode="auto">
                    <a:xfrm>
                      <a:off x="0" y="0"/>
                      <a:ext cx="3592195" cy="8255"/>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13970</wp:posOffset>
            </wp:positionV>
            <wp:extent cx="33864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7">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13970</wp:posOffset>
            </wp:positionV>
            <wp:extent cx="34550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8">
                      <a:extLst>
                        <a:ext uri="{28A0092B-C50C-407E-A947-70E740481C1C}"/>
                      </a:extLst>
                    </a:blip>
                    <a:srcRect/>
                    <a:stretch>
                      <a:fillRect/>
                    </a:stretch>
                  </pic:blipFill>
                  <pic:spPr bwMode="auto">
                    <a:xfrm>
                      <a:off x="0" y="0"/>
                      <a:ext cx="3455035"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835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196" w:name="page197"/>
    <w:bookmarkEnd w:id="196"/>
    <w:tbl>
      <w:tblPr>
        <w:tblLayout w:type="fixed"/>
        <w:tblInd w:w="12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40" w:type="dxa"/>
            <w:vAlign w:val="bottom"/>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LOAN INTEREST RATE AND PAYMENTS OF PRINCIPAL</w:t>
            </w: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09"/>
        </w:trPr>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Scheduled</w:t>
            </w: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38"/>
        </w:trPr>
        <w:tc>
          <w:tcPr>
            <w:tcW w:w="2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20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22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Payment Amount</w:t>
            </w:r>
          </w:p>
        </w:tc>
        <w:tc>
          <w:tcPr>
            <w:tcW w:w="220" w:type="dxa"/>
            <w:vAlign w:val="bottom"/>
          </w:tcPr>
          <w:p>
            <w:pPr>
              <w:spacing w:after="0"/>
              <w:rPr>
                <w:sz w:val="20"/>
                <w:szCs w:val="20"/>
                <w:color w:val="auto"/>
              </w:rPr>
            </w:pPr>
          </w:p>
        </w:tc>
        <w:tc>
          <w:tcPr>
            <w:tcW w:w="18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Notation By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4975225</wp:posOffset>
            </wp:positionH>
            <wp:positionV relativeFrom="paragraph">
              <wp:posOffset>-33655</wp:posOffset>
            </wp:positionV>
            <wp:extent cx="2857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835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20"/>
          </w:cols>
          <w:pgMar w:left="320" w:top="1410" w:right="559" w:bottom="1440" w:gutter="0" w:footer="0" w:header="0"/>
        </w:sectPr>
      </w:pPr>
    </w:p>
    <w:bookmarkStart w:id="197" w:name="page198"/>
    <w:bookmarkEnd w:id="19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CORPORATE BORROWING CERTIFICATE</w:t>
      </w:r>
    </w:p>
    <w:p>
      <w:pPr>
        <w:sectPr>
          <w:pgSz w:w="11900" w:h="16838" w:orient="portrait"/>
          <w:cols w:equalWidth="0" w:num="1">
            <w:col w:w="11240"/>
          </w:cols>
          <w:pgMar w:left="320" w:top="1410" w:right="339" w:bottom="1440" w:gutter="0" w:footer="0" w:header="0"/>
        </w:sectPr>
      </w:pPr>
    </w:p>
    <w:p>
      <w:pPr>
        <w:spacing w:after="0" w:line="2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orrower</w:t>
      </w:r>
      <w:r>
        <w:rPr>
          <w:rFonts w:ascii="Times New Roman" w:cs="Times New Roman" w:eastAsia="Times New Roman" w:hAnsi="Times New Roman"/>
          <w:sz w:val="18"/>
          <w:szCs w:val="18"/>
          <w:b w:val="1"/>
          <w:bCs w:val="1"/>
          <w:color w:val="auto"/>
        </w:rPr>
        <w:t>:</w:t>
      </w:r>
    </w:p>
    <w:p>
      <w:pPr>
        <w:spacing w:after="0" w:line="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enders</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SOLENO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OXFORD FINANCE LLC, as Collateral Agent and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OXFORD FINANCE CREDIT FUND II LP, and OXFORD FINANCE CREDIT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 III LP as Lenders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color w:val="auto"/>
        </w:rPr>
        <w:t>: December 17, 2024</w:t>
      </w:r>
    </w:p>
    <w:p>
      <w:pPr>
        <w:spacing w:after="0" w:line="868" w:lineRule="exact"/>
        <w:rPr>
          <w:sz w:val="20"/>
          <w:szCs w:val="20"/>
          <w:color w:val="auto"/>
        </w:rPr>
      </w:pPr>
    </w:p>
    <w:p>
      <w:pPr>
        <w:sectPr>
          <w:pgSz w:w="11900" w:h="16838" w:orient="portrait"/>
          <w:cols w:equalWidth="0" w:num="3">
            <w:col w:w="960" w:space="720"/>
            <w:col w:w="6860" w:space="720"/>
            <w:col w:w="1980"/>
          </w:cols>
          <w:pgMar w:left="320" w:top="1410" w:right="3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hereby certify as follows, as of the date set forth above:</w:t>
      </w:r>
    </w:p>
    <w:p>
      <w:pPr>
        <w:spacing w:after="0" w:line="224" w:lineRule="exact"/>
        <w:rPr>
          <w:sz w:val="20"/>
          <w:szCs w:val="20"/>
          <w:color w:val="auto"/>
        </w:rPr>
      </w:pPr>
    </w:p>
    <w:p>
      <w:pPr>
        <w:ind w:left="360" w:hanging="352"/>
        <w:spacing w:after="0"/>
        <w:tabs>
          <w:tab w:leader="none" w:pos="3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Secretary, Assistant Secretary or other officer of Borrower. My title is as set forth below.</w:t>
      </w:r>
    </w:p>
    <w:p>
      <w:pPr>
        <w:spacing w:after="0" w:line="224"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exact legal name is set forth above. Borrower is a corporation existing under the laws of the State of Delaware.</w:t>
      </w:r>
    </w:p>
    <w:p>
      <w:pPr>
        <w:spacing w:after="0" w:line="223" w:lineRule="exact"/>
        <w:rPr>
          <w:rFonts w:ascii="Times New Roman" w:cs="Times New Roman" w:eastAsia="Times New Roman" w:hAnsi="Times New Roman"/>
          <w:sz w:val="18"/>
          <w:szCs w:val="18"/>
          <w:color w:val="auto"/>
        </w:rPr>
      </w:pPr>
    </w:p>
    <w:p>
      <w:pPr>
        <w:jc w:val="both"/>
        <w:ind w:firstLine="8"/>
        <w:spacing w:after="0" w:line="260" w:lineRule="auto"/>
        <w:tabs>
          <w:tab w:leader="none" w:pos="35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respectively, are true, correct and complete copies of (i) Borrower’s Certificate of Incorporation (including amendments), as filed with the Secretary of State of the state in which Borrower is incorporated as set forth in paragraph 2 above; and (ii) Borrower’s Bylaws. Neither such Certificate of Incorporation nor such Bylaws have been amended, annulled, rescinded, revoked or supplemented, and such Certificate of Incorporation and such Bylaws remain in full force and effect as of the date hereof.</w:t>
      </w:r>
    </w:p>
    <w:p>
      <w:pPr>
        <w:spacing w:after="0" w:line="180" w:lineRule="exact"/>
        <w:rPr>
          <w:rFonts w:ascii="Times New Roman" w:cs="Times New Roman" w:eastAsia="Times New Roman" w:hAnsi="Times New Roman"/>
          <w:sz w:val="18"/>
          <w:szCs w:val="18"/>
          <w:color w:val="auto"/>
        </w:rPr>
      </w:pPr>
    </w:p>
    <w:p>
      <w:pPr>
        <w:jc w:val="both"/>
        <w:ind w:firstLine="8"/>
        <w:spacing w:after="0" w:line="260" w:lineRule="auto"/>
        <w:tabs>
          <w:tab w:leader="none" w:pos="35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resolutions were duly and validly adopted by Borrower’s Board of Directors at a duly held meeting of such directors (or pursuant to a unanimous written consent or other authorized corporate action). Such resolutions are in full force and effect as of the date hereof and have not been in any way modified, repealed, rescinded, amended or revoked, and the Lenders may rely on them until each Lender receives written notice of revocation from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Balance of Page Intentionally Left Blank</w:t>
      </w:r>
      <w:r>
        <w:rPr>
          <w:rFonts w:ascii="Times New Roman" w:cs="Times New Roman" w:eastAsia="Times New Roman" w:hAnsi="Times New Roman"/>
          <w:sz w:val="18"/>
          <w:szCs w:val="18"/>
          <w:b w:val="1"/>
          <w:bCs w:val="1"/>
          <w:color w:val="auto"/>
        </w:rPr>
        <w:t>]</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835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type w:val="continuous"/>
        </w:sectPr>
      </w:pPr>
    </w:p>
    <w:bookmarkStart w:id="198" w:name="page199"/>
    <w:bookmarkEnd w:id="198"/>
    <w:p>
      <w:pPr>
        <w:jc w:val="both"/>
        <w:ind w:left="760" w:right="200"/>
        <w:spacing w:after="0" w:line="285"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esolved</w:t>
      </w:r>
      <w:r>
        <w:rPr>
          <w:rFonts w:ascii="Times New Roman" w:cs="Times New Roman" w:eastAsia="Times New Roman" w:hAnsi="Times New Roman"/>
          <w:sz w:val="18"/>
          <w:szCs w:val="18"/>
          <w:color w:val="auto"/>
        </w:rPr>
        <w:t>, that</w:t>
      </w:r>
      <w:r>
        <w:rPr>
          <w:rFonts w:ascii="Times New Roman" w:cs="Times New Roman" w:eastAsia="Times New Roman" w:hAnsi="Times New Roman"/>
          <w:sz w:val="18"/>
          <w:szCs w:val="18"/>
          <w:b w:val="1"/>
          <w:bCs w:val="1"/>
          <w:color w:val="auto"/>
        </w:rPr>
        <w:t xml:space="preserve"> any one </w:t>
      </w:r>
      <w:r>
        <w:rPr>
          <w:rFonts w:ascii="Times New Roman" w:cs="Times New Roman" w:eastAsia="Times New Roman" w:hAnsi="Times New Roman"/>
          <w:sz w:val="18"/>
          <w:szCs w:val="18"/>
          <w:color w:val="auto"/>
        </w:rPr>
        <w:t>of the following officers or employees of Borrower, whose names, titles and signatures are below, may act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Borrower: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9"/>
              </w:rPr>
              <w:t>Authorized to Add</w:t>
            </w:r>
          </w:p>
        </w:tc>
      </w:tr>
      <w:tr>
        <w:trPr>
          <w:trHeight w:val="215"/>
        </w:trPr>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8"/>
              </w:rPr>
              <w:t>or Remove</w:t>
            </w:r>
          </w:p>
        </w:tc>
      </w:tr>
      <w:tr>
        <w:trPr>
          <w:trHeight w:val="193"/>
        </w:trPr>
        <w:tc>
          <w:tcPr>
            <w:tcW w:w="2720" w:type="dxa"/>
            <w:vAlign w:val="bottom"/>
            <w:gridSpan w:val="3"/>
          </w:tcPr>
          <w:p>
            <w:pPr>
              <w:ind w:left="1160"/>
              <w:spacing w:after="0" w:line="194"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Title</w:t>
            </w:r>
          </w:p>
        </w:tc>
        <w:tc>
          <w:tcPr>
            <w:tcW w:w="260" w:type="dxa"/>
            <w:vAlign w:val="bottom"/>
          </w:tcPr>
          <w:p>
            <w:pPr>
              <w:spacing w:after="0"/>
              <w:rPr>
                <w:sz w:val="16"/>
                <w:szCs w:val="16"/>
                <w:color w:val="auto"/>
              </w:rPr>
            </w:pPr>
          </w:p>
        </w:tc>
        <w:tc>
          <w:tcPr>
            <w:tcW w:w="2640" w:type="dxa"/>
            <w:vAlign w:val="bottom"/>
            <w:gridSpan w:val="3"/>
          </w:tcPr>
          <w:p>
            <w:pPr>
              <w:ind w:left="980"/>
              <w:spacing w:after="0" w:line="194" w:lineRule="exact"/>
              <w:rPr>
                <w:sz w:val="20"/>
                <w:szCs w:val="20"/>
                <w:color w:val="auto"/>
              </w:rPr>
            </w:pPr>
            <w:r>
              <w:rPr>
                <w:rFonts w:ascii="Times New Roman" w:cs="Times New Roman" w:eastAsia="Times New Roman" w:hAnsi="Times New Roman"/>
                <w:sz w:val="18"/>
                <w:szCs w:val="18"/>
                <w:color w:val="auto"/>
              </w:rPr>
              <w:t>Signature</w:t>
            </w:r>
          </w:p>
        </w:tc>
        <w:tc>
          <w:tcPr>
            <w:tcW w:w="2160" w:type="dxa"/>
            <w:vAlign w:val="bottom"/>
            <w:gridSpan w:val="3"/>
          </w:tcPr>
          <w:p>
            <w:pPr>
              <w:jc w:val="center"/>
              <w:ind w:left="750"/>
              <w:spacing w:after="0" w:line="194" w:lineRule="exact"/>
              <w:rPr>
                <w:sz w:val="20"/>
                <w:szCs w:val="20"/>
                <w:color w:val="auto"/>
              </w:rPr>
            </w:pPr>
            <w:r>
              <w:rPr>
                <w:rFonts w:ascii="Times New Roman" w:cs="Times New Roman" w:eastAsia="Times New Roman" w:hAnsi="Times New Roman"/>
                <w:sz w:val="18"/>
                <w:szCs w:val="18"/>
                <w:color w:val="auto"/>
                <w:w w:val="98"/>
              </w:rPr>
              <w:t>Signatories</w:t>
            </w:r>
          </w:p>
        </w:tc>
      </w:tr>
      <w:tr>
        <w:trPr>
          <w:trHeight w:val="317"/>
        </w:trPr>
        <w:tc>
          <w:tcPr>
            <w:tcW w:w="1160" w:type="dxa"/>
            <w:vAlign w:val="bottom"/>
            <w:tcBorders>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5"/>
                <w:szCs w:val="25"/>
                <w:color w:val="auto"/>
              </w:rPr>
              <w:t>□</w:t>
            </w:r>
          </w:p>
        </w:tc>
        <w:tc>
          <w:tcPr>
            <w:tcW w:w="260" w:type="dxa"/>
            <w:vAlign w:val="bottom"/>
          </w:tcPr>
          <w:p>
            <w:pPr>
              <w:spacing w:after="0"/>
              <w:rPr>
                <w:sz w:val="24"/>
                <w:szCs w:val="24"/>
                <w:color w:val="auto"/>
              </w:rPr>
            </w:pPr>
          </w:p>
        </w:tc>
      </w:tr>
      <w:tr>
        <w:trPr>
          <w:trHeight w:val="532"/>
        </w:trPr>
        <w:tc>
          <w:tcPr>
            <w:tcW w:w="1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25"/>
                <w:szCs w:val="25"/>
                <w:color w:val="auto"/>
              </w:rPr>
              <w:t>□</w:t>
            </w:r>
          </w:p>
        </w:tc>
      </w:tr>
      <w:tr>
        <w:trPr>
          <w:trHeight w:val="532"/>
        </w:trPr>
        <w:tc>
          <w:tcPr>
            <w:tcW w:w="1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25"/>
                <w:szCs w:val="25"/>
                <w:color w:val="auto"/>
              </w:rPr>
              <w:t>□</w:t>
            </w:r>
          </w:p>
        </w:tc>
      </w:tr>
      <w:tr>
        <w:trPr>
          <w:trHeight w:val="532"/>
        </w:trPr>
        <w:tc>
          <w:tcPr>
            <w:tcW w:w="1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25"/>
                <w:szCs w:val="25"/>
                <w:color w:val="auto"/>
              </w:rPr>
              <w:t>□</w:t>
            </w:r>
          </w:p>
        </w:tc>
      </w:tr>
    </w:tbl>
    <w:p>
      <w:pPr>
        <w:spacing w:after="0" w:line="193" w:lineRule="exact"/>
        <w:rPr>
          <w:sz w:val="20"/>
          <w:szCs w:val="20"/>
          <w:color w:val="auto"/>
        </w:rPr>
      </w:pPr>
    </w:p>
    <w:p>
      <w:pPr>
        <w:jc w:val="both"/>
        <w:ind w:left="760" w:right="220"/>
        <w:spacing w:after="0" w:line="285"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esolved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w:t>
      </w:r>
      <w:r>
        <w:rPr>
          <w:rFonts w:ascii="Times New Roman" w:cs="Times New Roman" w:eastAsia="Times New Roman" w:hAnsi="Times New Roman"/>
          <w:sz w:val="18"/>
          <w:szCs w:val="18"/>
          <w:b w:val="1"/>
          <w:bCs w:val="1"/>
          <w:color w:val="auto"/>
        </w:rPr>
        <w:t xml:space="preserve"> any one </w:t>
      </w:r>
      <w:r>
        <w:rPr>
          <w:rFonts w:ascii="Times New Roman" w:cs="Times New Roman" w:eastAsia="Times New Roman" w:hAnsi="Times New Roman"/>
          <w:sz w:val="18"/>
          <w:szCs w:val="18"/>
          <w:color w:val="auto"/>
        </w:rPr>
        <w:t>of the persons designated above with a checked box beside his or her name may,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 or remove any individuals to and from the above list of persons authorized to act on behalf of Borrower.</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esolved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such individuals may, on behalf of Borrower:</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Borrow Money</w:t>
      </w:r>
      <w:r>
        <w:rPr>
          <w:rFonts w:ascii="Times New Roman" w:cs="Times New Roman" w:eastAsia="Times New Roman" w:hAnsi="Times New Roman"/>
          <w:sz w:val="18"/>
          <w:szCs w:val="18"/>
          <w:color w:val="auto"/>
        </w:rPr>
        <w:t>. Borrow money from the Lenders.</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Execute Loan Documents</w:t>
      </w:r>
      <w:r>
        <w:rPr>
          <w:rFonts w:ascii="Times New Roman" w:cs="Times New Roman" w:eastAsia="Times New Roman" w:hAnsi="Times New Roman"/>
          <w:sz w:val="18"/>
          <w:szCs w:val="18"/>
          <w:color w:val="auto"/>
        </w:rPr>
        <w:t>. Execute any loan documents any Lender requires.</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Grant Security</w:t>
      </w:r>
      <w:r>
        <w:rPr>
          <w:rFonts w:ascii="Times New Roman" w:cs="Times New Roman" w:eastAsia="Times New Roman" w:hAnsi="Times New Roman"/>
          <w:sz w:val="18"/>
          <w:szCs w:val="18"/>
          <w:color w:val="auto"/>
        </w:rPr>
        <w:t>. Grant Collateral Agent a security interest in any of Borrower’s assets.</w:t>
      </w:r>
    </w:p>
    <w:p>
      <w:pPr>
        <w:spacing w:after="0" w:line="9" w:lineRule="exact"/>
        <w:rPr>
          <w:sz w:val="20"/>
          <w:szCs w:val="20"/>
          <w:color w:val="auto"/>
        </w:rPr>
      </w:pPr>
    </w:p>
    <w:p>
      <w:pPr>
        <w:jc w:val="both"/>
        <w:ind w:left="760" w:right="220"/>
        <w:spacing w:after="0" w:line="249" w:lineRule="auto"/>
        <w:rPr>
          <w:sz w:val="20"/>
          <w:szCs w:val="20"/>
          <w:color w:val="auto"/>
        </w:rPr>
      </w:pPr>
      <w:r>
        <w:rPr>
          <w:rFonts w:ascii="Times New Roman" w:cs="Times New Roman" w:eastAsia="Times New Roman" w:hAnsi="Times New Roman"/>
          <w:sz w:val="18"/>
          <w:szCs w:val="18"/>
          <w:b w:val="1"/>
          <w:bCs w:val="1"/>
          <w:color w:val="auto"/>
        </w:rPr>
        <w:t>Negotiate Items</w:t>
      </w:r>
      <w:r>
        <w:rPr>
          <w:rFonts w:ascii="Times New Roman" w:cs="Times New Roman" w:eastAsia="Times New Roman" w:hAnsi="Times New Roman"/>
          <w:sz w:val="18"/>
          <w:szCs w:val="18"/>
          <w:color w:val="auto"/>
        </w:rPr>
        <w:t>. Negotiate or discount all drafts, trade acceptances, promissory notes, or other indebtedness in which Borrower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interest and receive cash or otherwise use the proceeds.</w:t>
      </w:r>
    </w:p>
    <w:p>
      <w:pPr>
        <w:spacing w:after="0" w:line="1" w:lineRule="exact"/>
        <w:rPr>
          <w:sz w:val="20"/>
          <w:szCs w:val="20"/>
          <w:color w:val="auto"/>
        </w:rPr>
      </w:pPr>
    </w:p>
    <w:p>
      <w:pPr>
        <w:jc w:val="both"/>
        <w:ind w:left="760" w:right="220"/>
        <w:spacing w:after="0" w:line="254" w:lineRule="auto"/>
        <w:rPr>
          <w:sz w:val="20"/>
          <w:szCs w:val="20"/>
          <w:color w:val="auto"/>
        </w:rPr>
      </w:pPr>
      <w:r>
        <w:rPr>
          <w:rFonts w:ascii="Times New Roman" w:cs="Times New Roman" w:eastAsia="Times New Roman" w:hAnsi="Times New Roman"/>
          <w:sz w:val="18"/>
          <w:szCs w:val="18"/>
          <w:b w:val="1"/>
          <w:bCs w:val="1"/>
          <w:color w:val="auto"/>
        </w:rPr>
        <w:t>Further Acts</w:t>
      </w:r>
      <w:r>
        <w:rPr>
          <w:rFonts w:ascii="Times New Roman" w:cs="Times New Roman" w:eastAsia="Times New Roman" w:hAnsi="Times New Roman"/>
          <w:sz w:val="18"/>
          <w:szCs w:val="18"/>
          <w:color w:val="auto"/>
        </w:rPr>
        <w:t>. Designate other individuals to request advances, pay fees and costs and execute other documents or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documents or agreement that waive Borrower’s right to a jury trial) they believe to be necessary to effectuate such resolutions.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esolved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all acts authorized by the above resolutions and any prior acts relating thereto are ratified.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Balance of Page Intentionally Left Blank</w:t>
      </w:r>
      <w:r>
        <w:rPr>
          <w:rFonts w:ascii="Times New Roman" w:cs="Times New Roman" w:eastAsia="Times New Roman" w:hAnsi="Times New Roman"/>
          <w:sz w:val="18"/>
          <w:szCs w:val="18"/>
          <w:b w:val="1"/>
          <w:bCs w:val="1"/>
          <w:color w:val="auto"/>
        </w:rPr>
        <w:t>]</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835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00"/>
          </w:cols>
          <w:pgMar w:left="320" w:top="1410" w:right="879" w:bottom="1440" w:gutter="0" w:footer="0" w:header="0"/>
        </w:sectPr>
      </w:pPr>
    </w:p>
    <w:bookmarkStart w:id="199" w:name="page200"/>
    <w:bookmarkEnd w:id="199"/>
    <w:p>
      <w:pPr>
        <w:ind w:left="360" w:hanging="352"/>
        <w:spacing w:after="0"/>
        <w:tabs>
          <w:tab w:leader="none" w:pos="3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listed above are Borrower’s officers or employees with their titles and signatures shown next to their names.</w:t>
      </w:r>
    </w:p>
    <w:p>
      <w:pPr>
        <w:spacing w:after="0" w:line="260"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w:t>
      </w:r>
    </w:p>
    <w:p>
      <w:pPr>
        <w:spacing w:after="0" w:line="237"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-270510</wp:posOffset>
            </wp:positionV>
            <wp:extent cx="312991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4">
                      <a:extLst>
                        <a:ext uri="{28A0092B-C50C-407E-A947-70E740481C1C}"/>
                      </a:extLst>
                    </a:blip>
                    <a:srcRect/>
                    <a:stretch>
                      <a:fillRect/>
                    </a:stretch>
                  </pic:blipFill>
                  <pic:spPr bwMode="auto">
                    <a:xfrm>
                      <a:off x="0" y="0"/>
                      <a:ext cx="3129915" cy="825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10795</wp:posOffset>
            </wp:positionV>
            <wp:extent cx="312991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5">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21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10795</wp:posOffset>
            </wp:positionV>
            <wp:extent cx="312991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6">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206" w:lineRule="exact"/>
        <w:rPr>
          <w:sz w:val="20"/>
          <w:szCs w:val="20"/>
          <w:color w:val="auto"/>
        </w:rPr>
      </w:pPr>
    </w:p>
    <w:p>
      <w:pPr>
        <w:ind w:firstLine="8"/>
        <w:spacing w:after="0" w:line="283" w:lineRule="auto"/>
        <w:tabs>
          <w:tab w:leader="none" w:pos="323" w:val="left"/>
        </w:tabs>
        <w:numPr>
          <w:ilvl w:val="0"/>
          <w:numId w:val="1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the Secretary, Assistant Secretary or other certifying officer executing above is designated by the resolutions set forth in paragraph 4 as one of the authorized signing officers, this Certificate must also be signed by a second authorized officer or director of Borrower.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the __________________________ of Borrower, hereby certify as to paragraphs 1 through 5 above, as</w:t>
      </w:r>
    </w:p>
    <w:p>
      <w:pPr>
        <w:spacing w:after="0" w:line="27" w:lineRule="exact"/>
        <w:rPr>
          <w:sz w:val="20"/>
          <w:szCs w:val="20"/>
          <w:color w:val="auto"/>
        </w:rPr>
      </w:pPr>
    </w:p>
    <w:p>
      <w:pPr>
        <w:jc w:val="right"/>
        <w:ind w:right="9280"/>
        <w:spacing w:after="0"/>
        <w:rPr>
          <w:sz w:val="20"/>
          <w:szCs w:val="20"/>
          <w:color w:val="auto"/>
        </w:rPr>
      </w:pPr>
      <w:r>
        <w:rPr>
          <w:rFonts w:ascii="Times New Roman" w:cs="Times New Roman" w:eastAsia="Times New Roman" w:hAnsi="Times New Roman"/>
          <w:sz w:val="18"/>
          <w:szCs w:val="18"/>
          <w:color w:val="auto"/>
        </w:rPr>
        <w:t>[print title]</w:t>
      </w:r>
    </w:p>
    <w:p>
      <w:pPr>
        <w:spacing w:after="0" w:line="9" w:lineRule="exact"/>
        <w:rPr>
          <w:sz w:val="20"/>
          <w:szCs w:val="20"/>
          <w:color w:val="auto"/>
        </w:rPr>
      </w:pPr>
    </w:p>
    <w:p>
      <w:pPr>
        <w:jc w:val="right"/>
        <w:ind w:right="9320"/>
        <w:spacing w:after="0"/>
        <w:rPr>
          <w:sz w:val="20"/>
          <w:szCs w:val="20"/>
          <w:color w:val="auto"/>
        </w:rPr>
      </w:pPr>
      <w:r>
        <w:rPr>
          <w:rFonts w:ascii="Times New Roman" w:cs="Times New Roman" w:eastAsia="Times New Roman" w:hAnsi="Times New Roman"/>
          <w:sz w:val="17"/>
          <w:szCs w:val="17"/>
          <w:color w:val="auto"/>
        </w:rPr>
        <w:t>of the date set forth above.</w:t>
      </w:r>
    </w:p>
    <w:p>
      <w:pPr>
        <w:spacing w:after="0" w:line="25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10795</wp:posOffset>
            </wp:positionV>
            <wp:extent cx="312991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7">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21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10795</wp:posOffset>
            </wp:positionV>
            <wp:extent cx="312991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8">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21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10795</wp:posOffset>
            </wp:positionV>
            <wp:extent cx="312991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9">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835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200" w:name="page201"/>
    <w:bookmarkEnd w:id="20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u w:val="single" w:color="auto"/>
          <w:color w:val="auto"/>
        </w:rPr>
        <w:t>Certificate of Incorporation (including amendments)</w:t>
      </w:r>
    </w:p>
    <w:p>
      <w:pPr>
        <w:spacing w:after="0" w:line="23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[see attached]</w:t>
      </w:r>
    </w:p>
    <w:p>
      <w:pPr>
        <w:spacing w:after="0" w:line="35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to Corporate Borrowing Certificate</w:t>
      </w:r>
      <w:r>
        <w:rPr>
          <w:rFonts w:ascii="Times New Roman" w:cs="Times New Roman" w:eastAsia="Times New Roman" w:hAnsi="Times New Roman"/>
          <w:sz w:val="18"/>
          <w:szCs w:val="18"/>
          <w:b w:val="1"/>
          <w:bCs w:val="1"/>
          <w:color w:val="auto"/>
        </w:rPr>
        <w: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835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410" w:right="1440" w:bottom="1440" w:gutter="0" w:footer="0" w:header="0"/>
        </w:sectPr>
      </w:pPr>
    </w:p>
    <w:bookmarkStart w:id="201" w:name="page202"/>
    <w:bookmarkEnd w:id="201"/>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Bylaws</w:t>
      </w:r>
    </w:p>
    <w:p>
      <w:pPr>
        <w:spacing w:after="0" w:line="228" w:lineRule="exact"/>
        <w:rPr>
          <w:sz w:val="20"/>
          <w:szCs w:val="20"/>
          <w:color w:val="auto"/>
        </w:rPr>
      </w:pPr>
    </w:p>
    <w:p>
      <w:pPr>
        <w:jc w:val="right"/>
        <w:ind w:right="4019"/>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835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411" w:right="1440" w:bottom="1440" w:gutter="0" w:footer="0" w:header="0"/>
        </w:sectPr>
      </w:pPr>
    </w:p>
    <w:bookmarkStart w:id="202" w:name="page203"/>
    <w:bookmarkEnd w:id="20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CORPORATE BORROWING CERTIFICATE</w:t>
      </w:r>
    </w:p>
    <w:p>
      <w:pPr>
        <w:sectPr>
          <w:pgSz w:w="11900" w:h="16838" w:orient="portrait"/>
          <w:cols w:equalWidth="0" w:num="1">
            <w:col w:w="11240"/>
          </w:cols>
          <w:pgMar w:left="320" w:top="1410" w:right="339" w:bottom="1440" w:gutter="0" w:footer="0" w:header="0"/>
        </w:sectPr>
      </w:pPr>
    </w:p>
    <w:p>
      <w:pPr>
        <w:spacing w:after="0" w:line="2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orrower</w:t>
      </w:r>
      <w:r>
        <w:rPr>
          <w:rFonts w:ascii="Times New Roman" w:cs="Times New Roman" w:eastAsia="Times New Roman" w:hAnsi="Times New Roman"/>
          <w:sz w:val="18"/>
          <w:szCs w:val="18"/>
          <w:b w:val="1"/>
          <w:bCs w:val="1"/>
          <w:color w:val="auto"/>
        </w:rPr>
        <w:t>:</w:t>
      </w:r>
    </w:p>
    <w:p>
      <w:pPr>
        <w:spacing w:after="0" w:line="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enders</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ESSENTIALIS,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OXFORD FINANCE LLC, as Collateral Agent and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OXFORD FINANCE CREDIT FUND II LP, and OXFORD FINANCE CREDIT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 III LP as Lenders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color w:val="auto"/>
        </w:rPr>
        <w:t>: December 17, 2024</w:t>
      </w:r>
    </w:p>
    <w:p>
      <w:pPr>
        <w:spacing w:after="0" w:line="868" w:lineRule="exact"/>
        <w:rPr>
          <w:sz w:val="20"/>
          <w:szCs w:val="20"/>
          <w:color w:val="auto"/>
        </w:rPr>
      </w:pPr>
    </w:p>
    <w:p>
      <w:pPr>
        <w:sectPr>
          <w:pgSz w:w="11900" w:h="16838" w:orient="portrait"/>
          <w:cols w:equalWidth="0" w:num="3">
            <w:col w:w="960" w:space="720"/>
            <w:col w:w="6860" w:space="720"/>
            <w:col w:w="1980"/>
          </w:cols>
          <w:pgMar w:left="320" w:top="1410" w:right="3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hereby certify as follows, as of the date set forth above:</w:t>
      </w:r>
    </w:p>
    <w:p>
      <w:pPr>
        <w:spacing w:after="0" w:line="224" w:lineRule="exact"/>
        <w:rPr>
          <w:sz w:val="20"/>
          <w:szCs w:val="20"/>
          <w:color w:val="auto"/>
        </w:rPr>
      </w:pPr>
    </w:p>
    <w:p>
      <w:pPr>
        <w:ind w:left="360" w:hanging="352"/>
        <w:spacing w:after="0"/>
        <w:tabs>
          <w:tab w:leader="none" w:pos="3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Secretary, Assistant Secretary or other officer of Borrower. My title is as set forth below.</w:t>
      </w:r>
    </w:p>
    <w:p>
      <w:pPr>
        <w:spacing w:after="0" w:line="224"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exact legal name is set forth above. Borrower is a corporation existing under the laws of the State of Delaware.</w:t>
      </w:r>
    </w:p>
    <w:p>
      <w:pPr>
        <w:spacing w:after="0" w:line="224" w:lineRule="exact"/>
        <w:rPr>
          <w:rFonts w:ascii="Times New Roman" w:cs="Times New Roman" w:eastAsia="Times New Roman" w:hAnsi="Times New Roman"/>
          <w:sz w:val="18"/>
          <w:szCs w:val="18"/>
          <w:color w:val="auto"/>
        </w:rPr>
      </w:pPr>
    </w:p>
    <w:p>
      <w:pPr>
        <w:jc w:val="both"/>
        <w:ind w:firstLine="8"/>
        <w:spacing w:after="0" w:line="260" w:lineRule="auto"/>
        <w:tabs>
          <w:tab w:leader="none" w:pos="35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respectively, are true, correct and complete copies of (i) Borrower’s Certificate of Incorporation (including amendments), as filed with the Secretary of State of the state in which Borrower is incorporated as set forth in paragraph 2 above; and (ii) Borrower’s Bylaws. Neither such Certificate of Incorporation nor such Bylaws have been amended, annulled, rescinded, revoked or supplemented, and such Certificate of Incorporation and such Bylaws remain in full force and effect as of the date hereof.</w:t>
      </w:r>
    </w:p>
    <w:p>
      <w:pPr>
        <w:spacing w:after="0" w:line="180" w:lineRule="exact"/>
        <w:rPr>
          <w:rFonts w:ascii="Times New Roman" w:cs="Times New Roman" w:eastAsia="Times New Roman" w:hAnsi="Times New Roman"/>
          <w:sz w:val="18"/>
          <w:szCs w:val="18"/>
          <w:color w:val="auto"/>
        </w:rPr>
      </w:pPr>
    </w:p>
    <w:p>
      <w:pPr>
        <w:jc w:val="both"/>
        <w:ind w:firstLine="8"/>
        <w:spacing w:after="0" w:line="260" w:lineRule="auto"/>
        <w:tabs>
          <w:tab w:leader="none" w:pos="35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resolutions were duly and validly adopted by Borrower’s Board of Directors at a duly held meeting of such directors (or pursuant to a unanimous written consent or other authorized corporate action). Such resolutions are in full force and effect as of the date hereof and have not been in any way modified, repealed, rescinded, amended or revoked, and the Lenders may rely on them until each Lender receives written notice of revocation from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Balance of Page Intentionally Left Blank</w:t>
      </w:r>
      <w:r>
        <w:rPr>
          <w:rFonts w:ascii="Times New Roman" w:cs="Times New Roman" w:eastAsia="Times New Roman" w:hAnsi="Times New Roman"/>
          <w:sz w:val="18"/>
          <w:szCs w:val="18"/>
          <w:b w:val="1"/>
          <w:bCs w:val="1"/>
          <w:color w:val="auto"/>
        </w:rPr>
        <w:t>]</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83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type w:val="continuous"/>
        </w:sectPr>
      </w:pPr>
    </w:p>
    <w:bookmarkStart w:id="203" w:name="page204"/>
    <w:bookmarkEnd w:id="203"/>
    <w:p>
      <w:pPr>
        <w:jc w:val="both"/>
        <w:ind w:left="760" w:right="300"/>
        <w:spacing w:after="0" w:line="285"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esolved</w:t>
      </w:r>
      <w:r>
        <w:rPr>
          <w:rFonts w:ascii="Times New Roman" w:cs="Times New Roman" w:eastAsia="Times New Roman" w:hAnsi="Times New Roman"/>
          <w:sz w:val="18"/>
          <w:szCs w:val="18"/>
          <w:color w:val="auto"/>
        </w:rPr>
        <w:t>, that</w:t>
      </w:r>
      <w:r>
        <w:rPr>
          <w:rFonts w:ascii="Times New Roman" w:cs="Times New Roman" w:eastAsia="Times New Roman" w:hAnsi="Times New Roman"/>
          <w:sz w:val="18"/>
          <w:szCs w:val="18"/>
          <w:b w:val="1"/>
          <w:bCs w:val="1"/>
          <w:color w:val="auto"/>
        </w:rPr>
        <w:t xml:space="preserve"> any one </w:t>
      </w:r>
      <w:r>
        <w:rPr>
          <w:rFonts w:ascii="Times New Roman" w:cs="Times New Roman" w:eastAsia="Times New Roman" w:hAnsi="Times New Roman"/>
          <w:sz w:val="18"/>
          <w:szCs w:val="18"/>
          <w:color w:val="auto"/>
        </w:rPr>
        <w:t>of the following officers or employees of Borrower, whose names, titles and signatures are below, may act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Borrower: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6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w w:val="99"/>
              </w:rPr>
              <w:t>Authorized to Add or</w:t>
            </w:r>
          </w:p>
        </w:tc>
      </w:tr>
      <w:tr>
        <w:trPr>
          <w:trHeight w:val="193"/>
        </w:trPr>
        <w:tc>
          <w:tcPr>
            <w:tcW w:w="2720" w:type="dxa"/>
            <w:vAlign w:val="bottom"/>
            <w:gridSpan w:val="3"/>
          </w:tcPr>
          <w:p>
            <w:pPr>
              <w:ind w:left="1160"/>
              <w:spacing w:after="0" w:line="194"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Title</w:t>
            </w:r>
          </w:p>
        </w:tc>
        <w:tc>
          <w:tcPr>
            <w:tcW w:w="260" w:type="dxa"/>
            <w:vAlign w:val="bottom"/>
          </w:tcPr>
          <w:p>
            <w:pPr>
              <w:spacing w:after="0"/>
              <w:rPr>
                <w:sz w:val="16"/>
                <w:szCs w:val="16"/>
                <w:color w:val="auto"/>
              </w:rPr>
            </w:pPr>
          </w:p>
        </w:tc>
        <w:tc>
          <w:tcPr>
            <w:tcW w:w="2640" w:type="dxa"/>
            <w:vAlign w:val="bottom"/>
            <w:gridSpan w:val="3"/>
          </w:tcPr>
          <w:p>
            <w:pPr>
              <w:ind w:left="980"/>
              <w:spacing w:after="0" w:line="194" w:lineRule="exact"/>
              <w:rPr>
                <w:sz w:val="20"/>
                <w:szCs w:val="20"/>
                <w:color w:val="auto"/>
              </w:rPr>
            </w:pPr>
            <w:r>
              <w:rPr>
                <w:rFonts w:ascii="Times New Roman" w:cs="Times New Roman" w:eastAsia="Times New Roman" w:hAnsi="Times New Roman"/>
                <w:sz w:val="18"/>
                <w:szCs w:val="18"/>
                <w:color w:val="auto"/>
              </w:rPr>
              <w:t>Signature</w:t>
            </w:r>
          </w:p>
        </w:tc>
        <w:tc>
          <w:tcPr>
            <w:tcW w:w="2260" w:type="dxa"/>
            <w:vAlign w:val="bottom"/>
            <w:gridSpan w:val="3"/>
          </w:tcPr>
          <w:p>
            <w:pPr>
              <w:jc w:val="center"/>
              <w:ind w:left="630"/>
              <w:spacing w:after="0" w:line="194" w:lineRule="exact"/>
              <w:rPr>
                <w:sz w:val="20"/>
                <w:szCs w:val="20"/>
                <w:color w:val="auto"/>
              </w:rPr>
            </w:pPr>
            <w:r>
              <w:rPr>
                <w:rFonts w:ascii="Times New Roman" w:cs="Times New Roman" w:eastAsia="Times New Roman" w:hAnsi="Times New Roman"/>
                <w:sz w:val="18"/>
                <w:szCs w:val="18"/>
                <w:color w:val="auto"/>
              </w:rPr>
              <w:t>Remove Signatories</w:t>
            </w:r>
          </w:p>
        </w:tc>
      </w:tr>
      <w:tr>
        <w:trPr>
          <w:trHeight w:val="317"/>
        </w:trPr>
        <w:tc>
          <w:tcPr>
            <w:tcW w:w="1160" w:type="dxa"/>
            <w:vAlign w:val="bottom"/>
            <w:tcBorders>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5"/>
                <w:szCs w:val="25"/>
                <w:color w:val="auto"/>
              </w:rPr>
              <w:t>□</w:t>
            </w:r>
          </w:p>
        </w:tc>
        <w:tc>
          <w:tcPr>
            <w:tcW w:w="40" w:type="dxa"/>
            <w:vAlign w:val="bottom"/>
          </w:tcPr>
          <w:p>
            <w:pPr>
              <w:spacing w:after="0"/>
              <w:rPr>
                <w:sz w:val="24"/>
                <w:szCs w:val="24"/>
                <w:color w:val="auto"/>
              </w:rPr>
            </w:pPr>
          </w:p>
        </w:tc>
      </w:tr>
      <w:tr>
        <w:trPr>
          <w:trHeight w:val="532"/>
        </w:trPr>
        <w:tc>
          <w:tcPr>
            <w:tcW w:w="1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25"/>
                <w:szCs w:val="25"/>
                <w:color w:val="auto"/>
              </w:rPr>
              <w:t>□</w:t>
            </w:r>
          </w:p>
        </w:tc>
      </w:tr>
      <w:tr>
        <w:trPr>
          <w:trHeight w:val="532"/>
        </w:trPr>
        <w:tc>
          <w:tcPr>
            <w:tcW w:w="1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25"/>
                <w:szCs w:val="25"/>
                <w:color w:val="auto"/>
              </w:rPr>
              <w:t>□</w:t>
            </w:r>
          </w:p>
        </w:tc>
      </w:tr>
      <w:tr>
        <w:trPr>
          <w:trHeight w:val="532"/>
        </w:trPr>
        <w:tc>
          <w:tcPr>
            <w:tcW w:w="1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25"/>
                <w:szCs w:val="25"/>
                <w:color w:val="auto"/>
              </w:rPr>
              <w:t>□</w:t>
            </w:r>
          </w:p>
        </w:tc>
      </w:tr>
    </w:tbl>
    <w:p>
      <w:pPr>
        <w:spacing w:after="0" w:line="193" w:lineRule="exact"/>
        <w:rPr>
          <w:sz w:val="20"/>
          <w:szCs w:val="20"/>
          <w:color w:val="auto"/>
        </w:rPr>
      </w:pPr>
    </w:p>
    <w:p>
      <w:pPr>
        <w:jc w:val="both"/>
        <w:ind w:left="760" w:right="320"/>
        <w:spacing w:after="0" w:line="285"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esolved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w:t>
      </w:r>
      <w:r>
        <w:rPr>
          <w:rFonts w:ascii="Times New Roman" w:cs="Times New Roman" w:eastAsia="Times New Roman" w:hAnsi="Times New Roman"/>
          <w:sz w:val="18"/>
          <w:szCs w:val="18"/>
          <w:b w:val="1"/>
          <w:bCs w:val="1"/>
          <w:color w:val="auto"/>
        </w:rPr>
        <w:t xml:space="preserve"> any one </w:t>
      </w:r>
      <w:r>
        <w:rPr>
          <w:rFonts w:ascii="Times New Roman" w:cs="Times New Roman" w:eastAsia="Times New Roman" w:hAnsi="Times New Roman"/>
          <w:sz w:val="18"/>
          <w:szCs w:val="18"/>
          <w:color w:val="auto"/>
        </w:rPr>
        <w:t>of the persons designated above with a checked box beside his or her name may,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 or remove any individuals to and from the above list of persons authorized to act on behalf of Borrower.</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esolved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such individuals may, on behalf of Borrower:</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Borrow Money</w:t>
      </w:r>
      <w:r>
        <w:rPr>
          <w:rFonts w:ascii="Times New Roman" w:cs="Times New Roman" w:eastAsia="Times New Roman" w:hAnsi="Times New Roman"/>
          <w:sz w:val="18"/>
          <w:szCs w:val="18"/>
          <w:color w:val="auto"/>
        </w:rPr>
        <w:t>. Borrow money from the Lenders.</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Execute Loan Documents</w:t>
      </w:r>
      <w:r>
        <w:rPr>
          <w:rFonts w:ascii="Times New Roman" w:cs="Times New Roman" w:eastAsia="Times New Roman" w:hAnsi="Times New Roman"/>
          <w:sz w:val="18"/>
          <w:szCs w:val="18"/>
          <w:color w:val="auto"/>
        </w:rPr>
        <w:t>. Execute any loan documents any Lender requires.</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Grant Security</w:t>
      </w:r>
      <w:r>
        <w:rPr>
          <w:rFonts w:ascii="Times New Roman" w:cs="Times New Roman" w:eastAsia="Times New Roman" w:hAnsi="Times New Roman"/>
          <w:sz w:val="18"/>
          <w:szCs w:val="18"/>
          <w:color w:val="auto"/>
        </w:rPr>
        <w:t>. Grant Collateral Agent a security interest in any of Borrower’s assets.</w:t>
      </w:r>
    </w:p>
    <w:p>
      <w:pPr>
        <w:spacing w:after="0" w:line="9" w:lineRule="exact"/>
        <w:rPr>
          <w:sz w:val="20"/>
          <w:szCs w:val="20"/>
          <w:color w:val="auto"/>
        </w:rPr>
      </w:pPr>
    </w:p>
    <w:p>
      <w:pPr>
        <w:jc w:val="both"/>
        <w:ind w:left="760" w:right="320"/>
        <w:spacing w:after="0" w:line="249" w:lineRule="auto"/>
        <w:rPr>
          <w:sz w:val="20"/>
          <w:szCs w:val="20"/>
          <w:color w:val="auto"/>
        </w:rPr>
      </w:pPr>
      <w:r>
        <w:rPr>
          <w:rFonts w:ascii="Times New Roman" w:cs="Times New Roman" w:eastAsia="Times New Roman" w:hAnsi="Times New Roman"/>
          <w:sz w:val="18"/>
          <w:szCs w:val="18"/>
          <w:b w:val="1"/>
          <w:bCs w:val="1"/>
          <w:color w:val="auto"/>
        </w:rPr>
        <w:t>Negotiate Items</w:t>
      </w:r>
      <w:r>
        <w:rPr>
          <w:rFonts w:ascii="Times New Roman" w:cs="Times New Roman" w:eastAsia="Times New Roman" w:hAnsi="Times New Roman"/>
          <w:sz w:val="18"/>
          <w:szCs w:val="18"/>
          <w:color w:val="auto"/>
        </w:rPr>
        <w:t>. Negotiate or discount all drafts, trade acceptances, promissory notes, or other indebtedness in which Borrower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interest and receive cash or otherwise use the proceeds.</w:t>
      </w:r>
    </w:p>
    <w:p>
      <w:pPr>
        <w:spacing w:after="0" w:line="1" w:lineRule="exact"/>
        <w:rPr>
          <w:sz w:val="20"/>
          <w:szCs w:val="20"/>
          <w:color w:val="auto"/>
        </w:rPr>
      </w:pPr>
    </w:p>
    <w:p>
      <w:pPr>
        <w:jc w:val="both"/>
        <w:ind w:left="760" w:right="320"/>
        <w:spacing w:after="0" w:line="254" w:lineRule="auto"/>
        <w:rPr>
          <w:sz w:val="20"/>
          <w:szCs w:val="20"/>
          <w:color w:val="auto"/>
        </w:rPr>
      </w:pPr>
      <w:r>
        <w:rPr>
          <w:rFonts w:ascii="Times New Roman" w:cs="Times New Roman" w:eastAsia="Times New Roman" w:hAnsi="Times New Roman"/>
          <w:sz w:val="18"/>
          <w:szCs w:val="18"/>
          <w:b w:val="1"/>
          <w:bCs w:val="1"/>
          <w:color w:val="auto"/>
        </w:rPr>
        <w:t>Further Acts</w:t>
      </w:r>
      <w:r>
        <w:rPr>
          <w:rFonts w:ascii="Times New Roman" w:cs="Times New Roman" w:eastAsia="Times New Roman" w:hAnsi="Times New Roman"/>
          <w:sz w:val="18"/>
          <w:szCs w:val="18"/>
          <w:color w:val="auto"/>
        </w:rPr>
        <w:t>. Designate other individuals to request advances, pay fees and costs and execute other documents or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documents or agreement that waive Borrower’s right to a jury trial) they believe to be necessary to effectuate such resolutions.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esolved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all acts authorized by the above resolutions and any prior acts relating thereto are ratified.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Balance of Page Intentionally Left Blank</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360" w:hanging="352"/>
        <w:spacing w:after="0"/>
        <w:tabs>
          <w:tab w:leader="none" w:pos="3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listed above are Borrower’s officers or employees with their titles and signatures shown next to their names.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835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320" w:top="1410" w:right="779" w:bottom="1440" w:gutter="0" w:footer="0" w:header="0"/>
        </w:sectPr>
      </w:pPr>
    </w:p>
    <w:bookmarkStart w:id="204" w:name="page205"/>
    <w:bookmarkEnd w:id="204"/>
    <w:p>
      <w:pPr>
        <w:ind w:left="650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4674235</wp:posOffset>
            </wp:positionH>
            <wp:positionV relativeFrom="paragraph">
              <wp:posOffset>19685</wp:posOffset>
            </wp:positionV>
            <wp:extent cx="246316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5">
                      <a:extLst>
                        <a:ext uri="{28A0092B-C50C-407E-A947-70E740481C1C}"/>
                      </a:extLst>
                    </a:blip>
                    <a:srcRect/>
                    <a:stretch>
                      <a:fillRect/>
                    </a:stretch>
                  </pic:blipFill>
                  <pic:spPr bwMode="auto">
                    <a:xfrm>
                      <a:off x="0" y="0"/>
                      <a:ext cx="2463165" cy="8255"/>
                    </a:xfrm>
                    <a:prstGeom prst="rect">
                      <a:avLst/>
                    </a:prstGeom>
                    <a:noFill/>
                  </pic:spPr>
                </pic:pic>
              </a:graphicData>
            </a:graphic>
          </wp:anchor>
        </w:drawing>
      </w:r>
    </w:p>
    <w:p>
      <w:pPr>
        <w:spacing w:after="0" w:line="2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4674235</wp:posOffset>
            </wp:positionH>
            <wp:positionV relativeFrom="paragraph">
              <wp:posOffset>19685</wp:posOffset>
            </wp:positionV>
            <wp:extent cx="246316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6">
                      <a:extLst>
                        <a:ext uri="{28A0092B-C50C-407E-A947-70E740481C1C}"/>
                      </a:extLst>
                    </a:blip>
                    <a:srcRect/>
                    <a:stretch>
                      <a:fillRect/>
                    </a:stretch>
                  </pic:blipFill>
                  <pic:spPr bwMode="auto">
                    <a:xfrm>
                      <a:off x="0" y="0"/>
                      <a:ext cx="2463165" cy="8255"/>
                    </a:xfrm>
                    <a:prstGeom prst="rect">
                      <a:avLst/>
                    </a:prstGeom>
                    <a:noFill/>
                  </pic:spPr>
                </pic:pic>
              </a:graphicData>
            </a:graphic>
          </wp:anchor>
        </w:drawing>
      </w:r>
    </w:p>
    <w:p>
      <w:pPr>
        <w:spacing w:after="0" w:line="2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4674235</wp:posOffset>
            </wp:positionH>
            <wp:positionV relativeFrom="paragraph">
              <wp:posOffset>19685</wp:posOffset>
            </wp:positionV>
            <wp:extent cx="246316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7">
                      <a:extLst>
                        <a:ext uri="{28A0092B-C50C-407E-A947-70E740481C1C}"/>
                      </a:extLst>
                    </a:blip>
                    <a:srcRect/>
                    <a:stretch>
                      <a:fillRect/>
                    </a:stretch>
                  </pic:blipFill>
                  <pic:spPr bwMode="auto">
                    <a:xfrm>
                      <a:off x="0" y="0"/>
                      <a:ext cx="2463165" cy="8255"/>
                    </a:xfrm>
                    <a:prstGeom prst="rect">
                      <a:avLst/>
                    </a:prstGeom>
                    <a:noFill/>
                  </pic:spPr>
                </pic:pic>
              </a:graphicData>
            </a:graphic>
          </wp:anchor>
        </w:drawing>
      </w:r>
    </w:p>
    <w:p>
      <w:pPr>
        <w:spacing w:after="0" w:line="219" w:lineRule="exact"/>
        <w:rPr>
          <w:sz w:val="20"/>
          <w:szCs w:val="20"/>
          <w:color w:val="auto"/>
        </w:rPr>
      </w:pPr>
    </w:p>
    <w:p>
      <w:pPr>
        <w:ind w:firstLine="8"/>
        <w:spacing w:after="0" w:line="283" w:lineRule="auto"/>
        <w:tabs>
          <w:tab w:leader="none" w:pos="323" w:val="left"/>
        </w:tabs>
        <w:numPr>
          <w:ilvl w:val="0"/>
          <w:numId w:val="1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the Secretary, Assistant Secretary or other certifying officer executing above is designated by the resolutions set forth in paragraph 4 as one of the authorized signing officers, this Certificate must also be signed by a second authorized officer or director of Borrower.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the __________________________ of Borrower, hereby certify as to paragraphs 1 through 5 above, as</w:t>
      </w:r>
    </w:p>
    <w:p>
      <w:pPr>
        <w:spacing w:after="0" w:line="27" w:lineRule="exact"/>
        <w:rPr>
          <w:sz w:val="20"/>
          <w:szCs w:val="20"/>
          <w:color w:val="auto"/>
        </w:rPr>
      </w:pPr>
    </w:p>
    <w:p>
      <w:pPr>
        <w:jc w:val="right"/>
        <w:ind w:right="9280"/>
        <w:spacing w:after="0"/>
        <w:rPr>
          <w:sz w:val="20"/>
          <w:szCs w:val="20"/>
          <w:color w:val="auto"/>
        </w:rPr>
      </w:pPr>
      <w:r>
        <w:rPr>
          <w:rFonts w:ascii="Times New Roman" w:cs="Times New Roman" w:eastAsia="Times New Roman" w:hAnsi="Times New Roman"/>
          <w:sz w:val="18"/>
          <w:szCs w:val="18"/>
          <w:color w:val="auto"/>
        </w:rPr>
        <w:t>[print title]</w:t>
      </w:r>
    </w:p>
    <w:p>
      <w:pPr>
        <w:spacing w:after="0" w:line="9" w:lineRule="exact"/>
        <w:rPr>
          <w:sz w:val="20"/>
          <w:szCs w:val="20"/>
          <w:color w:val="auto"/>
        </w:rPr>
      </w:pPr>
    </w:p>
    <w:p>
      <w:pPr>
        <w:jc w:val="right"/>
        <w:ind w:right="9320"/>
        <w:spacing w:after="0"/>
        <w:rPr>
          <w:sz w:val="20"/>
          <w:szCs w:val="20"/>
          <w:color w:val="auto"/>
        </w:rPr>
      </w:pPr>
      <w:r>
        <w:rPr>
          <w:rFonts w:ascii="Times New Roman" w:cs="Times New Roman" w:eastAsia="Times New Roman" w:hAnsi="Times New Roman"/>
          <w:sz w:val="17"/>
          <w:szCs w:val="17"/>
          <w:color w:val="auto"/>
        </w:rPr>
        <w:t>of the date set forth above.</w:t>
      </w:r>
    </w:p>
    <w:p>
      <w:pPr>
        <w:spacing w:after="0" w:line="24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4674235</wp:posOffset>
            </wp:positionH>
            <wp:positionV relativeFrom="paragraph">
              <wp:posOffset>19685</wp:posOffset>
            </wp:positionV>
            <wp:extent cx="246316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8">
                      <a:extLst>
                        <a:ext uri="{28A0092B-C50C-407E-A947-70E740481C1C}"/>
                      </a:extLst>
                    </a:blip>
                    <a:srcRect/>
                    <a:stretch>
                      <a:fillRect/>
                    </a:stretch>
                  </pic:blipFill>
                  <pic:spPr bwMode="auto">
                    <a:xfrm>
                      <a:off x="0" y="0"/>
                      <a:ext cx="2463165" cy="8255"/>
                    </a:xfrm>
                    <a:prstGeom prst="rect">
                      <a:avLst/>
                    </a:prstGeom>
                    <a:noFill/>
                  </pic:spPr>
                </pic:pic>
              </a:graphicData>
            </a:graphic>
          </wp:anchor>
        </w:drawing>
      </w:r>
    </w:p>
    <w:p>
      <w:pPr>
        <w:spacing w:after="0" w:line="2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4674235</wp:posOffset>
            </wp:positionH>
            <wp:positionV relativeFrom="paragraph">
              <wp:posOffset>19685</wp:posOffset>
            </wp:positionV>
            <wp:extent cx="246316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9">
                      <a:extLst>
                        <a:ext uri="{28A0092B-C50C-407E-A947-70E740481C1C}"/>
                      </a:extLst>
                    </a:blip>
                    <a:srcRect/>
                    <a:stretch>
                      <a:fillRect/>
                    </a:stretch>
                  </pic:blipFill>
                  <pic:spPr bwMode="auto">
                    <a:xfrm>
                      <a:off x="0" y="0"/>
                      <a:ext cx="2463165" cy="8255"/>
                    </a:xfrm>
                    <a:prstGeom prst="rect">
                      <a:avLst/>
                    </a:prstGeom>
                    <a:noFill/>
                  </pic:spPr>
                </pic:pic>
              </a:graphicData>
            </a:graphic>
          </wp:anchor>
        </w:drawing>
      </w:r>
    </w:p>
    <w:p>
      <w:pPr>
        <w:spacing w:after="0" w:line="2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4674235</wp:posOffset>
            </wp:positionH>
            <wp:positionV relativeFrom="paragraph">
              <wp:posOffset>19685</wp:posOffset>
            </wp:positionV>
            <wp:extent cx="246316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0">
                      <a:extLst>
                        <a:ext uri="{28A0092B-C50C-407E-A947-70E740481C1C}"/>
                      </a:extLst>
                    </a:blip>
                    <a:srcRect/>
                    <a:stretch>
                      <a:fillRect/>
                    </a:stretch>
                  </pic:blipFill>
                  <pic:spPr bwMode="auto">
                    <a:xfrm>
                      <a:off x="0" y="0"/>
                      <a:ext cx="2463165" cy="82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835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205" w:name="page206"/>
    <w:bookmarkEnd w:id="205"/>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u w:val="single" w:color="auto"/>
          <w:color w:val="auto"/>
        </w:rPr>
        <w:t>Certificate of Incorporation (including amendments)</w:t>
      </w:r>
    </w:p>
    <w:p>
      <w:pPr>
        <w:spacing w:after="0" w:line="23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[see attached]</w:t>
      </w:r>
    </w:p>
    <w:p>
      <w:pPr>
        <w:spacing w:after="0" w:line="35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to Corporate Borrowing Certificate</w:t>
      </w:r>
      <w:r>
        <w:rPr>
          <w:rFonts w:ascii="Times New Roman" w:cs="Times New Roman" w:eastAsia="Times New Roman" w:hAnsi="Times New Roman"/>
          <w:sz w:val="18"/>
          <w:szCs w:val="18"/>
          <w:b w:val="1"/>
          <w:bCs w:val="1"/>
          <w:color w:val="auto"/>
        </w:rPr>
        <w: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835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410" w:right="1440" w:bottom="1440" w:gutter="0" w:footer="0" w:header="0"/>
        </w:sectPr>
      </w:pPr>
    </w:p>
    <w:bookmarkStart w:id="206" w:name="page207"/>
    <w:bookmarkEnd w:id="206"/>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Bylaws</w:t>
      </w:r>
    </w:p>
    <w:p>
      <w:pPr>
        <w:spacing w:after="0" w:line="228" w:lineRule="exact"/>
        <w:rPr>
          <w:sz w:val="20"/>
          <w:szCs w:val="20"/>
          <w:color w:val="auto"/>
        </w:rPr>
      </w:pPr>
    </w:p>
    <w:p>
      <w:pPr>
        <w:jc w:val="right"/>
        <w:ind w:right="4019"/>
        <w:spacing w:after="0"/>
        <w:rPr>
          <w:sz w:val="20"/>
          <w:szCs w:val="20"/>
          <w:color w:val="auto"/>
        </w:rPr>
      </w:pPr>
      <w:r>
        <w:rPr>
          <w:rFonts w:ascii="Times New Roman" w:cs="Times New Roman" w:eastAsia="Times New Roman" w:hAnsi="Times New Roman"/>
          <w:sz w:val="18"/>
          <w:szCs w:val="18"/>
          <w:color w:val="auto"/>
        </w:rPr>
        <w:t>[see attached]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835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410" w:right="1440" w:bottom="1440" w:gutter="0" w:footer="0" w:header="0"/>
        </w:sectPr>
      </w:pPr>
    </w:p>
    <w:bookmarkStart w:id="207" w:name="page208"/>
    <w:bookmarkEnd w:id="207"/>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DEBTOR:</w:t>
            </w:r>
          </w:p>
        </w:tc>
        <w:tc>
          <w:tcPr>
            <w:tcW w:w="55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SOLENO THERAPEUTICS, INC.</w:t>
            </w:r>
          </w:p>
        </w:tc>
      </w:tr>
      <w:tr>
        <w:trPr>
          <w:trHeight w:val="215"/>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SECURED PARTY:</w:t>
            </w:r>
          </w:p>
        </w:tc>
        <w:tc>
          <w:tcPr>
            <w:tcW w:w="55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OXFORD FINANCE LLC,</w:t>
            </w:r>
          </w:p>
        </w:tc>
      </w:tr>
      <w:tr>
        <w:trPr>
          <w:trHeight w:val="238"/>
        </w:trPr>
        <w:tc>
          <w:tcPr>
            <w:tcW w:w="2080" w:type="dxa"/>
            <w:vAlign w:val="bottom"/>
          </w:tcPr>
          <w:p>
            <w:pPr>
              <w:spacing w:after="0"/>
              <w:rPr>
                <w:sz w:val="20"/>
                <w:szCs w:val="20"/>
                <w:color w:val="auto"/>
              </w:rPr>
            </w:pPr>
          </w:p>
        </w:tc>
        <w:tc>
          <w:tcPr>
            <w:tcW w:w="55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as Collateral Agent</w:t>
            </w:r>
          </w:p>
        </w:tc>
      </w:tr>
      <w:tr>
        <w:trPr>
          <w:trHeight w:val="458"/>
        </w:trPr>
        <w:tc>
          <w:tcPr>
            <w:tcW w:w="2080" w:type="dxa"/>
            <w:vAlign w:val="bottom"/>
          </w:tcPr>
          <w:p>
            <w:pPr>
              <w:spacing w:after="0"/>
              <w:rPr>
                <w:sz w:val="24"/>
                <w:szCs w:val="24"/>
                <w:color w:val="auto"/>
              </w:rPr>
            </w:pPr>
          </w:p>
        </w:tc>
        <w:tc>
          <w:tcPr>
            <w:tcW w:w="5500" w:type="dxa"/>
            <w:vAlign w:val="bottom"/>
            <w:gridSpan w:val="3"/>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EXHIBIT A TO UCC FINANCING STATEMENT</w:t>
            </w:r>
          </w:p>
        </w:tc>
      </w:tr>
      <w:tr>
        <w:trPr>
          <w:trHeight w:val="390"/>
        </w:trPr>
        <w:tc>
          <w:tcPr>
            <w:tcW w:w="20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Description of Collateral</w:t>
            </w:r>
          </w:p>
        </w:tc>
        <w:tc>
          <w:tcPr>
            <w:tcW w:w="1020" w:type="dxa"/>
            <w:vAlign w:val="bottom"/>
          </w:tcPr>
          <w:p>
            <w:pPr>
              <w:spacing w:after="0"/>
              <w:rPr>
                <w:sz w:val="24"/>
                <w:szCs w:val="24"/>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Collateral consists of all of Debtor’s right, title and interest in and to the following personal property:</w:t>
      </w:r>
    </w:p>
    <w:p>
      <w:pPr>
        <w:spacing w:after="0" w:line="183" w:lineRule="exact"/>
        <w:rPr>
          <w:sz w:val="20"/>
          <w:szCs w:val="20"/>
          <w:color w:val="auto"/>
        </w:rPr>
      </w:pPr>
    </w:p>
    <w:p>
      <w:pPr>
        <w:jc w:val="both"/>
        <w:ind w:firstLine="749"/>
        <w:spacing w:after="0" w:line="227" w:lineRule="exact"/>
        <w:rPr>
          <w:sz w:val="20"/>
          <w:szCs w:val="20"/>
          <w:color w:val="auto"/>
        </w:rPr>
      </w:pPr>
      <w:r>
        <w:rPr>
          <w:rFonts w:ascii="Times New Roman" w:cs="Times New Roman" w:eastAsia="Times New Roman" w:hAnsi="Times New Roman"/>
          <w:sz w:val="18"/>
          <w:szCs w:val="18"/>
          <w:color w:val="auto"/>
        </w:rPr>
        <w:t>All goods, Accounts (including health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care receivables), Equipment, Inventory, contract rights or rights to payment of money, leases, license agreements, franchise agreements, General Intangibles (including all Intellectual Property),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99" w:lineRule="exact"/>
        <w:rPr>
          <w:sz w:val="20"/>
          <w:szCs w:val="20"/>
          <w:color w:val="auto"/>
        </w:rPr>
      </w:pPr>
    </w:p>
    <w:p>
      <w:pPr>
        <w:jc w:val="both"/>
        <w:ind w:firstLine="749"/>
        <w:spacing w:after="0" w:line="311" w:lineRule="auto"/>
        <w:rPr>
          <w:sz w:val="20"/>
          <w:szCs w:val="20"/>
          <w:color w:val="auto"/>
        </w:rPr>
      </w:pPr>
      <w:r>
        <w:rPr>
          <w:rFonts w:ascii="Times New Roman" w:cs="Times New Roman" w:eastAsia="Times New Roman" w:hAnsi="Times New Roman"/>
          <w:sz w:val="17"/>
          <w:szCs w:val="17"/>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4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color w:val="auto"/>
        </w:rPr>
        <w:t xml:space="preserve">Notwithstanding the foregoing, the Collateral does not include (i) any Shares that have more than 65% of the total combined voting power of all classes of Shares of any Foreign Subsidiary that are entitled to vote (as determined under U.S. federal tax principles) (the “Foreign Subsidiary Interests”), if Borrower demonstrates to Collateral Agent’s reasonable satisfaction that a pledge of the Foreign Subsidiary Interests creates a present and existing adverse tax consequence to Borrower under the Internal Revenue Code; (ii) any license or contract, in each case if the granting of a Lien in such license or contract is prohibited by or would constitute a default under the agreement governing such license or contract (but (A) only to the extent such prohibition is enforceable under applicable law and (B) other than to the extent that any such term would be rendered ineffective pursuant to Sections 9-406, 9-408 or 9-409 (or any other Section) of Division 9 of the Code); provided that upon the termination, lapsing or expiration of any such prohibition, such license or contract, as applicable, shall automatically be subject to the security interest granted in favor of Collateral Agent hereunder and become part of the “Collateral”; (iii) any Excluded Account, (iv) Equipment that is subject to a Lien that is otherwise permitted pursuant to subsection (c) of the definition of “Permitted Liens” if the holder of such Lien has expressly prohibited Credit Party in writing from granting Liens on such property in favor of third parties; provided that immediately upon the ineffectiveness, lapse, or termination of any such provision, the term “Collateral” shall include, and Credit Party shall be deemed to have granted a security interest in, all of its rights, title and interests in and to such property as if such provision had never been in effect, (v) any “intent to use” trademarks at all times prior to the first use thereof, whether by the actual use thereof in commerce, the recording of a statement of use with the United States Patent and Trademark Office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upon submission and acceptance by the United States Patent and Trademark Office of an amendment to allege use of an intent-to-use trademark application pursuant to 15 U.S.C. Section 1060(a) (or any successor provision) such intent-to-use application shall constitute Collateral, (vi) margin stock, or (f) motor vehicles and assets subject to a certificate of title except to the extent a security interest therein can be perfected by the filing of a UCC financing statement.</w:t>
      </w:r>
    </w:p>
    <w:p>
      <w:pPr>
        <w:spacing w:after="0" w:line="199"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in the Uniform Commercial Code in effect in the State of California as in effect from time to time (the “Code”) or, if not defined in the Code, then in the Loan and Security Agreement by and between Debtor, Secured Party and the other Lenders party thereto (as modified, amended and/or restated from time to time).</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835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DEBTOR:</w:t>
            </w:r>
          </w:p>
        </w:tc>
        <w:tc>
          <w:tcPr>
            <w:tcW w:w="55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ESSENTIALIS, INC.</w:t>
            </w:r>
          </w:p>
        </w:tc>
      </w:tr>
      <w:tr>
        <w:trPr>
          <w:trHeight w:val="215"/>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SECURED PARTY:</w:t>
            </w:r>
          </w:p>
        </w:tc>
        <w:tc>
          <w:tcPr>
            <w:tcW w:w="55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OXFORD FINANCE LLC,</w:t>
            </w:r>
          </w:p>
        </w:tc>
      </w:tr>
      <w:tr>
        <w:trPr>
          <w:trHeight w:val="238"/>
        </w:trPr>
        <w:tc>
          <w:tcPr>
            <w:tcW w:w="2080" w:type="dxa"/>
            <w:vAlign w:val="bottom"/>
          </w:tcPr>
          <w:p>
            <w:pPr>
              <w:spacing w:after="0"/>
              <w:rPr>
                <w:sz w:val="20"/>
                <w:szCs w:val="20"/>
                <w:color w:val="auto"/>
              </w:rPr>
            </w:pPr>
          </w:p>
        </w:tc>
        <w:tc>
          <w:tcPr>
            <w:tcW w:w="55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as Collateral Agent</w:t>
            </w:r>
          </w:p>
        </w:tc>
      </w:tr>
      <w:tr>
        <w:trPr>
          <w:trHeight w:val="458"/>
        </w:trPr>
        <w:tc>
          <w:tcPr>
            <w:tcW w:w="2080" w:type="dxa"/>
            <w:vAlign w:val="bottom"/>
          </w:tcPr>
          <w:p>
            <w:pPr>
              <w:spacing w:after="0"/>
              <w:rPr>
                <w:sz w:val="24"/>
                <w:szCs w:val="24"/>
                <w:color w:val="auto"/>
              </w:rPr>
            </w:pPr>
          </w:p>
        </w:tc>
        <w:tc>
          <w:tcPr>
            <w:tcW w:w="5500" w:type="dxa"/>
            <w:vAlign w:val="bottom"/>
            <w:gridSpan w:val="3"/>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EXHIBIT A TO UCC FINANCING STATEMENT</w:t>
            </w:r>
          </w:p>
        </w:tc>
      </w:tr>
      <w:tr>
        <w:trPr>
          <w:trHeight w:val="390"/>
        </w:trPr>
        <w:tc>
          <w:tcPr>
            <w:tcW w:w="20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Description of Collateral</w:t>
            </w:r>
          </w:p>
        </w:tc>
        <w:tc>
          <w:tcPr>
            <w:tcW w:w="1020" w:type="dxa"/>
            <w:vAlign w:val="bottom"/>
          </w:tcPr>
          <w:p>
            <w:pPr>
              <w:spacing w:after="0"/>
              <w:rPr>
                <w:sz w:val="24"/>
                <w:szCs w:val="24"/>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Collateral consists of all of Debtor’s right, title and interest in and to the following personal property:</w:t>
      </w:r>
    </w:p>
    <w:p>
      <w:pPr>
        <w:spacing w:after="0" w:line="183" w:lineRule="exact"/>
        <w:rPr>
          <w:sz w:val="20"/>
          <w:szCs w:val="20"/>
          <w:color w:val="auto"/>
        </w:rPr>
      </w:pPr>
    </w:p>
    <w:p>
      <w:pPr>
        <w:jc w:val="both"/>
        <w:ind w:firstLine="749"/>
        <w:spacing w:after="0" w:line="227" w:lineRule="exact"/>
        <w:rPr>
          <w:sz w:val="20"/>
          <w:szCs w:val="20"/>
          <w:color w:val="auto"/>
        </w:rPr>
      </w:pPr>
      <w:r>
        <w:rPr>
          <w:rFonts w:ascii="Times New Roman" w:cs="Times New Roman" w:eastAsia="Times New Roman" w:hAnsi="Times New Roman"/>
          <w:sz w:val="18"/>
          <w:szCs w:val="18"/>
          <w:color w:val="auto"/>
        </w:rPr>
        <w:t>All goods, Accounts (including health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care receivables), Equipment, Inventory, contract rights or rights to payment of money, leases, license agreements, franchise agreements, General Intangibles (including all Intellectual Property),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99" w:lineRule="exact"/>
        <w:rPr>
          <w:sz w:val="20"/>
          <w:szCs w:val="20"/>
          <w:color w:val="auto"/>
        </w:rPr>
      </w:pPr>
    </w:p>
    <w:p>
      <w:pPr>
        <w:jc w:val="both"/>
        <w:ind w:firstLine="749"/>
        <w:spacing w:after="0" w:line="311" w:lineRule="auto"/>
        <w:rPr>
          <w:sz w:val="20"/>
          <w:szCs w:val="20"/>
          <w:color w:val="auto"/>
        </w:rPr>
      </w:pPr>
      <w:r>
        <w:rPr>
          <w:rFonts w:ascii="Times New Roman" w:cs="Times New Roman" w:eastAsia="Times New Roman" w:hAnsi="Times New Roman"/>
          <w:sz w:val="17"/>
          <w:szCs w:val="17"/>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4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color w:val="auto"/>
        </w:rPr>
        <w:t xml:space="preserve">Notwithstanding the foregoing, the Collateral does not include (i) any Shares that have more than 65% of the total combined voting power of all classes of Shares of any Foreign Subsidiary that are entitled to vote (as determined under U.S. federal tax principles) (the “Foreign Subsidiary Interests”), if Borrower demonstrates to Collateral Agent’s reasonable satisfaction that a pledge of the Foreign Subsidiary Interests creates a present and existing adverse tax consequence to Borrower under the Internal Revenue Code; (ii) any license or contract, in each case if the granting of a Lien in such license or contract is prohibited by or would constitute a default under the agreement governing such license or contract (but (A) only to the extent such prohibition is enforceable under applicable law and (B) other than to the extent that any such term would be rendered ineffective pursuant to Sections 9-406, 9-408 or 9-409 (or any other Section) of Division 9 of the Code); provided that upon the termination, lapsing or expiration of any such prohibition, such license or contract, as applicable, shall automatically be subject to the security interest granted in favor of Collateral Agent hereunder and become part of the “Collateral”; (iii) any Excluded Account, (iv) Equipment that is subject to a Lien that is otherwise permitted pursuant to subsection (c) of the definition of “Permitted Liens” if the holder of such Lien has expressly prohibited Credit Party in writing from granting Liens on such property in favor of third parties; provided that immediately upon the ineffectiveness, lapse, or termination of any such provision, the term “Collateral” shall include, and Credit Party shall be deemed to have granted a security interest in, all of its rights, title and interests in and to such property as if such provision had never been in effect, (v) any “intent to use” trademarks at all times prior to the first use thereof, whether by the actual use thereof in commerce, the recording of a statement of use with the United States Patent and Trademark Office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upon submission and acceptance by the United States Patent and Trademark Office of an amendment to allege use of an intent-to-use trademark application pursuant to 15 U.S.C. Section 1060(a) (or any successor provision) such intent-to-use application shall constitute Collateral, (vi) margin stock, or (f) motor vehicles and assets subject to a certificate of title except to the extent a security interest therein can be perfected by the filing of a UCC financing statement.</w:t>
      </w:r>
    </w:p>
    <w:p>
      <w:pPr>
        <w:spacing w:after="0" w:line="199"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in the Uniform Commercial Code in effect in the State of California as in effect from time to time (the “Code”) or, if not defined in the Code, then in the Loan and Security Agreement by and between Debtor, Secured Party and the other Lenders party thereto (as modified, amended and/or restated from time to time).</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835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9" w:name="page210"/>
    <w:bookmarkEnd w:id="209"/>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17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1614973099.7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835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410" w:right="1440" w:bottom="1440" w:gutter="0" w:footer="0" w:header="0"/>
        </w:sectPr>
      </w:pPr>
    </w:p>
    <w:bookmarkStart w:id="210" w:name="page211"/>
    <w:bookmarkEnd w:id="210"/>
    <w:p>
      <w:pPr>
        <w:ind w:left="9240"/>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SOLENO THERAPEUTICS, INC.</w:t>
      </w:r>
    </w:p>
    <w:p>
      <w:pPr>
        <w:spacing w:after="0" w:line="17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auto"/>
        </w:rPr>
        <w:t>OUTSIDE DIRECTOR COMPENSATION POLICY</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most recently amended and restated on February 25, 2025)</w:t>
      </w:r>
    </w:p>
    <w:p>
      <w:pPr>
        <w:spacing w:after="0" w:line="20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Soleno Therapeutics,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believes that the granting of equity and cash compensation to its members of the Board of Directors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and members of the Board, the “</w:t>
      </w:r>
      <w:r>
        <w:rPr>
          <w:rFonts w:ascii="Times New Roman" w:cs="Times New Roman" w:eastAsia="Times New Roman" w:hAnsi="Times New Roman"/>
          <w:sz w:val="22"/>
          <w:szCs w:val="22"/>
          <w:b w:val="1"/>
          <w:bCs w:val="1"/>
          <w:color w:val="auto"/>
        </w:rPr>
        <w:t>Directors</w:t>
      </w:r>
      <w:r>
        <w:rPr>
          <w:rFonts w:ascii="Times New Roman" w:cs="Times New Roman" w:eastAsia="Times New Roman" w:hAnsi="Times New Roman"/>
          <w:sz w:val="22"/>
          <w:szCs w:val="22"/>
          <w:color w:val="auto"/>
        </w:rPr>
        <w:t>”) represents an effective tool to attract, retain, and reward Directors who are not employees of the Company (the “</w:t>
      </w:r>
      <w:r>
        <w:rPr>
          <w:rFonts w:ascii="Times New Roman" w:cs="Times New Roman" w:eastAsia="Times New Roman" w:hAnsi="Times New Roman"/>
          <w:sz w:val="22"/>
          <w:szCs w:val="22"/>
          <w:b w:val="1"/>
          <w:bCs w:val="1"/>
          <w:color w:val="auto"/>
        </w:rPr>
        <w:t>Outside Directors</w:t>
      </w:r>
      <w:r>
        <w:rPr>
          <w:rFonts w:ascii="Times New Roman" w:cs="Times New Roman" w:eastAsia="Times New Roman" w:hAnsi="Times New Roman"/>
          <w:sz w:val="22"/>
          <w:szCs w:val="22"/>
          <w:color w:val="auto"/>
        </w:rPr>
        <w:t>”). This Outside Director Compensation Policy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is intended to formalize the Company’s policy regarding the compensation to its Outside Directors. Unless otherwise defined herein, capitalized terms used in this Policy will have the meaning given to such terms in the Company’s 2014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or if the Plan is no longer in place, the meaning given to such terms or any similar terms in the equity plan then in place. Each Outside Director will be solely responsible for any tax obligations incurred by such Outside Director as a result of the equity and cash payments such Outside Director receives under this Policy.</w:t>
      </w:r>
    </w:p>
    <w:p>
      <w:pPr>
        <w:spacing w:after="0" w:line="182" w:lineRule="exact"/>
        <w:rPr>
          <w:sz w:val="20"/>
          <w:szCs w:val="20"/>
          <w:color w:val="auto"/>
        </w:rPr>
      </w:pPr>
    </w:p>
    <w:p>
      <w:pPr>
        <w:ind w:left="760" w:hanging="378"/>
        <w:spacing w:after="0"/>
        <w:tabs>
          <w:tab w:leader="none" w:pos="760"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ash</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ompensation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Annual Cash Retainer</w:t>
      </w:r>
    </w:p>
    <w:p>
      <w:pPr>
        <w:spacing w:after="0" w:line="174" w:lineRule="exact"/>
        <w:rPr>
          <w:sz w:val="20"/>
          <w:szCs w:val="20"/>
          <w:color w:val="auto"/>
        </w:rPr>
      </w:pPr>
    </w:p>
    <w:p>
      <w:pPr>
        <w:ind w:right="20" w:firstLine="749"/>
        <w:spacing w:after="0" w:line="285" w:lineRule="exact"/>
        <w:rPr>
          <w:sz w:val="20"/>
          <w:szCs w:val="20"/>
          <w:color w:val="auto"/>
        </w:rPr>
      </w:pPr>
      <w:r>
        <w:rPr>
          <w:rFonts w:ascii="Times New Roman" w:cs="Times New Roman" w:eastAsia="Times New Roman" w:hAnsi="Times New Roman"/>
          <w:sz w:val="22"/>
          <w:szCs w:val="22"/>
          <w:color w:val="auto"/>
        </w:rPr>
        <w:t>Each Outside Director will be paid an annual cash retainer of $45,000. There are no per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meeting attendance fees for attending Board meetings.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Non-Executive Chair / Committee Membership Annual Cash Retainer</w:t>
      </w:r>
    </w:p>
    <w:p>
      <w:pPr>
        <w:spacing w:after="0" w:line="20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22"/>
          <w:szCs w:val="22"/>
          <w:color w:val="auto"/>
        </w:rPr>
        <w:t>Each Outside Director who serves as Non-Executive Chair, or chair or member of a committee of the Board will be paid additional annual fees as follows:</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280"/>
        </w:trPr>
        <w:tc>
          <w:tcPr>
            <w:tcW w:w="5420" w:type="dxa"/>
            <w:vAlign w:val="bottom"/>
          </w:tcPr>
          <w:p>
            <w:pPr>
              <w:spacing w:after="0"/>
              <w:rPr>
                <w:sz w:val="20"/>
                <w:szCs w:val="20"/>
                <w:color w:val="auto"/>
              </w:rPr>
            </w:pPr>
            <w:r>
              <w:rPr>
                <w:rFonts w:ascii="Times New Roman" w:cs="Times New Roman" w:eastAsia="Times New Roman" w:hAnsi="Times New Roman"/>
                <w:sz w:val="22"/>
                <w:szCs w:val="22"/>
                <w:color w:val="auto"/>
              </w:rPr>
              <w:t>Non-Executive Chair:</w:t>
            </w:r>
          </w:p>
        </w:tc>
        <w:tc>
          <w:tcPr>
            <w:tcW w:w="8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5"/>
              </w:rPr>
              <w:t>$30,000</w:t>
            </w:r>
          </w:p>
        </w:tc>
      </w:tr>
      <w:tr>
        <w:trPr>
          <w:trHeight w:val="458"/>
        </w:trPr>
        <w:tc>
          <w:tcPr>
            <w:tcW w:w="5420" w:type="dxa"/>
            <w:vAlign w:val="bottom"/>
          </w:tcPr>
          <w:p>
            <w:pPr>
              <w:spacing w:after="0"/>
              <w:rPr>
                <w:sz w:val="20"/>
                <w:szCs w:val="20"/>
                <w:color w:val="auto"/>
              </w:rPr>
            </w:pPr>
            <w:r>
              <w:rPr>
                <w:rFonts w:ascii="Times New Roman" w:cs="Times New Roman" w:eastAsia="Times New Roman" w:hAnsi="Times New Roman"/>
                <w:sz w:val="22"/>
                <w:szCs w:val="22"/>
                <w:color w:val="auto"/>
              </w:rPr>
              <w:t>Lead Independent Director:</w:t>
            </w:r>
          </w:p>
        </w:tc>
        <w:tc>
          <w:tcPr>
            <w:tcW w:w="8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5"/>
              </w:rPr>
              <w:t>$27,500</w:t>
            </w:r>
          </w:p>
        </w:tc>
      </w:tr>
      <w:tr>
        <w:trPr>
          <w:trHeight w:val="458"/>
        </w:trPr>
        <w:tc>
          <w:tcPr>
            <w:tcW w:w="5420" w:type="dxa"/>
            <w:vAlign w:val="bottom"/>
          </w:tcPr>
          <w:p>
            <w:pPr>
              <w:spacing w:after="0"/>
              <w:rPr>
                <w:sz w:val="20"/>
                <w:szCs w:val="20"/>
                <w:color w:val="auto"/>
              </w:rPr>
            </w:pPr>
            <w:r>
              <w:rPr>
                <w:rFonts w:ascii="Times New Roman" w:cs="Times New Roman" w:eastAsia="Times New Roman" w:hAnsi="Times New Roman"/>
                <w:sz w:val="22"/>
                <w:szCs w:val="22"/>
                <w:color w:val="auto"/>
              </w:rPr>
              <w:t>Chair of Audit Committee:</w:t>
            </w:r>
          </w:p>
        </w:tc>
        <w:tc>
          <w:tcPr>
            <w:tcW w:w="8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5"/>
              </w:rPr>
              <w:t>$20,000</w:t>
            </w:r>
          </w:p>
        </w:tc>
      </w:tr>
      <w:tr>
        <w:trPr>
          <w:trHeight w:val="420"/>
        </w:trPr>
        <w:tc>
          <w:tcPr>
            <w:tcW w:w="5420" w:type="dxa"/>
            <w:vAlign w:val="bottom"/>
          </w:tcPr>
          <w:p>
            <w:pPr>
              <w:spacing w:after="0"/>
              <w:rPr>
                <w:sz w:val="20"/>
                <w:szCs w:val="20"/>
                <w:color w:val="auto"/>
              </w:rPr>
            </w:pPr>
            <w:r>
              <w:rPr>
                <w:rFonts w:ascii="Times New Roman" w:cs="Times New Roman" w:eastAsia="Times New Roman" w:hAnsi="Times New Roman"/>
                <w:sz w:val="22"/>
                <w:szCs w:val="22"/>
                <w:color w:val="auto"/>
              </w:rPr>
              <w:t>Member of Audit Committee (other than the Chair of the</w:t>
            </w:r>
          </w:p>
        </w:tc>
        <w:tc>
          <w:tcPr>
            <w:tcW w:w="880" w:type="dxa"/>
            <w:vAlign w:val="bottom"/>
          </w:tcPr>
          <w:p>
            <w:pPr>
              <w:spacing w:after="0"/>
              <w:rPr>
                <w:sz w:val="24"/>
                <w:szCs w:val="24"/>
                <w:color w:val="auto"/>
              </w:rPr>
            </w:pPr>
          </w:p>
        </w:tc>
      </w:tr>
      <w:tr>
        <w:trPr>
          <w:trHeight w:val="280"/>
        </w:trPr>
        <w:tc>
          <w:tcPr>
            <w:tcW w:w="5420" w:type="dxa"/>
            <w:vAlign w:val="bottom"/>
          </w:tcPr>
          <w:p>
            <w:pPr>
              <w:spacing w:after="0"/>
              <w:rPr>
                <w:sz w:val="20"/>
                <w:szCs w:val="20"/>
                <w:color w:val="auto"/>
              </w:rPr>
            </w:pPr>
            <w:r>
              <w:rPr>
                <w:rFonts w:ascii="Times New Roman" w:cs="Times New Roman" w:eastAsia="Times New Roman" w:hAnsi="Times New Roman"/>
                <w:sz w:val="22"/>
                <w:szCs w:val="22"/>
                <w:color w:val="auto"/>
              </w:rPr>
              <w:t>Audit Committee):</w:t>
            </w:r>
          </w:p>
        </w:tc>
        <w:tc>
          <w:tcPr>
            <w:tcW w:w="8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5"/>
              </w:rPr>
              <w:t>$10,000</w:t>
            </w:r>
          </w:p>
        </w:tc>
      </w:tr>
      <w:tr>
        <w:trPr>
          <w:trHeight w:val="458"/>
        </w:trPr>
        <w:tc>
          <w:tcPr>
            <w:tcW w:w="5420" w:type="dxa"/>
            <w:vAlign w:val="bottom"/>
          </w:tcPr>
          <w:p>
            <w:pPr>
              <w:spacing w:after="0"/>
              <w:rPr>
                <w:sz w:val="20"/>
                <w:szCs w:val="20"/>
                <w:color w:val="auto"/>
              </w:rPr>
            </w:pPr>
            <w:r>
              <w:rPr>
                <w:rFonts w:ascii="Times New Roman" w:cs="Times New Roman" w:eastAsia="Times New Roman" w:hAnsi="Times New Roman"/>
                <w:sz w:val="22"/>
                <w:szCs w:val="22"/>
                <w:color w:val="auto"/>
              </w:rPr>
              <w:t>Chair of Nominating and Corporate Governance Committee:</w:t>
            </w:r>
          </w:p>
        </w:tc>
        <w:tc>
          <w:tcPr>
            <w:tcW w:w="8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5"/>
              </w:rPr>
              <w:t>$10,000</w:t>
            </w:r>
          </w:p>
        </w:tc>
      </w:tr>
      <w:tr>
        <w:trPr>
          <w:trHeight w:val="420"/>
        </w:trPr>
        <w:tc>
          <w:tcPr>
            <w:tcW w:w="5420" w:type="dxa"/>
            <w:vAlign w:val="bottom"/>
          </w:tcPr>
          <w:p>
            <w:pPr>
              <w:spacing w:after="0"/>
              <w:rPr>
                <w:sz w:val="20"/>
                <w:szCs w:val="20"/>
                <w:color w:val="auto"/>
              </w:rPr>
            </w:pPr>
            <w:r>
              <w:rPr>
                <w:rFonts w:ascii="Times New Roman" w:cs="Times New Roman" w:eastAsia="Times New Roman" w:hAnsi="Times New Roman"/>
                <w:sz w:val="22"/>
                <w:szCs w:val="22"/>
                <w:color w:val="auto"/>
              </w:rPr>
              <w:t>Member of Nominating and Corporate Governance</w:t>
            </w:r>
          </w:p>
        </w:tc>
        <w:tc>
          <w:tcPr>
            <w:tcW w:w="880" w:type="dxa"/>
            <w:vAlign w:val="bottom"/>
          </w:tcPr>
          <w:p>
            <w:pPr>
              <w:spacing w:after="0"/>
              <w:rPr>
                <w:sz w:val="24"/>
                <w:szCs w:val="24"/>
                <w:color w:val="auto"/>
              </w:rPr>
            </w:pPr>
          </w:p>
        </w:tc>
      </w:tr>
      <w:tr>
        <w:trPr>
          <w:trHeight w:val="242"/>
        </w:trPr>
        <w:tc>
          <w:tcPr>
            <w:tcW w:w="5420" w:type="dxa"/>
            <w:vAlign w:val="bottom"/>
          </w:tcPr>
          <w:p>
            <w:pPr>
              <w:spacing w:after="0" w:line="242" w:lineRule="exact"/>
              <w:rPr>
                <w:sz w:val="20"/>
                <w:szCs w:val="20"/>
                <w:color w:val="auto"/>
              </w:rPr>
            </w:pPr>
            <w:r>
              <w:rPr>
                <w:rFonts w:ascii="Times New Roman" w:cs="Times New Roman" w:eastAsia="Times New Roman" w:hAnsi="Times New Roman"/>
                <w:sz w:val="22"/>
                <w:szCs w:val="22"/>
                <w:color w:val="auto"/>
              </w:rPr>
              <w:t>Committee (other than the Chair of the Nominating and</w:t>
            </w:r>
          </w:p>
        </w:tc>
        <w:tc>
          <w:tcPr>
            <w:tcW w:w="880" w:type="dxa"/>
            <w:vAlign w:val="bottom"/>
          </w:tcPr>
          <w:p>
            <w:pPr>
              <w:spacing w:after="0"/>
              <w:rPr>
                <w:sz w:val="21"/>
                <w:szCs w:val="21"/>
                <w:color w:val="auto"/>
              </w:rPr>
            </w:pPr>
          </w:p>
        </w:tc>
      </w:tr>
      <w:tr>
        <w:trPr>
          <w:trHeight w:val="280"/>
        </w:trPr>
        <w:tc>
          <w:tcPr>
            <w:tcW w:w="5420" w:type="dxa"/>
            <w:vAlign w:val="bottom"/>
          </w:tcPr>
          <w:p>
            <w:pPr>
              <w:spacing w:after="0"/>
              <w:rPr>
                <w:sz w:val="20"/>
                <w:szCs w:val="20"/>
                <w:color w:val="auto"/>
              </w:rPr>
            </w:pPr>
            <w:r>
              <w:rPr>
                <w:rFonts w:ascii="Times New Roman" w:cs="Times New Roman" w:eastAsia="Times New Roman" w:hAnsi="Times New Roman"/>
                <w:sz w:val="22"/>
                <w:szCs w:val="22"/>
                <w:color w:val="auto"/>
              </w:rPr>
              <w:t>Corporate Governance Committee):</w:t>
            </w:r>
          </w:p>
        </w:tc>
        <w:tc>
          <w:tcPr>
            <w:tcW w:w="8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$5,000</w:t>
            </w: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614045</wp:posOffset>
            </wp:positionV>
            <wp:extent cx="715835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211" w:name="page212"/>
    <w:bookmarkEnd w:id="211"/>
    <w:p>
      <w:pPr>
        <w:spacing w:after="0" w:line="181" w:lineRule="exact"/>
        <w:rPr>
          <w:sz w:val="20"/>
          <w:szCs w:val="20"/>
          <w:color w:val="auto"/>
        </w:rPr>
      </w:pPr>
    </w:p>
    <w:tbl>
      <w:tblPr>
        <w:tblLayout w:type="fixed"/>
        <w:tblInd w:w="860" w:type="dxa"/>
        <w:tblCellMar>
          <w:top w:w="0" w:type="dxa"/>
          <w:left w:w="0" w:type="dxa"/>
          <w:bottom w:w="0" w:type="dxa"/>
          <w:right w:w="0" w:type="dxa"/>
        </w:tblCellMar>
      </w:tblPr>
      <w:tr>
        <w:trPr>
          <w:trHeight w:val="280"/>
        </w:trPr>
        <w:tc>
          <w:tcPr>
            <w:tcW w:w="5480" w:type="dxa"/>
            <w:vAlign w:val="bottom"/>
          </w:tcPr>
          <w:p>
            <w:pPr>
              <w:spacing w:after="0"/>
              <w:rPr>
                <w:sz w:val="20"/>
                <w:szCs w:val="20"/>
                <w:color w:val="auto"/>
              </w:rPr>
            </w:pPr>
            <w:r>
              <w:rPr>
                <w:rFonts w:ascii="Times New Roman" w:cs="Times New Roman" w:eastAsia="Times New Roman" w:hAnsi="Times New Roman"/>
                <w:sz w:val="22"/>
                <w:szCs w:val="22"/>
                <w:color w:val="auto"/>
              </w:rPr>
              <w:t>Chair of Compensation Committee:</w:t>
            </w:r>
          </w:p>
        </w:tc>
        <w:tc>
          <w:tcPr>
            <w:tcW w:w="8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$15,000</w:t>
            </w:r>
          </w:p>
        </w:tc>
      </w:tr>
      <w:tr>
        <w:trPr>
          <w:trHeight w:val="420"/>
        </w:trPr>
        <w:tc>
          <w:tcPr>
            <w:tcW w:w="5480" w:type="dxa"/>
            <w:vAlign w:val="bottom"/>
          </w:tcPr>
          <w:p>
            <w:pPr>
              <w:spacing w:after="0"/>
              <w:rPr>
                <w:sz w:val="20"/>
                <w:szCs w:val="20"/>
                <w:color w:val="auto"/>
              </w:rPr>
            </w:pPr>
            <w:r>
              <w:rPr>
                <w:rFonts w:ascii="Times New Roman" w:cs="Times New Roman" w:eastAsia="Times New Roman" w:hAnsi="Times New Roman"/>
                <w:sz w:val="22"/>
                <w:szCs w:val="22"/>
                <w:color w:val="auto"/>
                <w:w w:val="99"/>
              </w:rPr>
              <w:t>Member of Compensation Committee (other than the Chair of</w:t>
            </w:r>
          </w:p>
        </w:tc>
        <w:tc>
          <w:tcPr>
            <w:tcW w:w="820" w:type="dxa"/>
            <w:vAlign w:val="bottom"/>
          </w:tcPr>
          <w:p>
            <w:pPr>
              <w:spacing w:after="0"/>
              <w:rPr>
                <w:sz w:val="24"/>
                <w:szCs w:val="24"/>
                <w:color w:val="auto"/>
              </w:rPr>
            </w:pPr>
          </w:p>
        </w:tc>
      </w:tr>
      <w:tr>
        <w:trPr>
          <w:trHeight w:val="280"/>
        </w:trPr>
        <w:tc>
          <w:tcPr>
            <w:tcW w:w="5480" w:type="dxa"/>
            <w:vAlign w:val="bottom"/>
          </w:tcPr>
          <w:p>
            <w:pPr>
              <w:spacing w:after="0"/>
              <w:rPr>
                <w:sz w:val="20"/>
                <w:szCs w:val="20"/>
                <w:color w:val="auto"/>
              </w:rPr>
            </w:pPr>
            <w:r>
              <w:rPr>
                <w:rFonts w:ascii="Times New Roman" w:cs="Times New Roman" w:eastAsia="Times New Roman" w:hAnsi="Times New Roman"/>
                <w:sz w:val="22"/>
                <w:szCs w:val="22"/>
                <w:color w:val="auto"/>
              </w:rPr>
              <w:t>the Compensation Committee):</w:t>
            </w:r>
          </w:p>
        </w:tc>
        <w:tc>
          <w:tcPr>
            <w:tcW w:w="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$7,500</w:t>
            </w:r>
          </w:p>
        </w:tc>
      </w:tr>
    </w:tbl>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Each annual cash retainer and additional annual fee will be paid quarterly in arrears on a prorated basis.</w:t>
      </w:r>
    </w:p>
    <w:p>
      <w:pPr>
        <w:spacing w:after="0" w:line="201" w:lineRule="exact"/>
        <w:rPr>
          <w:sz w:val="20"/>
          <w:szCs w:val="20"/>
          <w:color w:val="auto"/>
        </w:rPr>
      </w:pPr>
    </w:p>
    <w:p>
      <w:pPr>
        <w:ind w:left="760" w:hanging="378"/>
        <w:spacing w:after="0"/>
        <w:tabs>
          <w:tab w:leader="none" w:pos="760" w:val="left"/>
        </w:tabs>
        <w:numPr>
          <w:ilvl w:val="0"/>
          <w:numId w:val="1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w:t>
      </w:r>
      <w:r>
        <w:rPr>
          <w:rFonts w:ascii="Times New Roman" w:cs="Times New Roman" w:eastAsia="Times New Roman" w:hAnsi="Times New Roman"/>
          <w:sz w:val="14"/>
          <w:szCs w:val="14"/>
          <w:b w:val="1"/>
          <w:bCs w:val="1"/>
          <w:u w:val="single" w:color="auto"/>
          <w:color w:val="auto"/>
        </w:rPr>
        <w:t>quity</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ompensation</w:t>
      </w:r>
    </w:p>
    <w:p>
      <w:pPr>
        <w:spacing w:after="0" w:line="20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Outside Directors will be eligible to receive all types of Awards (except Incentive Stock Options) under the Plan (or the applicable equity plan in place at the time of grant), including discretionary Awards not covered under this Policy. All grants of Awards to Outside Directors pursuant to Section 2 of this Policy will be automatic and nondiscretionary, except as otherwise provided herein, and will be made in accordance with the following provisions:</w:t>
      </w:r>
    </w:p>
    <w:p>
      <w:pPr>
        <w:spacing w:after="0" w:line="182" w:lineRule="exact"/>
        <w:rPr>
          <w:sz w:val="20"/>
          <w:szCs w:val="20"/>
          <w:color w:val="auto"/>
        </w:rPr>
      </w:pPr>
    </w:p>
    <w:p>
      <w:pPr>
        <w:ind w:firstLine="756"/>
        <w:spacing w:after="0" w:line="255" w:lineRule="auto"/>
        <w:tabs>
          <w:tab w:leader="none" w:pos="101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Discretion</w:t>
      </w:r>
      <w:r>
        <w:rPr>
          <w:rFonts w:ascii="Times New Roman" w:cs="Times New Roman" w:eastAsia="Times New Roman" w:hAnsi="Times New Roman"/>
          <w:sz w:val="22"/>
          <w:szCs w:val="22"/>
          <w:color w:val="auto"/>
        </w:rPr>
        <w:t>. No person will have any discretion to select which Outside Directors will be granted any Awards under this Policy or to determine the number of Shares to be covered by such Awards.</w:t>
      </w:r>
    </w:p>
    <w:p>
      <w:pPr>
        <w:spacing w:after="0" w:line="162" w:lineRule="exact"/>
        <w:rPr>
          <w:rFonts w:ascii="Times New Roman" w:cs="Times New Roman" w:eastAsia="Times New Roman" w:hAnsi="Times New Roman"/>
          <w:sz w:val="22"/>
          <w:szCs w:val="22"/>
          <w:color w:val="auto"/>
        </w:rPr>
      </w:pPr>
    </w:p>
    <w:p>
      <w:pPr>
        <w:jc w:val="both"/>
        <w:ind w:firstLine="756"/>
        <w:spacing w:after="0" w:line="235" w:lineRule="auto"/>
        <w:tabs>
          <w:tab w:leader="none" w:pos="101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Award</w:t>
      </w:r>
      <w:r>
        <w:rPr>
          <w:rFonts w:ascii="Times New Roman" w:cs="Times New Roman" w:eastAsia="Times New Roman" w:hAnsi="Times New Roman"/>
          <w:sz w:val="22"/>
          <w:szCs w:val="22"/>
          <w:color w:val="auto"/>
        </w:rPr>
        <w:t>. Subject to Section 7 of this Policy, each individual who first becomes an Outside Director will be granted Restricted Stock Units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with an aggregate Value equal to $600,000 (an “</w:t>
      </w:r>
      <w:r>
        <w:rPr>
          <w:rFonts w:ascii="Times New Roman" w:cs="Times New Roman" w:eastAsia="Times New Roman" w:hAnsi="Times New Roman"/>
          <w:sz w:val="22"/>
          <w:szCs w:val="22"/>
          <w:b w:val="1"/>
          <w:bCs w:val="1"/>
          <w:color w:val="auto"/>
        </w:rPr>
        <w:t>Initial Award</w:t>
      </w:r>
      <w:r>
        <w:rPr>
          <w:rFonts w:ascii="Times New Roman" w:cs="Times New Roman" w:eastAsia="Times New Roman" w:hAnsi="Times New Roman"/>
          <w:sz w:val="22"/>
          <w:szCs w:val="22"/>
          <w:color w:val="auto"/>
        </w:rPr>
        <w:t>”). The Initial Award will be made on the first Trading Day on or after the date on which such individual first becomes an Outside Director, whether through election by the stockholders of the Company or appointment by the Board to fill a vacancy (such grant date, the “</w:t>
      </w:r>
      <w:r>
        <w:rPr>
          <w:rFonts w:ascii="Times New Roman" w:cs="Times New Roman" w:eastAsia="Times New Roman" w:hAnsi="Times New Roman"/>
          <w:sz w:val="22"/>
          <w:szCs w:val="22"/>
          <w:b w:val="1"/>
          <w:bCs w:val="1"/>
          <w:color w:val="auto"/>
        </w:rPr>
        <w:t>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Award Grant Date</w:t>
      </w:r>
      <w:r>
        <w:rPr>
          <w:rFonts w:ascii="Times New Roman" w:cs="Times New Roman" w:eastAsia="Times New Roman" w:hAnsi="Times New Roman"/>
          <w:sz w:val="22"/>
          <w:szCs w:val="22"/>
          <w:color w:val="auto"/>
        </w:rPr>
        <w:t>”). If an individual was a member of the Board and also an employee, becoming an Outside Director due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employment will not entitle the Outside Director to an Initial Award.</w:t>
      </w:r>
    </w:p>
    <w:p>
      <w:pPr>
        <w:spacing w:after="0" w:line="197" w:lineRule="exact"/>
        <w:rPr>
          <w:sz w:val="20"/>
          <w:szCs w:val="20"/>
          <w:color w:val="auto"/>
        </w:rPr>
      </w:pPr>
    </w:p>
    <w:p>
      <w:pPr>
        <w:jc w:val="both"/>
        <w:ind w:firstLine="749"/>
        <w:spacing w:after="0" w:line="218" w:lineRule="auto"/>
        <w:rPr>
          <w:sz w:val="20"/>
          <w:szCs w:val="20"/>
          <w:color w:val="auto"/>
        </w:rPr>
      </w:pPr>
      <w:r>
        <w:rPr>
          <w:rFonts w:ascii="Times New Roman" w:cs="Times New Roman" w:eastAsia="Times New Roman" w:hAnsi="Times New Roman"/>
          <w:sz w:val="22"/>
          <w:szCs w:val="22"/>
          <w:color w:val="auto"/>
        </w:rPr>
        <w:t>Subject to Section 3 of this Policy, each Initial Award will be scheduled to vest as follows 1/3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of the Shares subject to the Initial Award will be scheduled to vest on each annual anniversary of the Initial Award Grant Date.</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Annual Award</w:t>
      </w:r>
      <w:r>
        <w:rPr>
          <w:rFonts w:ascii="Times New Roman" w:cs="Times New Roman" w:eastAsia="Times New Roman" w:hAnsi="Times New Roman"/>
          <w:sz w:val="22"/>
          <w:szCs w:val="22"/>
          <w:color w:val="auto"/>
        </w:rPr>
        <w:t>. Subject to Section 7 of this Policy, on the date of each annual meeting of the Company’s stockholders (each, an “</w:t>
      </w:r>
      <w:r>
        <w:rPr>
          <w:rFonts w:ascii="Times New Roman" w:cs="Times New Roman" w:eastAsia="Times New Roman" w:hAnsi="Times New Roman"/>
          <w:sz w:val="22"/>
          <w:szCs w:val="22"/>
          <w:b w:val="1"/>
          <w:bCs w:val="1"/>
          <w:color w:val="auto"/>
        </w:rPr>
        <w:t>Annual Meeting</w:t>
      </w:r>
      <w:r>
        <w:rPr>
          <w:rFonts w:ascii="Times New Roman" w:cs="Times New Roman" w:eastAsia="Times New Roman" w:hAnsi="Times New Roman"/>
          <w:sz w:val="22"/>
          <w:szCs w:val="22"/>
          <w:color w:val="auto"/>
        </w:rPr>
        <w:t>”), each Outside Director will be automatically granted RSUs with an aggregate Value equal to $300,000 (an “</w:t>
      </w:r>
      <w:r>
        <w:rPr>
          <w:rFonts w:ascii="Times New Roman" w:cs="Times New Roman" w:eastAsia="Times New Roman" w:hAnsi="Times New Roman"/>
          <w:sz w:val="22"/>
          <w:szCs w:val="22"/>
          <w:b w:val="1"/>
          <w:bCs w:val="1"/>
          <w:color w:val="auto"/>
        </w:rPr>
        <w:t>Annual Award</w:t>
      </w:r>
      <w:r>
        <w:rPr>
          <w:rFonts w:ascii="Times New Roman" w:cs="Times New Roman" w:eastAsia="Times New Roman" w:hAnsi="Times New Roman"/>
          <w:sz w:val="22"/>
          <w:szCs w:val="22"/>
          <w:color w:val="auto"/>
        </w:rPr>
        <w:t>”). Notwithstanding the foregoing, any Outside Director who has not been a Director for at least six (6) months prior to the date of the applicable Annual Meeting will not receive an Annual Award.</w:t>
      </w:r>
    </w:p>
    <w:p>
      <w:pPr>
        <w:spacing w:after="0" w:line="18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Subject to Section 3 of this Policy, each Annual Award will be scheduled to vest on the earlier of (i) the one (1)-year anniversary of the date the Annual Award is granted, or (ii) the day prior to the date of the Annual Meeting next following the date the Annual Award is granted, in each case, subject to the Outside Director continuing to be a Service Provider through the applicable vesting date.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For purposes of this Policy, “</w:t>
      </w:r>
      <w:r>
        <w:rPr>
          <w:rFonts w:ascii="Times New Roman" w:cs="Times New Roman" w:eastAsia="Times New Roman" w:hAnsi="Times New Roman"/>
          <w:sz w:val="22"/>
          <w:szCs w:val="22"/>
          <w:b w:val="1"/>
          <w:bCs w:val="1"/>
          <w:color w:val="auto"/>
        </w:rPr>
        <w:t>Value</w:t>
      </w:r>
      <w:r>
        <w:rPr>
          <w:rFonts w:ascii="Times New Roman" w:cs="Times New Roman" w:eastAsia="Times New Roman" w:hAnsi="Times New Roman"/>
          <w:sz w:val="22"/>
          <w:szCs w:val="22"/>
          <w:color w:val="auto"/>
        </w:rPr>
        <w:t>” means, with respect to each Initial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614045</wp:posOffset>
            </wp:positionV>
            <wp:extent cx="715835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Award and Annual Award (each, an “</w:t>
      </w:r>
      <w:r>
        <w:rPr>
          <w:rFonts w:ascii="Times New Roman" w:cs="Times New Roman" w:eastAsia="Times New Roman" w:hAnsi="Times New Roman"/>
          <w:sz w:val="22"/>
          <w:szCs w:val="22"/>
          <w:b w:val="1"/>
          <w:bCs w:val="1"/>
          <w:color w:val="auto"/>
        </w:rPr>
        <w:t>RSU Award</w:t>
      </w:r>
      <w:r>
        <w:rPr>
          <w:rFonts w:ascii="Times New Roman" w:cs="Times New Roman" w:eastAsia="Times New Roman" w:hAnsi="Times New Roman"/>
          <w:sz w:val="22"/>
          <w:szCs w:val="22"/>
          <w:color w:val="auto"/>
        </w:rPr>
        <w:t>”), the average of the closing prices of the Company’s Common Stock in each trading day occurring during the consecutive, thirty (30) trailing calendar day period ending on (and inclusive of) the Friday immediately preceding the grant date of the RSU Award, or such other methodology the Board or its Compensation Committee may determine prior to the grant of the RSU Award becoming effective; provided, however, that any RSU Award will cover only a whole number of Shares, such that any fractional Share that otherwise would result from a given Value will be rounded down and will not become subject to such RSU Award.</w:t>
      </w:r>
    </w:p>
    <w:p>
      <w:pPr>
        <w:spacing w:after="0" w:line="181" w:lineRule="exact"/>
        <w:rPr>
          <w:sz w:val="20"/>
          <w:szCs w:val="20"/>
          <w:color w:val="auto"/>
        </w:rPr>
      </w:pPr>
    </w:p>
    <w:p>
      <w:pPr>
        <w:jc w:val="both"/>
        <w:ind w:firstLine="756"/>
        <w:spacing w:after="0" w:line="242" w:lineRule="auto"/>
        <w:tabs>
          <w:tab w:leader="none" w:pos="1018"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Terms of Initial Awards and Annual Awards</w:t>
      </w:r>
      <w:r>
        <w:rPr>
          <w:rFonts w:ascii="Times New Roman" w:cs="Times New Roman" w:eastAsia="Times New Roman" w:hAnsi="Times New Roman"/>
          <w:sz w:val="22"/>
          <w:szCs w:val="22"/>
          <w:color w:val="auto"/>
        </w:rPr>
        <w:t>. Each Initial Award and Annual Award will be granted under and subject to the terms and conditions of the Plan and the applicable form of Award Agreement previously approved by the Board or its Compensation Committee, as applicable, for use thereunder.</w:t>
      </w:r>
    </w:p>
    <w:p>
      <w:pPr>
        <w:spacing w:after="0" w:line="173"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hange in</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ontrol</w:t>
      </w:r>
    </w:p>
    <w:p>
      <w:pPr>
        <w:spacing w:after="0" w:line="20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22"/>
          <w:szCs w:val="22"/>
          <w:color w:val="auto"/>
        </w:rPr>
        <w:t>In the event of a Change in Control, each Outside Director outstanding Company equity awards will be treated in accordance with the terms of the Plan.</w:t>
      </w:r>
    </w:p>
    <w:p>
      <w:pPr>
        <w:spacing w:after="0" w:line="159" w:lineRule="exact"/>
        <w:rPr>
          <w:sz w:val="20"/>
          <w:szCs w:val="20"/>
          <w:color w:val="auto"/>
        </w:rPr>
      </w:pPr>
    </w:p>
    <w:p>
      <w:pPr>
        <w:ind w:left="760" w:hanging="378"/>
        <w:spacing w:after="0"/>
        <w:tabs>
          <w:tab w:leader="none" w:pos="760" w:val="left"/>
        </w:tabs>
        <w:numPr>
          <w:ilvl w:val="0"/>
          <w:numId w:val="1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w:t>
      </w:r>
      <w:r>
        <w:rPr>
          <w:rFonts w:ascii="Times New Roman" w:cs="Times New Roman" w:eastAsia="Times New Roman" w:hAnsi="Times New Roman"/>
          <w:sz w:val="14"/>
          <w:szCs w:val="14"/>
          <w:b w:val="1"/>
          <w:bCs w:val="1"/>
          <w:u w:val="single" w:color="auto"/>
          <w:color w:val="auto"/>
        </w:rPr>
        <w:t>ravel</w:t>
      </w:r>
      <w:r>
        <w:rPr>
          <w:rFonts w:ascii="Times New Roman" w:cs="Times New Roman" w:eastAsia="Times New Roman" w:hAnsi="Times New Roman"/>
          <w:sz w:val="22"/>
          <w:szCs w:val="22"/>
          <w:b w:val="1"/>
          <w:bCs w:val="1"/>
          <w:u w:val="single" w:color="auto"/>
          <w:color w:val="auto"/>
        </w:rPr>
        <w:t xml:space="preserve"> E</w:t>
      </w:r>
      <w:r>
        <w:rPr>
          <w:rFonts w:ascii="Times New Roman" w:cs="Times New Roman" w:eastAsia="Times New Roman" w:hAnsi="Times New Roman"/>
          <w:sz w:val="14"/>
          <w:szCs w:val="14"/>
          <w:b w:val="1"/>
          <w:bCs w:val="1"/>
          <w:u w:val="single" w:color="auto"/>
          <w:color w:val="auto"/>
        </w:rPr>
        <w:t>xpenses</w:t>
      </w:r>
    </w:p>
    <w:p>
      <w:pPr>
        <w:spacing w:after="0" w:line="20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22"/>
          <w:szCs w:val="22"/>
          <w:color w:val="auto"/>
        </w:rPr>
        <w:t>Each Outside Director’s reasonable, customary, and documented travel expenses to Board meetings will be reimbursed by the Company.</w:t>
      </w:r>
    </w:p>
    <w:p>
      <w:pPr>
        <w:spacing w:after="0" w:line="159" w:lineRule="exact"/>
        <w:rPr>
          <w:sz w:val="20"/>
          <w:szCs w:val="20"/>
          <w:color w:val="auto"/>
        </w:rPr>
      </w:pPr>
    </w:p>
    <w:p>
      <w:pPr>
        <w:ind w:left="760" w:hanging="378"/>
        <w:spacing w:after="0"/>
        <w:tabs>
          <w:tab w:leader="none" w:pos="760" w:val="left"/>
        </w:tabs>
        <w:numPr>
          <w:ilvl w:val="0"/>
          <w:numId w:val="1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14"/>
          <w:szCs w:val="14"/>
          <w:b w:val="1"/>
          <w:bCs w:val="1"/>
          <w:u w:val="single" w:color="auto"/>
          <w:color w:val="auto"/>
        </w:rPr>
        <w:t>dditional</w:t>
      </w:r>
      <w:r>
        <w:rPr>
          <w:rFonts w:ascii="Times New Roman" w:cs="Times New Roman" w:eastAsia="Times New Roman" w:hAnsi="Times New Roman"/>
          <w:sz w:val="22"/>
          <w:szCs w:val="22"/>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rovisions</w:t>
      </w: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All provisions of the Plan not inconsistent with this Policy will apply to Awards granted to Outside Directors.</w:t>
      </w:r>
    </w:p>
    <w:p>
      <w:pPr>
        <w:spacing w:after="0" w:line="201" w:lineRule="exact"/>
        <w:rPr>
          <w:sz w:val="20"/>
          <w:szCs w:val="20"/>
          <w:color w:val="auto"/>
        </w:rPr>
      </w:pPr>
    </w:p>
    <w:p>
      <w:pPr>
        <w:ind w:left="760" w:hanging="378"/>
        <w:spacing w:after="0"/>
        <w:tabs>
          <w:tab w:leader="none" w:pos="760" w:val="left"/>
        </w:tabs>
        <w:numPr>
          <w:ilvl w:val="0"/>
          <w:numId w:val="1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14"/>
          <w:szCs w:val="14"/>
          <w:b w:val="1"/>
          <w:bCs w:val="1"/>
          <w:u w:val="single" w:color="auto"/>
          <w:color w:val="auto"/>
        </w:rPr>
        <w:t>djustments</w:t>
      </w:r>
    </w:p>
    <w:p>
      <w:pPr>
        <w:spacing w:after="0" w:line="209" w:lineRule="exact"/>
        <w:rPr>
          <w:sz w:val="20"/>
          <w:szCs w:val="20"/>
          <w:color w:val="auto"/>
        </w:rPr>
      </w:pPr>
    </w:p>
    <w:p>
      <w:pPr>
        <w:jc w:val="both"/>
        <w:ind w:firstLine="431"/>
        <w:spacing w:after="0" w:line="235" w:lineRule="auto"/>
        <w:rPr>
          <w:sz w:val="20"/>
          <w:szCs w:val="20"/>
          <w:color w:val="auto"/>
        </w:rPr>
      </w:pPr>
      <w:r>
        <w:rPr>
          <w:rFonts w:ascii="Times New Roman" w:cs="Times New Roman" w:eastAsia="Times New Roman" w:hAnsi="Times New Roman"/>
          <w:sz w:val="22"/>
          <w:szCs w:val="22"/>
          <w:color w:val="auto"/>
        </w:rPr>
        <w:t>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this Policy, will adjust the number of Shares issuable pursuant to Awards granted under this Policy.</w:t>
      </w:r>
    </w:p>
    <w:p>
      <w:pPr>
        <w:spacing w:after="0" w:line="180" w:lineRule="exact"/>
        <w:rPr>
          <w:sz w:val="20"/>
          <w:szCs w:val="20"/>
          <w:color w:val="auto"/>
        </w:rPr>
      </w:pPr>
    </w:p>
    <w:p>
      <w:pPr>
        <w:ind w:left="760" w:hanging="378"/>
        <w:spacing w:after="0"/>
        <w:tabs>
          <w:tab w:leader="none" w:pos="760" w:val="left"/>
        </w:tabs>
        <w:numPr>
          <w:ilvl w:val="0"/>
          <w:numId w:val="1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w:t>
      </w:r>
      <w:r>
        <w:rPr>
          <w:rFonts w:ascii="Times New Roman" w:cs="Times New Roman" w:eastAsia="Times New Roman" w:hAnsi="Times New Roman"/>
          <w:sz w:val="14"/>
          <w:szCs w:val="14"/>
          <w:b w:val="1"/>
          <w:bCs w:val="1"/>
          <w:u w:val="single" w:color="auto"/>
          <w:color w:val="auto"/>
        </w:rPr>
        <w:t>imitations</w:t>
      </w:r>
    </w:p>
    <w:p>
      <w:pPr>
        <w:spacing w:after="0" w:line="20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No Outside Director may be paid, issued or granted, in any Fiscal Year, cash payments (including the fees under Section 1 above) and Awards with an aggregate value greater than $750,000, increased to $1,000,000 in connection with his or her initial service (with the value of Awards based on its grant date fair value (determined in accordance with U.S. generally accepted accounting principles)). Any Awards or other compensation provided to an individual (a) for his or her services as an Employee, or for his or her services as a Consultant other than as an Outside Director, or (b) prior to the Effective Date, will be excluded for purposes of the foregoing limits.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614045</wp:posOffset>
            </wp:positionV>
            <wp:extent cx="715835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77" w:lineRule="exact"/>
        <w:rPr>
          <w:sz w:val="20"/>
          <w:szCs w:val="20"/>
          <w:color w:val="auto"/>
        </w:rPr>
      </w:pPr>
    </w:p>
    <w:p>
      <w:pPr>
        <w:ind w:left="760" w:hanging="378"/>
        <w:spacing w:after="0"/>
        <w:tabs>
          <w:tab w:leader="none" w:pos="760" w:val="left"/>
        </w:tabs>
        <w:numPr>
          <w:ilvl w:val="0"/>
          <w:numId w:val="1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w:t>
      </w:r>
      <w:r>
        <w:rPr>
          <w:rFonts w:ascii="Times New Roman" w:cs="Times New Roman" w:eastAsia="Times New Roman" w:hAnsi="Times New Roman"/>
          <w:sz w:val="14"/>
          <w:szCs w:val="14"/>
          <w:b w:val="1"/>
          <w:bCs w:val="1"/>
          <w:u w:val="single" w:color="auto"/>
          <w:color w:val="auto"/>
        </w:rPr>
        <w:t>ection</w:t>
      </w:r>
      <w:r>
        <w:rPr>
          <w:rFonts w:ascii="Times New Roman" w:cs="Times New Roman" w:eastAsia="Times New Roman" w:hAnsi="Times New Roman"/>
          <w:sz w:val="22"/>
          <w:szCs w:val="22"/>
          <w:b w:val="1"/>
          <w:bCs w:val="1"/>
          <w:u w:val="single" w:color="auto"/>
          <w:color w:val="auto"/>
        </w:rPr>
        <w:t xml:space="preserve"> 409A</w:t>
      </w:r>
    </w:p>
    <w:p>
      <w:pPr>
        <w:spacing w:after="0" w:line="209" w:lineRule="exact"/>
        <w:rPr>
          <w:sz w:val="20"/>
          <w:szCs w:val="20"/>
          <w:color w:val="auto"/>
        </w:rPr>
      </w:pPr>
    </w:p>
    <w:p>
      <w:pPr>
        <w:jc w:val="both"/>
        <w:ind w:firstLine="749"/>
        <w:spacing w:after="0" w:line="223" w:lineRule="auto"/>
        <w:rPr>
          <w:sz w:val="20"/>
          <w:szCs w:val="20"/>
          <w:color w:val="auto"/>
        </w:rPr>
      </w:pPr>
      <w:r>
        <w:rPr>
          <w:rFonts w:ascii="Times New Roman" w:cs="Times New Roman" w:eastAsia="Times New Roman" w:hAnsi="Times New Roman"/>
          <w:sz w:val="22"/>
          <w:szCs w:val="22"/>
          <w:color w:val="auto"/>
        </w:rPr>
        <w:t>In no event will cash compensation or expense reimbursement payments under this Policy be paid after the later of (a)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month following the end of the Company’s fiscal year in which the compensation is earned or expenses are incurred, as applicable, or (b)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reimburse an Outside Director for any taxes imposed or other costs incurred as a result of Section 409A.</w:t>
      </w:r>
    </w:p>
    <w:p>
      <w:pPr>
        <w:spacing w:after="0" w:line="184" w:lineRule="exact"/>
        <w:rPr>
          <w:sz w:val="20"/>
          <w:szCs w:val="20"/>
          <w:color w:val="auto"/>
        </w:rPr>
      </w:pPr>
    </w:p>
    <w:p>
      <w:pPr>
        <w:ind w:left="760" w:hanging="378"/>
        <w:spacing w:after="0"/>
        <w:tabs>
          <w:tab w:leader="none" w:pos="760" w:val="left"/>
        </w:tabs>
        <w:numPr>
          <w:ilvl w:val="0"/>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w:t>
      </w:r>
      <w:r>
        <w:rPr>
          <w:rFonts w:ascii="Times New Roman" w:cs="Times New Roman" w:eastAsia="Times New Roman" w:hAnsi="Times New Roman"/>
          <w:sz w:val="14"/>
          <w:szCs w:val="14"/>
          <w:b w:val="1"/>
          <w:bCs w:val="1"/>
          <w:u w:val="single" w:color="auto"/>
          <w:color w:val="auto"/>
        </w:rPr>
        <w:t>evisions</w:t>
      </w:r>
    </w:p>
    <w:p>
      <w:pPr>
        <w:spacing w:after="0" w:line="20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Board or any Committee designated by the Board may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614045</wp:posOffset>
            </wp:positionV>
            <wp:extent cx="715835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SOLENO THERAPEUTICS, INC.</w:t>
      </w:r>
    </w:p>
    <w:p>
      <w:pPr>
        <w:spacing w:after="0" w:line="23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0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9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9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GUIDELINES WITH RESPECT TO</w:t>
      </w:r>
    </w:p>
    <w:p>
      <w:pPr>
        <w:spacing w:after="0" w:line="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CERTAIN TRANSACTIONS IN SECURITIES</w:t>
      </w:r>
    </w:p>
    <w:p>
      <w:pPr>
        <w:spacing w:after="0" w:line="2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3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(As amended on November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1178560</wp:posOffset>
            </wp:positionV>
            <wp:extent cx="715835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15" w:name="page216"/>
    <w:bookmarkEnd w:id="215"/>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TABLE OF CONTENTS</w:t>
      </w:r>
    </w:p>
    <w:tbl>
      <w:tblPr>
        <w:tblLayout w:type="fixed"/>
        <w:tblInd w:w="0" w:type="dxa"/>
        <w:tblCellMar>
          <w:top w:w="0" w:type="dxa"/>
          <w:left w:w="0" w:type="dxa"/>
          <w:bottom w:w="0" w:type="dxa"/>
          <w:right w:w="0" w:type="dxa"/>
        </w:tblCellMar>
      </w:tblPr>
      <w:tr>
        <w:trPr>
          <w:trHeight w:val="214"/>
        </w:trPr>
        <w:tc>
          <w:tcPr>
            <w:tcW w:w="10840" w:type="dxa"/>
            <w:vAlign w:val="bottom"/>
          </w:tcPr>
          <w:p>
            <w:pPr>
              <w:spacing w:after="0"/>
              <w:rPr>
                <w:sz w:val="18"/>
                <w:szCs w:val="18"/>
                <w:color w:val="auto"/>
              </w:rPr>
            </w:pPr>
          </w:p>
        </w:tc>
        <w:tc>
          <w:tcPr>
            <w:tcW w:w="4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auto"/>
                <w:w w:val="92"/>
              </w:rPr>
              <w:t>Page</w:t>
            </w:r>
          </w:p>
        </w:tc>
      </w:tr>
      <w:tr>
        <w:trPr>
          <w:trHeight w:val="442"/>
        </w:trPr>
        <w:tc>
          <w:tcPr>
            <w:tcW w:w="10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INTRODUCTION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10840" w:type="dxa"/>
            <w:vAlign w:val="bottom"/>
          </w:tcPr>
          <w:p>
            <w:pPr>
              <w:ind w:left="740"/>
              <w:spacing w:after="0" w:line="229" w:lineRule="exact"/>
              <w:rPr>
                <w:sz w:val="20"/>
                <w:szCs w:val="20"/>
                <w:color w:val="auto"/>
              </w:rPr>
            </w:pPr>
            <w:r>
              <w:rPr>
                <w:rFonts w:ascii="Times New Roman" w:cs="Times New Roman" w:eastAsia="Times New Roman" w:hAnsi="Times New Roman"/>
                <w:sz w:val="20"/>
                <w:szCs w:val="20"/>
                <w:color w:val="auto"/>
              </w:rPr>
              <w:t>Legal prohibitions on insider trading</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w:t>
            </w:r>
          </w:p>
        </w:tc>
      </w:tr>
      <w:tr>
        <w:trPr>
          <w:trHeight w:val="229"/>
        </w:trPr>
        <w:tc>
          <w:tcPr>
            <w:tcW w:w="10840" w:type="dxa"/>
            <w:vAlign w:val="bottom"/>
          </w:tcPr>
          <w:p>
            <w:pPr>
              <w:ind w:left="740"/>
              <w:spacing w:after="0" w:line="229" w:lineRule="exact"/>
              <w:rPr>
                <w:sz w:val="20"/>
                <w:szCs w:val="20"/>
                <w:color w:val="auto"/>
              </w:rPr>
            </w:pPr>
            <w:r>
              <w:rPr>
                <w:rFonts w:ascii="Times New Roman" w:cs="Times New Roman" w:eastAsia="Times New Roman" w:hAnsi="Times New Roman"/>
                <w:sz w:val="20"/>
                <w:szCs w:val="20"/>
                <w:color w:val="auto"/>
              </w:rPr>
              <w:t>Detection and prosecution of insider trading</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w:t>
            </w:r>
          </w:p>
        </w:tc>
      </w:tr>
      <w:tr>
        <w:trPr>
          <w:trHeight w:val="229"/>
        </w:trPr>
        <w:tc>
          <w:tcPr>
            <w:tcW w:w="10840" w:type="dxa"/>
            <w:vAlign w:val="bottom"/>
          </w:tcPr>
          <w:p>
            <w:pPr>
              <w:ind w:left="740"/>
              <w:spacing w:after="0" w:line="229" w:lineRule="exact"/>
              <w:rPr>
                <w:sz w:val="20"/>
                <w:szCs w:val="20"/>
                <w:color w:val="auto"/>
              </w:rPr>
            </w:pPr>
            <w:r>
              <w:rPr>
                <w:rFonts w:ascii="Times New Roman" w:cs="Times New Roman" w:eastAsia="Times New Roman" w:hAnsi="Times New Roman"/>
                <w:sz w:val="20"/>
                <w:szCs w:val="20"/>
                <w:color w:val="auto"/>
              </w:rPr>
              <w:t>Penalties for violation of insider trading laws and this Policy</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w:t>
            </w:r>
          </w:p>
        </w:tc>
      </w:tr>
      <w:tr>
        <w:trPr>
          <w:trHeight w:val="229"/>
        </w:trPr>
        <w:tc>
          <w:tcPr>
            <w:tcW w:w="10840" w:type="dxa"/>
            <w:vAlign w:val="bottom"/>
          </w:tcPr>
          <w:p>
            <w:pPr>
              <w:ind w:left="740"/>
              <w:spacing w:after="0" w:line="229" w:lineRule="exact"/>
              <w:rPr>
                <w:sz w:val="20"/>
                <w:szCs w:val="20"/>
                <w:color w:val="auto"/>
              </w:rPr>
            </w:pPr>
            <w:r>
              <w:rPr>
                <w:rFonts w:ascii="Times New Roman" w:cs="Times New Roman" w:eastAsia="Times New Roman" w:hAnsi="Times New Roman"/>
                <w:sz w:val="20"/>
                <w:szCs w:val="20"/>
                <w:color w:val="auto"/>
              </w:rPr>
              <w:t>Compliance Officer</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w:t>
            </w:r>
          </w:p>
        </w:tc>
      </w:tr>
      <w:tr>
        <w:trPr>
          <w:trHeight w:val="229"/>
        </w:trPr>
        <w:tc>
          <w:tcPr>
            <w:tcW w:w="10840" w:type="dxa"/>
            <w:vAlign w:val="bottom"/>
          </w:tcPr>
          <w:p>
            <w:pPr>
              <w:ind w:left="740"/>
              <w:spacing w:after="0" w:line="229" w:lineRule="exact"/>
              <w:rPr>
                <w:sz w:val="20"/>
                <w:szCs w:val="20"/>
                <w:color w:val="auto"/>
              </w:rPr>
            </w:pPr>
            <w:r>
              <w:rPr>
                <w:rFonts w:ascii="Times New Roman" w:cs="Times New Roman" w:eastAsia="Times New Roman" w:hAnsi="Times New Roman"/>
                <w:sz w:val="20"/>
                <w:szCs w:val="20"/>
                <w:color w:val="auto"/>
              </w:rPr>
              <w:t>Reporting violations</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w:t>
            </w:r>
          </w:p>
        </w:tc>
      </w:tr>
      <w:tr>
        <w:trPr>
          <w:trHeight w:val="258"/>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Personal responsibility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415"/>
        </w:trPr>
        <w:tc>
          <w:tcPr>
            <w:tcW w:w="10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PERSONS AND TRANSACTIONS COVERED BY THIS POLICY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29"/>
        </w:trPr>
        <w:tc>
          <w:tcPr>
            <w:tcW w:w="10840" w:type="dxa"/>
            <w:vAlign w:val="bottom"/>
          </w:tcPr>
          <w:p>
            <w:pPr>
              <w:ind w:left="740"/>
              <w:spacing w:after="0" w:line="229" w:lineRule="exact"/>
              <w:rPr>
                <w:sz w:val="20"/>
                <w:szCs w:val="20"/>
                <w:color w:val="auto"/>
              </w:rPr>
            </w:pPr>
            <w:r>
              <w:rPr>
                <w:rFonts w:ascii="Times New Roman" w:cs="Times New Roman" w:eastAsia="Times New Roman" w:hAnsi="Times New Roman"/>
                <w:sz w:val="20"/>
                <w:szCs w:val="20"/>
                <w:color w:val="auto"/>
              </w:rPr>
              <w:t>Persons covered by this Policy</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3</w:t>
            </w:r>
          </w:p>
        </w:tc>
      </w:tr>
      <w:tr>
        <w:trPr>
          <w:trHeight w:val="229"/>
        </w:trPr>
        <w:tc>
          <w:tcPr>
            <w:tcW w:w="10840" w:type="dxa"/>
            <w:vAlign w:val="bottom"/>
          </w:tcPr>
          <w:p>
            <w:pPr>
              <w:ind w:left="740"/>
              <w:spacing w:after="0" w:line="229" w:lineRule="exact"/>
              <w:rPr>
                <w:sz w:val="20"/>
                <w:szCs w:val="20"/>
                <w:color w:val="auto"/>
              </w:rPr>
            </w:pPr>
            <w:r>
              <w:rPr>
                <w:rFonts w:ascii="Times New Roman" w:cs="Times New Roman" w:eastAsia="Times New Roman" w:hAnsi="Times New Roman"/>
                <w:sz w:val="20"/>
                <w:szCs w:val="20"/>
                <w:color w:val="auto"/>
              </w:rPr>
              <w:t>Types of transactions covered by this Policy</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3</w:t>
            </w:r>
          </w:p>
        </w:tc>
      </w:tr>
      <w:tr>
        <w:trPr>
          <w:trHeight w:val="229"/>
        </w:trPr>
        <w:tc>
          <w:tcPr>
            <w:tcW w:w="10840" w:type="dxa"/>
            <w:vAlign w:val="bottom"/>
          </w:tcPr>
          <w:p>
            <w:pPr>
              <w:ind w:left="740"/>
              <w:spacing w:after="0" w:line="229" w:lineRule="exact"/>
              <w:rPr>
                <w:sz w:val="20"/>
                <w:szCs w:val="20"/>
                <w:color w:val="auto"/>
              </w:rPr>
            </w:pPr>
            <w:r>
              <w:rPr>
                <w:rFonts w:ascii="Times New Roman" w:cs="Times New Roman" w:eastAsia="Times New Roman" w:hAnsi="Times New Roman"/>
                <w:sz w:val="20"/>
                <w:szCs w:val="20"/>
                <w:color w:val="auto"/>
              </w:rPr>
              <w:t>Responsibilities regarding the nonpublic information of other companies</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3</w:t>
            </w:r>
          </w:p>
        </w:tc>
      </w:tr>
      <w:tr>
        <w:trPr>
          <w:trHeight w:val="258"/>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Applicability of this Policy after your departure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415"/>
        </w:trPr>
        <w:tc>
          <w:tcPr>
            <w:tcW w:w="10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MATERIAL NONPUBLIC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29"/>
        </w:trPr>
        <w:tc>
          <w:tcPr>
            <w:tcW w:w="10840" w:type="dxa"/>
            <w:vAlign w:val="bottom"/>
          </w:tcPr>
          <w:p>
            <w:pPr>
              <w:ind w:left="740"/>
              <w:spacing w:after="0" w:line="229" w:lineRule="exact"/>
              <w:rPr>
                <w:sz w:val="20"/>
                <w:szCs w:val="20"/>
                <w:color w:val="auto"/>
              </w:rPr>
            </w:pPr>
            <w:r>
              <w:rPr>
                <w:rFonts w:ascii="Times New Roman" w:cs="Times New Roman" w:eastAsia="Times New Roman" w:hAnsi="Times New Roman"/>
                <w:sz w:val="20"/>
                <w:szCs w:val="20"/>
                <w:color w:val="auto"/>
              </w:rPr>
              <w:t>“Material” information</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5</w:t>
            </w:r>
          </w:p>
        </w:tc>
      </w:tr>
      <w:tr>
        <w:trPr>
          <w:trHeight w:val="258"/>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“Nonpublic”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415"/>
        </w:trPr>
        <w:tc>
          <w:tcPr>
            <w:tcW w:w="10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POLICIES REGARDING MATERIAL NONPUBLIC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29"/>
        </w:trPr>
        <w:tc>
          <w:tcPr>
            <w:tcW w:w="10840" w:type="dxa"/>
            <w:vAlign w:val="bottom"/>
          </w:tcPr>
          <w:p>
            <w:pPr>
              <w:ind w:left="740"/>
              <w:spacing w:after="0" w:line="229" w:lineRule="exact"/>
              <w:rPr>
                <w:sz w:val="20"/>
                <w:szCs w:val="20"/>
                <w:color w:val="auto"/>
              </w:rPr>
            </w:pPr>
            <w:r>
              <w:rPr>
                <w:rFonts w:ascii="Times New Roman" w:cs="Times New Roman" w:eastAsia="Times New Roman" w:hAnsi="Times New Roman"/>
                <w:sz w:val="20"/>
                <w:szCs w:val="20"/>
                <w:color w:val="auto"/>
              </w:rPr>
              <w:t>Confidentiality of nonpublic information</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7</w:t>
            </w:r>
          </w:p>
        </w:tc>
      </w:tr>
      <w:tr>
        <w:trPr>
          <w:trHeight w:val="229"/>
        </w:trPr>
        <w:tc>
          <w:tcPr>
            <w:tcW w:w="10840" w:type="dxa"/>
            <w:vAlign w:val="bottom"/>
          </w:tcPr>
          <w:p>
            <w:pPr>
              <w:ind w:left="740"/>
              <w:spacing w:after="0" w:line="229" w:lineRule="exact"/>
              <w:rPr>
                <w:sz w:val="20"/>
                <w:szCs w:val="20"/>
                <w:color w:val="auto"/>
              </w:rPr>
            </w:pPr>
            <w:r>
              <w:rPr>
                <w:rFonts w:ascii="Times New Roman" w:cs="Times New Roman" w:eastAsia="Times New Roman" w:hAnsi="Times New Roman"/>
                <w:sz w:val="20"/>
                <w:szCs w:val="20"/>
                <w:color w:val="auto"/>
              </w:rPr>
              <w:t>No trading on material nonpublic information</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7</w:t>
            </w:r>
          </w:p>
        </w:tc>
      </w:tr>
      <w:tr>
        <w:trPr>
          <w:trHeight w:val="229"/>
        </w:trPr>
        <w:tc>
          <w:tcPr>
            <w:tcW w:w="10840" w:type="dxa"/>
            <w:vAlign w:val="bottom"/>
          </w:tcPr>
          <w:p>
            <w:pPr>
              <w:ind w:left="740"/>
              <w:spacing w:after="0" w:line="229" w:lineRule="exact"/>
              <w:rPr>
                <w:sz w:val="20"/>
                <w:szCs w:val="20"/>
                <w:color w:val="auto"/>
              </w:rPr>
            </w:pPr>
            <w:r>
              <w:rPr>
                <w:rFonts w:ascii="Times New Roman" w:cs="Times New Roman" w:eastAsia="Times New Roman" w:hAnsi="Times New Roman"/>
                <w:sz w:val="20"/>
                <w:szCs w:val="20"/>
                <w:color w:val="auto"/>
              </w:rPr>
              <w:t>No disclosing material nonpublic information for the benefit of others</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7</w:t>
            </w:r>
          </w:p>
        </w:tc>
      </w:tr>
      <w:tr>
        <w:trPr>
          <w:trHeight w:val="229"/>
        </w:trPr>
        <w:tc>
          <w:tcPr>
            <w:tcW w:w="10840" w:type="dxa"/>
            <w:vAlign w:val="bottom"/>
          </w:tcPr>
          <w:p>
            <w:pPr>
              <w:ind w:left="740"/>
              <w:spacing w:after="0" w:line="229" w:lineRule="exact"/>
              <w:rPr>
                <w:sz w:val="20"/>
                <w:szCs w:val="20"/>
                <w:color w:val="auto"/>
              </w:rPr>
            </w:pPr>
            <w:r>
              <w:rPr>
                <w:rFonts w:ascii="Times New Roman" w:cs="Times New Roman" w:eastAsia="Times New Roman" w:hAnsi="Times New Roman"/>
                <w:sz w:val="20"/>
                <w:szCs w:val="20"/>
                <w:color w:val="auto"/>
              </w:rPr>
              <w:t>Obligation to disclose material nonpublic information to the Company</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8</w:t>
            </w:r>
          </w:p>
        </w:tc>
      </w:tr>
      <w:tr>
        <w:trPr>
          <w:trHeight w:val="258"/>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Responding to outside inquiries for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415"/>
        </w:trPr>
        <w:tc>
          <w:tcPr>
            <w:tcW w:w="10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TRADING BLACKOUT PERIODS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29"/>
        </w:trPr>
        <w:tc>
          <w:tcPr>
            <w:tcW w:w="10840" w:type="dxa"/>
            <w:vAlign w:val="bottom"/>
          </w:tcPr>
          <w:p>
            <w:pPr>
              <w:ind w:left="740"/>
              <w:spacing w:after="0" w:line="229" w:lineRule="exact"/>
              <w:rPr>
                <w:sz w:val="20"/>
                <w:szCs w:val="20"/>
                <w:color w:val="auto"/>
              </w:rPr>
            </w:pPr>
            <w:r>
              <w:rPr>
                <w:rFonts w:ascii="Times New Roman" w:cs="Times New Roman" w:eastAsia="Times New Roman" w:hAnsi="Times New Roman"/>
                <w:sz w:val="20"/>
                <w:szCs w:val="20"/>
                <w:color w:val="auto"/>
              </w:rPr>
              <w:t>Quarterly blackout periods</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9</w:t>
            </w:r>
          </w:p>
        </w:tc>
      </w:tr>
      <w:tr>
        <w:trPr>
          <w:trHeight w:val="229"/>
        </w:trPr>
        <w:tc>
          <w:tcPr>
            <w:tcW w:w="10840" w:type="dxa"/>
            <w:vAlign w:val="bottom"/>
          </w:tcPr>
          <w:p>
            <w:pPr>
              <w:ind w:left="740"/>
              <w:spacing w:after="0" w:line="229" w:lineRule="exact"/>
              <w:rPr>
                <w:sz w:val="20"/>
                <w:szCs w:val="20"/>
                <w:color w:val="auto"/>
              </w:rPr>
            </w:pPr>
            <w:r>
              <w:rPr>
                <w:rFonts w:ascii="Times New Roman" w:cs="Times New Roman" w:eastAsia="Times New Roman" w:hAnsi="Times New Roman"/>
                <w:sz w:val="20"/>
                <w:szCs w:val="20"/>
                <w:color w:val="auto"/>
              </w:rPr>
              <w:t>Special blackout periods</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9</w:t>
            </w:r>
          </w:p>
        </w:tc>
      </w:tr>
      <w:tr>
        <w:trPr>
          <w:trHeight w:val="229"/>
        </w:trPr>
        <w:tc>
          <w:tcPr>
            <w:tcW w:w="10840" w:type="dxa"/>
            <w:vAlign w:val="bottom"/>
          </w:tcPr>
          <w:p>
            <w:pPr>
              <w:ind w:left="740"/>
              <w:spacing w:after="0" w:line="229" w:lineRule="exact"/>
              <w:rPr>
                <w:sz w:val="20"/>
                <w:szCs w:val="20"/>
                <w:color w:val="auto"/>
              </w:rPr>
            </w:pPr>
            <w:r>
              <w:rPr>
                <w:rFonts w:ascii="Times New Roman" w:cs="Times New Roman" w:eastAsia="Times New Roman" w:hAnsi="Times New Roman"/>
                <w:sz w:val="20"/>
                <w:szCs w:val="20"/>
                <w:color w:val="auto"/>
              </w:rPr>
              <w:t>Regulation BTR blackouts</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10</w:t>
            </w:r>
          </w:p>
        </w:tc>
      </w:tr>
      <w:tr>
        <w:trPr>
          <w:trHeight w:val="258"/>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No “safe harbors”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444"/>
        </w:trPr>
        <w:tc>
          <w:tcPr>
            <w:tcW w:w="10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PRE-CLEARANCE OF TRADES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415"/>
        </w:trPr>
        <w:tc>
          <w:tcPr>
            <w:tcW w:w="10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ADDITIONAL RESTRICTIONS AND GUIDANCE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29"/>
        </w:trPr>
        <w:tc>
          <w:tcPr>
            <w:tcW w:w="10840" w:type="dxa"/>
            <w:vAlign w:val="bottom"/>
          </w:tcPr>
          <w:p>
            <w:pPr>
              <w:ind w:left="740"/>
              <w:spacing w:after="0" w:line="229" w:lineRule="exact"/>
              <w:rPr>
                <w:sz w:val="20"/>
                <w:szCs w:val="20"/>
                <w:color w:val="auto"/>
              </w:rPr>
            </w:pPr>
            <w:r>
              <w:rPr>
                <w:rFonts w:ascii="Times New Roman" w:cs="Times New Roman" w:eastAsia="Times New Roman" w:hAnsi="Times New Roman"/>
                <w:sz w:val="20"/>
                <w:szCs w:val="20"/>
                <w:color w:val="auto"/>
              </w:rPr>
              <w:t>Short sales</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12</w:t>
            </w:r>
          </w:p>
        </w:tc>
      </w:tr>
      <w:tr>
        <w:trPr>
          <w:trHeight w:val="229"/>
        </w:trPr>
        <w:tc>
          <w:tcPr>
            <w:tcW w:w="10840" w:type="dxa"/>
            <w:vAlign w:val="bottom"/>
          </w:tcPr>
          <w:p>
            <w:pPr>
              <w:ind w:left="740"/>
              <w:spacing w:after="0" w:line="229" w:lineRule="exact"/>
              <w:rPr>
                <w:sz w:val="20"/>
                <w:szCs w:val="20"/>
                <w:color w:val="auto"/>
              </w:rPr>
            </w:pPr>
            <w:r>
              <w:rPr>
                <w:rFonts w:ascii="Times New Roman" w:cs="Times New Roman" w:eastAsia="Times New Roman" w:hAnsi="Times New Roman"/>
                <w:sz w:val="20"/>
                <w:szCs w:val="20"/>
                <w:color w:val="auto"/>
              </w:rPr>
              <w:t>Derivative securities and hedging transactions</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12</w:t>
            </w:r>
          </w:p>
        </w:tc>
      </w:tr>
      <w:tr>
        <w:trPr>
          <w:trHeight w:val="229"/>
        </w:trPr>
        <w:tc>
          <w:tcPr>
            <w:tcW w:w="10840" w:type="dxa"/>
            <w:vAlign w:val="bottom"/>
          </w:tcPr>
          <w:p>
            <w:pPr>
              <w:ind w:left="740"/>
              <w:spacing w:after="0" w:line="229" w:lineRule="exact"/>
              <w:rPr>
                <w:sz w:val="20"/>
                <w:szCs w:val="20"/>
                <w:color w:val="auto"/>
              </w:rPr>
            </w:pPr>
            <w:r>
              <w:rPr>
                <w:rFonts w:ascii="Times New Roman" w:cs="Times New Roman" w:eastAsia="Times New Roman" w:hAnsi="Times New Roman"/>
                <w:sz w:val="20"/>
                <w:szCs w:val="20"/>
                <w:color w:val="auto"/>
              </w:rPr>
              <w:t>Using Company securities as collateral for loans</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12</w:t>
            </w:r>
          </w:p>
        </w:tc>
      </w:tr>
      <w:tr>
        <w:trPr>
          <w:trHeight w:val="229"/>
        </w:trPr>
        <w:tc>
          <w:tcPr>
            <w:tcW w:w="10840" w:type="dxa"/>
            <w:vAlign w:val="bottom"/>
          </w:tcPr>
          <w:p>
            <w:pPr>
              <w:ind w:left="740"/>
              <w:spacing w:after="0" w:line="229" w:lineRule="exact"/>
              <w:rPr>
                <w:sz w:val="20"/>
                <w:szCs w:val="20"/>
                <w:color w:val="auto"/>
              </w:rPr>
            </w:pPr>
            <w:r>
              <w:rPr>
                <w:rFonts w:ascii="Times New Roman" w:cs="Times New Roman" w:eastAsia="Times New Roman" w:hAnsi="Times New Roman"/>
                <w:sz w:val="20"/>
                <w:szCs w:val="20"/>
                <w:color w:val="auto"/>
              </w:rPr>
              <w:t>Holding Company securities in margin accounts</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13</w:t>
            </w:r>
          </w:p>
        </w:tc>
      </w:tr>
      <w:tr>
        <w:trPr>
          <w:trHeight w:val="258"/>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Placing open orders with brokers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415"/>
        </w:trPr>
        <w:tc>
          <w:tcPr>
            <w:tcW w:w="10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LIMITED EXCEPTIONS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29"/>
        </w:trPr>
        <w:tc>
          <w:tcPr>
            <w:tcW w:w="10840" w:type="dxa"/>
            <w:vAlign w:val="bottom"/>
          </w:tcPr>
          <w:p>
            <w:pPr>
              <w:ind w:left="740"/>
              <w:spacing w:after="0" w:line="229" w:lineRule="exact"/>
              <w:rPr>
                <w:sz w:val="20"/>
                <w:szCs w:val="20"/>
                <w:color w:val="auto"/>
              </w:rPr>
            </w:pPr>
            <w:r>
              <w:rPr>
                <w:rFonts w:ascii="Times New Roman" w:cs="Times New Roman" w:eastAsia="Times New Roman" w:hAnsi="Times New Roman"/>
                <w:sz w:val="20"/>
                <w:szCs w:val="20"/>
                <w:color w:val="auto"/>
              </w:rPr>
              <w:t>Transactions pursuant to a trading plan that complies with SEC rules</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14</w:t>
            </w:r>
          </w:p>
        </w:tc>
      </w:tr>
      <w:tr>
        <w:trPr>
          <w:trHeight w:val="229"/>
        </w:trPr>
        <w:tc>
          <w:tcPr>
            <w:tcW w:w="10840" w:type="dxa"/>
            <w:vAlign w:val="bottom"/>
          </w:tcPr>
          <w:p>
            <w:pPr>
              <w:ind w:left="740"/>
              <w:spacing w:after="0" w:line="229" w:lineRule="exact"/>
              <w:rPr>
                <w:sz w:val="20"/>
                <w:szCs w:val="20"/>
                <w:color w:val="auto"/>
              </w:rPr>
            </w:pPr>
            <w:r>
              <w:rPr>
                <w:rFonts w:ascii="Times New Roman" w:cs="Times New Roman" w:eastAsia="Times New Roman" w:hAnsi="Times New Roman"/>
                <w:sz w:val="20"/>
                <w:szCs w:val="20"/>
                <w:color w:val="auto"/>
              </w:rPr>
              <w:t>Receipt and vesting of stock options, restricted stock units, restricted stock and stock appreciation rights</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14</w:t>
            </w:r>
          </w:p>
        </w:tc>
      </w:tr>
      <w:tr>
        <w:trPr>
          <w:trHeight w:val="229"/>
        </w:trPr>
        <w:tc>
          <w:tcPr>
            <w:tcW w:w="10840" w:type="dxa"/>
            <w:vAlign w:val="bottom"/>
          </w:tcPr>
          <w:p>
            <w:pPr>
              <w:ind w:left="740"/>
              <w:spacing w:after="0" w:line="229" w:lineRule="exact"/>
              <w:rPr>
                <w:sz w:val="20"/>
                <w:szCs w:val="20"/>
                <w:color w:val="auto"/>
              </w:rPr>
            </w:pPr>
            <w:r>
              <w:rPr>
                <w:rFonts w:ascii="Times New Roman" w:cs="Times New Roman" w:eastAsia="Times New Roman" w:hAnsi="Times New Roman"/>
                <w:sz w:val="20"/>
                <w:szCs w:val="20"/>
                <w:color w:val="auto"/>
              </w:rPr>
              <w:t>Exercise of stock options for cash and tax withholding requirements</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15</w:t>
            </w:r>
          </w:p>
        </w:tc>
      </w:tr>
      <w:tr>
        <w:trPr>
          <w:trHeight w:val="229"/>
        </w:trPr>
        <w:tc>
          <w:tcPr>
            <w:tcW w:w="10840" w:type="dxa"/>
            <w:vAlign w:val="bottom"/>
          </w:tcPr>
          <w:p>
            <w:pPr>
              <w:ind w:left="740"/>
              <w:spacing w:after="0" w:line="229" w:lineRule="exact"/>
              <w:rPr>
                <w:sz w:val="20"/>
                <w:szCs w:val="20"/>
                <w:color w:val="auto"/>
              </w:rPr>
            </w:pPr>
            <w:r>
              <w:rPr>
                <w:rFonts w:ascii="Times New Roman" w:cs="Times New Roman" w:eastAsia="Times New Roman" w:hAnsi="Times New Roman"/>
                <w:sz w:val="20"/>
                <w:szCs w:val="20"/>
                <w:color w:val="auto"/>
              </w:rPr>
              <w:t>Purchases from the employee stock purchase plan</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15</w:t>
            </w:r>
          </w:p>
        </w:tc>
      </w:tr>
      <w:tr>
        <w:trPr>
          <w:trHeight w:val="258"/>
        </w:trPr>
        <w:tc>
          <w:tcPr>
            <w:tcW w:w="108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Stock splits, stock dividends and similar transactions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1402"/>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tbl>
      <w:tblPr>
        <w:tblLayout w:type="fixed"/>
        <w:tblInd w:w="20" w:type="dxa"/>
        <w:tblCellMar>
          <w:top w:w="0" w:type="dxa"/>
          <w:left w:w="0" w:type="dxa"/>
          <w:bottom w:w="0" w:type="dxa"/>
          <w:right w:w="0" w:type="dxa"/>
        </w:tblCellMar>
      </w:tblPr>
      <w:tr>
        <w:trPr>
          <w:trHeight w:val="189"/>
        </w:trPr>
        <w:tc>
          <w:tcPr>
            <w:tcW w:w="10820" w:type="dxa"/>
            <w:vAlign w:val="bottom"/>
          </w:tcPr>
          <w:p>
            <w:pPr>
              <w:spacing w:after="0"/>
              <w:rPr>
                <w:sz w:val="16"/>
                <w:szCs w:val="16"/>
                <w:color w:val="auto"/>
              </w:rPr>
            </w:pPr>
          </w:p>
        </w:tc>
        <w:tc>
          <w:tcPr>
            <w:tcW w:w="4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20"/>
                <w:szCs w:val="20"/>
                <w:b w:val="1"/>
                <w:bCs w:val="1"/>
                <w:color w:val="auto"/>
                <w:w w:val="92"/>
              </w:rPr>
              <w:t>Page</w:t>
            </w:r>
          </w:p>
        </w:tc>
      </w:tr>
      <w:tr>
        <w:trPr>
          <w:trHeight w:val="442"/>
        </w:trPr>
        <w:tc>
          <w:tcPr>
            <w:tcW w:w="10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Estate planning</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58"/>
        </w:trPr>
        <w:tc>
          <w:tcPr>
            <w:tcW w:w="10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Other exceptions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415"/>
        </w:trPr>
        <w:tc>
          <w:tcPr>
            <w:tcW w:w="10820" w:type="dxa"/>
            <w:vAlign w:val="bottom"/>
          </w:tcPr>
          <w:p>
            <w:pPr>
              <w:spacing w:after="0"/>
              <w:rPr>
                <w:sz w:val="20"/>
                <w:szCs w:val="20"/>
                <w:color w:val="auto"/>
              </w:rPr>
            </w:pPr>
            <w:r>
              <w:rPr>
                <w:rFonts w:ascii="Times New Roman" w:cs="Times New Roman" w:eastAsia="Times New Roman" w:hAnsi="Times New Roman"/>
                <w:sz w:val="20"/>
                <w:szCs w:val="20"/>
                <w:color w:val="auto"/>
              </w:rPr>
              <w:t>COMPLIANCE WITH SECTION 16 OF THE SECURITIES EXCHANGE ACT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29"/>
        </w:trPr>
        <w:tc>
          <w:tcPr>
            <w:tcW w:w="10820" w:type="dxa"/>
            <w:vAlign w:val="bottom"/>
          </w:tcPr>
          <w:p>
            <w:pPr>
              <w:ind w:left="720"/>
              <w:spacing w:after="0" w:line="229" w:lineRule="exact"/>
              <w:rPr>
                <w:sz w:val="20"/>
                <w:szCs w:val="20"/>
                <w:color w:val="auto"/>
              </w:rPr>
            </w:pPr>
            <w:r>
              <w:rPr>
                <w:rFonts w:ascii="Times New Roman" w:cs="Times New Roman" w:eastAsia="Times New Roman" w:hAnsi="Times New Roman"/>
                <w:sz w:val="20"/>
                <w:szCs w:val="20"/>
                <w:color w:val="auto"/>
              </w:rPr>
              <w:t>Obligations under Section 16</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17</w:t>
            </w:r>
          </w:p>
        </w:tc>
      </w:tr>
      <w:tr>
        <w:trPr>
          <w:trHeight w:val="229"/>
        </w:trPr>
        <w:tc>
          <w:tcPr>
            <w:tcW w:w="10820" w:type="dxa"/>
            <w:vAlign w:val="bottom"/>
          </w:tcPr>
          <w:p>
            <w:pPr>
              <w:ind w:left="720"/>
              <w:spacing w:after="0" w:line="229" w:lineRule="exact"/>
              <w:rPr>
                <w:sz w:val="20"/>
                <w:szCs w:val="20"/>
                <w:color w:val="auto"/>
              </w:rPr>
            </w:pPr>
            <w:r>
              <w:rPr>
                <w:rFonts w:ascii="Times New Roman" w:cs="Times New Roman" w:eastAsia="Times New Roman" w:hAnsi="Times New Roman"/>
                <w:sz w:val="20"/>
                <w:szCs w:val="20"/>
                <w:color w:val="auto"/>
              </w:rPr>
              <w:t>Notification requirements to facilitate Section 16 reporting</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17</w:t>
            </w:r>
          </w:p>
        </w:tc>
      </w:tr>
      <w:tr>
        <w:trPr>
          <w:trHeight w:val="258"/>
        </w:trPr>
        <w:tc>
          <w:tcPr>
            <w:tcW w:w="10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Personal responsibility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415"/>
        </w:trPr>
        <w:tc>
          <w:tcPr>
            <w:tcW w:w="10820" w:type="dxa"/>
            <w:vAlign w:val="bottom"/>
          </w:tcPr>
          <w:p>
            <w:pPr>
              <w:spacing w:after="0"/>
              <w:rPr>
                <w:sz w:val="20"/>
                <w:szCs w:val="20"/>
                <w:color w:val="auto"/>
              </w:rPr>
            </w:pPr>
            <w:r>
              <w:rPr>
                <w:rFonts w:ascii="Times New Roman" w:cs="Times New Roman" w:eastAsia="Times New Roman" w:hAnsi="Times New Roman"/>
                <w:sz w:val="20"/>
                <w:szCs w:val="20"/>
                <w:color w:val="auto"/>
              </w:rPr>
              <w:t>ADDITIONAL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29"/>
        </w:trPr>
        <w:tc>
          <w:tcPr>
            <w:tcW w:w="10820" w:type="dxa"/>
            <w:vAlign w:val="bottom"/>
          </w:tcPr>
          <w:p>
            <w:pPr>
              <w:ind w:left="720"/>
              <w:spacing w:after="0" w:line="229" w:lineRule="exact"/>
              <w:rPr>
                <w:sz w:val="20"/>
                <w:szCs w:val="20"/>
                <w:color w:val="auto"/>
              </w:rPr>
            </w:pPr>
            <w:r>
              <w:rPr>
                <w:rFonts w:ascii="Times New Roman" w:cs="Times New Roman" w:eastAsia="Times New Roman" w:hAnsi="Times New Roman"/>
                <w:sz w:val="20"/>
                <w:szCs w:val="20"/>
                <w:color w:val="auto"/>
              </w:rPr>
              <w:t>Delivery of Policy</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18</w:t>
            </w:r>
          </w:p>
        </w:tc>
      </w:tr>
      <w:tr>
        <w:trPr>
          <w:trHeight w:val="229"/>
        </w:trPr>
        <w:tc>
          <w:tcPr>
            <w:tcW w:w="10820" w:type="dxa"/>
            <w:vAlign w:val="bottom"/>
          </w:tcPr>
          <w:p>
            <w:pPr>
              <w:ind w:left="720"/>
              <w:spacing w:after="0" w:line="229" w:lineRule="exact"/>
              <w:rPr>
                <w:sz w:val="20"/>
                <w:szCs w:val="20"/>
                <w:color w:val="auto"/>
              </w:rPr>
            </w:pPr>
            <w:r>
              <w:rPr>
                <w:rFonts w:ascii="Times New Roman" w:cs="Times New Roman" w:eastAsia="Times New Roman" w:hAnsi="Times New Roman"/>
                <w:sz w:val="20"/>
                <w:szCs w:val="20"/>
                <w:color w:val="auto"/>
              </w:rPr>
              <w:t>Amendments</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18</w:t>
            </w:r>
          </w:p>
        </w:tc>
      </w:tr>
      <w:tr>
        <w:trPr>
          <w:trHeight w:val="258"/>
        </w:trPr>
        <w:tc>
          <w:tcPr>
            <w:tcW w:w="108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Current Version of Policy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I (Covered Persons List)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II (Individuals subject to Section 16 reporting and liability provisions)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III (Forms of Ancillary Documents Under the Policy)</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Pre-Clearance Checklist and Form Certification</w:t>
      </w:r>
    </w:p>
    <w:p>
      <w:pPr>
        <w:ind w:left="760"/>
        <w:spacing w:after="0" w:line="238" w:lineRule="auto"/>
        <w:rPr>
          <w:sz w:val="20"/>
          <w:szCs w:val="20"/>
          <w:color w:val="auto"/>
        </w:rPr>
      </w:pPr>
      <w:r>
        <w:rPr>
          <w:rFonts w:ascii="Times New Roman" w:cs="Times New Roman" w:eastAsia="Times New Roman" w:hAnsi="Times New Roman"/>
          <w:sz w:val="20"/>
          <w:szCs w:val="20"/>
          <w:color w:val="auto"/>
        </w:rPr>
        <w:t>Memorandum re Delivery of Insider Trading Policy</w:t>
      </w:r>
    </w:p>
    <w:p>
      <w:pPr>
        <w:ind w:left="760"/>
        <w:spacing w:after="0"/>
        <w:rPr>
          <w:sz w:val="20"/>
          <w:szCs w:val="20"/>
          <w:color w:val="auto"/>
        </w:rPr>
      </w:pPr>
      <w:r>
        <w:rPr>
          <w:rFonts w:ascii="Times New Roman" w:cs="Times New Roman" w:eastAsia="Times New Roman" w:hAnsi="Times New Roman"/>
          <w:sz w:val="20"/>
          <w:szCs w:val="20"/>
          <w:color w:val="auto"/>
        </w:rPr>
        <w:t>Form of Special Blackout Period Notice</w:t>
      </w:r>
    </w:p>
    <w:p>
      <w:pPr>
        <w:ind w:left="760"/>
        <w:spacing w:after="0" w:line="238" w:lineRule="auto"/>
        <w:rPr>
          <w:sz w:val="20"/>
          <w:szCs w:val="20"/>
          <w:color w:val="auto"/>
        </w:rPr>
      </w:pPr>
      <w:r>
        <w:rPr>
          <w:rFonts w:ascii="Times New Roman" w:cs="Times New Roman" w:eastAsia="Times New Roman" w:hAnsi="Times New Roman"/>
          <w:sz w:val="20"/>
          <w:szCs w:val="20"/>
          <w:color w:val="auto"/>
        </w:rPr>
        <w:t>Requirements for Trading Plans</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Guidelines for Preparing Trading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217" w:name="page218"/>
    <w:bookmarkEnd w:id="217"/>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203"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22"/>
          <w:szCs w:val="22"/>
          <w:color w:val="auto"/>
        </w:rPr>
        <w:t>Soleno Therapeutics, Inc. (together with its subsidiaries,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opposes the unauthorized disclosure of any nonpublic information acquired in the course of your service with the Company and the misuse of material nonpublic information in securities trading. Any such actions will be deemed violations of this Insider Trading Policy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Legal prohibitions on insider trading</w:t>
      </w:r>
    </w:p>
    <w:p>
      <w:pPr>
        <w:spacing w:after="0" w:line="209" w:lineRule="exact"/>
        <w:rPr>
          <w:sz w:val="20"/>
          <w:szCs w:val="20"/>
          <w:color w:val="auto"/>
        </w:rPr>
      </w:pPr>
    </w:p>
    <w:p>
      <w:pPr>
        <w:jc w:val="both"/>
        <w:ind w:firstLine="374"/>
        <w:spacing w:after="0" w:line="270" w:lineRule="auto"/>
        <w:rPr>
          <w:sz w:val="20"/>
          <w:szCs w:val="20"/>
          <w:color w:val="auto"/>
        </w:rPr>
      </w:pPr>
      <w:r>
        <w:rPr>
          <w:rFonts w:ascii="Times New Roman" w:cs="Times New Roman" w:eastAsia="Times New Roman" w:hAnsi="Times New Roman"/>
          <w:sz w:val="20"/>
          <w:szCs w:val="20"/>
          <w:color w:val="auto"/>
        </w:rPr>
        <w:t>The antifraud provisions of U.S. federal securities laws prohibit directors, officers, employees and other individuals who possess material nonpublic information from trading on the basis of that information. Transactions will be considered “on the basis of” material nonpublic information if the person engaged in the transaction was aware of the material nonpublic information at the time of the transaction. It is not a defense that the person did not “use” the information for purposes of the transaction.</w:t>
      </w:r>
    </w:p>
    <w:p>
      <w:pPr>
        <w:spacing w:after="0" w:line="150" w:lineRule="exact"/>
        <w:rPr>
          <w:sz w:val="20"/>
          <w:szCs w:val="20"/>
          <w:color w:val="auto"/>
        </w:rPr>
      </w:pPr>
    </w:p>
    <w:p>
      <w:pPr>
        <w:jc w:val="both"/>
        <w:ind w:firstLine="374"/>
        <w:spacing w:after="0" w:line="238" w:lineRule="auto"/>
        <w:rPr>
          <w:sz w:val="20"/>
          <w:szCs w:val="20"/>
          <w:color w:val="auto"/>
        </w:rPr>
      </w:pPr>
      <w:r>
        <w:rPr>
          <w:rFonts w:ascii="Times New Roman" w:cs="Times New Roman" w:eastAsia="Times New Roman" w:hAnsi="Times New Roman"/>
          <w:sz w:val="22"/>
          <w:szCs w:val="22"/>
          <w:color w:val="auto"/>
        </w:rPr>
        <w:t>Disclosing material nonpublic information directly or indirectly to others who then trade based on that information or making recommendations or expressing opinions as to transactions in securities while aware of material nonpublic information (which is sometime referred to as “</w:t>
      </w:r>
      <w:r>
        <w:rPr>
          <w:rFonts w:ascii="Times New Roman" w:cs="Times New Roman" w:eastAsia="Times New Roman" w:hAnsi="Times New Roman"/>
          <w:sz w:val="22"/>
          <w:szCs w:val="22"/>
          <w:b w:val="1"/>
          <w:bCs w:val="1"/>
          <w:i w:val="1"/>
          <w:iCs w:val="1"/>
          <w:color w:val="auto"/>
        </w:rPr>
        <w:t>tipping</w:t>
      </w:r>
      <w:r>
        <w:rPr>
          <w:rFonts w:ascii="Times New Roman" w:cs="Times New Roman" w:eastAsia="Times New Roman" w:hAnsi="Times New Roman"/>
          <w:sz w:val="22"/>
          <w:szCs w:val="22"/>
          <w:color w:val="auto"/>
        </w:rPr>
        <w:t>”) is also illegal. Both the person who provides the information, recommendation or opinion and the person who trades based on it may be liable.</w:t>
      </w:r>
    </w:p>
    <w:p>
      <w:pPr>
        <w:spacing w:after="0" w:line="1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22"/>
          <w:szCs w:val="22"/>
          <w:color w:val="auto"/>
        </w:rPr>
        <w:t>These illegal activities are commonly referred to as “</w:t>
      </w:r>
      <w:r>
        <w:rPr>
          <w:rFonts w:ascii="Times New Roman" w:cs="Times New Roman" w:eastAsia="Times New Roman" w:hAnsi="Times New Roman"/>
          <w:sz w:val="22"/>
          <w:szCs w:val="22"/>
          <w:b w:val="1"/>
          <w:bCs w:val="1"/>
          <w:i w:val="1"/>
          <w:iCs w:val="1"/>
          <w:color w:val="auto"/>
        </w:rPr>
        <w:t>insider trading</w:t>
      </w:r>
      <w:r>
        <w:rPr>
          <w:rFonts w:ascii="Times New Roman" w:cs="Times New Roman" w:eastAsia="Times New Roman" w:hAnsi="Times New Roman"/>
          <w:sz w:val="22"/>
          <w:szCs w:val="22"/>
          <w:color w:val="auto"/>
        </w:rPr>
        <w:t>”. State securities laws and securities laws of other jurisdictions also impose restrictions on insider trading.</w:t>
      </w:r>
    </w:p>
    <w:p>
      <w:pPr>
        <w:spacing w:after="0" w:line="156"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22"/>
          <w:szCs w:val="22"/>
          <w:color w:val="auto"/>
        </w:rPr>
        <w:t>In addition, a company, as well as individual directors, officers and other supervisory personnel, may be subject to liability as “controlling persons” for failure to take appropriate steps to prevent insider trading by those under their supervision, influence or control.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Detection and prosecution of insider trading</w:t>
      </w:r>
    </w:p>
    <w:p>
      <w:pPr>
        <w:spacing w:after="0" w:line="203" w:lineRule="exact"/>
        <w:rPr>
          <w:sz w:val="20"/>
          <w:szCs w:val="20"/>
          <w:color w:val="auto"/>
        </w:rPr>
      </w:pPr>
    </w:p>
    <w:p>
      <w:pPr>
        <w:jc w:val="both"/>
        <w:ind w:firstLine="374"/>
        <w:spacing w:after="0" w:line="272" w:lineRule="auto"/>
        <w:rPr>
          <w:sz w:val="20"/>
          <w:szCs w:val="20"/>
          <w:color w:val="auto"/>
        </w:rPr>
      </w:pPr>
      <w:r>
        <w:rPr>
          <w:rFonts w:ascii="Times New Roman" w:cs="Times New Roman" w:eastAsia="Times New Roman" w:hAnsi="Times New Roman"/>
          <w:sz w:val="20"/>
          <w:szCs w:val="20"/>
          <w:color w:val="auto"/>
        </w:rPr>
        <w:t>The U.S.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The Financial Industry Regulatory Authority and the NASDAQ Stock Market use sophisticated electronic surveillance techniques to investigate and detect insider trading, and the SEC and the U.S. Department of Justice pursue insider trading violations vigorously. Cases involving trading through foreign accounts, trading by family members and friends and trading involving only a small number of shares have been successfully prosecuted.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Penalties for violation of insider trading laws and this Policy</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i w:val="1"/>
          <w:iCs w:val="1"/>
          <w:color w:val="auto"/>
        </w:rPr>
        <w:t xml:space="preserve">Civil and criminal penalties. </w:t>
      </w:r>
      <w:r>
        <w:rPr>
          <w:rFonts w:ascii="Times New Roman" w:cs="Times New Roman" w:eastAsia="Times New Roman" w:hAnsi="Times New Roman"/>
          <w:sz w:val="22"/>
          <w:szCs w:val="22"/>
          <w:color w:val="auto"/>
        </w:rPr>
        <w:t>As of the effective date of this Policy, potential penalties for insider trading violations under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 federal securities laws include:</w:t>
      </w:r>
    </w:p>
    <w:p>
      <w:pPr>
        <w:spacing w:after="0" w:line="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damages in a private lawsuit;</w:t>
      </w:r>
    </w:p>
    <w:p>
      <w:pPr>
        <w:spacing w:after="0" w:line="97" w:lineRule="exact"/>
        <w:rPr>
          <w:sz w:val="20"/>
          <w:szCs w:val="20"/>
          <w:color w:val="auto"/>
        </w:rPr>
      </w:pPr>
    </w:p>
    <w:p>
      <w:pPr>
        <w:ind w:left="1560" w:right="5660"/>
        <w:spacing w:after="0" w:line="332" w:lineRule="auto"/>
        <w:rPr>
          <w:sz w:val="20"/>
          <w:szCs w:val="20"/>
          <w:color w:val="auto"/>
        </w:rPr>
      </w:pPr>
      <w:r>
        <w:rPr>
          <w:rFonts w:ascii="Times New Roman" w:cs="Times New Roman" w:eastAsia="Times New Roman" w:hAnsi="Times New Roman"/>
          <w:sz w:val="22"/>
          <w:szCs w:val="22"/>
          <w:color w:val="auto"/>
        </w:rPr>
        <w:t>disgorging any profits made or losses avoided; imprisonment for up to 20 years;</w:t>
      </w:r>
    </w:p>
    <w:p>
      <w:pPr>
        <w:ind w:left="1140"/>
        <w:spacing w:after="0"/>
        <w:rPr>
          <w:sz w:val="20"/>
          <w:szCs w:val="20"/>
          <w:color w:val="auto"/>
        </w:rPr>
      </w:pPr>
      <w:r>
        <w:rPr>
          <w:rFonts w:ascii="Times New Roman" w:cs="Times New Roman" w:eastAsia="Times New Roman" w:hAnsi="Times New Roman"/>
          <w:sz w:val="22"/>
          <w:szCs w:val="22"/>
          <w:color w:val="auto"/>
        </w:rPr>
        <w:t>criminal fines of up to $5 million for individuals and $25 million for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835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8" w:name="page219"/>
    <w:bookmarkEnd w:id="218"/>
    <w:p>
      <w:pPr>
        <w:ind w:left="1140"/>
        <w:spacing w:after="0"/>
        <w:rPr>
          <w:sz w:val="20"/>
          <w:szCs w:val="20"/>
          <w:color w:val="auto"/>
        </w:rPr>
      </w:pPr>
      <w:r>
        <w:rPr>
          <w:rFonts w:ascii="Times New Roman" w:cs="Times New Roman" w:eastAsia="Times New Roman" w:hAnsi="Times New Roman"/>
          <w:sz w:val="22"/>
          <w:szCs w:val="22"/>
          <w:color w:val="auto"/>
        </w:rPr>
        <w:t>civil fines of up to three times the profit gained or loss avoided;</w:t>
      </w:r>
    </w:p>
    <w:p>
      <w:pPr>
        <w:spacing w:after="0" w:line="97" w:lineRule="exact"/>
        <w:rPr>
          <w:sz w:val="20"/>
          <w:szCs w:val="20"/>
          <w:color w:val="auto"/>
        </w:rPr>
      </w:pPr>
    </w:p>
    <w:p>
      <w:pPr>
        <w:ind w:left="1560" w:right="3580"/>
        <w:spacing w:after="0" w:line="332" w:lineRule="auto"/>
        <w:rPr>
          <w:sz w:val="20"/>
          <w:szCs w:val="20"/>
          <w:color w:val="auto"/>
        </w:rPr>
      </w:pPr>
      <w:r>
        <w:rPr>
          <w:rFonts w:ascii="Times New Roman" w:cs="Times New Roman" w:eastAsia="Times New Roman" w:hAnsi="Times New Roman"/>
          <w:sz w:val="22"/>
          <w:szCs w:val="22"/>
          <w:color w:val="auto"/>
        </w:rPr>
        <w:t>a bar against serving as an officer or director of a public company; and an injunction against future violations.</w:t>
      </w:r>
    </w:p>
    <w:p>
      <w:pPr>
        <w:jc w:val="both"/>
        <w:ind w:firstLine="374"/>
        <w:spacing w:after="0" w:line="255" w:lineRule="auto"/>
        <w:rPr>
          <w:sz w:val="20"/>
          <w:szCs w:val="20"/>
          <w:color w:val="auto"/>
        </w:rPr>
      </w:pPr>
      <w:r>
        <w:rPr>
          <w:rFonts w:ascii="Times New Roman" w:cs="Times New Roman" w:eastAsia="Times New Roman" w:hAnsi="Times New Roman"/>
          <w:sz w:val="22"/>
          <w:szCs w:val="22"/>
          <w:color w:val="auto"/>
        </w:rPr>
        <w:t>Civil and criminal penalties also apply to tipping. The SEC has imposed large penalties in tipping cases even when the disclosing person did not trade or gain any benefit from another person’s trading.</w:t>
      </w:r>
    </w:p>
    <w:p>
      <w:pPr>
        <w:spacing w:after="0" w:line="159"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Controlling person liability. </w:t>
      </w:r>
      <w:r>
        <w:rPr>
          <w:rFonts w:ascii="Times New Roman" w:cs="Times New Roman" w:eastAsia="Times New Roman" w:hAnsi="Times New Roman"/>
          <w:sz w:val="22"/>
          <w:szCs w:val="22"/>
          <w:color w:val="auto"/>
        </w:rPr>
        <w:t>As of the effective date of this Policy, the penalty for “controlling person” liability is a civil fine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up to the greater of $1.425 million or three times the profit gained or loss avoided as a result of the insider trading violations, as well as potential criminal fines and imprisonment.</w:t>
      </w:r>
    </w:p>
    <w:p>
      <w:pPr>
        <w:spacing w:after="0" w:line="171"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20"/>
          <w:szCs w:val="20"/>
          <w:i w:val="1"/>
          <w:iCs w:val="1"/>
          <w:color w:val="auto"/>
        </w:rPr>
        <w:t xml:space="preserve">Company disciplinary actions. </w:t>
      </w:r>
      <w:r>
        <w:rPr>
          <w:rFonts w:ascii="Times New Roman" w:cs="Times New Roman" w:eastAsia="Times New Roman" w:hAnsi="Times New Roman"/>
          <w:sz w:val="20"/>
          <w:szCs w:val="20"/>
          <w:color w:val="auto"/>
        </w:rPr>
        <w:t>If the Company has a reasonable basis to conclude that you have failed to comply with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Policy, you may be subject to disciplinary action by the Company, up to and including dismissal for cause, regardless of whether or not your failure to comply with this Policy results in a violation of law. It is not necessary for the Company to wait for the filing or conclusion of any civil or criminal action against an alleged violator before taking disciplinary action. In addition, the Company may give stop transfer and other instructions to the Company’s transfer agent to enforce compliance with this Policy.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Compliance Officer</w:t>
      </w:r>
    </w:p>
    <w:p>
      <w:pPr>
        <w:spacing w:after="0" w:line="209"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22"/>
          <w:szCs w:val="22"/>
          <w:color w:val="auto"/>
        </w:rPr>
        <w:t>Please direct any questions, requests or reports as to any of the matters discussed in this Policy to the Chief Financial Officer of the Company (the “</w:t>
      </w:r>
      <w:r>
        <w:rPr>
          <w:rFonts w:ascii="Times New Roman" w:cs="Times New Roman" w:eastAsia="Times New Roman" w:hAnsi="Times New Roman"/>
          <w:sz w:val="22"/>
          <w:szCs w:val="22"/>
          <w:b w:val="1"/>
          <w:bCs w:val="1"/>
          <w:i w:val="1"/>
          <w:iCs w:val="1"/>
          <w:color w:val="auto"/>
        </w:rPr>
        <w:t>Compliance Officer</w:t>
      </w:r>
      <w:r>
        <w:rPr>
          <w:rFonts w:ascii="Times New Roman" w:cs="Times New Roman" w:eastAsia="Times New Roman" w:hAnsi="Times New Roman"/>
          <w:sz w:val="22"/>
          <w:szCs w:val="22"/>
          <w:color w:val="auto"/>
        </w:rPr>
        <w:t>”). The Compliance Officer is generally responsible for the administration of this Policy. The Compliance Officer may select others to assist with the execution of his or her duties.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Reporting violations</w:t>
      </w:r>
    </w:p>
    <w:p>
      <w:pPr>
        <w:spacing w:after="0" w:line="209"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20"/>
          <w:szCs w:val="20"/>
          <w:color w:val="auto"/>
        </w:rPr>
        <w:t>It is your responsibility to help enforce this Policy. You should be alert to possible violations and promptly report violations or suspected violations of this Policy to the Compliance Officer. If your situation requires that your identity be kept secret, your anonymity will be preserved to the greatest extent reasonably possible, or otherwise permitted by law. You may report violations or suspected violations of this Policy via our confidential independent secure web portal at www.soleno.life.ethicspoint.com or by phone at 1-844-723-8334. If you wish to remain anonymous, you may send a letter addressed to the Compliance Officer at Soleno Therapeutics, Inc., 100 Marine Parkway, Suite 400, Redwood City, CA 94065. If the Compliance Officer is implicated in your report, then you should report it through the whistleblower hotline. If you make an anonymous report, please provide as much detail as possible, including any evidence that you believe may be relevant to the issue.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Personal responsibility</w:t>
      </w:r>
    </w:p>
    <w:p>
      <w:pPr>
        <w:spacing w:after="0" w:line="209"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22"/>
          <w:szCs w:val="22"/>
          <w:color w:val="auto"/>
        </w:rPr>
        <w:t>The ultimate responsibility for complying with this Policy and applicable laws and regulations rests with you. You should use your best judgment at all times and consult with your legal and financial advisors, as needed. We advise you to seek assistance if you have any questions at all.</w:t>
      </w: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219" w:name="page220"/>
    <w:bookmarkEnd w:id="219"/>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rules relating to insider trading can be complex, and a violation of insider trading laws can carry severe consequences.</w:t>
      </w:r>
    </w:p>
    <w:p>
      <w:pPr>
        <w:sectPr>
          <w:pgSz w:w="11900" w:h="16838" w:orient="portrait"/>
          <w:cols w:equalWidth="0" w:num="1">
            <w:col w:w="10580"/>
          </w:cols>
          <w:pgMar w:left="320" w:top="1440" w:right="999" w:bottom="1440" w:gutter="0" w:footer="0" w:header="0"/>
        </w:sectPr>
      </w:pP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580"/>
          </w:cols>
          <w:pgMar w:left="320" w:top="1440" w:right="999" w:bottom="1440" w:gutter="0" w:footer="0" w:header="0"/>
          <w:type w:val="continuous"/>
        </w:sectPr>
      </w:pPr>
    </w:p>
    <w:bookmarkStart w:id="220" w:name="page221"/>
    <w:bookmarkEnd w:id="220"/>
    <w:p>
      <w:pPr>
        <w:spacing w:after="0" w:line="43" w:lineRule="exact"/>
        <w:rPr>
          <w:sz w:val="20"/>
          <w:szCs w:val="20"/>
          <w:color w:val="auto"/>
        </w:rPr>
      </w:pPr>
    </w:p>
    <w:p>
      <w:pPr>
        <w:ind w:right="2500" w:firstLine="2503"/>
        <w:spacing w:after="0" w:line="429" w:lineRule="auto"/>
        <w:rPr>
          <w:sz w:val="20"/>
          <w:szCs w:val="20"/>
          <w:color w:val="auto"/>
        </w:rPr>
      </w:pPr>
      <w:r>
        <w:rPr>
          <w:rFonts w:ascii="Times New Roman" w:cs="Times New Roman" w:eastAsia="Times New Roman" w:hAnsi="Times New Roman"/>
          <w:sz w:val="22"/>
          <w:szCs w:val="22"/>
          <w:b w:val="1"/>
          <w:bCs w:val="1"/>
          <w:color w:val="auto"/>
        </w:rPr>
        <w:t>PERSONS AND TRANSACTIONS COVERED BY THIS POLICY Persons covered by this Policy</w:t>
      </w:r>
    </w:p>
    <w:p>
      <w:pPr>
        <w:spacing w:after="0" w:line="2" w:lineRule="exact"/>
        <w:rPr>
          <w:sz w:val="20"/>
          <w:szCs w:val="20"/>
          <w:color w:val="auto"/>
        </w:rPr>
      </w:pPr>
    </w:p>
    <w:p>
      <w:pPr>
        <w:jc w:val="both"/>
        <w:ind w:firstLine="374"/>
        <w:spacing w:after="0" w:line="235" w:lineRule="auto"/>
        <w:rPr>
          <w:sz w:val="20"/>
          <w:szCs w:val="20"/>
          <w:color w:val="auto"/>
        </w:rPr>
      </w:pPr>
      <w:r>
        <w:rPr>
          <w:rFonts w:ascii="Times New Roman" w:cs="Times New Roman" w:eastAsia="Times New Roman" w:hAnsi="Times New Roman"/>
          <w:sz w:val="22"/>
          <w:szCs w:val="22"/>
          <w:color w:val="auto"/>
        </w:rPr>
        <w:t>This Policy applies to all directors, officers, employees, consultants, contractors and advisors of the Company. References in this Policy to “you” (as well as general references to directors, officers, employees, consultants, contractors and advisors of the Company) should also be understood to include members of your immediate family, persons with whom you share a household, persons who are your economic dependents and any other individuals or entities whose transactions in securities you influence, direct or control (including, for example, a venture or other investment fund, if you influence, direct or control transactions by the fund). You are responsible for making sure that these other individuals and entities comply with this Policy.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Types of transactions covered by this Policy</w:t>
      </w:r>
    </w:p>
    <w:p>
      <w:pPr>
        <w:spacing w:after="0" w:line="191" w:lineRule="exact"/>
        <w:rPr>
          <w:sz w:val="20"/>
          <w:szCs w:val="20"/>
          <w:color w:val="auto"/>
        </w:rPr>
      </w:pPr>
    </w:p>
    <w:p>
      <w:pPr>
        <w:jc w:val="both"/>
        <w:ind w:firstLine="374"/>
        <w:spacing w:after="0" w:line="249" w:lineRule="exact"/>
        <w:rPr>
          <w:sz w:val="20"/>
          <w:szCs w:val="20"/>
          <w:color w:val="auto"/>
        </w:rPr>
      </w:pPr>
      <w:r>
        <w:rPr>
          <w:rFonts w:ascii="Times New Roman" w:cs="Times New Roman" w:eastAsia="Times New Roman" w:hAnsi="Times New Roman"/>
          <w:sz w:val="20"/>
          <w:szCs w:val="20"/>
          <w:color w:val="auto"/>
        </w:rPr>
        <w:t>Except as discussed in the section entitled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xml:space="preserve">”, this Policy applies to </w:t>
      </w:r>
      <w:r>
        <w:rPr>
          <w:rFonts w:ascii="Times New Roman" w:cs="Times New Roman" w:eastAsia="Times New Roman" w:hAnsi="Times New Roman"/>
          <w:sz w:val="20"/>
          <w:szCs w:val="20"/>
          <w:i w:val="1"/>
          <w:iCs w:val="1"/>
          <w:color w:val="auto"/>
        </w:rPr>
        <w:t>all</w:t>
      </w:r>
      <w:r>
        <w:rPr>
          <w:rFonts w:ascii="Times New Roman" w:cs="Times New Roman" w:eastAsia="Times New Roman" w:hAnsi="Times New Roman"/>
          <w:sz w:val="20"/>
          <w:szCs w:val="20"/>
          <w:color w:val="auto"/>
        </w:rPr>
        <w:t xml:space="preserve"> transactions </w:t>
      </w:r>
      <w:r>
        <w:rPr>
          <w:rFonts w:ascii="Times New Roman" w:cs="Times New Roman" w:eastAsia="Times New Roman" w:hAnsi="Times New Roman"/>
          <w:sz w:val="20"/>
          <w:szCs w:val="20"/>
          <w:i w:val="1"/>
          <w:iCs w:val="1"/>
          <w:color w:val="auto"/>
        </w:rPr>
        <w:t>involving</w:t>
      </w:r>
      <w:r>
        <w:rPr>
          <w:rFonts w:ascii="Times New Roman" w:cs="Times New Roman" w:eastAsia="Times New Roman" w:hAnsi="Times New Roman"/>
          <w:sz w:val="20"/>
          <w:szCs w:val="20"/>
          <w:color w:val="auto"/>
        </w:rPr>
        <w:t xml:space="preserve"> the securities of the Company or the securities of other companies as to which you possess material nonpublic information obtained in the course of your service with the Company. This Policy therefore applies to purchases, sales and other transfers of common stock, options, restricted stock units, warrants, preferred stock, debt securities (such as debentures, bonds and notes) and other securities of the Company and such other companies, whether direct or indirect (including transactions made on your behalf by money managers), and any offer to engage in the foregoing transactions. This Policy also applies to any disposition in the form of a gift of any securities of the Company and any distribution to holders of interests in an entity if the entity is subject to this Policy. This Policy also applies to any arrangements that affect economic exposure to changes in the prices of these securities. These arrangements may include, among other things, transactions in derivative securities (such as exchange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traded put or call options, swaps, caps and collars), hedging and pledging transactions, short sales and certain decisions with respect to participation in benefit plans, and any offer to engage in the foregoing transactions. You should note that there are no exceptions from insider trading laws or this Policy based on the size of the transaction or the type of consideration received.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Responsibilities regarding the nonpublic information of other companies</w:t>
      </w:r>
    </w:p>
    <w:p>
      <w:pPr>
        <w:spacing w:after="0" w:line="182"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22"/>
          <w:szCs w:val="22"/>
          <w:color w:val="auto"/>
        </w:rPr>
        <w:t>This Policy prohibits the unauthorized disclosure or other misuse of any nonpublic information of other companies, including but not limited to the Company’s distributors, vendors, customers, collaborators, suppliers and competitors. This Policy also prohibits insider trading and tipping based on the material nonpublic information of other companies.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Applicability of this Policy after your departure</w:t>
      </w:r>
    </w:p>
    <w:p>
      <w:pPr>
        <w:spacing w:after="0" w:line="222"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20"/>
          <w:szCs w:val="20"/>
          <w:color w:val="auto"/>
        </w:rPr>
        <w:t>You are expected to comply with this Policy until such time as you are no longer affiliated with the Company. Regardless of whether you are employed or affiliated with the Company, if you are aware of material nonpublic information, you will be subject to the insider trading laws and you may not trade in Soleno Therapeutics, Inc.’s securities or in the securities from which you have obtained material nonpublic information in the course of performing services for Soleno Therapeutics, Inc. until after that information has become public or is no longer material. There are no exceptions based on personal circumstances.</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47"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2"/>
          <w:szCs w:val="22"/>
          <w:color w:val="auto"/>
        </w:rPr>
        <w:t>There may be instances where you suffer financial harm or other hardship or are otherwise required to forego a planned transaction because of the restrictions imposed by this Policy. Personal financial emergency or other personal circumstances are not mitigating factors under securities laws and will not excuse a failure to comply with this Policy.</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MATERIAL NONPUBLIC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“Material” information</w:t>
      </w:r>
    </w:p>
    <w:p>
      <w:pPr>
        <w:spacing w:after="0" w:line="209" w:lineRule="exact"/>
        <w:rPr>
          <w:sz w:val="20"/>
          <w:szCs w:val="20"/>
          <w:color w:val="auto"/>
        </w:rPr>
      </w:pPr>
    </w:p>
    <w:p>
      <w:pPr>
        <w:jc w:val="both"/>
        <w:ind w:firstLine="374"/>
        <w:spacing w:after="0" w:line="270" w:lineRule="auto"/>
        <w:rPr>
          <w:sz w:val="20"/>
          <w:szCs w:val="20"/>
          <w:color w:val="auto"/>
        </w:rPr>
      </w:pPr>
      <w:r>
        <w:rPr>
          <w:rFonts w:ascii="Times New Roman" w:cs="Times New Roman" w:eastAsia="Times New Roman" w:hAnsi="Times New Roman"/>
          <w:sz w:val="20"/>
          <w:szCs w:val="20"/>
          <w:color w:val="auto"/>
        </w:rPr>
        <w:t>Information should be regarded as “material “if there is a substantial likelihood that a reasonable investor would consider it important in deciding whether to buy, hold or sell securities or would view the information as significantly altering the total mix of information in the marketplace about the issuer of the security. In general, any information that could reasonably be expected to affect the market price of a security is likely to be material. Either positive or negative information may be material.</w:t>
      </w:r>
    </w:p>
    <w:p>
      <w:pPr>
        <w:spacing w:after="0" w:line="15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22"/>
          <w:szCs w:val="22"/>
          <w:color w:val="auto"/>
        </w:rPr>
        <w:t>It is not possible to define all categories of “material” information. However, some examples of information that would often be regarded as material include information with respect to:</w:t>
      </w:r>
    </w:p>
    <w:p>
      <w:pPr>
        <w:spacing w:after="0" w:line="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Clinical trial results;</w:t>
      </w:r>
    </w:p>
    <w:p>
      <w:pPr>
        <w:spacing w:after="0" w:line="9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Significant developments in research and development or relating to intellectual property;</w:t>
      </w:r>
    </w:p>
    <w:p>
      <w:pPr>
        <w:spacing w:after="0" w:line="97" w:lineRule="exact"/>
        <w:rPr>
          <w:sz w:val="20"/>
          <w:szCs w:val="20"/>
          <w:color w:val="auto"/>
        </w:rPr>
      </w:pPr>
    </w:p>
    <w:p>
      <w:pPr>
        <w:ind w:left="1500" w:firstLine="137"/>
        <w:spacing w:after="0" w:line="255" w:lineRule="auto"/>
        <w:rPr>
          <w:sz w:val="20"/>
          <w:szCs w:val="20"/>
          <w:color w:val="auto"/>
        </w:rPr>
      </w:pPr>
      <w:r>
        <w:rPr>
          <w:rFonts w:ascii="Times New Roman" w:cs="Times New Roman" w:eastAsia="Times New Roman" w:hAnsi="Times New Roman"/>
          <w:sz w:val="22"/>
          <w:szCs w:val="22"/>
          <w:color w:val="auto"/>
        </w:rPr>
        <w:t>Financial results, financial condition, earnings pre-announcements, guidance, projections or forecasts, particularly if inconsistent with the expectations of the investment community;</w:t>
      </w:r>
    </w:p>
    <w:p>
      <w:pPr>
        <w:spacing w:after="0" w:line="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Restatements of financial results, or material impairments, write-offs or restructurings;</w:t>
      </w:r>
    </w:p>
    <w:p>
      <w:pPr>
        <w:spacing w:after="0" w:line="97" w:lineRule="exact"/>
        <w:rPr>
          <w:sz w:val="20"/>
          <w:szCs w:val="20"/>
          <w:color w:val="auto"/>
        </w:rPr>
      </w:pPr>
    </w:p>
    <w:p>
      <w:pPr>
        <w:ind w:left="1560" w:right="620"/>
        <w:spacing w:after="0" w:line="332" w:lineRule="auto"/>
        <w:rPr>
          <w:sz w:val="20"/>
          <w:szCs w:val="20"/>
          <w:color w:val="auto"/>
        </w:rPr>
      </w:pPr>
      <w:r>
        <w:rPr>
          <w:rFonts w:ascii="Times New Roman" w:cs="Times New Roman" w:eastAsia="Times New Roman" w:hAnsi="Times New Roman"/>
          <w:sz w:val="22"/>
          <w:szCs w:val="22"/>
          <w:color w:val="auto"/>
        </w:rPr>
        <w:t>Changes in independent auditors, or notification that the Company may no longer rely on an audit report; Significant changes in business plans or budgets;</w:t>
      </w:r>
    </w:p>
    <w:p>
      <w:pPr>
        <w:ind w:left="1500" w:firstLine="70"/>
        <w:spacing w:after="0" w:line="255" w:lineRule="auto"/>
        <w:rPr>
          <w:sz w:val="20"/>
          <w:szCs w:val="20"/>
          <w:color w:val="auto"/>
        </w:rPr>
      </w:pPr>
      <w:r>
        <w:rPr>
          <w:rFonts w:ascii="Times New Roman" w:cs="Times New Roman" w:eastAsia="Times New Roman" w:hAnsi="Times New Roman"/>
          <w:sz w:val="22"/>
          <w:szCs w:val="22"/>
          <w:color w:val="auto"/>
        </w:rPr>
        <w:t>Creation of significant financial obligations, or any significant default under or acceleration of any financial obligation;</w:t>
      </w:r>
    </w:p>
    <w:p>
      <w:pPr>
        <w:spacing w:after="0" w:line="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Impending bankruptcy or financial liquidity problems;</w:t>
      </w:r>
    </w:p>
    <w:p>
      <w:pPr>
        <w:spacing w:after="0" w:line="97" w:lineRule="exact"/>
        <w:rPr>
          <w:sz w:val="20"/>
          <w:szCs w:val="20"/>
          <w:color w:val="auto"/>
        </w:rPr>
      </w:pPr>
    </w:p>
    <w:p>
      <w:pPr>
        <w:ind w:left="1500" w:firstLine="57"/>
        <w:spacing w:after="0" w:line="242" w:lineRule="auto"/>
        <w:rPr>
          <w:sz w:val="20"/>
          <w:szCs w:val="20"/>
          <w:color w:val="auto"/>
        </w:rPr>
      </w:pPr>
      <w:r>
        <w:rPr>
          <w:rFonts w:ascii="Times New Roman" w:cs="Times New Roman" w:eastAsia="Times New Roman" w:hAnsi="Times New Roman"/>
          <w:sz w:val="22"/>
          <w:szCs w:val="22"/>
          <w:color w:val="auto"/>
        </w:rPr>
        <w:t>Significant developments involving business relationships, including execution, modification or termination of significant agreements or orders with customers, suppliers, distributors, manufacturers or other business partners;</w:t>
      </w:r>
    </w:p>
    <w:p>
      <w:pPr>
        <w:spacing w:after="0" w:line="69" w:lineRule="exact"/>
        <w:rPr>
          <w:sz w:val="20"/>
          <w:szCs w:val="20"/>
          <w:color w:val="auto"/>
        </w:rPr>
      </w:pPr>
    </w:p>
    <w:p>
      <w:pPr>
        <w:ind w:left="1500" w:firstLine="124"/>
        <w:spacing w:after="0" w:line="255" w:lineRule="auto"/>
        <w:rPr>
          <w:sz w:val="20"/>
          <w:szCs w:val="20"/>
          <w:color w:val="auto"/>
        </w:rPr>
      </w:pPr>
      <w:r>
        <w:rPr>
          <w:rFonts w:ascii="Times New Roman" w:cs="Times New Roman" w:eastAsia="Times New Roman" w:hAnsi="Times New Roman"/>
          <w:sz w:val="22"/>
          <w:szCs w:val="22"/>
          <w:color w:val="auto"/>
        </w:rPr>
        <w:t>Product introductions, modifications, defects or recalls or significant pricing changes or other product announcements of a significant nature;</w:t>
      </w:r>
    </w:p>
    <w:p>
      <w:pPr>
        <w:spacing w:after="0" w:line="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Significant legal or regulatory developments, whether actual or threatened;</w:t>
      </w:r>
    </w:p>
    <w:p>
      <w:pPr>
        <w:spacing w:after="0" w:line="97" w:lineRule="exact"/>
        <w:rPr>
          <w:sz w:val="20"/>
          <w:szCs w:val="20"/>
          <w:color w:val="auto"/>
        </w:rPr>
      </w:pPr>
    </w:p>
    <w:p>
      <w:pPr>
        <w:ind w:left="1500" w:firstLine="57"/>
        <w:spacing w:after="0" w:line="242" w:lineRule="auto"/>
        <w:rPr>
          <w:sz w:val="20"/>
          <w:szCs w:val="20"/>
          <w:color w:val="auto"/>
        </w:rPr>
      </w:pPr>
      <w:r>
        <w:rPr>
          <w:rFonts w:ascii="Times New Roman" w:cs="Times New Roman" w:eastAsia="Times New Roman" w:hAnsi="Times New Roman"/>
          <w:sz w:val="22"/>
          <w:szCs w:val="22"/>
          <w:color w:val="auto"/>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spacing w:after="0" w:line="69" w:lineRule="exact"/>
        <w:rPr>
          <w:sz w:val="20"/>
          <w:szCs w:val="20"/>
          <w:color w:val="auto"/>
        </w:rPr>
      </w:pPr>
    </w:p>
    <w:p>
      <w:pPr>
        <w:ind w:left="1500" w:firstLine="57"/>
        <w:spacing w:after="0" w:line="242" w:lineRule="auto"/>
        <w:rPr>
          <w:sz w:val="20"/>
          <w:szCs w:val="20"/>
          <w:color w:val="auto"/>
        </w:rPr>
      </w:pPr>
      <w:r>
        <w:rPr>
          <w:rFonts w:ascii="Times New Roman" w:cs="Times New Roman" w:eastAsia="Times New Roman" w:hAnsi="Times New Roman"/>
          <w:sz w:val="22"/>
          <w:szCs w:val="22"/>
          <w:color w:val="auto"/>
        </w:rPr>
        <w:t>Significant corporate events, such as a pending or proposed merger, joint venture or tender offer, a significant investment, the acquisition or disposition of a significant business or asset or a change in control of the Company;</w:t>
      </w:r>
    </w:p>
    <w:p>
      <w:pPr>
        <w:spacing w:after="0" w:line="6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Major personnel changes, such as changes in senior management or layoffs;</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3" w:name="page224"/>
    <w:bookmarkEnd w:id="223"/>
    <w:p>
      <w:pPr>
        <w:ind w:left="1140"/>
        <w:spacing w:after="0"/>
        <w:rPr>
          <w:sz w:val="20"/>
          <w:szCs w:val="20"/>
          <w:color w:val="auto"/>
        </w:rPr>
      </w:pPr>
      <w:r>
        <w:rPr>
          <w:rFonts w:ascii="Times New Roman" w:cs="Times New Roman" w:eastAsia="Times New Roman" w:hAnsi="Times New Roman"/>
          <w:sz w:val="22"/>
          <w:szCs w:val="22"/>
          <w:color w:val="auto"/>
        </w:rPr>
        <w:t>Data breaches or other cybersecurity events;</w:t>
      </w:r>
    </w:p>
    <w:p>
      <w:pPr>
        <w:spacing w:after="0" w:line="97" w:lineRule="exact"/>
        <w:rPr>
          <w:sz w:val="20"/>
          <w:szCs w:val="20"/>
          <w:color w:val="auto"/>
        </w:rPr>
      </w:pPr>
    </w:p>
    <w:p>
      <w:pPr>
        <w:ind w:left="1560" w:right="2720"/>
        <w:spacing w:after="0" w:line="357" w:lineRule="auto"/>
        <w:rPr>
          <w:sz w:val="20"/>
          <w:szCs w:val="20"/>
          <w:color w:val="auto"/>
        </w:rPr>
      </w:pPr>
      <w:r>
        <w:rPr>
          <w:rFonts w:ascii="Times New Roman" w:cs="Times New Roman" w:eastAsia="Times New Roman" w:hAnsi="Times New Roman"/>
          <w:sz w:val="22"/>
          <w:szCs w:val="22"/>
          <w:color w:val="auto"/>
        </w:rPr>
        <w:t>Updates regarding any prior material disclosure that has materially changed; and The existence of a special blackout period.</w:t>
      </w:r>
    </w:p>
    <w:p>
      <w:pPr>
        <w:spacing w:after="0" w:line="55"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22"/>
          <w:szCs w:val="22"/>
          <w:color w:val="auto"/>
        </w:rPr>
        <w:t>If you have any questions as to whether information should be considered “material”, you should consult with the Compliance Officer. In general, it is advisable to resolve any close questions as to the materiality of any information by assuming that the information is material.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“Nonpublic” information</w:t>
      </w:r>
    </w:p>
    <w:p>
      <w:pPr>
        <w:spacing w:after="0" w:line="209" w:lineRule="exact"/>
        <w:rPr>
          <w:sz w:val="20"/>
          <w:szCs w:val="20"/>
          <w:color w:val="auto"/>
        </w:rPr>
      </w:pPr>
    </w:p>
    <w:p>
      <w:pPr>
        <w:jc w:val="both"/>
        <w:ind w:firstLine="374"/>
        <w:spacing w:after="0" w:line="235" w:lineRule="auto"/>
        <w:rPr>
          <w:sz w:val="20"/>
          <w:szCs w:val="20"/>
          <w:color w:val="auto"/>
        </w:rPr>
      </w:pPr>
      <w:r>
        <w:rPr>
          <w:rFonts w:ascii="Times New Roman" w:cs="Times New Roman" w:eastAsia="Times New Roman" w:hAnsi="Times New Roman"/>
          <w:sz w:val="22"/>
          <w:szCs w:val="22"/>
          <w:color w:val="auto"/>
        </w:rPr>
        <w:t xml:space="preserve">Information is considered “nonpublic” if the information has not been broadly disseminated to the public for a sufficient period to be reflected in the price of the security. As a general rule, information should be considered nonpublic until at least </w:t>
      </w:r>
      <w:r>
        <w:rPr>
          <w:rFonts w:ascii="Times New Roman" w:cs="Times New Roman" w:eastAsia="Times New Roman" w:hAnsi="Times New Roman"/>
          <w:sz w:val="22"/>
          <w:szCs w:val="22"/>
          <w:b w:val="1"/>
          <w:bCs w:val="1"/>
          <w:i w:val="1"/>
          <w:iCs w:val="1"/>
          <w:color w:val="auto"/>
        </w:rPr>
        <w:t>two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full trading days </w:t>
      </w:r>
      <w:r>
        <w:rPr>
          <w:rFonts w:ascii="Times New Roman" w:cs="Times New Roman" w:eastAsia="Times New Roman" w:hAnsi="Times New Roman"/>
          <w:sz w:val="22"/>
          <w:szCs w:val="22"/>
          <w:color w:val="auto"/>
        </w:rPr>
        <w:t>have elapsed after the information is broadly distributed to the public in a press release, a public filing with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SEC, a pre-announced public webcast or another broad, non-exclusionary form of public communication. However, depending upon the form of the announcement and the nature of the information, it is possible that information may not be fully absorbed by the marketplace until a later time. Any questions as to whether information is nonpublic should be directed to the Compliance Officer.</w:t>
      </w:r>
    </w:p>
    <w:p>
      <w:pPr>
        <w:spacing w:after="0" w:line="173"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b w:val="1"/>
          <w:bCs w:val="1"/>
          <w:i w:val="1"/>
          <w:iCs w:val="1"/>
          <w:color w:val="auto"/>
        </w:rPr>
        <w:t>trading day</w:t>
      </w:r>
      <w:r>
        <w:rPr>
          <w:rFonts w:ascii="Times New Roman" w:cs="Times New Roman" w:eastAsia="Times New Roman" w:hAnsi="Times New Roman"/>
          <w:sz w:val="22"/>
          <w:szCs w:val="22"/>
          <w:color w:val="auto"/>
        </w:rPr>
        <w:t>” means a day on which national stock exchanges and the National Association of Securities Dealers, Inc. Automated Quotation System are open for trading. A “</w:t>
      </w:r>
      <w:r>
        <w:rPr>
          <w:rFonts w:ascii="Times New Roman" w:cs="Times New Roman" w:eastAsia="Times New Roman" w:hAnsi="Times New Roman"/>
          <w:sz w:val="22"/>
          <w:szCs w:val="22"/>
          <w:b w:val="1"/>
          <w:bCs w:val="1"/>
          <w:i w:val="1"/>
          <w:iCs w:val="1"/>
          <w:color w:val="auto"/>
        </w:rPr>
        <w:t>full</w:t>
      </w:r>
      <w:r>
        <w:rPr>
          <w:rFonts w:ascii="Times New Roman" w:cs="Times New Roman" w:eastAsia="Times New Roman" w:hAnsi="Times New Roman"/>
          <w:sz w:val="22"/>
          <w:szCs w:val="22"/>
          <w:color w:val="auto"/>
        </w:rPr>
        <w:t>” trading day has elapsed when, after the public disclosure, trading in the relevant security has opened and then closed.</w:t>
      </w:r>
    </w:p>
    <w:p>
      <w:pPr>
        <w:spacing w:after="0" w:line="2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224" w:name="page225"/>
    <w:bookmarkEnd w:id="224"/>
    <w:p>
      <w:pPr>
        <w:spacing w:after="0" w:line="43" w:lineRule="exact"/>
        <w:rPr>
          <w:sz w:val="20"/>
          <w:szCs w:val="20"/>
          <w:color w:val="auto"/>
        </w:rPr>
      </w:pPr>
    </w:p>
    <w:p>
      <w:pPr>
        <w:ind w:right="2280" w:firstLine="2282"/>
        <w:spacing w:after="0" w:line="436" w:lineRule="auto"/>
        <w:rPr>
          <w:sz w:val="20"/>
          <w:szCs w:val="20"/>
          <w:color w:val="auto"/>
        </w:rPr>
      </w:pPr>
      <w:r>
        <w:rPr>
          <w:rFonts w:ascii="Times New Roman" w:cs="Times New Roman" w:eastAsia="Times New Roman" w:hAnsi="Times New Roman"/>
          <w:sz w:val="22"/>
          <w:szCs w:val="22"/>
          <w:b w:val="1"/>
          <w:bCs w:val="1"/>
          <w:color w:val="auto"/>
        </w:rPr>
        <w:t>POLICIES REGARDING MATERIAL NONPUBLIC INFORMATION Confidentiality of nonpublic information</w:t>
      </w:r>
    </w:p>
    <w:p>
      <w:pPr>
        <w:spacing w:after="0" w:line="1" w:lineRule="exact"/>
        <w:rPr>
          <w:sz w:val="20"/>
          <w:szCs w:val="20"/>
          <w:color w:val="auto"/>
        </w:rPr>
      </w:pPr>
    </w:p>
    <w:p>
      <w:pPr>
        <w:jc w:val="both"/>
        <w:ind w:firstLine="374"/>
        <w:spacing w:after="0" w:line="237" w:lineRule="auto"/>
        <w:rPr>
          <w:sz w:val="20"/>
          <w:szCs w:val="20"/>
          <w:color w:val="auto"/>
        </w:rPr>
      </w:pPr>
      <w:r>
        <w:rPr>
          <w:rFonts w:ascii="Times New Roman" w:cs="Times New Roman" w:eastAsia="Times New Roman" w:hAnsi="Times New Roman"/>
          <w:sz w:val="22"/>
          <w:szCs w:val="22"/>
          <w:color w:val="auto"/>
        </w:rPr>
        <w:t>The unauthorized use or disclosure of nonpublic information relating to the Company or other companies is prohibited. All nonpublic information you acquire in the course of your service with the Company may only be used for legitimate Company business purposes. In addition, nonpublic information of others should be handled in accordance with the terms of any relevant nondisclosure agreements, and the use of any such nonpublic information should be limited to the purpose for which it was disclosed.</w:t>
      </w:r>
    </w:p>
    <w:p>
      <w:pPr>
        <w:spacing w:after="0" w:line="179" w:lineRule="exact"/>
        <w:rPr>
          <w:sz w:val="20"/>
          <w:szCs w:val="20"/>
          <w:color w:val="auto"/>
        </w:rPr>
      </w:pPr>
    </w:p>
    <w:p>
      <w:pPr>
        <w:jc w:val="both"/>
        <w:ind w:firstLine="374"/>
        <w:spacing w:after="0" w:line="235" w:lineRule="auto"/>
        <w:rPr>
          <w:sz w:val="20"/>
          <w:szCs w:val="20"/>
          <w:color w:val="auto"/>
        </w:rPr>
      </w:pPr>
      <w:r>
        <w:rPr>
          <w:rFonts w:ascii="Times New Roman" w:cs="Times New Roman" w:eastAsia="Times New Roman" w:hAnsi="Times New Roman"/>
          <w:sz w:val="22"/>
          <w:szCs w:val="22"/>
          <w:color w:val="auto"/>
        </w:rPr>
        <w:t>You must use all reasonable efforts to safeguard nonpublic information in the Company’s possession. You may not disclose nonpublic information about the Company or any other company, unless required by law, or unless (i) disclosure is required for legitimate Company business purposes, (ii) you are authorized to disclose the information and (iii) appropriate steps have been taken to prevent misuse of that information (including entering into an appropriate nondisclosure agreement that restricts the disclosure and use of the information, if applicable). This restriction also applies to internal communications within the Company and to communications with consultants, contractors and advisors of the Company. In cases where disclosing nonpublic information to third parties is required, you should coordinate with the Compliance Officer.</w:t>
      </w:r>
    </w:p>
    <w:p>
      <w:pPr>
        <w:spacing w:after="0" w:line="179"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22"/>
          <w:szCs w:val="22"/>
          <w:color w:val="auto"/>
        </w:rPr>
        <w:t>All directors, officers, employees, consultants, contractors and advisors of the Company are required to sign and comply with an At Will Employment, Confidential Information, Invention Assignment, and Arbitration Agreement, or in the case of consultants, contractors and advisors, an agreement that has substantially similar terms.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trading on material nonpublic information</w:t>
      </w:r>
    </w:p>
    <w:p>
      <w:pPr>
        <w:spacing w:after="0" w:line="205"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2"/>
          <w:szCs w:val="22"/>
          <w:color w:val="auto"/>
        </w:rPr>
        <w:t>Except as discussed in the section entitled “</w:t>
      </w:r>
      <w:r>
        <w:rPr>
          <w:rFonts w:ascii="Times New Roman" w:cs="Times New Roman" w:eastAsia="Times New Roman" w:hAnsi="Times New Roman"/>
          <w:sz w:val="22"/>
          <w:szCs w:val="22"/>
          <w:b w:val="1"/>
          <w:bCs w:val="1"/>
          <w:color w:val="auto"/>
        </w:rPr>
        <w:t>Limited Exceptions</w:t>
      </w:r>
      <w:r>
        <w:rPr>
          <w:rFonts w:ascii="Times New Roman" w:cs="Times New Roman" w:eastAsia="Times New Roman" w:hAnsi="Times New Roman"/>
          <w:sz w:val="22"/>
          <w:szCs w:val="22"/>
          <w:color w:val="auto"/>
        </w:rPr>
        <w:t xml:space="preserve">”, you may not, directly or indirectly through others, engage in any transaction involving the Company’s securities </w:t>
      </w:r>
      <w:r>
        <w:rPr>
          <w:rFonts w:ascii="Times New Roman" w:cs="Times New Roman" w:eastAsia="Times New Roman" w:hAnsi="Times New Roman"/>
          <w:sz w:val="22"/>
          <w:szCs w:val="22"/>
          <w:i w:val="1"/>
          <w:iCs w:val="1"/>
          <w:color w:val="auto"/>
        </w:rPr>
        <w:t>while aware of</w:t>
      </w:r>
      <w:r>
        <w:rPr>
          <w:rFonts w:ascii="Times New Roman" w:cs="Times New Roman" w:eastAsia="Times New Roman" w:hAnsi="Times New Roman"/>
          <w:sz w:val="22"/>
          <w:szCs w:val="22"/>
          <w:color w:val="auto"/>
        </w:rPr>
        <w:t xml:space="preserve"> material nonpublic information relating to the Company. It is not an excuse that you did not “use” the information in your transaction.</w:t>
      </w:r>
    </w:p>
    <w:p>
      <w:pPr>
        <w:spacing w:after="0" w:line="175" w:lineRule="exact"/>
        <w:rPr>
          <w:sz w:val="20"/>
          <w:szCs w:val="20"/>
          <w:color w:val="auto"/>
        </w:rPr>
      </w:pPr>
    </w:p>
    <w:p>
      <w:pPr>
        <w:jc w:val="both"/>
        <w:ind w:firstLine="374"/>
        <w:spacing w:after="0" w:line="234" w:lineRule="auto"/>
        <w:rPr>
          <w:sz w:val="20"/>
          <w:szCs w:val="20"/>
          <w:color w:val="auto"/>
        </w:rPr>
      </w:pPr>
      <w:r>
        <w:rPr>
          <w:rFonts w:ascii="Times New Roman" w:cs="Times New Roman" w:eastAsia="Times New Roman" w:hAnsi="Times New Roman"/>
          <w:sz w:val="22"/>
          <w:szCs w:val="22"/>
          <w:color w:val="auto"/>
        </w:rPr>
        <w:t>Similarly, you may not engage in transactions involving the securities of any other company if you are aware of material nonpublic information about that company (except to the extent the transactions are analogous to those presented in the section entitled “</w:t>
      </w:r>
      <w:r>
        <w:rPr>
          <w:rFonts w:ascii="Times New Roman" w:cs="Times New Roman" w:eastAsia="Times New Roman" w:hAnsi="Times New Roman"/>
          <w:sz w:val="22"/>
          <w:szCs w:val="22"/>
          <w:b w:val="1"/>
          <w:bCs w:val="1"/>
          <w:color w:val="auto"/>
        </w:rPr>
        <w:t>Limited Exceptions</w:t>
      </w:r>
      <w:r>
        <w:rPr>
          <w:rFonts w:ascii="Times New Roman" w:cs="Times New Roman" w:eastAsia="Times New Roman" w:hAnsi="Times New Roman"/>
          <w:sz w:val="22"/>
          <w:szCs w:val="22"/>
          <w:color w:val="auto"/>
        </w:rPr>
        <w:t>”). For example, you may be involved in a proposed transaction involving a prospective business relationship or transaction with another company. If information about that transaction constitutes material nonpublic information for that other company, you would be prohibited from engaging in transactions involving the securities of that other company (as well as transactions involving Company securities, if that information is material to the Company). It is important to note that “materiality” is different for different companies. Information that is not material to the Company may be material to another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disclosing material nonpublic information for the benefit of others</w:t>
      </w:r>
    </w:p>
    <w:p>
      <w:pPr>
        <w:spacing w:after="0" w:line="20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22"/>
          <w:szCs w:val="22"/>
          <w:color w:val="auto"/>
        </w:rPr>
        <w:t>You may not disclose material nonpublic information concerning the Company or any other company to friends, family members or any other person or entity not authorized to receive such</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information where such person or entity may benefit by trading on the basis of such information. In addition, you may not make recommendations or express opinions on the basis of material nonpublic information as to trading in the securities of companies to which such information relates. You are prohibited from engaging in these actions whether or not you derive any profit or personal benefit from doing so. This prohibition against disclosure of material nonpublic information includes disclosure (even anonymous disclosure) via the internet, blogs, investor forums or chat rooms where companies and their prospects are discussed.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Obligation to disclose material nonpublic information to the Company</w:t>
      </w:r>
    </w:p>
    <w:p>
      <w:pPr>
        <w:spacing w:after="0" w:line="205" w:lineRule="exact"/>
        <w:rPr>
          <w:sz w:val="20"/>
          <w:szCs w:val="20"/>
          <w:color w:val="auto"/>
        </w:rPr>
      </w:pPr>
    </w:p>
    <w:p>
      <w:pPr>
        <w:jc w:val="both"/>
        <w:ind w:firstLine="374"/>
        <w:spacing w:after="0" w:line="237" w:lineRule="auto"/>
        <w:rPr>
          <w:sz w:val="20"/>
          <w:szCs w:val="20"/>
          <w:color w:val="auto"/>
        </w:rPr>
      </w:pPr>
      <w:r>
        <w:rPr>
          <w:rFonts w:ascii="Times New Roman" w:cs="Times New Roman" w:eastAsia="Times New Roman" w:hAnsi="Times New Roman"/>
          <w:sz w:val="22"/>
          <w:szCs w:val="22"/>
          <w:color w:val="auto"/>
        </w:rPr>
        <w:t>You may not enter into any transaction, including those discussed in the section entitled “</w:t>
      </w:r>
      <w:r>
        <w:rPr>
          <w:rFonts w:ascii="Times New Roman" w:cs="Times New Roman" w:eastAsia="Times New Roman" w:hAnsi="Times New Roman"/>
          <w:sz w:val="22"/>
          <w:szCs w:val="22"/>
          <w:b w:val="1"/>
          <w:bCs w:val="1"/>
          <w:color w:val="auto"/>
        </w:rPr>
        <w:t>Limited Exceptions</w:t>
      </w:r>
      <w:r>
        <w:rPr>
          <w:rFonts w:ascii="Times New Roman" w:cs="Times New Roman" w:eastAsia="Times New Roman" w:hAnsi="Times New Roman"/>
          <w:sz w:val="22"/>
          <w:szCs w:val="22"/>
          <w:color w:val="auto"/>
        </w:rPr>
        <w:t>”, unless you have disclosed any material nonpublic information that you become aware of in the course of your service with the Company, and that senior management is not aware of, to the Compliance Officer. If you are a member of senior management, the information must be disclosed to the Chief Executive Officer, and if you are the Chief Executive Officer or a director, you must disclose the information to the Company’s Board of Directors before any transaction is permissible.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Responding to outside inquiries for information</w:t>
      </w:r>
    </w:p>
    <w:p>
      <w:pPr>
        <w:spacing w:after="0" w:line="209" w:lineRule="exact"/>
        <w:rPr>
          <w:sz w:val="20"/>
          <w:szCs w:val="20"/>
          <w:color w:val="auto"/>
        </w:rPr>
      </w:pPr>
    </w:p>
    <w:p>
      <w:pPr>
        <w:jc w:val="both"/>
        <w:ind w:firstLine="374"/>
        <w:spacing w:after="0" w:line="233" w:lineRule="auto"/>
        <w:rPr>
          <w:sz w:val="20"/>
          <w:szCs w:val="20"/>
          <w:color w:val="auto"/>
        </w:rPr>
      </w:pPr>
      <w:r>
        <w:rPr>
          <w:rFonts w:ascii="Times New Roman" w:cs="Times New Roman" w:eastAsia="Times New Roman" w:hAnsi="Times New Roman"/>
          <w:sz w:val="22"/>
          <w:szCs w:val="22"/>
          <w:color w:val="auto"/>
        </w:rPr>
        <w:t>In the event you receive an inquiry from someone outside of the Company, such as a stock analyst, for information, you should refer the inquiry to the Chief Financial Officer or the Company’s Head of Investor Relations, if any. The Company is required under Regulation FD (Fair Disclosure) of the U.S. federal securities laws to avoid the selective disclosure of material nonpublic information. In general, the regulation provides that when a public company discloses material nonpublic information, it must provide broad, non-exclusionary access to the information. Violations of this regulation can subject the company to SEC enforcement actions, which may result in injunctions and severe monetary penalties. The Company has established procedures for releasing material information in a manner that is designed to achieve broad public dissemination of the information immediately upon its release in compliance with applicable law. Please consult the Company’s External Communications Policy for more details.</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TRADING BLACKOUT PERIODS</w:t>
      </w:r>
    </w:p>
    <w:p>
      <w:pPr>
        <w:spacing w:after="0" w:line="209" w:lineRule="exact"/>
        <w:rPr>
          <w:sz w:val="20"/>
          <w:szCs w:val="20"/>
          <w:color w:val="auto"/>
        </w:rPr>
      </w:pPr>
    </w:p>
    <w:p>
      <w:pPr>
        <w:jc w:val="both"/>
        <w:ind w:firstLine="374"/>
        <w:spacing w:after="0" w:line="237" w:lineRule="auto"/>
        <w:rPr>
          <w:sz w:val="20"/>
          <w:szCs w:val="20"/>
          <w:color w:val="auto"/>
        </w:rPr>
      </w:pPr>
      <w:r>
        <w:rPr>
          <w:rFonts w:ascii="Times New Roman" w:cs="Times New Roman" w:eastAsia="Times New Roman" w:hAnsi="Times New Roman"/>
          <w:sz w:val="22"/>
          <w:szCs w:val="22"/>
          <w:color w:val="auto"/>
        </w:rPr>
        <w:t>To limit the likelihood of trading at times when there is a significant risk of insider trading exposure, the Company has instituted quarterly trading blackout periods and may institute special trading blackout periods from time to time. In addition, to comply with applicable legal requirements, the Company may also institute blackout periods that prevent directors and officers from trading in Company securities at a time when employees are prevented from trading Company securities in the Company’s 401(k) plan.</w:t>
      </w:r>
    </w:p>
    <w:p>
      <w:pPr>
        <w:spacing w:after="0" w:line="17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22"/>
          <w:szCs w:val="22"/>
          <w:color w:val="auto"/>
        </w:rPr>
        <w:t>It is important to note that whether or not you are subject to blackout periods, you remain subject to the prohibitions on trading on the basis of material nonpublic information and any other applicable restrictions in this Policy.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Quarterly blackout periods</w:t>
      </w:r>
    </w:p>
    <w:p>
      <w:pPr>
        <w:spacing w:after="0" w:line="205" w:lineRule="exact"/>
        <w:rPr>
          <w:sz w:val="20"/>
          <w:szCs w:val="20"/>
          <w:color w:val="auto"/>
        </w:rPr>
      </w:pPr>
    </w:p>
    <w:p>
      <w:pPr>
        <w:jc w:val="both"/>
        <w:ind w:firstLine="374"/>
        <w:spacing w:after="0" w:line="237" w:lineRule="auto"/>
        <w:rPr>
          <w:sz w:val="20"/>
          <w:szCs w:val="20"/>
          <w:color w:val="auto"/>
        </w:rPr>
      </w:pPr>
      <w:r>
        <w:rPr>
          <w:rFonts w:ascii="Times New Roman" w:cs="Times New Roman" w:eastAsia="Times New Roman" w:hAnsi="Times New Roman"/>
          <w:sz w:val="22"/>
          <w:szCs w:val="22"/>
          <w:color w:val="auto"/>
        </w:rPr>
        <w:t>Except as discussed in the section entitled “</w:t>
      </w:r>
      <w:r>
        <w:rPr>
          <w:rFonts w:ascii="Times New Roman" w:cs="Times New Roman" w:eastAsia="Times New Roman" w:hAnsi="Times New Roman"/>
          <w:sz w:val="22"/>
          <w:szCs w:val="22"/>
          <w:b w:val="1"/>
          <w:bCs w:val="1"/>
          <w:color w:val="auto"/>
        </w:rPr>
        <w:t>Limited Exceptions</w:t>
      </w:r>
      <w:r>
        <w:rPr>
          <w:rFonts w:ascii="Times New Roman" w:cs="Times New Roman" w:eastAsia="Times New Roman" w:hAnsi="Times New Roman"/>
          <w:sz w:val="22"/>
          <w:szCs w:val="22"/>
          <w:color w:val="auto"/>
        </w:rPr>
        <w:t>”, directors, executive officers and those employees, consultants, contractors and advisors identified by the Company must refrain from conducting transactions involving the Company’s securities during quarterly blackout periods. Even if you are not specifically identified as being subject to quarterly blackout periods, you should exercise caution when engaging in transactions during quarterly blackout periods because of the heightened risk of insider trading exposure.</w:t>
      </w:r>
    </w:p>
    <w:p>
      <w:pPr>
        <w:spacing w:after="0" w:line="196" w:lineRule="exact"/>
        <w:rPr>
          <w:sz w:val="20"/>
          <w:szCs w:val="20"/>
          <w:color w:val="auto"/>
        </w:rPr>
      </w:pPr>
    </w:p>
    <w:p>
      <w:pPr>
        <w:jc w:val="both"/>
        <w:ind w:firstLine="374"/>
        <w:spacing w:after="0" w:line="224" w:lineRule="auto"/>
        <w:rPr>
          <w:sz w:val="20"/>
          <w:szCs w:val="20"/>
          <w:color w:val="auto"/>
        </w:rPr>
      </w:pPr>
      <w:r>
        <w:rPr>
          <w:rFonts w:ascii="Times New Roman" w:cs="Times New Roman" w:eastAsia="Times New Roman" w:hAnsi="Times New Roman"/>
          <w:sz w:val="22"/>
          <w:szCs w:val="22"/>
          <w:color w:val="auto"/>
        </w:rPr>
        <w:t>Quarterly blackout periods begin at 4 p.m. EST on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of the third month of each fiscal quarter and end at the start of the third full trading day following the date of public disclosure of the financial results for the previous fiscal quarter. This period is a particularly sensitive time for transactions involving the Company’s securities from the perspective of compliance with applicable securities laws due to the fact that, during this period, individuals may often possess or have access to material nonpublic information relevant to the expected financial results for the quarter.</w:t>
      </w:r>
    </w:p>
    <w:p>
      <w:pPr>
        <w:spacing w:after="0" w:line="179"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22"/>
          <w:szCs w:val="22"/>
          <w:color w:val="auto"/>
        </w:rPr>
        <w:t xml:space="preserve">Individuals subject to quarterly blackout periods are listed on </w:t>
      </w:r>
      <w:r>
        <w:rPr>
          <w:rFonts w:ascii="Times New Roman" w:cs="Times New Roman" w:eastAsia="Times New Roman" w:hAnsi="Times New Roman"/>
          <w:sz w:val="22"/>
          <w:szCs w:val="22"/>
          <w:b w:val="1"/>
          <w:bCs w:val="1"/>
          <w:color w:val="auto"/>
        </w:rPr>
        <w:t>Schedule 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Covered Persons List</w:t>
      </w:r>
      <w:r>
        <w:rPr>
          <w:rFonts w:ascii="Times New Roman" w:cs="Times New Roman" w:eastAsia="Times New Roman" w:hAnsi="Times New Roman"/>
          <w:sz w:val="22"/>
          <w:szCs w:val="22"/>
          <w:color w:val="auto"/>
        </w:rPr>
        <w:t>”). From time to time, the Company may revise the Covered Persons List.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blackout periods</w:t>
      </w:r>
    </w:p>
    <w:p>
      <w:pPr>
        <w:spacing w:after="0" w:line="209" w:lineRule="exact"/>
        <w:rPr>
          <w:sz w:val="20"/>
          <w:szCs w:val="20"/>
          <w:color w:val="auto"/>
        </w:rPr>
      </w:pPr>
    </w:p>
    <w:p>
      <w:pPr>
        <w:jc w:val="both"/>
        <w:ind w:firstLine="374"/>
        <w:spacing w:after="0" w:line="235" w:lineRule="auto"/>
        <w:rPr>
          <w:sz w:val="20"/>
          <w:szCs w:val="20"/>
          <w:color w:val="auto"/>
        </w:rPr>
      </w:pPr>
      <w:r>
        <w:rPr>
          <w:rFonts w:ascii="Times New Roman" w:cs="Times New Roman" w:eastAsia="Times New Roman" w:hAnsi="Times New Roman"/>
          <w:sz w:val="22"/>
          <w:szCs w:val="22"/>
          <w:color w:val="auto"/>
        </w:rPr>
        <w:t>From time to time, the Company may also prohibit directors, officers, employees, consultants, contractors and advisors from engaging in transactions involving the Company’s securities when, in the judgment of the Compliance Officer, a trading blackout is warranted. The Company will generally impose special blackout periods when there are material developments known to the Company that have not yet been disclosed to the public. For example, the Company may impose a special blackout period in anticipation of announcing material clinical data results or a significant transaction or business development. However, special blackout periods may be declared for any reason.</w:t>
      </w:r>
    </w:p>
    <w:p>
      <w:pPr>
        <w:spacing w:after="0" w:line="184"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22"/>
          <w:szCs w:val="22"/>
          <w:color w:val="auto"/>
        </w:rPr>
        <w:t>The Company will notify those persons subject to a special blackout period. Each person who has been so identified and notified by the Company may not engage in any transaction involving the Company’s securities until instructed otherwise by the Compliance Officer, and should not disclose to others the fact of such suspension of trading.</w:t>
      </w: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Regulation BTR blackouts</w:t>
      </w:r>
    </w:p>
    <w:p>
      <w:pPr>
        <w:spacing w:after="0" w:line="209"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20"/>
          <w:szCs w:val="20"/>
          <w:color w:val="auto"/>
        </w:rPr>
        <w:t>Directors and executive officers may also be subject to trading blackouts pursuant to Regulation Blackout Trading Restriction, or Regulation BTR, under U.S. federal securities laws. In general, Regulation BTR prohibits any director or executive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has provided, or will provide, separate memoranda and other appropriate materials to its directors and executive officers regarding compliance with Regulation BTR.</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The Company will notify directors and officers if they are subject to a blackout trading restriction under Regulation BTR.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Failure to comply with an applicable trading blackout in accordance with Regulation BTR is a violation of law and this Policy.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“safe harbors”</w:t>
      </w:r>
    </w:p>
    <w:p>
      <w:pPr>
        <w:spacing w:after="0" w:line="209" w:lineRule="exact"/>
        <w:rPr>
          <w:sz w:val="20"/>
          <w:szCs w:val="20"/>
          <w:color w:val="auto"/>
        </w:rPr>
      </w:pPr>
    </w:p>
    <w:p>
      <w:pPr>
        <w:jc w:val="both"/>
        <w:ind w:firstLine="374"/>
        <w:spacing w:after="0" w:line="238" w:lineRule="auto"/>
        <w:rPr>
          <w:sz w:val="20"/>
          <w:szCs w:val="20"/>
          <w:color w:val="auto"/>
        </w:rPr>
      </w:pPr>
      <w:r>
        <w:rPr>
          <w:rFonts w:ascii="Times New Roman" w:cs="Times New Roman" w:eastAsia="Times New Roman" w:hAnsi="Times New Roman"/>
          <w:sz w:val="22"/>
          <w:szCs w:val="22"/>
          <w:color w:val="auto"/>
        </w:rPr>
        <w:t>There are no unconditional “safe harbors” for trades made at particular times, and all persons subject to this Policy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PRE-CLEARANCE OF TRADES</w:t>
      </w:r>
    </w:p>
    <w:p>
      <w:pPr>
        <w:spacing w:after="0" w:line="205" w:lineRule="exact"/>
        <w:rPr>
          <w:sz w:val="20"/>
          <w:szCs w:val="20"/>
          <w:color w:val="auto"/>
        </w:rPr>
      </w:pPr>
    </w:p>
    <w:p>
      <w:pPr>
        <w:jc w:val="both"/>
        <w:ind w:firstLine="374"/>
        <w:spacing w:after="0" w:line="249" w:lineRule="exact"/>
        <w:rPr>
          <w:sz w:val="20"/>
          <w:szCs w:val="20"/>
          <w:color w:val="auto"/>
        </w:rPr>
      </w:pPr>
      <w:r>
        <w:rPr>
          <w:rFonts w:ascii="Times New Roman" w:cs="Times New Roman" w:eastAsia="Times New Roman" w:hAnsi="Times New Roman"/>
          <w:sz w:val="22"/>
          <w:szCs w:val="22"/>
          <w:color w:val="auto"/>
        </w:rPr>
        <w:t>Except as discussed in the section entitled “</w:t>
      </w:r>
      <w:r>
        <w:rPr>
          <w:rFonts w:ascii="Times New Roman" w:cs="Times New Roman" w:eastAsia="Times New Roman" w:hAnsi="Times New Roman"/>
          <w:sz w:val="22"/>
          <w:szCs w:val="22"/>
          <w:b w:val="1"/>
          <w:bCs w:val="1"/>
          <w:color w:val="auto"/>
        </w:rPr>
        <w:t>Limited Exceptions</w:t>
      </w:r>
      <w:r>
        <w:rPr>
          <w:rFonts w:ascii="Times New Roman" w:cs="Times New Roman" w:eastAsia="Times New Roman" w:hAnsi="Times New Roman"/>
          <w:sz w:val="22"/>
          <w:szCs w:val="22"/>
          <w:color w:val="auto"/>
        </w:rPr>
        <w:t xml:space="preserve">”, directors, executive officers and any other persons identified on the Covered Persons List of this Policy as being subject to pre-clearance requirements must obtain pre-clearance prior to engaging in any transaction involving the Company’s securities. This is done by submitting a pre-clearance request on the form provided by the Compliance Officer to the Compliance Officer and obtaining the required signature from the Compliance Officer prior to the desired transaction date. The Compliance Officer should use the Pre-Clearance Checklist (see </w:t>
      </w:r>
      <w:r>
        <w:rPr>
          <w:rFonts w:ascii="Times New Roman" w:cs="Times New Roman" w:eastAsia="Times New Roman" w:hAnsi="Times New Roman"/>
          <w:sz w:val="22"/>
          <w:szCs w:val="22"/>
          <w:b w:val="1"/>
          <w:bCs w:val="1"/>
          <w:color w:val="auto"/>
        </w:rPr>
        <w:t>Schedule III</w:t>
      </w:r>
      <w:r>
        <w:rPr>
          <w:rFonts w:ascii="Times New Roman" w:cs="Times New Roman" w:eastAsia="Times New Roman" w:hAnsi="Times New Roman"/>
          <w:sz w:val="22"/>
          <w:szCs w:val="22"/>
          <w:color w:val="auto"/>
        </w:rPr>
        <w:t>) before signing a pre-clearance request. The Compliance Officer may not engage in a transaction involving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securities unless the Chief Executive Officer has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cleared the transaction. All trades must be executed within three trading days of any pre-clearance.</w:t>
      </w:r>
    </w:p>
    <w:p>
      <w:pPr>
        <w:spacing w:after="0" w:line="182" w:lineRule="exact"/>
        <w:rPr>
          <w:sz w:val="20"/>
          <w:szCs w:val="20"/>
          <w:color w:val="auto"/>
        </w:rPr>
      </w:pPr>
    </w:p>
    <w:p>
      <w:pPr>
        <w:jc w:val="both"/>
        <w:ind w:firstLine="374"/>
        <w:spacing w:after="0" w:line="249" w:lineRule="exact"/>
        <w:rPr>
          <w:sz w:val="20"/>
          <w:szCs w:val="20"/>
          <w:color w:val="auto"/>
        </w:rPr>
      </w:pPr>
      <w:r>
        <w:rPr>
          <w:rFonts w:ascii="Times New Roman" w:cs="Times New Roman" w:eastAsia="Times New Roman" w:hAnsi="Times New Roman"/>
          <w:sz w:val="22"/>
          <w:szCs w:val="22"/>
          <w:color w:val="auto"/>
        </w:rPr>
        <w:t>These pre-clearance procedures are intended to decrease insider trading risks associated with transactions by individuals with regular or special access to material nonpublic information. In addition, requiring pre</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color w:val="auto"/>
        </w:rPr>
        <w:t>clearance of transactions by directors and officers facilitates compliance with Rule 144 resale restrictions under the Securities Act of 1933, as amended, the liability and reporting provisions of Section 16 under the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and Regulation BTR. Pre-clearance of a trade, however, is not a defense to a claim of insider trading and does not excuse you from otherwise complying with insider trading laws or this Policy. Further, pre-clearance of a transaction does not constitute an affirmation by the Company or the Compliance Officer that you are not in possession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4770755</wp:posOffset>
            </wp:positionH>
            <wp:positionV relativeFrom="paragraph">
              <wp:posOffset>-866775</wp:posOffset>
            </wp:positionV>
            <wp:extent cx="71120" cy="4191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6">
                      <a:extLst>
                        <a:ext uri="{28A0092B-C50C-407E-A947-70E740481C1C}"/>
                      </a:extLst>
                    </a:blip>
                    <a:srcRect/>
                    <a:stretch>
                      <a:fillRect/>
                    </a:stretch>
                  </pic:blipFill>
                  <pic:spPr bwMode="auto">
                    <a:xfrm>
                      <a:off x="0" y="0"/>
                      <a:ext cx="71120" cy="41910"/>
                    </a:xfrm>
                    <a:prstGeom prst="rect">
                      <a:avLst/>
                    </a:prstGeom>
                    <a:noFill/>
                  </pic:spPr>
                </pic:pic>
              </a:graphicData>
            </a:graphic>
          </wp:anchor>
        </w:drawing>
      </w:r>
    </w:p>
    <w:p>
      <w:pPr>
        <w:spacing w:after="0" w:line="130" w:lineRule="exact"/>
        <w:rPr>
          <w:sz w:val="20"/>
          <w:szCs w:val="20"/>
          <w:color w:val="auto"/>
        </w:rPr>
      </w:pPr>
    </w:p>
    <w:p>
      <w:pPr>
        <w:jc w:val="both"/>
        <w:ind w:right="20" w:firstLine="374"/>
        <w:spacing w:after="0" w:line="285" w:lineRule="exact"/>
        <w:rPr>
          <w:sz w:val="20"/>
          <w:szCs w:val="20"/>
          <w:color w:val="auto"/>
        </w:rPr>
      </w:pPr>
      <w:r>
        <w:rPr>
          <w:rFonts w:ascii="Times New Roman" w:cs="Times New Roman" w:eastAsia="Times New Roman" w:hAnsi="Times New Roman"/>
          <w:sz w:val="22"/>
          <w:szCs w:val="22"/>
          <w:color w:val="auto"/>
        </w:rPr>
        <w:t>The Compliance Officer is under no obligation to approve a transaction submitted for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clearance, and may determine not to permit the transaction.</w:t>
      </w:r>
    </w:p>
    <w:p>
      <w:pPr>
        <w:spacing w:after="0" w:line="17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22"/>
          <w:szCs w:val="22"/>
          <w:color w:val="auto"/>
        </w:rPr>
        <w:t>From time to time, the Company may identify other persons who should be subject to the pre-clearance requirements set forth above, and the Compliance Officer may update and revise the Covered Persons List as appropriate.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RESTRICTIONS AND GUIDANCE</w:t>
      </w:r>
    </w:p>
    <w:p>
      <w:pPr>
        <w:spacing w:after="0" w:line="209" w:lineRule="exact"/>
        <w:rPr>
          <w:sz w:val="20"/>
          <w:szCs w:val="20"/>
          <w:color w:val="auto"/>
        </w:rPr>
      </w:pPr>
    </w:p>
    <w:p>
      <w:pPr>
        <w:jc w:val="both"/>
        <w:ind w:firstLine="374"/>
        <w:spacing w:after="0" w:line="238" w:lineRule="auto"/>
        <w:rPr>
          <w:sz w:val="20"/>
          <w:szCs w:val="20"/>
          <w:color w:val="auto"/>
        </w:rPr>
      </w:pPr>
      <w:r>
        <w:rPr>
          <w:rFonts w:ascii="Times New Roman" w:cs="Times New Roman" w:eastAsia="Times New Roman" w:hAnsi="Times New Roman"/>
          <w:sz w:val="22"/>
          <w:szCs w:val="22"/>
          <w:color w:val="auto"/>
        </w:rPr>
        <w:t>This section addresses certain types of transactions that may expose you and the Company to significant risks. You should understand that, even though a transaction may not be expressly prohibited by this section, you are responsible for ensuring that the transaction otherwise complies with other provisions in this Policy that may apply to the transaction, such as the general prohibition against insider trading as well as pre-clearance procedures and blackout periods, to the extent applicable.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Short sales</w:t>
      </w:r>
    </w:p>
    <w:p>
      <w:pPr>
        <w:spacing w:after="0" w:line="205" w:lineRule="exact"/>
        <w:rPr>
          <w:sz w:val="20"/>
          <w:szCs w:val="20"/>
          <w:color w:val="auto"/>
        </w:rPr>
      </w:pPr>
    </w:p>
    <w:p>
      <w:pPr>
        <w:jc w:val="both"/>
        <w:ind w:firstLine="374"/>
        <w:spacing w:after="0" w:line="236" w:lineRule="auto"/>
        <w:rPr>
          <w:sz w:val="20"/>
          <w:szCs w:val="20"/>
          <w:color w:val="auto"/>
        </w:rPr>
      </w:pPr>
      <w:r>
        <w:rPr>
          <w:rFonts w:ascii="Times New Roman" w:cs="Times New Roman" w:eastAsia="Times New Roman" w:hAnsi="Times New Roman"/>
          <w:sz w:val="22"/>
          <w:szCs w:val="22"/>
          <w:color w:val="auto"/>
        </w:rPr>
        <w:t>Short sales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the sale of a security that must be borrowed to make delivery) and “selling short against the box”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a sale with a delayed delivery) with respect to Company securities are prohibited under this Policy. Short sales may signal to the market possible bad news about the Company or a general lack of confidence in the Company’s prospects, and an expectation that the value of the Company’s securities will decline. In addition, short sales are effectively a bet against the Company’s success and may reduce the seller’s incentive to improve the Company’s performance. Short sales may also create a suspicion that the seller is engaged in insider trading.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Derivative securities and hedging transactions</w:t>
      </w:r>
    </w:p>
    <w:p>
      <w:pPr>
        <w:spacing w:after="0" w:line="209" w:lineRule="exact"/>
        <w:rPr>
          <w:sz w:val="20"/>
          <w:szCs w:val="20"/>
          <w:color w:val="auto"/>
        </w:rPr>
      </w:pPr>
    </w:p>
    <w:p>
      <w:pPr>
        <w:jc w:val="both"/>
        <w:ind w:firstLine="374"/>
        <w:spacing w:after="0" w:line="235" w:lineRule="auto"/>
        <w:rPr>
          <w:sz w:val="20"/>
          <w:szCs w:val="20"/>
          <w:color w:val="auto"/>
        </w:rPr>
      </w:pPr>
      <w:r>
        <w:rPr>
          <w:rFonts w:ascii="Times New Roman" w:cs="Times New Roman" w:eastAsia="Times New Roman" w:hAnsi="Times New Roman"/>
          <w:sz w:val="22"/>
          <w:szCs w:val="22"/>
          <w:color w:val="auto"/>
        </w:rPr>
        <w:t xml:space="preserve">You are prohibited from engaging in transactions in publicly-traded options, such as puts and calls, and other derivative securities with respect to the Company’s securities. This prohibition extends to any hedging or similar transaction designed to decrease the risks associated with holding Company securities. Stock options, stock appreciation rights and other securities issued pursuant to Company benefit plans or other compensatory arrangements with the Company are also subject to this prohibition;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as described in the “</w:t>
      </w:r>
      <w:r>
        <w:rPr>
          <w:rFonts w:ascii="Times New Roman" w:cs="Times New Roman" w:eastAsia="Times New Roman" w:hAnsi="Times New Roman"/>
          <w:sz w:val="22"/>
          <w:szCs w:val="22"/>
          <w:b w:val="1"/>
          <w:bCs w:val="1"/>
          <w:color w:val="auto"/>
        </w:rPr>
        <w:t>Limited Exceptions</w:t>
      </w:r>
      <w:r>
        <w:rPr>
          <w:rFonts w:ascii="Times New Roman" w:cs="Times New Roman" w:eastAsia="Times New Roman" w:hAnsi="Times New Roman"/>
          <w:sz w:val="22"/>
          <w:szCs w:val="22"/>
          <w:color w:val="auto"/>
        </w:rPr>
        <w:t>” section of this Policy, you are not prohibited from exercising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options issued under any of the Company’s benefit plans or other compensatory arrangements in accordance with the terms of such plans or arrangements.</w:t>
      </w:r>
    </w:p>
    <w:p>
      <w:pPr>
        <w:spacing w:after="0" w:line="144" w:lineRule="exact"/>
        <w:rPr>
          <w:sz w:val="20"/>
          <w:szCs w:val="20"/>
          <w:color w:val="auto"/>
        </w:rPr>
      </w:pPr>
    </w:p>
    <w:p>
      <w:pPr>
        <w:jc w:val="both"/>
        <w:ind w:firstLine="374"/>
        <w:spacing w:after="0" w:line="259" w:lineRule="exact"/>
        <w:rPr>
          <w:sz w:val="20"/>
          <w:szCs w:val="20"/>
          <w:color w:val="auto"/>
        </w:rPr>
      </w:pPr>
      <w:r>
        <w:rPr>
          <w:rFonts w:ascii="Times New Roman" w:cs="Times New Roman" w:eastAsia="Times New Roman" w:hAnsi="Times New Roman"/>
          <w:sz w:val="22"/>
          <w:szCs w:val="22"/>
          <w:color w:val="auto"/>
        </w:rPr>
        <w:t>Transactions in derivative securities may reflect a short</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color w:val="auto"/>
        </w:rPr>
        <w:t>term and speculative interest in the Company’s securities and may create the appearance of impropriety, even where a transaction does not involve trading on inside information. Trading in derivatives may also focus attention on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performance at the expense of the Company’s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term objectives. In addition, the application of securities laws to derivatives transactions can be complex, and persons engaging in derivatives transactions may subject themselves to an increased risk of violating securities laws. “Guidelines for Preparing Trading Plans” are set forth in </w:t>
      </w:r>
      <w:r>
        <w:rPr>
          <w:rFonts w:ascii="Times New Roman" w:cs="Times New Roman" w:eastAsia="Times New Roman" w:hAnsi="Times New Roman"/>
          <w:sz w:val="22"/>
          <w:szCs w:val="22"/>
          <w:b w:val="1"/>
          <w:bCs w:val="1"/>
          <w:color w:val="auto"/>
        </w:rPr>
        <w:t>Schedule III</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Using Company securities as collateral for loans</w:t>
      </w:r>
    </w:p>
    <w:p>
      <w:pPr>
        <w:spacing w:after="0" w:line="209" w:lineRule="exact"/>
        <w:rPr>
          <w:sz w:val="20"/>
          <w:szCs w:val="20"/>
          <w:color w:val="auto"/>
        </w:rPr>
      </w:pPr>
    </w:p>
    <w:p>
      <w:pPr>
        <w:jc w:val="both"/>
        <w:ind w:firstLine="374"/>
        <w:spacing w:after="0" w:line="237" w:lineRule="auto"/>
        <w:rPr>
          <w:sz w:val="20"/>
          <w:szCs w:val="20"/>
          <w:color w:val="auto"/>
        </w:rPr>
      </w:pPr>
      <w:r>
        <w:rPr>
          <w:rFonts w:ascii="Times New Roman" w:cs="Times New Roman" w:eastAsia="Times New Roman" w:hAnsi="Times New Roman"/>
          <w:sz w:val="22"/>
          <w:szCs w:val="22"/>
          <w:color w:val="auto"/>
        </w:rPr>
        <w:t>You may not pledge Company securities as collateral for loans. If you default on the loan, the lender may sell the pledged securities as collateral in a foreclosure sale. The sale, even though not initiated at your request, is still considered a sale for your benefit and, if made at a time when you are aware of material nonpublic information or otherwise are not permitted to trade in Company securities, may result in inadvertent insider trading violations, Section 16 and Regulation BTR violations (for officers and directors), violations of this Policy and unfavorable publicity for you and the Company.</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Holding Company securities in margin accounts</w:t>
      </w:r>
    </w:p>
    <w:p>
      <w:pPr>
        <w:spacing w:after="0" w:line="20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20"/>
          <w:szCs w:val="20"/>
          <w:color w:val="auto"/>
        </w:rPr>
        <w:t>You may not hold Company securities in margin accounts. Under typical margin arrangements, if you fail to meet a margin call, the broker may be entitled to sell securities held in the margin account without your consent. The sale, even though not initiated at your request, is still considered a sale for your benefit and, if made at a time when you are aware of material nonpublic information or are otherwise not permitted to trade, may result in inadvertent insider trading violations, Section 16 and Regulation BTR violations (for officers and directors), violations of this Policy and unfavorable publicity for you and the Company.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Placing open orders with brokers</w:t>
      </w:r>
    </w:p>
    <w:p>
      <w:pPr>
        <w:spacing w:after="0" w:line="209" w:lineRule="exact"/>
        <w:rPr>
          <w:sz w:val="20"/>
          <w:szCs w:val="20"/>
          <w:color w:val="auto"/>
        </w:rPr>
      </w:pPr>
    </w:p>
    <w:p>
      <w:pPr>
        <w:jc w:val="both"/>
        <w:ind w:firstLine="374"/>
        <w:spacing w:after="0" w:line="234" w:lineRule="auto"/>
        <w:rPr>
          <w:sz w:val="20"/>
          <w:szCs w:val="20"/>
          <w:color w:val="auto"/>
        </w:rPr>
      </w:pPr>
      <w:r>
        <w:rPr>
          <w:rFonts w:ascii="Times New Roman" w:cs="Times New Roman" w:eastAsia="Times New Roman" w:hAnsi="Times New Roman"/>
          <w:sz w:val="22"/>
          <w:szCs w:val="22"/>
          <w:color w:val="auto"/>
        </w:rPr>
        <w:t>Except in accordance with an approved trading plan (as discussed below), you should exercise caution when placing open orders, such as limit orders or stop orders, with brokers, particularly where the order is likely to remain outstanding for an extended period of time. If you are subject to the blackout window, open orders should be canceled prior to entering a blackout window, as this may result in the execution of a trade at a time when you are aware of material nonpublic information or otherwise are not permitted to trade in Company securities, which may result in inadvertent insider trading violations, Section 16 and Regulation BTR violations (for officers and directors), violations of this Policy and unfavorable publicity for you and the Company. If you are subject to blackout periods or pre-clearance requirements, you should so inform any broker with whom you place any open order at the time it is placed.</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LIMITED EXCEPTIONS</w:t>
      </w:r>
    </w:p>
    <w:p>
      <w:pPr>
        <w:spacing w:after="0" w:line="209" w:lineRule="exact"/>
        <w:rPr>
          <w:sz w:val="20"/>
          <w:szCs w:val="20"/>
          <w:color w:val="auto"/>
        </w:rPr>
      </w:pPr>
    </w:p>
    <w:p>
      <w:pPr>
        <w:jc w:val="both"/>
        <w:ind w:firstLine="374"/>
        <w:spacing w:after="0" w:line="237" w:lineRule="auto"/>
        <w:rPr>
          <w:sz w:val="20"/>
          <w:szCs w:val="20"/>
          <w:color w:val="auto"/>
        </w:rPr>
      </w:pPr>
      <w:r>
        <w:rPr>
          <w:rFonts w:ascii="Times New Roman" w:cs="Times New Roman" w:eastAsia="Times New Roman" w:hAnsi="Times New Roman"/>
          <w:sz w:val="22"/>
          <w:szCs w:val="22"/>
          <w:color w:val="auto"/>
        </w:rPr>
        <w:t>The following are certain limited exceptions to the restrictions imposed by the Company under this Policy. Please be aware that even if a transaction is subject to an exception to this Policy, you will need to separately assess whether the transaction complies with applicable law. For example, even if a transaction is indicated as exempt from this Policy, you may need to comply with the “short-swing” trading restrictions under Section 16 of the Exchange Act, to the extent applicable. You are responsible for complying with applicable law at all times.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Transactions pursuant to a trading plan that complies with SEC rules</w:t>
      </w:r>
    </w:p>
    <w:p>
      <w:pPr>
        <w:spacing w:after="0" w:line="209" w:lineRule="exact"/>
        <w:rPr>
          <w:sz w:val="20"/>
          <w:szCs w:val="20"/>
          <w:color w:val="auto"/>
        </w:rPr>
      </w:pPr>
    </w:p>
    <w:p>
      <w:pPr>
        <w:jc w:val="both"/>
        <w:ind w:firstLine="374"/>
        <w:spacing w:after="0" w:line="249" w:lineRule="exact"/>
        <w:rPr>
          <w:sz w:val="20"/>
          <w:szCs w:val="20"/>
          <w:color w:val="auto"/>
        </w:rPr>
      </w:pPr>
      <w:r>
        <w:rPr>
          <w:rFonts w:ascii="Times New Roman" w:cs="Times New Roman" w:eastAsia="Times New Roman" w:hAnsi="Times New Roman"/>
          <w:sz w:val="22"/>
          <w:szCs w:val="22"/>
          <w:color w:val="auto"/>
        </w:rPr>
        <w:t>The SEC has enacted rules that provide an affirmative defense against alleged violations of U.S. federal insider trading laws for transactions pursuant to trading plans that meet certain requirements. In general, these rules, as set forth in 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under the Exchange Act, provide for an affirmative defense if you enter into a contract, provide instructions or adopt a written plan for trading securities when you are not aware of material nonpublic information. The contract, instructions or plan must (i) specify the amount, price and date of the transaction, (ii) specify an objective method for determining the amount, price and date of the transaction and/or (iii) place any subsequent discretion for determining the amount, price and date of the transaction in another person who is not, at the time of the transaction, aware of material nonpublic information.</w:t>
      </w:r>
    </w:p>
    <w:p>
      <w:pPr>
        <w:spacing w:after="0" w:line="150" w:lineRule="exact"/>
        <w:rPr>
          <w:sz w:val="20"/>
          <w:szCs w:val="20"/>
          <w:color w:val="auto"/>
        </w:rPr>
      </w:pPr>
    </w:p>
    <w:p>
      <w:pPr>
        <w:ind w:left="380"/>
        <w:spacing w:after="0" w:line="230" w:lineRule="exact"/>
        <w:rPr>
          <w:sz w:val="20"/>
          <w:szCs w:val="20"/>
          <w:color w:val="auto"/>
        </w:rPr>
      </w:pPr>
      <w:r>
        <w:rPr>
          <w:rFonts w:ascii="Times New Roman" w:cs="Times New Roman" w:eastAsia="Times New Roman" w:hAnsi="Times New Roman"/>
          <w:sz w:val="20"/>
          <w:szCs w:val="20"/>
          <w:color w:val="auto"/>
        </w:rPr>
        <w:t>Transactions made pursuant to a written trading plan that (i) complies with the affirmative defense set forth in Rule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w:t>
      </w:r>
    </w:p>
    <w:p>
      <w:pPr>
        <w:spacing w:after="0" w:line="84" w:lineRule="exact"/>
        <w:rPr>
          <w:sz w:val="20"/>
          <w:szCs w:val="20"/>
          <w:color w:val="auto"/>
        </w:rPr>
      </w:pPr>
    </w:p>
    <w:p>
      <w:pPr>
        <w:jc w:val="both"/>
        <w:ind w:firstLine="8"/>
        <w:spacing w:after="0" w:line="254" w:lineRule="exact"/>
        <w:tabs>
          <w:tab w:leader="none" w:pos="355"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complies with the “Requirements for Trading Plans” set forth in </w:t>
      </w:r>
      <w:r>
        <w:rPr>
          <w:rFonts w:ascii="Times New Roman" w:cs="Times New Roman" w:eastAsia="Times New Roman" w:hAnsi="Times New Roman"/>
          <w:sz w:val="20"/>
          <w:szCs w:val="20"/>
          <w:b w:val="1"/>
          <w:bCs w:val="1"/>
          <w:color w:val="auto"/>
        </w:rPr>
        <w:t>Schedule III</w:t>
      </w:r>
      <w:r>
        <w:rPr>
          <w:rFonts w:ascii="Times New Roman" w:cs="Times New Roman" w:eastAsia="Times New Roman" w:hAnsi="Times New Roman"/>
          <w:sz w:val="20"/>
          <w:szCs w:val="20"/>
          <w:color w:val="auto"/>
        </w:rPr>
        <w:t xml:space="preserve"> and (iii) is approved by the Compliance Officer, are not subject to the restrictions in this Policy against trades made while aware of material nonpublic information or to the pre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clearance procedures or blackout periods established under this Policy. If the Compliance Officer is the requester, then the Company’s Chief Executive Officer or General Counsel must approve the written 10b5-1 trading plan. In approving a trading plan, the Compliance Officer may, in furtherance of the objectives expressed in this Policy, impose criteria in addition to those set forth in Rule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You should therefore confer with the Compliance Officer prior to entering into any trading plan.</w:t>
      </w:r>
    </w:p>
    <w:p>
      <w:pPr>
        <w:spacing w:after="0" w:line="149" w:lineRule="exact"/>
        <w:rPr>
          <w:sz w:val="20"/>
          <w:szCs w:val="20"/>
          <w:color w:val="auto"/>
        </w:rPr>
      </w:pPr>
    </w:p>
    <w:p>
      <w:pPr>
        <w:jc w:val="both"/>
        <w:ind w:firstLine="374"/>
        <w:spacing w:after="0" w:line="264" w:lineRule="exact"/>
        <w:rPr>
          <w:sz w:val="20"/>
          <w:szCs w:val="20"/>
          <w:color w:val="auto"/>
        </w:rPr>
      </w:pPr>
      <w:r>
        <w:rPr>
          <w:rFonts w:ascii="Times New Roman" w:cs="Times New Roman" w:eastAsia="Times New Roman" w:hAnsi="Times New Roman"/>
          <w:sz w:val="20"/>
          <w:szCs w:val="20"/>
          <w:color w:val="auto"/>
        </w:rPr>
        <w:t>The SEC rules regarding trading plans are complex and must be complied with completely to be effective. The description provided above is only a summary, and the Company strongly advises that you consult with your legal advisor if you intend to adopt a trading plan. While trading plans are subject to review and approval by the Company, the individual adopting the trading plan is ultimately responsible for compliance with Rule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and ensuring that the trading plan complies with this Policy.</w:t>
      </w:r>
    </w:p>
    <w:p>
      <w:pPr>
        <w:spacing w:after="0" w:line="145" w:lineRule="exact"/>
        <w:rPr>
          <w:sz w:val="20"/>
          <w:szCs w:val="20"/>
          <w:color w:val="auto"/>
        </w:rPr>
      </w:pPr>
    </w:p>
    <w:p>
      <w:pPr>
        <w:jc w:val="both"/>
        <w:ind w:firstLine="374"/>
        <w:spacing w:after="0" w:line="260" w:lineRule="exact"/>
        <w:rPr>
          <w:sz w:val="20"/>
          <w:szCs w:val="20"/>
          <w:color w:val="auto"/>
        </w:rPr>
      </w:pPr>
      <w:r>
        <w:rPr>
          <w:rFonts w:ascii="Times New Roman" w:cs="Times New Roman" w:eastAsia="Times New Roman" w:hAnsi="Times New Roman"/>
          <w:sz w:val="22"/>
          <w:szCs w:val="22"/>
          <w:color w:val="auto"/>
        </w:rPr>
        <w:t>Trading plans must be filed with the Compliance Officer and must be accompanied with an executed certificate stating that the trading plan complies with 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1 and any other criteria established by the Company. The Company may publicly disclose information regarding trading plans that you may enter.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Receipt and vesting of stock options, restricted stock units, restricted stock and stock appreciation rights</w:t>
      </w:r>
    </w:p>
    <w:p>
      <w:pPr>
        <w:spacing w:after="0" w:line="20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22"/>
          <w:szCs w:val="22"/>
          <w:color w:val="auto"/>
        </w:rPr>
        <w:t>The trading restrictions under this Policy do not apply to the acceptance or purchase of stock options, restricted stock units, restricted stock, stock appreciation rights or other equity</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4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compensation awards issued or offered by the Company. The trading restrictions under this Policy also do not apply to the vesting, cancellation or forfeiture of stock options, restricted stock units, restricted stock, stock appreciation rights or other equity compensation awards from the Company in accordance with applicable plans and agreements; however, this exception does not apply to any market activity associated with such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Exercise of stock options for cash and tax withholding requirements</w:t>
      </w:r>
    </w:p>
    <w:p>
      <w:pPr>
        <w:spacing w:after="0" w:line="20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the exercise of stock options for cash under the Company’s stock option plans. However, the trading restrictions under this Policy do apply to market activity associated with the exercise of stock options under the Company’s stock option plans, such as (i) the sale of any securities issued upon the exercise of a stock option,</w:t>
      </w:r>
    </w:p>
    <w:p>
      <w:pPr>
        <w:spacing w:after="0" w:line="1" w:lineRule="exact"/>
        <w:rPr>
          <w:sz w:val="20"/>
          <w:szCs w:val="20"/>
          <w:color w:val="auto"/>
        </w:rPr>
      </w:pPr>
    </w:p>
    <w:p>
      <w:pPr>
        <w:jc w:val="both"/>
        <w:ind w:firstLine="8"/>
        <w:spacing w:after="0" w:line="234" w:lineRule="auto"/>
        <w:tabs>
          <w:tab w:leader="none" w:pos="329"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cashless exercise of a stock option through a broker, since this involves selling a portion of the underlying shares to cover the costs of exercise, and (iii) any other market sale for the purpose of generating the cash needed to pay the exercise price of an option.</w:t>
      </w:r>
    </w:p>
    <w:p>
      <w:pPr>
        <w:spacing w:after="0" w:line="179" w:lineRule="exact"/>
        <w:rPr>
          <w:sz w:val="20"/>
          <w:szCs w:val="20"/>
          <w:color w:val="auto"/>
        </w:rPr>
      </w:pPr>
    </w:p>
    <w:p>
      <w:pPr>
        <w:jc w:val="both"/>
        <w:ind w:firstLine="374"/>
        <w:spacing w:after="0" w:line="233" w:lineRule="auto"/>
        <w:rPr>
          <w:sz w:val="20"/>
          <w:szCs w:val="20"/>
          <w:color w:val="auto"/>
        </w:rPr>
      </w:pPr>
      <w:r>
        <w:rPr>
          <w:rFonts w:ascii="Times New Roman" w:cs="Times New Roman" w:eastAsia="Times New Roman" w:hAnsi="Times New Roman"/>
          <w:sz w:val="22"/>
          <w:szCs w:val="22"/>
          <w:color w:val="auto"/>
        </w:rPr>
        <w:t>The trading restrictions under this Policy do not apply to net share withholding with respect to equity awards where shares are withheld and sold by the Company in order to satisfy tax withholding requirements, if (x) permitted by the Company’s Board of Directors or the Compensation Committee and the award agreement governing such equity award and (y) so long as it is the Company’s default policy or the individual makes the election in writing at a time when a trading blackout is not in place and the individual is not in possession of material nonpublic information. Likewise, the trading restrictions under this Policy do not apply to sell to cover transactions where shares are sold on an individual’s behalf upon vesting of equity awards sold in order to satisfy tax withholding requirements, if (x) permitted by the Company’s Board of Directors or the Compensation Committee and the award agreement governing such equity award and (y) so long as it is the Company’s default policy or the individual makes the election in writing at a time when a trading blackout is not in place and the individual is not in possession of material nonpublic information; however, this exception does not apply to any other sale of such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Purchases from the employee stock purchase plan</w:t>
      </w:r>
    </w:p>
    <w:p>
      <w:pPr>
        <w:spacing w:after="0" w:line="209"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22"/>
          <w:szCs w:val="22"/>
          <w:color w:val="auto"/>
        </w:rPr>
        <w:t>The trading restrictions in this Policy do not apply to elections with respect to participation in the Company’s employee stock purchase plan or to purchases of securities under the plan. However, the trading restrictions do apply to any subsequent sales of any such securities.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Stock splits, stock dividends and similar transactions</w:t>
      </w:r>
    </w:p>
    <w:p>
      <w:pPr>
        <w:spacing w:after="0" w:line="20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22"/>
          <w:szCs w:val="22"/>
          <w:color w:val="auto"/>
        </w:rPr>
        <w:t>The trading restrictions under this Policy do not apply to a change in the number of securities held as a result of a stock split or stock dividend applying equally to all securities of a class, or similar transactions.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Estate planning</w:t>
      </w:r>
    </w:p>
    <w:p>
      <w:pPr>
        <w:spacing w:after="0" w:line="222" w:lineRule="exact"/>
        <w:rPr>
          <w:sz w:val="20"/>
          <w:szCs w:val="20"/>
          <w:color w:val="auto"/>
        </w:rPr>
      </w:pPr>
    </w:p>
    <w:p>
      <w:pPr>
        <w:ind w:right="80" w:firstLine="749"/>
        <w:spacing w:after="0" w:line="238" w:lineRule="auto"/>
        <w:rPr>
          <w:sz w:val="20"/>
          <w:szCs w:val="20"/>
          <w:color w:val="auto"/>
        </w:rPr>
      </w:pPr>
      <w:r>
        <w:rPr>
          <w:rFonts w:ascii="Times New Roman" w:cs="Times New Roman" w:eastAsia="Times New Roman" w:hAnsi="Times New Roman"/>
          <w:sz w:val="22"/>
          <w:szCs w:val="22"/>
          <w:color w:val="auto"/>
        </w:rPr>
        <w:t>The trading restrictions under this Policy do not apply to transfers by will or the laws of descent or distribution and, provided that prior written notice is provided to the Compliance Officer, distributions or transfers (such as certain tax planning or estate planning transfers) that effect only a change in the form of beneficial interest without changing your pecuniary interest in the Company’s securities.</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exceptions</w:t>
      </w:r>
    </w:p>
    <w:p>
      <w:pPr>
        <w:spacing w:after="0" w:line="209"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22"/>
          <w:szCs w:val="22"/>
          <w:color w:val="auto"/>
        </w:rPr>
        <w:t>Any other exception from this Policy must be approved by the Compliance Officer, in consultation with the Company’s Board of Directors or an independent committee of the Board of Directors.</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42" w:lineRule="exact"/>
        <w:rPr>
          <w:sz w:val="20"/>
          <w:szCs w:val="20"/>
          <w:color w:val="auto"/>
        </w:rPr>
      </w:pPr>
    </w:p>
    <w:p>
      <w:pPr>
        <w:ind w:right="1880" w:firstLine="1874"/>
        <w:spacing w:after="0" w:line="436" w:lineRule="auto"/>
        <w:rPr>
          <w:sz w:val="20"/>
          <w:szCs w:val="20"/>
          <w:color w:val="auto"/>
        </w:rPr>
      </w:pPr>
      <w:r>
        <w:rPr>
          <w:rFonts w:ascii="Times New Roman" w:cs="Times New Roman" w:eastAsia="Times New Roman" w:hAnsi="Times New Roman"/>
          <w:sz w:val="22"/>
          <w:szCs w:val="22"/>
          <w:b w:val="1"/>
          <w:bCs w:val="1"/>
          <w:color w:val="auto"/>
        </w:rPr>
        <w:t>COMPLIANCE WITH SECTION 16 OF THE SECURITIES EXCHANGE ACT Obligations under Section 16</w:t>
      </w:r>
    </w:p>
    <w:p>
      <w:pPr>
        <w:spacing w:after="0" w:line="1" w:lineRule="exact"/>
        <w:rPr>
          <w:sz w:val="20"/>
          <w:szCs w:val="20"/>
          <w:color w:val="auto"/>
        </w:rPr>
      </w:pPr>
    </w:p>
    <w:p>
      <w:pPr>
        <w:jc w:val="both"/>
        <w:ind w:firstLine="374"/>
        <w:spacing w:after="0" w:line="256" w:lineRule="exact"/>
        <w:rPr>
          <w:sz w:val="20"/>
          <w:szCs w:val="20"/>
          <w:color w:val="auto"/>
        </w:rPr>
      </w:pPr>
      <w:r>
        <w:rPr>
          <w:rFonts w:ascii="Times New Roman" w:cs="Times New Roman" w:eastAsia="Times New Roman" w:hAnsi="Times New Roman"/>
          <w:sz w:val="22"/>
          <w:szCs w:val="22"/>
          <w:color w:val="auto"/>
        </w:rPr>
        <w:t>All of the Company’s officers and directors and certain other individuals are required to comply with Section 16 of the Securities Exchange Act of 1934, and the related rules and regulations, which set forth (i) reporting obligations, (ii) limitations on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swing” transactions, which are certain matching purchases and sales of the Company’s securities within a six-month period, and (iii) limitations on short sales.</w:t>
      </w:r>
    </w:p>
    <w:p>
      <w:pPr>
        <w:spacing w:after="0" w:line="174" w:lineRule="exact"/>
        <w:rPr>
          <w:sz w:val="20"/>
          <w:szCs w:val="20"/>
          <w:color w:val="auto"/>
        </w:rPr>
      </w:pPr>
    </w:p>
    <w:p>
      <w:pPr>
        <w:jc w:val="both"/>
        <w:ind w:firstLine="374"/>
        <w:spacing w:after="0" w:line="237" w:lineRule="auto"/>
        <w:rPr>
          <w:sz w:val="20"/>
          <w:szCs w:val="20"/>
          <w:color w:val="auto"/>
        </w:rPr>
      </w:pPr>
      <w:r>
        <w:rPr>
          <w:rFonts w:ascii="Times New Roman" w:cs="Times New Roman" w:eastAsia="Times New Roman" w:hAnsi="Times New Roman"/>
          <w:sz w:val="22"/>
          <w:szCs w:val="22"/>
          <w:color w:val="auto"/>
        </w:rPr>
        <w:t xml:space="preserve">The Board of Directors of the Company has determined that the persons specified as Section 16 insiders on </w:t>
      </w:r>
      <w:r>
        <w:rPr>
          <w:rFonts w:ascii="Times New Roman" w:cs="Times New Roman" w:eastAsia="Times New Roman" w:hAnsi="Times New Roman"/>
          <w:sz w:val="22"/>
          <w:szCs w:val="22"/>
          <w:b w:val="1"/>
          <w:bCs w:val="1"/>
          <w:color w:val="auto"/>
        </w:rPr>
        <w:t>Schedule II</w:t>
      </w:r>
      <w:r>
        <w:rPr>
          <w:rFonts w:ascii="Times New Roman" w:cs="Times New Roman" w:eastAsia="Times New Roman" w:hAnsi="Times New Roman"/>
          <w:sz w:val="22"/>
          <w:szCs w:val="22"/>
          <w:color w:val="auto"/>
        </w:rPr>
        <w:t xml:space="preserve"> are required to comply with Section 16 of the Exchange Act, and the related rules and regulations, because of their positions with the Company. The Compliance Officer may amend </w:t>
      </w:r>
      <w:r>
        <w:rPr>
          <w:rFonts w:ascii="Times New Roman" w:cs="Times New Roman" w:eastAsia="Times New Roman" w:hAnsi="Times New Roman"/>
          <w:sz w:val="22"/>
          <w:szCs w:val="22"/>
          <w:b w:val="1"/>
          <w:bCs w:val="1"/>
          <w:color w:val="auto"/>
        </w:rPr>
        <w:t>Schedule II</w:t>
      </w:r>
      <w:r>
        <w:rPr>
          <w:rFonts w:ascii="Times New Roman" w:cs="Times New Roman" w:eastAsia="Times New Roman" w:hAnsi="Times New Roman"/>
          <w:sz w:val="22"/>
          <w:szCs w:val="22"/>
          <w:color w:val="auto"/>
        </w:rPr>
        <w:t xml:space="preserve"> from time to time as appropriate to reflect the election of new officers or directors, any change in the responsibilities of officers or other employees and any promotions, demotions, resignations or departures.</w:t>
      </w:r>
    </w:p>
    <w:p>
      <w:pPr>
        <w:spacing w:after="0" w:line="179"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Schedule II </w:t>
      </w:r>
      <w:r>
        <w:rPr>
          <w:rFonts w:ascii="Times New Roman" w:cs="Times New Roman" w:eastAsia="Times New Roman" w:hAnsi="Times New Roman"/>
          <w:sz w:val="22"/>
          <w:szCs w:val="22"/>
          <w:color w:val="auto"/>
        </w:rPr>
        <w:t>may not necessarily contain an exhaustive list of persons subject to Section 16 requirements at any given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Even if you are not listed on </w:t>
      </w:r>
      <w:r>
        <w:rPr>
          <w:rFonts w:ascii="Times New Roman" w:cs="Times New Roman" w:eastAsia="Times New Roman" w:hAnsi="Times New Roman"/>
          <w:sz w:val="22"/>
          <w:szCs w:val="22"/>
          <w:b w:val="1"/>
          <w:bCs w:val="1"/>
          <w:color w:val="auto"/>
        </w:rPr>
        <w:t>Schedule II</w:t>
      </w:r>
      <w:r>
        <w:rPr>
          <w:rFonts w:ascii="Times New Roman" w:cs="Times New Roman" w:eastAsia="Times New Roman" w:hAnsi="Times New Roman"/>
          <w:sz w:val="22"/>
          <w:szCs w:val="22"/>
          <w:color w:val="auto"/>
        </w:rPr>
        <w:t>, you may be subject to Section 16 reporting obligations because of your shareholdings, for example.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Notification requirements to facilitate Section 16 reporting</w:t>
      </w:r>
    </w:p>
    <w:p>
      <w:pPr>
        <w:spacing w:after="0" w:line="209" w:lineRule="exact"/>
        <w:rPr>
          <w:sz w:val="20"/>
          <w:szCs w:val="20"/>
          <w:color w:val="auto"/>
        </w:rPr>
      </w:pPr>
    </w:p>
    <w:p>
      <w:pPr>
        <w:jc w:val="both"/>
        <w:ind w:firstLine="374"/>
        <w:spacing w:after="0" w:line="237" w:lineRule="auto"/>
        <w:rPr>
          <w:sz w:val="20"/>
          <w:szCs w:val="20"/>
          <w:color w:val="auto"/>
        </w:rPr>
      </w:pPr>
      <w:r>
        <w:rPr>
          <w:rFonts w:ascii="Times New Roman" w:cs="Times New Roman" w:eastAsia="Times New Roman" w:hAnsi="Times New Roman"/>
          <w:sz w:val="22"/>
          <w:szCs w:val="22"/>
          <w:color w:val="auto"/>
        </w:rPr>
        <w:t>To facilitate timely reporting of transactions pursuant to Section 16 requirements, each person subject to Section 16 reporting requirements must provide, or must ensure that his or her broker provides, the Company with detailed information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trade date, number of shares, exact price, </w:t>
      </w:r>
      <w:r>
        <w:rPr>
          <w:rFonts w:ascii="Times New Roman" w:cs="Times New Roman" w:eastAsia="Times New Roman" w:hAnsi="Times New Roman"/>
          <w:sz w:val="22"/>
          <w:szCs w:val="22"/>
          <w:i w:val="1"/>
          <w:iCs w:val="1"/>
          <w:color w:val="auto"/>
        </w:rPr>
        <w:t>etc.</w:t>
      </w:r>
      <w:r>
        <w:rPr>
          <w:rFonts w:ascii="Times New Roman" w:cs="Times New Roman" w:eastAsia="Times New Roman" w:hAnsi="Times New Roman"/>
          <w:sz w:val="22"/>
          <w:szCs w:val="22"/>
          <w:color w:val="auto"/>
        </w:rPr>
        <w:t>) regarding his or her transactions involving the Company’s securities, including gifts, transfers, pledges and transactions pursuant to a trading plan, both prior to (to confirm compliance with pre-clearance procedures, if applicable) and promptly following execution.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Personal responsibility</w:t>
      </w:r>
    </w:p>
    <w:p>
      <w:pPr>
        <w:spacing w:after="0" w:line="20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22"/>
          <w:szCs w:val="22"/>
          <w:color w:val="auto"/>
        </w:rPr>
        <w:t>The obligation to file Section 16 reports, and to otherwise comply with Section 16, is personal. The Company is not responsible for the failure to comply with Section 16 requirements.</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Delivery of Policy</w:t>
      </w:r>
    </w:p>
    <w:p>
      <w:pPr>
        <w:spacing w:after="0" w:line="209" w:lineRule="exact"/>
        <w:rPr>
          <w:sz w:val="20"/>
          <w:szCs w:val="20"/>
          <w:color w:val="auto"/>
        </w:rPr>
      </w:pPr>
    </w:p>
    <w:p>
      <w:pPr>
        <w:jc w:val="both"/>
        <w:ind w:firstLine="374"/>
        <w:spacing w:after="0" w:line="238" w:lineRule="auto"/>
        <w:rPr>
          <w:sz w:val="20"/>
          <w:szCs w:val="20"/>
          <w:color w:val="auto"/>
        </w:rPr>
      </w:pPr>
      <w:r>
        <w:rPr>
          <w:rFonts w:ascii="Times New Roman" w:cs="Times New Roman" w:eastAsia="Times New Roman" w:hAnsi="Times New Roman"/>
          <w:sz w:val="22"/>
          <w:szCs w:val="22"/>
          <w:color w:val="auto"/>
        </w:rPr>
        <w:t>This Policy will be delivered to all directors, officers, employees, consultants, contractors and advisors of the Company when they commence service with the Company. In addition, this Policy (or a summary of this Policy) will be circulated periodically. Each director, officer, employee, consultant, contractor and advisor of the Company is required to acknowledge that he or she understands, and agrees to comply with, this Policy.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209"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22"/>
          <w:szCs w:val="22"/>
          <w:color w:val="auto"/>
        </w:rPr>
        <w:t>We are committed to continuously reviewing and updating our policies and procedures. The Company therefore reserves the right to amend, alter or terminate this Policy at any time and for any reason, subject to applicable law. Unless otherwise permitted by this Policy, any amendments must be approved by the Company’s Board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Current Version of Policy</w:t>
      </w:r>
    </w:p>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A copy of the Company’s current policies regarding insider trading may be obtained by contacting the Compliance Officer.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Ancillary Documents</w:t>
      </w:r>
    </w:p>
    <w:p>
      <w:pPr>
        <w:spacing w:after="0" w:line="205"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2"/>
          <w:szCs w:val="22"/>
          <w:color w:val="auto"/>
        </w:rPr>
        <w:t xml:space="preserve">Attached as </w:t>
      </w:r>
      <w:r>
        <w:rPr>
          <w:rFonts w:ascii="Times New Roman" w:cs="Times New Roman" w:eastAsia="Times New Roman" w:hAnsi="Times New Roman"/>
          <w:sz w:val="22"/>
          <w:szCs w:val="22"/>
          <w:b w:val="1"/>
          <w:bCs w:val="1"/>
          <w:color w:val="auto"/>
        </w:rPr>
        <w:t>Schedule III</w:t>
      </w:r>
      <w:r>
        <w:rPr>
          <w:rFonts w:ascii="Times New Roman" w:cs="Times New Roman" w:eastAsia="Times New Roman" w:hAnsi="Times New Roman"/>
          <w:sz w:val="22"/>
          <w:szCs w:val="22"/>
          <w:color w:val="auto"/>
        </w:rPr>
        <w:t xml:space="preserve"> are forms of various ancillary documents that may be used from time to time in connection with the matters discussed in this Policy. The Compliance Officer may amend, alter, substitute or terminate any of these ancillary documents at any time and for any reason, subject to applicable law.</w:t>
      </w:r>
    </w:p>
    <w:p>
      <w:pPr>
        <w:spacing w:after="0" w:line="175" w:lineRule="exact"/>
        <w:rPr>
          <w:sz w:val="20"/>
          <w:szCs w:val="20"/>
          <w:color w:val="auto"/>
        </w:rPr>
      </w:pPr>
    </w:p>
    <w:p>
      <w:pPr>
        <w:jc w:val="center"/>
        <w:ind w:right="-19"/>
        <w:spacing w:after="0"/>
        <w:tabs>
          <w:tab w:leader="none" w:pos="260" w:val="left"/>
          <w:tab w:leader="none" w:pos="240" w:val="left"/>
        </w:tabs>
        <w:rPr>
          <w:sz w:val="20"/>
          <w:szCs w:val="20"/>
          <w:color w:val="auto"/>
        </w:rPr>
      </w:pPr>
      <w:r>
        <w:rPr>
          <w:rFonts w:ascii="Times New Roman" w:cs="Times New Roman" w:eastAsia="Times New Roman" w:hAnsi="Times New Roman"/>
          <w:sz w:val="22"/>
          <w:szCs w:val="22"/>
          <w:color w:val="auto"/>
        </w:rPr>
        <w:t>*</w:t>
        <w:tab/>
        <w:t>*</w:t>
        <w:tab/>
        <w:t>*</w:t>
      </w:r>
    </w:p>
    <w:p>
      <w:pPr>
        <w:spacing w:after="0" w:line="201" w:lineRule="exact"/>
        <w:rPr>
          <w:sz w:val="20"/>
          <w:szCs w:val="20"/>
          <w:color w:val="auto"/>
        </w:rPr>
      </w:pPr>
    </w:p>
    <w:p>
      <w:pPr>
        <w:jc w:val="both"/>
        <w:ind w:firstLine="374"/>
        <w:spacing w:after="0" w:line="236" w:lineRule="auto"/>
        <w:rPr>
          <w:sz w:val="20"/>
          <w:szCs w:val="20"/>
          <w:color w:val="auto"/>
        </w:rPr>
      </w:pPr>
      <w:r>
        <w:rPr>
          <w:rFonts w:ascii="Times New Roman" w:cs="Times New Roman" w:eastAsia="Times New Roman" w:hAnsi="Times New Roman"/>
          <w:sz w:val="22"/>
          <w:szCs w:val="22"/>
          <w:i w:val="1"/>
          <w:iCs w:val="1"/>
          <w:color w:val="auto"/>
        </w:rPr>
        <w:t>Nothing in this Insider Trading Policy creates or implies an employment contract or term of employment. Employment at the Company is employment at-will. Employment at-will may be terminated with or without cause and with or without notice at any time by the employee or the Company. Nothing in this Insider Trading Policy shall limit the right to terminate employment at-will. No employee of the Company has any authority to enter into any agreement for employment for a specified period of time or to make any agreement or representation contrary to the Company’s policy of employment at-will. Only the Chief Executive Officer of the Company has the authority to make any such agreement, which must be in writing.</w:t>
      </w:r>
    </w:p>
    <w:p>
      <w:pPr>
        <w:spacing w:after="0" w:line="177"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22"/>
          <w:szCs w:val="22"/>
          <w:i w:val="1"/>
          <w:iCs w:val="1"/>
          <w:color w:val="auto"/>
        </w:rPr>
        <w:t>The policies in this Insider Trading Policy do not constitute a complete list of Company policies or a complete list of the types of conduct that can result in discipline, up to and including discharge.</w:t>
      </w:r>
    </w:p>
    <w:p>
      <w:pPr>
        <w:spacing w:after="0" w:line="200" w:lineRule="exact"/>
        <w:rPr>
          <w:sz w:val="20"/>
          <w:szCs w:val="20"/>
          <w:color w:val="auto"/>
        </w:rPr>
      </w:pPr>
    </w:p>
    <w:p>
      <w:pPr>
        <w:spacing w:after="0" w:line="2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INDIVIDUALS SUBJECT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QUARTERLY BLACKOUT PERIODS</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All officers, directors, and</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employees.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INDIVIDUALS SUBJECT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PRE-CLEARANCE REQUIREMENTS</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All officers, directors, and</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employees.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FILENAME 6791195_3.docx</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 - 1</w:t>
            </w:r>
          </w:p>
        </w:tc>
      </w:tr>
      <w:tr>
        <w:trPr>
          <w:trHeight w:val="761"/>
        </w:trPr>
        <w:tc>
          <w:tcPr>
            <w:tcW w:w="1820" w:type="dxa"/>
            <w:vAlign w:val="bottom"/>
            <w:tcBorders>
              <w:bottom w:val="single" w:sz="8" w:color="9A9A9A"/>
            </w:tcBorders>
          </w:tcPr>
          <w:p>
            <w:pPr>
              <w:spacing w:after="0"/>
              <w:rPr>
                <w:sz w:val="24"/>
                <w:szCs w:val="24"/>
                <w:color w:val="auto"/>
              </w:rPr>
            </w:pPr>
          </w:p>
        </w:tc>
        <w:tc>
          <w:tcPr>
            <w:tcW w:w="9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7" w:name="page238"/>
    <w:bookmarkEnd w:id="237"/>
    <w:p>
      <w:pPr>
        <w:jc w:val="center"/>
        <w:ind w:right="-1120"/>
        <w:spacing w:after="0"/>
        <w:rPr>
          <w:sz w:val="20"/>
          <w:szCs w:val="20"/>
          <w:color w:val="auto"/>
        </w:rPr>
      </w:pPr>
      <w:r>
        <w:rPr>
          <w:rFonts w:ascii="Times New Roman" w:cs="Times New Roman" w:eastAsia="Times New Roman" w:hAnsi="Times New Roman"/>
          <w:sz w:val="20"/>
          <w:szCs w:val="20"/>
          <w:b w:val="1"/>
          <w:bCs w:val="1"/>
          <w:u w:val="single" w:color="auto"/>
          <w:color w:val="auto"/>
        </w:rPr>
        <w:t>SCHEDULE II</w:t>
      </w:r>
    </w:p>
    <w:p>
      <w:pPr>
        <w:spacing w:after="0" w:line="2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INDIVIDUALS SUBJECT TO</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SECTION 16 REPORTING AND LIABILITY PROVISIONS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Anish Bhatnagar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James Mackaness</w:t>
      </w:r>
    </w:p>
    <w:p>
      <w:pPr>
        <w:spacing w:after="0" w:line="238" w:lineRule="auto"/>
        <w:rPr>
          <w:sz w:val="20"/>
          <w:szCs w:val="20"/>
          <w:color w:val="auto"/>
        </w:rPr>
      </w:pPr>
      <w:r>
        <w:rPr>
          <w:rFonts w:ascii="Times New Roman" w:cs="Times New Roman" w:eastAsia="Times New Roman" w:hAnsi="Times New Roman"/>
          <w:sz w:val="20"/>
          <w:szCs w:val="20"/>
          <w:color w:val="auto"/>
        </w:rPr>
        <w:t>Raymond Urbanski</w:t>
      </w:r>
    </w:p>
    <w:p>
      <w:pPr>
        <w:spacing w:after="0"/>
        <w:rPr>
          <w:sz w:val="20"/>
          <w:szCs w:val="20"/>
          <w:color w:val="auto"/>
        </w:rPr>
      </w:pPr>
      <w:r>
        <w:rPr>
          <w:rFonts w:ascii="Times New Roman" w:cs="Times New Roman" w:eastAsia="Times New Roman" w:hAnsi="Times New Roman"/>
          <w:sz w:val="20"/>
          <w:szCs w:val="20"/>
          <w:color w:val="auto"/>
        </w:rPr>
        <w:t>Meredith Manning</w:t>
      </w:r>
    </w:p>
    <w:p>
      <w:pPr>
        <w:spacing w:after="0" w:line="238" w:lineRule="auto"/>
        <w:rPr>
          <w:sz w:val="20"/>
          <w:szCs w:val="20"/>
          <w:color w:val="auto"/>
        </w:rPr>
      </w:pPr>
      <w:r>
        <w:rPr>
          <w:rFonts w:ascii="Times New Roman" w:cs="Times New Roman" w:eastAsia="Times New Roman" w:hAnsi="Times New Roman"/>
          <w:sz w:val="20"/>
          <w:szCs w:val="20"/>
          <w:color w:val="auto"/>
        </w:rPr>
        <w:t>Michael Huang</w:t>
      </w:r>
    </w:p>
    <w:p>
      <w:pPr>
        <w:spacing w:after="0"/>
        <w:rPr>
          <w:sz w:val="20"/>
          <w:szCs w:val="20"/>
          <w:color w:val="auto"/>
        </w:rPr>
      </w:pPr>
      <w:r>
        <w:rPr>
          <w:rFonts w:ascii="Times New Roman" w:cs="Times New Roman" w:eastAsia="Times New Roman" w:hAnsi="Times New Roman"/>
          <w:sz w:val="20"/>
          <w:szCs w:val="20"/>
          <w:color w:val="auto"/>
        </w:rPr>
        <w:t>Patricia Hirano</w:t>
      </w:r>
    </w:p>
    <w:p>
      <w:pPr>
        <w:spacing w:after="0"/>
        <w:rPr>
          <w:sz w:val="20"/>
          <w:szCs w:val="20"/>
          <w:color w:val="auto"/>
        </w:rPr>
      </w:pPr>
      <w:r>
        <w:rPr>
          <w:rFonts w:ascii="Times New Roman" w:cs="Times New Roman" w:eastAsia="Times New Roman" w:hAnsi="Times New Roman"/>
          <w:sz w:val="20"/>
          <w:szCs w:val="20"/>
          <w:color w:val="auto"/>
        </w:rPr>
        <w:t>Kristen Yen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William Harris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Andrew Sinclair</w:t>
      </w:r>
    </w:p>
    <w:p>
      <w:pPr>
        <w:spacing w:after="0" w:line="238" w:lineRule="auto"/>
        <w:rPr>
          <w:sz w:val="20"/>
          <w:szCs w:val="20"/>
          <w:color w:val="auto"/>
        </w:rPr>
      </w:pPr>
      <w:r>
        <w:rPr>
          <w:rFonts w:ascii="Times New Roman" w:cs="Times New Roman" w:eastAsia="Times New Roman" w:hAnsi="Times New Roman"/>
          <w:sz w:val="20"/>
          <w:szCs w:val="20"/>
          <w:color w:val="auto"/>
        </w:rPr>
        <w:t>Birgitte Volck</w:t>
      </w:r>
    </w:p>
    <w:p>
      <w:pPr>
        <w:spacing w:after="0"/>
        <w:rPr>
          <w:sz w:val="20"/>
          <w:szCs w:val="20"/>
          <w:color w:val="auto"/>
        </w:rPr>
      </w:pPr>
      <w:r>
        <w:rPr>
          <w:rFonts w:ascii="Times New Roman" w:cs="Times New Roman" w:eastAsia="Times New Roman" w:hAnsi="Times New Roman"/>
          <w:sz w:val="20"/>
          <w:szCs w:val="20"/>
          <w:color w:val="auto"/>
        </w:rPr>
        <w:t>Matthew Pauls</w:t>
      </w:r>
    </w:p>
    <w:p>
      <w:pPr>
        <w:spacing w:after="0"/>
        <w:rPr>
          <w:sz w:val="20"/>
          <w:szCs w:val="20"/>
          <w:color w:val="auto"/>
        </w:rPr>
      </w:pPr>
      <w:r>
        <w:rPr>
          <w:rFonts w:ascii="Times New Roman" w:cs="Times New Roman" w:eastAsia="Times New Roman" w:hAnsi="Times New Roman"/>
          <w:sz w:val="20"/>
          <w:szCs w:val="20"/>
          <w:color w:val="auto"/>
        </w:rPr>
        <w:t>Dawn Carter</w:t>
      </w: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1960" w:val="left"/>
        </w:tabs>
        <w:rPr>
          <w:sz w:val="20"/>
          <w:szCs w:val="20"/>
          <w:color w:val="auto"/>
        </w:rPr>
      </w:pPr>
      <w:r>
        <w:rPr>
          <w:rFonts w:ascii="Times New Roman" w:cs="Times New Roman" w:eastAsia="Times New Roman" w:hAnsi="Times New Roman"/>
          <w:sz w:val="14"/>
          <w:szCs w:val="14"/>
          <w:color w:val="auto"/>
        </w:rPr>
        <w:t>FILENAME 6791195_3.docx</w:t>
      </w:r>
      <w:r>
        <w:rPr>
          <w:sz w:val="20"/>
          <w:szCs w:val="20"/>
          <w:color w:val="auto"/>
        </w:rPr>
        <w:tab/>
      </w:r>
      <w:r>
        <w:rPr>
          <w:rFonts w:ascii="Times New Roman" w:cs="Times New Roman" w:eastAsia="Times New Roman" w:hAnsi="Times New Roman"/>
          <w:sz w:val="17"/>
          <w:szCs w:val="17"/>
          <w:color w:val="auto"/>
        </w:rPr>
        <w:t>III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835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406" w:right="1440" w:bottom="1440" w:gutter="0" w:footer="0" w:header="0"/>
        </w:sectPr>
      </w:pPr>
    </w:p>
    <w:bookmarkStart w:id="238" w:name="page239"/>
    <w:bookmarkEnd w:id="238"/>
    <w:p>
      <w:pPr>
        <w:jc w:val="center"/>
        <w:ind w:right="-1060"/>
        <w:spacing w:after="0"/>
        <w:rPr>
          <w:sz w:val="20"/>
          <w:szCs w:val="20"/>
          <w:color w:val="auto"/>
        </w:rPr>
      </w:pPr>
      <w:r>
        <w:rPr>
          <w:rFonts w:ascii="Times New Roman" w:cs="Times New Roman" w:eastAsia="Times New Roman" w:hAnsi="Times New Roman"/>
          <w:sz w:val="22"/>
          <w:szCs w:val="22"/>
          <w:b w:val="1"/>
          <w:bCs w:val="1"/>
          <w:u w:val="single" w:color="auto"/>
          <w:color w:val="auto"/>
        </w:rPr>
        <w:t>SCHEDULE III</w:t>
      </w:r>
    </w:p>
    <w:p>
      <w:pPr>
        <w:spacing w:after="0" w:line="232"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u w:val="single" w:color="auto"/>
          <w:color w:val="auto"/>
        </w:rPr>
        <w:t>SOLENO THERAPEUTICS, INC.</w:t>
      </w:r>
    </w:p>
    <w:p>
      <w:pPr>
        <w:spacing w:after="0" w:line="232"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22"/>
          <w:szCs w:val="22"/>
          <w:b w:val="1"/>
          <w:bCs w:val="1"/>
          <w:u w:val="single" w:color="auto"/>
          <w:color w:val="auto"/>
        </w:rPr>
        <w:t>FORMS OF ANCILLARY DOCUMENTS UNDER THE POLICY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FILENAME 6791195_3.docx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430530</wp:posOffset>
            </wp:positionV>
            <wp:extent cx="715835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099"/>
          </w:cols>
          <w:pgMar w:left="360" w:top="1401" w:right="1440" w:bottom="1440" w:gutter="0" w:footer="0" w:header="0"/>
        </w:sectPr>
      </w:pPr>
    </w:p>
    <w:bookmarkStart w:id="239" w:name="page240"/>
    <w:bookmarkEnd w:id="239"/>
    <w:p>
      <w:pPr>
        <w:spacing w:after="0" w:line="147" w:lineRule="exact"/>
        <w:rPr>
          <w:sz w:val="20"/>
          <w:szCs w:val="20"/>
          <w:color w:val="auto"/>
        </w:rPr>
      </w:pPr>
    </w:p>
    <w:p>
      <w:pPr>
        <w:jc w:val="center"/>
        <w:ind w:right="60"/>
        <w:spacing w:after="0" w:line="253" w:lineRule="exact"/>
        <w:rPr>
          <w:sz w:val="20"/>
          <w:szCs w:val="20"/>
          <w:color w:val="auto"/>
        </w:rPr>
      </w:pPr>
      <w:r>
        <w:rPr>
          <w:rFonts w:ascii="Times New Roman" w:cs="Times New Roman" w:eastAsia="Times New Roman" w:hAnsi="Times New Roman"/>
          <w:sz w:val="22"/>
          <w:szCs w:val="22"/>
          <w:b w:val="1"/>
          <w:bCs w:val="1"/>
          <w:u w:val="single" w:color="auto"/>
          <w:color w:val="auto"/>
        </w:rPr>
        <w:t>INSIDER TRADING POLICY — PRE</w:t>
      </w:r>
      <w:r>
        <w:rPr>
          <w:rFonts w:ascii="MS PGothic" w:cs="MS PGothic" w:eastAsia="MS PGothic" w:hAnsi="MS PGothic"/>
          <w:sz w:val="22"/>
          <w:szCs w:val="22"/>
          <w:u w:val="single" w:color="auto"/>
          <w:color w:val="auto"/>
          <w:strike w:val="1"/>
        </w:rPr>
        <w:t>‑</w:t>
      </w:r>
      <w:r>
        <w:rPr>
          <w:rFonts w:ascii="Times New Roman" w:cs="Times New Roman" w:eastAsia="Times New Roman" w:hAnsi="Times New Roman"/>
          <w:sz w:val="22"/>
          <w:szCs w:val="22"/>
          <w:b w:val="1"/>
          <w:bCs w:val="1"/>
          <w:u w:val="single" w:color="auto"/>
          <w:color w:val="auto"/>
        </w:rPr>
        <w:t>CLEARANCE CHECKLIST</w:t>
      </w:r>
    </w:p>
    <w:p>
      <w:pPr>
        <w:spacing w:after="0" w:line="357"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20"/>
          <w:szCs w:val="20"/>
          <w:color w:val="auto"/>
        </w:rPr>
        <w:t>FORMCHECKBOX</w:t>
      </w:r>
      <w:r>
        <w:rPr>
          <w:sz w:val="20"/>
          <w:szCs w:val="20"/>
          <w:color w:val="auto"/>
        </w:rPr>
        <w:tab/>
      </w:r>
      <w:r>
        <w:rPr>
          <w:rFonts w:ascii="Times New Roman" w:cs="Times New Roman" w:eastAsia="Times New Roman" w:hAnsi="Times New Roman"/>
          <w:sz w:val="20"/>
          <w:szCs w:val="20"/>
          <w:b w:val="1"/>
          <w:bCs w:val="1"/>
          <w:color w:val="auto"/>
        </w:rPr>
        <w:t xml:space="preserve">No blackout period. </w:t>
      </w:r>
      <w:r>
        <w:rPr>
          <w:rFonts w:ascii="Times New Roman" w:cs="Times New Roman" w:eastAsia="Times New Roman" w:hAnsi="Times New Roman"/>
          <w:sz w:val="20"/>
          <w:szCs w:val="20"/>
          <w:color w:val="auto"/>
        </w:rPr>
        <w:t>The proposed trade will not be made during a quarterly or special blackout period.</w:t>
      </w:r>
    </w:p>
    <w:p>
      <w:pPr>
        <w:spacing w:after="0" w:line="120" w:lineRule="exact"/>
        <w:rPr>
          <w:sz w:val="20"/>
          <w:szCs w:val="20"/>
          <w:color w:val="auto"/>
        </w:rPr>
      </w:pPr>
    </w:p>
    <w:p>
      <w:pPr>
        <w:ind w:left="500" w:hanging="475"/>
        <w:spacing w:after="0" w:line="249" w:lineRule="auto"/>
        <w:rPr>
          <w:sz w:val="20"/>
          <w:szCs w:val="20"/>
          <w:color w:val="auto"/>
        </w:rPr>
      </w:pPr>
      <w:r>
        <w:rPr>
          <w:rFonts w:ascii="Times New Roman" w:cs="Times New Roman" w:eastAsia="Times New Roman" w:hAnsi="Times New Roman"/>
          <w:sz w:val="22"/>
          <w:szCs w:val="22"/>
          <w:color w:val="auto"/>
        </w:rPr>
        <w:t>FORMCHECKBOX</w:t>
      </w:r>
      <w:r>
        <w:rPr>
          <w:sz w:val="20"/>
          <w:szCs w:val="20"/>
          <w:color w:val="auto"/>
        </w:rPr>
        <w:t xml:space="preserve"> </w:t>
      </w:r>
      <w:r>
        <w:rPr>
          <w:rFonts w:ascii="Times New Roman" w:cs="Times New Roman" w:eastAsia="Times New Roman" w:hAnsi="Times New Roman"/>
          <w:sz w:val="22"/>
          <w:szCs w:val="22"/>
          <w:b w:val="1"/>
          <w:bCs w:val="1"/>
          <w:color w:val="auto"/>
        </w:rPr>
        <w:t xml:space="preserve">No pension fund blackout under Regulation BTR.* </w:t>
      </w:r>
      <w:r>
        <w:rPr>
          <w:rFonts w:ascii="Times New Roman" w:cs="Times New Roman" w:eastAsia="Times New Roman" w:hAnsi="Times New Roman"/>
          <w:sz w:val="22"/>
          <w:szCs w:val="22"/>
          <w:color w:val="auto"/>
        </w:rPr>
        <w:t>There is no pension fund blackout period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w:t>
      </w:r>
    </w:p>
    <w:p>
      <w:pPr>
        <w:spacing w:after="0" w:line="313" w:lineRule="exact"/>
        <w:rPr>
          <w:sz w:val="20"/>
          <w:szCs w:val="20"/>
          <w:color w:val="auto"/>
        </w:rPr>
      </w:pPr>
    </w:p>
    <w:p>
      <w:pPr>
        <w:ind w:left="500" w:hanging="493"/>
        <w:spacing w:after="0" w:line="259" w:lineRule="auto"/>
        <w:rPr>
          <w:sz w:val="20"/>
          <w:szCs w:val="20"/>
          <w:color w:val="auto"/>
        </w:rPr>
      </w:pPr>
      <w:r>
        <w:rPr>
          <w:rFonts w:ascii="Times New Roman" w:cs="Times New Roman" w:eastAsia="Times New Roman" w:hAnsi="Times New Roman"/>
          <w:sz w:val="22"/>
          <w:szCs w:val="22"/>
          <w:color w:val="auto"/>
        </w:rPr>
        <w:t>FORMCHECKBOX</w:t>
      </w:r>
      <w:r>
        <w:rPr>
          <w:sz w:val="20"/>
          <w:szCs w:val="20"/>
          <w:color w:val="auto"/>
        </w:rPr>
        <w:t xml:space="preserve"> </w:t>
      </w:r>
      <w:r>
        <w:rPr>
          <w:rFonts w:ascii="Times New Roman" w:cs="Times New Roman" w:eastAsia="Times New Roman" w:hAnsi="Times New Roman"/>
          <w:sz w:val="22"/>
          <w:szCs w:val="22"/>
          <w:b w:val="1"/>
          <w:bCs w:val="1"/>
          <w:color w:val="auto"/>
        </w:rPr>
        <w:t xml:space="preserve">No prohibition under Insider Trading Policy. </w:t>
      </w:r>
      <w:r>
        <w:rPr>
          <w:rFonts w:ascii="Times New Roman" w:cs="Times New Roman" w:eastAsia="Times New Roman" w:hAnsi="Times New Roman"/>
          <w:sz w:val="22"/>
          <w:szCs w:val="22"/>
          <w:color w:val="auto"/>
        </w:rPr>
        <w:t>The person confirmed that the proposed transaction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prohibited under the Insider Trading Policy.</w:t>
      </w:r>
    </w:p>
    <w:p>
      <w:pPr>
        <w:spacing w:after="0" w:line="47" w:lineRule="exact"/>
        <w:rPr>
          <w:sz w:val="20"/>
          <w:szCs w:val="20"/>
          <w:color w:val="auto"/>
        </w:rPr>
      </w:pPr>
    </w:p>
    <w:p>
      <w:pPr>
        <w:ind w:left="500" w:right="20" w:hanging="466"/>
        <w:spacing w:after="0" w:line="259" w:lineRule="auto"/>
        <w:rPr>
          <w:sz w:val="20"/>
          <w:szCs w:val="20"/>
          <w:color w:val="auto"/>
        </w:rPr>
      </w:pPr>
      <w:r>
        <w:rPr>
          <w:rFonts w:ascii="Times New Roman" w:cs="Times New Roman" w:eastAsia="Times New Roman" w:hAnsi="Times New Roman"/>
          <w:sz w:val="22"/>
          <w:szCs w:val="22"/>
          <w:color w:val="auto"/>
        </w:rPr>
        <w:t>FORMCHECKBOX</w:t>
      </w:r>
      <w:r>
        <w:rPr>
          <w:sz w:val="20"/>
          <w:szCs w:val="20"/>
          <w:color w:val="auto"/>
        </w:rPr>
        <w:t xml:space="preserve"> </w:t>
      </w:r>
      <w:r>
        <w:rPr>
          <w:rFonts w:ascii="Times New Roman" w:cs="Times New Roman" w:eastAsia="Times New Roman" w:hAnsi="Times New Roman"/>
          <w:sz w:val="22"/>
          <w:szCs w:val="22"/>
          <w:b w:val="1"/>
          <w:bCs w:val="1"/>
          <w:color w:val="auto"/>
        </w:rPr>
        <w:t xml:space="preserve">Section 16 compliance.* </w:t>
      </w:r>
      <w:r>
        <w:rPr>
          <w:rFonts w:ascii="Times New Roman" w:cs="Times New Roman" w:eastAsia="Times New Roman" w:hAnsi="Times New Roman"/>
          <w:sz w:val="22"/>
          <w:szCs w:val="22"/>
          <w:color w:val="auto"/>
        </w:rPr>
        <w:t>The person confirmed that the proposed trade will not give rise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potential liability under Section 16 as a result of matched past (or intended future) transactions.</w:t>
      </w:r>
    </w:p>
    <w:p>
      <w:pPr>
        <w:spacing w:after="0" w:line="47" w:lineRule="exact"/>
        <w:rPr>
          <w:sz w:val="20"/>
          <w:szCs w:val="20"/>
          <w:color w:val="auto"/>
        </w:rPr>
      </w:pPr>
    </w:p>
    <w:p>
      <w:pPr>
        <w:ind w:left="500" w:hanging="480"/>
        <w:spacing w:after="0" w:line="249" w:lineRule="auto"/>
        <w:rPr>
          <w:sz w:val="20"/>
          <w:szCs w:val="20"/>
          <w:color w:val="auto"/>
        </w:rPr>
      </w:pPr>
      <w:r>
        <w:rPr>
          <w:rFonts w:ascii="Times New Roman" w:cs="Times New Roman" w:eastAsia="Times New Roman" w:hAnsi="Times New Roman"/>
          <w:sz w:val="22"/>
          <w:szCs w:val="22"/>
          <w:color w:val="auto"/>
        </w:rPr>
        <w:t>FORMCHECKBOX</w:t>
      </w:r>
      <w:r>
        <w:rPr>
          <w:sz w:val="20"/>
          <w:szCs w:val="20"/>
          <w:color w:val="auto"/>
        </w:rPr>
        <w:t xml:space="preserve"> </w:t>
      </w:r>
      <w:r>
        <w:rPr>
          <w:rFonts w:ascii="Times New Roman" w:cs="Times New Roman" w:eastAsia="Times New Roman" w:hAnsi="Times New Roman"/>
          <w:sz w:val="22"/>
          <w:szCs w:val="22"/>
          <w:b w:val="1"/>
          <w:bCs w:val="1"/>
          <w:color w:val="auto"/>
        </w:rPr>
        <w:t xml:space="preserve">Form 4 filing.* </w:t>
      </w:r>
      <w:r>
        <w:rPr>
          <w:rFonts w:ascii="Times New Roman" w:cs="Times New Roman" w:eastAsia="Times New Roman" w:hAnsi="Times New Roman"/>
          <w:sz w:val="22"/>
          <w:szCs w:val="22"/>
          <w:color w:val="auto"/>
        </w:rPr>
        <w:t>A Form 4 has been or will be completed and will be timely filed with the SEC,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w:t>
      </w:r>
    </w:p>
    <w:p>
      <w:pPr>
        <w:spacing w:after="0" w:line="313"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22"/>
          <w:szCs w:val="22"/>
          <w:color w:val="auto"/>
        </w:rPr>
        <w:t>FORMCHECKBOX</w:t>
      </w:r>
      <w:r>
        <w:rPr>
          <w:sz w:val="20"/>
          <w:szCs w:val="20"/>
          <w:color w:val="auto"/>
        </w:rPr>
        <w:tab/>
      </w:r>
      <w:r>
        <w:rPr>
          <w:rFonts w:ascii="Times New Roman" w:cs="Times New Roman" w:eastAsia="Times New Roman" w:hAnsi="Times New Roman"/>
          <w:sz w:val="22"/>
          <w:szCs w:val="22"/>
          <w:b w:val="1"/>
          <w:bCs w:val="1"/>
          <w:color w:val="auto"/>
        </w:rPr>
        <w:t>Rule 144 compliance.</w:t>
      </w:r>
    </w:p>
    <w:p>
      <w:pPr>
        <w:sectPr>
          <w:pgSz w:w="11900" w:h="16838" w:orient="portrait"/>
          <w:cols w:equalWidth="0" w:num="1">
            <w:col w:w="11180"/>
          </w:cols>
          <w:pgMar w:left="380" w:top="1440" w:right="339" w:bottom="1440" w:gutter="0" w:footer="0" w:header="0"/>
        </w:sectPr>
      </w:pPr>
    </w:p>
    <w:p>
      <w:pPr>
        <w:spacing w:after="0" w:line="115" w:lineRule="exact"/>
        <w:rPr>
          <w:sz w:val="20"/>
          <w:szCs w:val="20"/>
          <w:color w:val="auto"/>
        </w:rPr>
      </w:pPr>
    </w:p>
    <w:p>
      <w:pPr>
        <w:ind w:left="1080" w:hanging="443"/>
        <w:spacing w:after="0" w:line="255" w:lineRule="auto"/>
        <w:rPr>
          <w:sz w:val="20"/>
          <w:szCs w:val="20"/>
          <w:color w:val="auto"/>
        </w:rPr>
      </w:pPr>
      <w:r>
        <w:rPr>
          <w:rFonts w:ascii="Times New Roman" w:cs="Times New Roman" w:eastAsia="Times New Roman" w:hAnsi="Times New Roman"/>
          <w:sz w:val="22"/>
          <w:szCs w:val="22"/>
          <w:color w:val="auto"/>
        </w:rPr>
        <w:t>FORMCHECKBOX</w:t>
      </w:r>
      <w:r>
        <w:rPr>
          <w:sz w:val="20"/>
          <w:szCs w:val="20"/>
          <w:color w:val="auto"/>
        </w:rPr>
        <w:t xml:space="preserve"> </w:t>
      </w:r>
      <w:r>
        <w:rPr>
          <w:rFonts w:ascii="Times New Roman" w:cs="Times New Roman" w:eastAsia="Times New Roman" w:hAnsi="Times New Roman"/>
          <w:sz w:val="22"/>
          <w:szCs w:val="22"/>
          <w:color w:val="auto"/>
        </w:rPr>
        <w:t>The “current public information” requirement has been met ( relevant reports during the last 12 months have been filed);</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all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Ks,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Qs and other</w:t>
      </w:r>
    </w:p>
    <w:p>
      <w:pPr>
        <w:spacing w:after="0" w:line="387" w:lineRule="exact"/>
        <w:rPr>
          <w:sz w:val="20"/>
          <w:szCs w:val="20"/>
          <w:color w:val="auto"/>
        </w:rPr>
      </w:pPr>
    </w:p>
    <w:p>
      <w:pPr>
        <w:sectPr>
          <w:pgSz w:w="11900" w:h="16838" w:orient="portrait"/>
          <w:cols w:equalWidth="0" w:num="2">
            <w:col w:w="8220" w:space="100"/>
            <w:col w:w="2860"/>
          </w:cols>
          <w:pgMar w:left="380" w:top="1440" w:right="339" w:bottom="1440" w:gutter="0" w:footer="0" w:header="0"/>
          <w:type w:val="continuous"/>
        </w:sectPr>
      </w:pPr>
    </w:p>
    <w:p>
      <w:pPr>
        <w:ind w:left="1080" w:right="100" w:hanging="446"/>
        <w:spacing w:after="0" w:line="255" w:lineRule="auto"/>
        <w:rPr>
          <w:sz w:val="20"/>
          <w:szCs w:val="20"/>
          <w:color w:val="auto"/>
        </w:rPr>
      </w:pPr>
      <w:r>
        <w:rPr>
          <w:rFonts w:ascii="Times New Roman" w:cs="Times New Roman" w:eastAsia="Times New Roman" w:hAnsi="Times New Roman"/>
          <w:sz w:val="22"/>
          <w:szCs w:val="22"/>
          <w:color w:val="auto"/>
        </w:rPr>
        <w:t>FORMCHECKBOX</w:t>
      </w:r>
      <w:r>
        <w:rPr>
          <w:sz w:val="20"/>
          <w:szCs w:val="20"/>
          <w:color w:val="auto"/>
        </w:rPr>
        <w:t xml:space="preserve"> </w:t>
      </w:r>
      <w:r>
        <w:rPr>
          <w:rFonts w:ascii="Times New Roman" w:cs="Times New Roman" w:eastAsia="Times New Roman" w:hAnsi="Times New Roman"/>
          <w:sz w:val="22"/>
          <w:szCs w:val="22"/>
          <w:color w:val="auto"/>
        </w:rPr>
        <w:t>The shares that the person proposes to trade are not restricted or, if restricted, the applicable holding period has been met;</w:t>
      </w:r>
    </w:p>
    <w:p>
      <w:pPr>
        <w:spacing w:after="0" w:line="55" w:lineRule="exact"/>
        <w:rPr>
          <w:sz w:val="20"/>
          <w:szCs w:val="20"/>
          <w:color w:val="auto"/>
        </w:rPr>
      </w:pPr>
    </w:p>
    <w:p>
      <w:pPr>
        <w:ind w:left="620"/>
        <w:spacing w:after="0"/>
        <w:tabs>
          <w:tab w:leader="none" w:pos="2680" w:val="left"/>
        </w:tabs>
        <w:rPr>
          <w:sz w:val="20"/>
          <w:szCs w:val="20"/>
          <w:color w:val="auto"/>
        </w:rPr>
      </w:pPr>
      <w:r>
        <w:rPr>
          <w:rFonts w:ascii="Times New Roman" w:cs="Times New Roman" w:eastAsia="Times New Roman" w:hAnsi="Times New Roman"/>
          <w:sz w:val="22"/>
          <w:szCs w:val="22"/>
          <w:color w:val="auto"/>
        </w:rPr>
        <w:t>FORMCHECKBOX</w:t>
        <w:tab/>
        <w:t>Volume limitations (greater of 1% of outstanding securities of the same class or the average</w:t>
      </w:r>
    </w:p>
    <w:p>
      <w:pPr>
        <w:sectPr>
          <w:pgSz w:w="11900" w:h="16838" w:orient="portrait"/>
          <w:cols w:equalWidth="0" w:num="1">
            <w:col w:w="11180"/>
          </w:cols>
          <w:pgMar w:left="380" w:top="1440" w:right="339" w:bottom="1440" w:gutter="0" w:footer="0" w:header="0"/>
          <w:type w:val="continuous"/>
        </w:sectPr>
      </w:pPr>
    </w:p>
    <w:p>
      <w:pPr>
        <w:spacing w:after="0" w:line="27" w:lineRule="exact"/>
        <w:rPr>
          <w:sz w:val="20"/>
          <w:szCs w:val="20"/>
          <w:color w:val="auto"/>
        </w:rPr>
      </w:pPr>
    </w:p>
    <w:p>
      <w:pPr>
        <w:ind w:left="1080"/>
        <w:spacing w:after="0" w:line="229" w:lineRule="auto"/>
        <w:rPr>
          <w:sz w:val="20"/>
          <w:szCs w:val="20"/>
          <w:color w:val="auto"/>
        </w:rPr>
      </w:pPr>
      <w:r>
        <w:rPr>
          <w:rFonts w:ascii="Times New Roman" w:cs="Times New Roman" w:eastAsia="Times New Roman" w:hAnsi="Times New Roman"/>
          <w:sz w:val="22"/>
          <w:szCs w:val="22"/>
          <w:color w:val="auto"/>
        </w:rPr>
        <w:t>weekly trading volume during the last four weeks) are not exceeded, and the person is not part of an aggregated group;</w:t>
      </w:r>
    </w:p>
    <w:p>
      <w:pPr>
        <w:spacing w:after="0" w:line="72" w:lineRule="exact"/>
        <w:rPr>
          <w:sz w:val="20"/>
          <w:szCs w:val="20"/>
          <w:color w:val="auto"/>
        </w:rPr>
      </w:pPr>
    </w:p>
    <w:p>
      <w:pPr>
        <w:ind w:left="1080" w:right="40" w:hanging="463"/>
        <w:spacing w:after="0" w:line="255" w:lineRule="auto"/>
        <w:rPr>
          <w:sz w:val="20"/>
          <w:szCs w:val="20"/>
          <w:color w:val="auto"/>
        </w:rPr>
      </w:pPr>
      <w:r>
        <w:rPr>
          <w:rFonts w:ascii="Times New Roman" w:cs="Times New Roman" w:eastAsia="Times New Roman" w:hAnsi="Times New Roman"/>
          <w:sz w:val="22"/>
          <w:szCs w:val="22"/>
          <w:color w:val="auto"/>
        </w:rPr>
        <w:t>FORMCHECKBOX</w:t>
      </w:r>
      <w:r>
        <w:rPr>
          <w:sz w:val="20"/>
          <w:szCs w:val="20"/>
          <w:color w:val="auto"/>
        </w:rPr>
        <w:t xml:space="preserve"> </w:t>
      </w:r>
      <w:r>
        <w:rPr>
          <w:rFonts w:ascii="Times New Roman" w:cs="Times New Roman" w:eastAsia="Times New Roman" w:hAnsi="Times New Roman"/>
          <w:sz w:val="22"/>
          <w:szCs w:val="22"/>
          <w:color w:val="auto"/>
        </w:rPr>
        <w:t>The manner of sale requirements will be met (a “broker’s transaction” or directly with a market maker or a “riskless principal transaction”); and</w:t>
      </w:r>
    </w:p>
    <w:p>
      <w:pPr>
        <w:sectPr>
          <w:pgSz w:w="11900" w:h="16838" w:orient="portrait"/>
          <w:cols w:equalWidth="0" w:num="1">
            <w:col w:w="11180"/>
          </w:cols>
          <w:pgMar w:left="380" w:top="1440" w:right="339" w:bottom="1440" w:gutter="0" w:footer="0" w:header="0"/>
          <w:type w:val="continuous"/>
        </w:sectPr>
      </w:pPr>
    </w:p>
    <w:p>
      <w:pPr>
        <w:spacing w:after="0" w:line="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FORMCHECKBOX</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Form 144 has been completed and will be timely filed with the SEC.</w:t>
      </w:r>
    </w:p>
    <w:p>
      <w:pPr>
        <w:spacing w:after="0" w:line="86" w:lineRule="exact"/>
        <w:rPr>
          <w:sz w:val="20"/>
          <w:szCs w:val="20"/>
          <w:color w:val="auto"/>
        </w:rPr>
      </w:pPr>
    </w:p>
    <w:p>
      <w:pPr>
        <w:sectPr>
          <w:pgSz w:w="11900" w:h="16838" w:orient="portrait"/>
          <w:cols w:equalWidth="0" w:num="2">
            <w:col w:w="2380" w:space="320"/>
            <w:col w:w="8480"/>
          </w:cols>
          <w:pgMar w:left="380" w:top="1440" w:right="339" w:bottom="1440" w:gutter="0" w:footer="0" w:header="0"/>
          <w:type w:val="continuous"/>
        </w:sectPr>
      </w:pPr>
    </w:p>
    <w:p>
      <w:pPr>
        <w:jc w:val="both"/>
        <w:ind w:left="500" w:hanging="489"/>
        <w:spacing w:after="0" w:line="264" w:lineRule="exact"/>
        <w:rPr>
          <w:sz w:val="20"/>
          <w:szCs w:val="20"/>
          <w:color w:val="auto"/>
        </w:rPr>
      </w:pPr>
      <w:r>
        <w:rPr>
          <w:rFonts w:ascii="Times New Roman" w:cs="Times New Roman" w:eastAsia="Times New Roman" w:hAnsi="Times New Roman"/>
          <w:sz w:val="22"/>
          <w:szCs w:val="22"/>
          <w:color w:val="auto"/>
        </w:rPr>
        <w:t>FORMCHECKBOX</w:t>
      </w:r>
      <w:r>
        <w:rPr>
          <w:sz w:val="20"/>
          <w:szCs w:val="20"/>
          <w:color w:val="auto"/>
        </w:rPr>
        <w:t xml:space="preserve"> </w:t>
      </w:r>
      <w:r>
        <w:rPr>
          <w:rFonts w:ascii="Times New Roman" w:cs="Times New Roman" w:eastAsia="Times New Roman" w:hAnsi="Times New Roman"/>
          <w:sz w:val="22"/>
          <w:szCs w:val="22"/>
          <w:b w:val="1"/>
          <w:bCs w:val="1"/>
          <w:color w:val="auto"/>
        </w:rPr>
        <w:t>Rule 10b</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 xml:space="preserve">5 concerns. </w:t>
      </w:r>
      <w:r>
        <w:rPr>
          <w:rFonts w:ascii="Times New Roman" w:cs="Times New Roman" w:eastAsia="Times New Roman" w:hAnsi="Times New Roman"/>
          <w:sz w:val="22"/>
          <w:szCs w:val="22"/>
          <w:color w:val="auto"/>
        </w:rPr>
        <w:t>The person has been reminded that trading is prohibited when in possession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material nonpublic information regarding the Company that has not been adequately disclosed to the public. The individual has discussed with the Compliance Officer any information known to the individual or the Compliance Officer that the individual believes may be material.</w:t>
      </w:r>
    </w:p>
    <w:p>
      <w:pPr>
        <w:spacing w:after="0" w:line="310" w:lineRule="exact"/>
        <w:rPr>
          <w:sz w:val="20"/>
          <w:szCs w:val="20"/>
          <w:color w:val="auto"/>
        </w:rPr>
      </w:pPr>
    </w:p>
    <w:p>
      <w:pPr>
        <w:ind w:left="840" w:hanging="154"/>
        <w:spacing w:after="0"/>
        <w:tabs>
          <w:tab w:leader="none" w:pos="840" w:val="left"/>
        </w:tabs>
        <w:numPr>
          <w:ilvl w:val="0"/>
          <w:numId w:val="17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i w:val="1"/>
          <w:iCs w:val="1"/>
          <w:color w:val="auto"/>
        </w:rPr>
        <w:t>Applies if the individual is a director or an officer subject to Section 16 of the Securities Exchange Act of 1934.</w:t>
      </w: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437515</wp:posOffset>
            </wp:positionV>
            <wp:extent cx="715835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80" w:top="1440" w:right="339" w:bottom="1440" w:gutter="0" w:footer="0" w:header="0"/>
          <w:type w:val="continuous"/>
        </w:sectPr>
      </w:pPr>
    </w:p>
    <w:bookmarkStart w:id="240" w:name="page241"/>
    <w:bookmarkEnd w:id="240"/>
    <w:p>
      <w:pPr>
        <w:spacing w:after="0" w:line="2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 am not aware of material nonpublic information regarding the Company. I am not trading on the basis of any material nonpublic information. The transaction is in accordance with the Insider Trading Policy and applicable law. I intend to comply with any applicable reporting and disclosure requirements on a timely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3333115</wp:posOffset>
            </wp:positionH>
            <wp:positionV relativeFrom="paragraph">
              <wp:posOffset>245110</wp:posOffset>
            </wp:positionV>
            <wp:extent cx="50165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0">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380"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of person proposing to trade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437515</wp:posOffset>
            </wp:positionV>
            <wp:extent cx="715835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M E M O R A N D U 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To: </w:t>
      </w:r>
      <w:r>
        <w:rPr>
          <w:rFonts w:ascii="Times New Roman" w:cs="Times New Roman" w:eastAsia="Times New Roman" w:hAnsi="Times New Roman"/>
          <w:sz w:val="20"/>
          <w:szCs w:val="20"/>
          <w:color w:val="auto"/>
        </w:rPr>
        <w:t>All directors, officers, employees, consultants, contractors and other agents of Soleno Therapeutics, Inc.</w:t>
      </w:r>
    </w:p>
    <w:p>
      <w:pPr>
        <w:spacing w:after="0" w:line="21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From:</w:t>
      </w:r>
      <w:r>
        <w:rPr>
          <w:sz w:val="20"/>
          <w:szCs w:val="20"/>
          <w:color w:val="auto"/>
        </w:rPr>
        <w:tab/>
      </w:r>
      <w:r>
        <w:rPr>
          <w:rFonts w:ascii="Times New Roman" w:cs="Times New Roman" w:eastAsia="Times New Roman" w:hAnsi="Times New Roman"/>
          <w:sz w:val="20"/>
          <w:szCs w:val="20"/>
          <w:color w:val="auto"/>
        </w:rPr>
        <w:t>Soleno Therapeutics, Inc.</w:t>
      </w:r>
    </w:p>
    <w:p>
      <w:pPr>
        <w:spacing w:after="0" w:line="21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Date:</w:t>
      </w:r>
      <w:r>
        <w:rPr>
          <w:sz w:val="20"/>
          <w:szCs w:val="20"/>
          <w:color w:val="auto"/>
        </w:rPr>
        <w:tab/>
      </w:r>
      <w:r>
        <w:rPr>
          <w:rFonts w:ascii="Times New Roman" w:cs="Times New Roman" w:eastAsia="Times New Roman" w:hAnsi="Times New Roman"/>
          <w:sz w:val="20"/>
          <w:szCs w:val="20"/>
          <w:color w:val="auto"/>
        </w:rPr>
        <w:t>_______________,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9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0"/>
          <w:szCs w:val="20"/>
          <w:color w:val="auto"/>
        </w:rPr>
        <w:t>Attached is a copy of our policy with respect to transactions involving company securities by our directors, officers, employees and agents (including consultants and contractors). As described in the policy, violations of insider trading laws can result in significant civil and criminal liability. Accordingly, please carefully review the materials provided.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After reading the policy, please sign the receipt and acknowledgement at the bottom of this memorandum and return it to the CEO.</w:t>
      </w:r>
    </w:p>
    <w:p>
      <w:pPr>
        <w:spacing w:after="0" w:line="21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If you have any questions about the policy or insider trading laws generally or about any transaction involving the securities of the company, please contact the Compliance Officer at jmackaness@soleno.life.</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Attachment(s)</w:t>
      </w:r>
    </w:p>
    <w:p>
      <w:pPr>
        <w:spacing w:after="0" w:line="200" w:lineRule="exact"/>
        <w:rPr>
          <w:sz w:val="20"/>
          <w:szCs w:val="20"/>
          <w:color w:val="auto"/>
        </w:rPr>
      </w:pPr>
    </w:p>
    <w:p>
      <w:pPr>
        <w:spacing w:after="0" w:line="2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437515</wp:posOffset>
            </wp:positionV>
            <wp:extent cx="715835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42" w:name="page243"/>
    <w:bookmarkEnd w:id="242"/>
    <w:p>
      <w:pPr>
        <w:spacing w:after="0" w:line="2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Receipt and Acknowledgement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 have received and read the Insider Trading Policy.</w:t>
      </w:r>
    </w:p>
    <w:p>
      <w:pPr>
        <w:spacing w:after="0" w:line="106" w:lineRule="exact"/>
        <w:rPr>
          <w:sz w:val="20"/>
          <w:szCs w:val="20"/>
          <w:color w:val="auto"/>
        </w:rPr>
      </w:pPr>
    </w:p>
    <w:p>
      <w:pPr>
        <w:ind w:left="800"/>
        <w:spacing w:after="0" w:line="351" w:lineRule="auto"/>
        <w:rPr>
          <w:sz w:val="20"/>
          <w:szCs w:val="20"/>
          <w:color w:val="auto"/>
        </w:rPr>
      </w:pPr>
      <w:r>
        <w:rPr>
          <w:rFonts w:ascii="Times New Roman" w:cs="Times New Roman" w:eastAsia="Times New Roman" w:hAnsi="Times New Roman"/>
          <w:sz w:val="20"/>
          <w:szCs w:val="20"/>
          <w:color w:val="auto"/>
        </w:rPr>
        <w:t>I have received satisfactory answers to any questions that I had regarding the Insider Trading Policy and insider trading in general. I understand and agree to comply with the Insider Trading Policy.</w:t>
      </w:r>
    </w:p>
    <w:p>
      <w:pPr>
        <w:ind w:left="760" w:right="340" w:firstLine="34"/>
        <w:spacing w:after="0" w:line="268" w:lineRule="auto"/>
        <w:rPr>
          <w:sz w:val="20"/>
          <w:szCs w:val="20"/>
          <w:color w:val="auto"/>
        </w:rPr>
      </w:pPr>
      <w:r>
        <w:rPr>
          <w:rFonts w:ascii="Times New Roman" w:cs="Times New Roman" w:eastAsia="Times New Roman" w:hAnsi="Times New Roman"/>
          <w:sz w:val="20"/>
          <w:szCs w:val="20"/>
          <w:color w:val="auto"/>
        </w:rPr>
        <w:t>I understand that my failure to comply in all respects with the Insider Trading Policy is a basis for termination for cause of my employment or other service relationship with the company as well as any other appropriate discipline.</w:t>
      </w:r>
    </w:p>
    <w:p>
      <w:pPr>
        <w:spacing w:after="0" w:line="52" w:lineRule="exact"/>
        <w:rPr>
          <w:sz w:val="20"/>
          <w:szCs w:val="20"/>
          <w:color w:val="auto"/>
        </w:rPr>
      </w:pPr>
    </w:p>
    <w:p>
      <w:pPr>
        <w:ind w:left="760" w:firstLine="34"/>
        <w:spacing w:after="0" w:line="268" w:lineRule="auto"/>
        <w:rPr>
          <w:sz w:val="20"/>
          <w:szCs w:val="20"/>
          <w:color w:val="auto"/>
        </w:rPr>
      </w:pPr>
      <w:r>
        <w:rPr>
          <w:rFonts w:ascii="Times New Roman" w:cs="Times New Roman" w:eastAsia="Times New Roman" w:hAnsi="Times New Roman"/>
          <w:sz w:val="20"/>
          <w:szCs w:val="20"/>
          <w:color w:val="auto"/>
        </w:rPr>
        <w:t>I understand and agree that the company may give stop transfer and other instructions to the company’s transfer agent with respect to transactions that the company considers to be in contravention of the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12534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4">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50165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5">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 Name</w:t>
      </w:r>
    </w:p>
    <w:p>
      <w:pPr>
        <w:spacing w:after="0" w:line="200" w:lineRule="exact"/>
        <w:rPr>
          <w:sz w:val="20"/>
          <w:szCs w:val="20"/>
          <w:color w:val="auto"/>
        </w:rPr>
      </w:pPr>
    </w:p>
    <w:p>
      <w:pPr>
        <w:spacing w:after="0" w:line="2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437515</wp:posOffset>
            </wp:positionV>
            <wp:extent cx="715835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43" w:name="page244"/>
    <w:bookmarkEnd w:id="243"/>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Form of special blackout notification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insert date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CONFIDENTIAL COMMUNICATION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Soleno Therapeutics,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w:t>
      </w:r>
      <w:r>
        <w:rPr>
          <w:rFonts w:ascii="Times New Roman" w:cs="Times New Roman" w:eastAsia="Times New Roman" w:hAnsi="Times New Roman"/>
          <w:sz w:val="20"/>
          <w:szCs w:val="20"/>
          <w:i w:val="1"/>
          <w:iCs w:val="1"/>
          <w:color w:val="auto"/>
        </w:rPr>
        <w:t>insert name</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Soleno Therapeutics,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imposed a special blackout period in accordance with the terms of the Company’s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Pursuant to the Policy, and subject to the exceptions stated in the Policy, you may not engage in any transaction involving the securities of the Company until you receive official notice that the special blackout period is no longer in effect.</w:t>
      </w:r>
    </w:p>
    <w:p>
      <w:pPr>
        <w:spacing w:after="0" w:line="17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You may not disclose to others the fact that a special blackout period has been imposed. In addition, you should take care to handle any confidential information in your possession in accordance with the Company’s policies.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you have any questions at all, please contact me at [phone number].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FILENAME 6791195_3.docx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835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22"/>
          <w:szCs w:val="22"/>
          <w:b w:val="1"/>
          <w:bCs w:val="1"/>
          <w:color w:val="auto"/>
        </w:rPr>
        <w:t>SOLENO THERAPEUTICS,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REQUIREMENTS FOR TRADING PLANS</w:t>
      </w:r>
    </w:p>
    <w:p>
      <w:pPr>
        <w:spacing w:after="0" w:line="181" w:lineRule="exact"/>
        <w:rPr>
          <w:sz w:val="20"/>
          <w:szCs w:val="20"/>
          <w:color w:val="auto"/>
        </w:rPr>
      </w:pPr>
    </w:p>
    <w:p>
      <w:pPr>
        <w:jc w:val="both"/>
        <w:ind w:firstLine="374"/>
        <w:spacing w:after="0" w:line="264" w:lineRule="exact"/>
        <w:rPr>
          <w:sz w:val="20"/>
          <w:szCs w:val="20"/>
          <w:color w:val="auto"/>
        </w:rPr>
      </w:pPr>
      <w:r>
        <w:rPr>
          <w:rFonts w:ascii="Times New Roman" w:cs="Times New Roman" w:eastAsia="Times New Roman" w:hAnsi="Times New Roman"/>
          <w:sz w:val="22"/>
          <w:szCs w:val="22"/>
          <w:color w:val="auto"/>
        </w:rPr>
        <w:t>For transactions under a trading plan to be exempt from (i) the prohibitions in the Company’s Insider Trading Policy with respect to transactions made while aware of material nonpublic information and (ii) the pre-clearance procedures and blackout periods established under the Insider Trading Policy, the trading plan must comply with the affirmative defense set forth in Exchange Act 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and must meet the following requirements:</w:t>
      </w:r>
    </w:p>
    <w:p>
      <w:pPr>
        <w:spacing w:after="0" w:line="145" w:lineRule="exact"/>
        <w:rPr>
          <w:sz w:val="20"/>
          <w:szCs w:val="20"/>
          <w:color w:val="auto"/>
        </w:rPr>
      </w:pPr>
    </w:p>
    <w:p>
      <w:pPr>
        <w:jc w:val="both"/>
        <w:ind w:left="760" w:hanging="365"/>
        <w:spacing w:after="0" w:line="242" w:lineRule="auto"/>
        <w:tabs>
          <w:tab w:leader="none" w:pos="83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be in writing and signed by the person adopting the trading plan. The person adopting the trading plan may not have an outstanding (and may not subsequently enter into any additional) trading plan except as permitted by Rule 10b5-1.</w:t>
      </w:r>
    </w:p>
    <w:p>
      <w:pPr>
        <w:spacing w:after="0" w:line="177" w:lineRule="exact"/>
        <w:rPr>
          <w:rFonts w:ascii="Times New Roman" w:cs="Times New Roman" w:eastAsia="Times New Roman" w:hAnsi="Times New Roman"/>
          <w:sz w:val="22"/>
          <w:szCs w:val="22"/>
          <w:color w:val="auto"/>
        </w:rPr>
      </w:pPr>
    </w:p>
    <w:p>
      <w:pPr>
        <w:ind w:left="820" w:hanging="425"/>
        <w:spacing w:after="0"/>
        <w:tabs>
          <w:tab w:leader="none" w:pos="82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be adopted at a time when:</w:t>
      </w:r>
    </w:p>
    <w:p>
      <w:pPr>
        <w:spacing w:after="0" w:line="97" w:lineRule="exact"/>
        <w:rPr>
          <w:rFonts w:ascii="Times New Roman" w:cs="Times New Roman" w:eastAsia="Times New Roman" w:hAnsi="Times New Roman"/>
          <w:sz w:val="22"/>
          <w:szCs w:val="22"/>
          <w:color w:val="auto"/>
        </w:rPr>
      </w:pPr>
    </w:p>
    <w:p>
      <w:pPr>
        <w:ind w:left="11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adopting the trading plan is not aware of any material nonpublic information; and</w:t>
      </w:r>
    </w:p>
    <w:p>
      <w:pPr>
        <w:spacing w:after="0" w:line="97" w:lineRule="exact"/>
        <w:rPr>
          <w:rFonts w:ascii="Times New Roman" w:cs="Times New Roman" w:eastAsia="Times New Roman" w:hAnsi="Times New Roman"/>
          <w:sz w:val="22"/>
          <w:szCs w:val="22"/>
          <w:color w:val="auto"/>
        </w:rPr>
      </w:pPr>
    </w:p>
    <w:p>
      <w:pPr>
        <w:ind w:left="11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quarterly, special or other trading blackout in effect with respect to the person adopting the plan.</w:t>
      </w:r>
    </w:p>
    <w:p>
      <w:pPr>
        <w:spacing w:after="0" w:line="204" w:lineRule="exact"/>
        <w:rPr>
          <w:rFonts w:ascii="Times New Roman" w:cs="Times New Roman" w:eastAsia="Times New Roman" w:hAnsi="Times New Roman"/>
          <w:sz w:val="22"/>
          <w:szCs w:val="22"/>
          <w:color w:val="auto"/>
        </w:rPr>
      </w:pPr>
    </w:p>
    <w:p>
      <w:pPr>
        <w:ind w:left="760" w:right="20" w:hanging="365"/>
        <w:spacing w:after="0" w:line="285" w:lineRule="exact"/>
        <w:tabs>
          <w:tab w:leader="none" w:pos="83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be entered in good faith and not as part of a plan or scheme to evade the prohibitions of 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and the person adopting the trading plan must act in good faith with respect to the trading plan.</w:t>
      </w:r>
    </w:p>
    <w:p>
      <w:pPr>
        <w:spacing w:after="0" w:line="144" w:lineRule="exact"/>
        <w:rPr>
          <w:rFonts w:ascii="Times New Roman" w:cs="Times New Roman" w:eastAsia="Times New Roman" w:hAnsi="Times New Roman"/>
          <w:sz w:val="22"/>
          <w:szCs w:val="22"/>
          <w:color w:val="auto"/>
        </w:rPr>
      </w:pPr>
    </w:p>
    <w:p>
      <w:pPr>
        <w:ind w:left="760" w:right="20" w:hanging="365"/>
        <w:spacing w:after="0" w:line="255" w:lineRule="auto"/>
        <w:tabs>
          <w:tab w:leader="none" w:pos="83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include representations that, on the date of adoption of the trading plan, the person adopting the trading plan:</w:t>
      </w:r>
    </w:p>
    <w:p>
      <w:pPr>
        <w:spacing w:after="0" w:line="162" w:lineRule="exact"/>
        <w:rPr>
          <w:rFonts w:ascii="Times New Roman" w:cs="Times New Roman" w:eastAsia="Times New Roman" w:hAnsi="Times New Roman"/>
          <w:sz w:val="22"/>
          <w:szCs w:val="22"/>
          <w:color w:val="auto"/>
        </w:rPr>
      </w:pPr>
    </w:p>
    <w:p>
      <w:pPr>
        <w:ind w:left="11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aware of material nonpublic information about the securities or the Company; and</w:t>
      </w:r>
    </w:p>
    <w:p>
      <w:pPr>
        <w:spacing w:after="0" w:line="204" w:lineRule="exact"/>
        <w:rPr>
          <w:rFonts w:ascii="Times New Roman" w:cs="Times New Roman" w:eastAsia="Times New Roman" w:hAnsi="Times New Roman"/>
          <w:sz w:val="22"/>
          <w:szCs w:val="22"/>
          <w:color w:val="auto"/>
        </w:rPr>
      </w:pPr>
    </w:p>
    <w:p>
      <w:pPr>
        <w:ind w:left="1500" w:firstLine="57"/>
        <w:spacing w:after="0" w:line="25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adopting the trading plan in good faith and not as part of a plan or scheme to evade the prohibitions of Rule 10b5-1.</w:t>
      </w:r>
    </w:p>
    <w:p>
      <w:pPr>
        <w:spacing w:after="0" w:line="162" w:lineRule="exact"/>
        <w:rPr>
          <w:rFonts w:ascii="Times New Roman" w:cs="Times New Roman" w:eastAsia="Times New Roman" w:hAnsi="Times New Roman"/>
          <w:sz w:val="22"/>
          <w:szCs w:val="22"/>
          <w:color w:val="auto"/>
        </w:rPr>
      </w:pPr>
    </w:p>
    <w:p>
      <w:pPr>
        <w:jc w:val="both"/>
        <w:ind w:left="760" w:hanging="365"/>
        <w:spacing w:after="0" w:line="242" w:lineRule="auto"/>
        <w:tabs>
          <w:tab w:leader="none" w:pos="83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 Subject to Section 8, an individual may conduct transactions with respect to securities not subject to a trading plan.</w:t>
      </w:r>
    </w:p>
    <w:p>
      <w:pPr>
        <w:spacing w:after="0" w:line="178" w:lineRule="exact"/>
        <w:rPr>
          <w:rFonts w:ascii="Times New Roman" w:cs="Times New Roman" w:eastAsia="Times New Roman" w:hAnsi="Times New Roman"/>
          <w:sz w:val="22"/>
          <w:szCs w:val="22"/>
          <w:color w:val="auto"/>
        </w:rPr>
      </w:pPr>
    </w:p>
    <w:p>
      <w:pPr>
        <w:jc w:val="both"/>
        <w:ind w:left="760" w:hanging="365"/>
        <w:spacing w:after="0" w:line="237" w:lineRule="auto"/>
        <w:tabs>
          <w:tab w:leader="none" w:pos="83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trade under the trading plan for directors and officers (as defined in Rule 16a-1(f) of the Securities Exchange Act of 1934, as amended) may not occur until after the expiration of a cooling-off period consisting of the later of (a) 90 calendar days after the adoption of the trading plan and (b) two business days after the filing by the Company of its financial results in a Form 10-Q or Form 10-K for the completed fiscal quarter in which the trading plan was adopted (but, in any event, this required cooling-off period is subject to a maximum of 120 days after the</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245" w:name="page246"/>
    <w:bookmarkEnd w:id="245"/>
    <w:p>
      <w:pPr>
        <w:spacing w:after="0" w:line="181" w:lineRule="exact"/>
        <w:rPr>
          <w:sz w:val="20"/>
          <w:szCs w:val="20"/>
          <w:color w:val="auto"/>
        </w:rPr>
      </w:pPr>
    </w:p>
    <w:p>
      <w:pPr>
        <w:jc w:val="both"/>
        <w:ind w:left="365"/>
        <w:spacing w:after="0" w:line="242" w:lineRule="auto"/>
        <w:rPr>
          <w:sz w:val="20"/>
          <w:szCs w:val="20"/>
          <w:color w:val="auto"/>
        </w:rPr>
      </w:pPr>
      <w:r>
        <w:rPr>
          <w:rFonts w:ascii="Times New Roman" w:cs="Times New Roman" w:eastAsia="Times New Roman" w:hAnsi="Times New Roman"/>
          <w:sz w:val="22"/>
          <w:szCs w:val="22"/>
          <w:color w:val="auto"/>
        </w:rPr>
        <w:t>adoption of the trading plan). The first trade under the trading plan for all other persons (other than the Company) may not occur until the expiration of a cooling-off period that is 30 calendar days after adoption of the trading plan. The trading plan must have a minimum term of six months (starting from the date of adoption of the trading plan).</w:t>
      </w:r>
    </w:p>
    <w:p>
      <w:pPr>
        <w:spacing w:after="0" w:line="178" w:lineRule="exact"/>
        <w:rPr>
          <w:sz w:val="20"/>
          <w:szCs w:val="20"/>
          <w:color w:val="auto"/>
        </w:rPr>
      </w:pPr>
    </w:p>
    <w:p>
      <w:pPr>
        <w:jc w:val="both"/>
        <w:ind w:left="365" w:hanging="365"/>
        <w:spacing w:after="0" w:line="233" w:lineRule="auto"/>
        <w:tabs>
          <w:tab w:leader="none" w:pos="435"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transactions during the term of the trading plan (except for the other “Limited Exceptions” identified in the Company’s Insider Trading Policy and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gifts) must be conducted through the trading plan. In addition, the person adopting the trading plan may not have an outstanding (and may not subsequently enter into any additional) trading plan except as permitted by Rule 10b5-1. For example, as contemplated by Rule 10b5-1, a person may adopt a new trading plan before the scheduled termination date of an existing trading plan, so long as the first scheduled trade under the new trading plan does not occur prior to the last scheduled trade(s) of the existing trading plan and otherwise complies with these guidelines. Termination of the existing trading plan prior to its scheduled termination date may impact the timing of the first trade or the availability of the affirmative defense for the new trading plan; therefore, persons adopting a new trading plan are advised to exercise caution and consult with the Compliance Officer prior to the early termination of an existing trading plan.</w:t>
      </w:r>
    </w:p>
    <w:p>
      <w:pPr>
        <w:spacing w:after="0" w:line="183" w:lineRule="exact"/>
        <w:rPr>
          <w:rFonts w:ascii="Times New Roman" w:cs="Times New Roman" w:eastAsia="Times New Roman" w:hAnsi="Times New Roman"/>
          <w:sz w:val="22"/>
          <w:szCs w:val="22"/>
          <w:color w:val="auto"/>
        </w:rPr>
      </w:pPr>
    </w:p>
    <w:p>
      <w:pPr>
        <w:jc w:val="both"/>
        <w:ind w:left="365" w:hanging="365"/>
        <w:spacing w:after="0" w:line="242" w:lineRule="auto"/>
        <w:tabs>
          <w:tab w:leader="none" w:pos="435"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modification or change to the amount, price or timing of transactions under the trading plan is deemed the termination of the trading plan, and the adoption of a new trading plan (“</w:t>
      </w:r>
      <w:r>
        <w:rPr>
          <w:rFonts w:ascii="Times New Roman" w:cs="Times New Roman" w:eastAsia="Times New Roman" w:hAnsi="Times New Roman"/>
          <w:sz w:val="22"/>
          <w:szCs w:val="22"/>
          <w:b w:val="1"/>
          <w:bCs w:val="1"/>
          <w:i w:val="1"/>
          <w:iCs w:val="1"/>
          <w:color w:val="auto"/>
        </w:rPr>
        <w:t>Modification</w:t>
      </w:r>
      <w:r>
        <w:rPr>
          <w:rFonts w:ascii="Times New Roman" w:cs="Times New Roman" w:eastAsia="Times New Roman" w:hAnsi="Times New Roman"/>
          <w:sz w:val="22"/>
          <w:szCs w:val="22"/>
          <w:color w:val="auto"/>
        </w:rPr>
        <w:t>”). Therefore, a Modification is subject to the same conditions as a new trading plan as set forth in Sections 1 through 7 herein.</w:t>
      </w:r>
    </w:p>
    <w:p>
      <w:pPr>
        <w:spacing w:after="0" w:line="69" w:lineRule="exact"/>
        <w:rPr>
          <w:rFonts w:ascii="Times New Roman" w:cs="Times New Roman" w:eastAsia="Times New Roman" w:hAnsi="Times New Roman"/>
          <w:sz w:val="22"/>
          <w:szCs w:val="22"/>
          <w:color w:val="auto"/>
        </w:rPr>
      </w:pPr>
    </w:p>
    <w:p>
      <w:pPr>
        <w:ind w:left="365" w:hanging="365"/>
        <w:spacing w:after="0" w:line="255" w:lineRule="auto"/>
        <w:tabs>
          <w:tab w:leader="none" w:pos="435"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six months preceding the adoption or a Modification of a trading plan, a person may not have otherwise adopted or done a Modification to a plan more than once.</w:t>
      </w:r>
    </w:p>
    <w:p>
      <w:pPr>
        <w:spacing w:after="0" w:line="162" w:lineRule="exact"/>
        <w:rPr>
          <w:rFonts w:ascii="Times New Roman" w:cs="Times New Roman" w:eastAsia="Times New Roman" w:hAnsi="Times New Roman"/>
          <w:sz w:val="22"/>
          <w:szCs w:val="22"/>
          <w:color w:val="auto"/>
        </w:rPr>
      </w:pPr>
    </w:p>
    <w:p>
      <w:pPr>
        <w:ind w:left="365" w:right="20" w:hanging="365"/>
        <w:spacing w:after="0" w:line="255" w:lineRule="auto"/>
        <w:tabs>
          <w:tab w:leader="none" w:pos="435"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may adopt a trading plan designed to cover a single trade only once in any consecutive 12-month period except as permitted by Rule 10b5-1.</w:t>
      </w:r>
    </w:p>
    <w:p>
      <w:pPr>
        <w:spacing w:after="0" w:line="162" w:lineRule="exact"/>
        <w:rPr>
          <w:rFonts w:ascii="Times New Roman" w:cs="Times New Roman" w:eastAsia="Times New Roman" w:hAnsi="Times New Roman"/>
          <w:sz w:val="22"/>
          <w:szCs w:val="22"/>
          <w:color w:val="auto"/>
        </w:rPr>
      </w:pPr>
    </w:p>
    <w:p>
      <w:pPr>
        <w:jc w:val="both"/>
        <w:ind w:left="365" w:right="20" w:hanging="365"/>
        <w:spacing w:after="0" w:line="242" w:lineRule="auto"/>
        <w:tabs>
          <w:tab w:leader="none" w:pos="435"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person that adopted the trading plan terminates the plan prior to its stated duration, he or she may not trade in the Company’s securities until after the expiration of 30 calendar days following termination, and then only in accordance with the Policy.</w:t>
      </w:r>
    </w:p>
    <w:p>
      <w:pPr>
        <w:spacing w:after="0" w:line="177" w:lineRule="exact"/>
        <w:rPr>
          <w:rFonts w:ascii="Times New Roman" w:cs="Times New Roman" w:eastAsia="Times New Roman" w:hAnsi="Times New Roman"/>
          <w:sz w:val="22"/>
          <w:szCs w:val="22"/>
          <w:color w:val="auto"/>
        </w:rPr>
      </w:pPr>
    </w:p>
    <w:p>
      <w:pPr>
        <w:ind w:left="365" w:right="20" w:hanging="365"/>
        <w:spacing w:after="0" w:line="255" w:lineRule="auto"/>
        <w:tabs>
          <w:tab w:leader="none" w:pos="435"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must be promptly notified of any Modification or termination of the trading plan and any suspension of trading under the trading plan.</w:t>
      </w:r>
    </w:p>
    <w:p>
      <w:pPr>
        <w:spacing w:after="0" w:line="162" w:lineRule="exact"/>
        <w:rPr>
          <w:rFonts w:ascii="Times New Roman" w:cs="Times New Roman" w:eastAsia="Times New Roman" w:hAnsi="Times New Roman"/>
          <w:sz w:val="22"/>
          <w:szCs w:val="22"/>
          <w:color w:val="auto"/>
        </w:rPr>
      </w:pPr>
    </w:p>
    <w:p>
      <w:pPr>
        <w:ind w:left="425" w:hanging="425"/>
        <w:spacing w:after="0"/>
        <w:tabs>
          <w:tab w:leader="none" w:pos="425"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must have authority to require the suspension or cancellation of the trading plan at any time.</w:t>
      </w:r>
    </w:p>
    <w:p>
      <w:pPr>
        <w:spacing w:after="0" w:line="204" w:lineRule="exact"/>
        <w:rPr>
          <w:rFonts w:ascii="Times New Roman" w:cs="Times New Roman" w:eastAsia="Times New Roman" w:hAnsi="Times New Roman"/>
          <w:sz w:val="22"/>
          <w:szCs w:val="22"/>
          <w:color w:val="auto"/>
        </w:rPr>
      </w:pPr>
    </w:p>
    <w:p>
      <w:pPr>
        <w:ind w:left="365" w:right="20" w:hanging="365"/>
        <w:spacing w:after="0" w:line="255" w:lineRule="auto"/>
        <w:tabs>
          <w:tab w:leader="none" w:pos="435"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trading plan grants discretion to a stockbroker or other person with respect to the execution of trades under the trading plan:</w:t>
      </w:r>
    </w:p>
    <w:p>
      <w:pPr>
        <w:spacing w:after="0" w:line="369" w:lineRule="exact"/>
        <w:rPr>
          <w:sz w:val="20"/>
          <w:szCs w:val="20"/>
          <w:color w:val="auto"/>
        </w:rPr>
      </w:pPr>
    </w:p>
    <w:p>
      <w:pPr>
        <w:jc w:val="center"/>
        <w:ind w:right="375"/>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480060</wp:posOffset>
            </wp:positionV>
            <wp:extent cx="715835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45"/>
          </w:cols>
          <w:pgMar w:left="715" w:top="1440" w:right="339" w:bottom="1440" w:gutter="0" w:footer="0" w:header="0"/>
        </w:sectPr>
      </w:pPr>
    </w:p>
    <w:bookmarkStart w:id="246" w:name="page247"/>
    <w:bookmarkEnd w:id="246"/>
    <w:p>
      <w:pPr>
        <w:spacing w:after="0" w:line="73" w:lineRule="exact"/>
        <w:rPr>
          <w:sz w:val="20"/>
          <w:szCs w:val="20"/>
          <w:color w:val="auto"/>
        </w:rPr>
      </w:pPr>
    </w:p>
    <w:p>
      <w:pPr>
        <w:ind w:left="1105" w:firstLine="57"/>
        <w:spacing w:after="0" w:line="255" w:lineRule="auto"/>
        <w:rPr>
          <w:sz w:val="20"/>
          <w:szCs w:val="20"/>
          <w:color w:val="auto"/>
        </w:rPr>
      </w:pPr>
      <w:r>
        <w:rPr>
          <w:rFonts w:ascii="Times New Roman" w:cs="Times New Roman" w:eastAsia="Times New Roman" w:hAnsi="Times New Roman"/>
          <w:sz w:val="22"/>
          <w:szCs w:val="22"/>
          <w:color w:val="auto"/>
        </w:rPr>
        <w:t>trades made under the trading plan must be executed by someone other than the stockbroker or other person that executes trades in other securities for the person adopting the trading plan;</w:t>
      </w:r>
    </w:p>
    <w:p>
      <w:pPr>
        <w:spacing w:after="0" w:line="55" w:lineRule="exact"/>
        <w:rPr>
          <w:sz w:val="20"/>
          <w:szCs w:val="20"/>
          <w:color w:val="auto"/>
        </w:rPr>
      </w:pPr>
    </w:p>
    <w:p>
      <w:pPr>
        <w:ind w:left="1105" w:right="20" w:firstLine="70"/>
        <w:spacing w:after="0" w:line="255" w:lineRule="auto"/>
        <w:rPr>
          <w:sz w:val="20"/>
          <w:szCs w:val="20"/>
          <w:color w:val="auto"/>
        </w:rPr>
      </w:pPr>
      <w:r>
        <w:rPr>
          <w:rFonts w:ascii="Times New Roman" w:cs="Times New Roman" w:eastAsia="Times New Roman" w:hAnsi="Times New Roman"/>
          <w:sz w:val="22"/>
          <w:szCs w:val="22"/>
          <w:color w:val="auto"/>
        </w:rPr>
        <w:t>the person adopting the trading plan may not confer with the person administering the trading plan regarding the Company or its securities; and</w:t>
      </w:r>
    </w:p>
    <w:p>
      <w:pPr>
        <w:spacing w:after="0" w:line="55" w:lineRule="exact"/>
        <w:rPr>
          <w:sz w:val="20"/>
          <w:szCs w:val="20"/>
          <w:color w:val="auto"/>
        </w:rPr>
      </w:pPr>
    </w:p>
    <w:p>
      <w:pPr>
        <w:ind w:left="1105" w:firstLine="70"/>
        <w:spacing w:after="0" w:line="255" w:lineRule="auto"/>
        <w:rPr>
          <w:sz w:val="20"/>
          <w:szCs w:val="20"/>
          <w:color w:val="auto"/>
        </w:rPr>
      </w:pPr>
      <w:r>
        <w:rPr>
          <w:rFonts w:ascii="Times New Roman" w:cs="Times New Roman" w:eastAsia="Times New Roman" w:hAnsi="Times New Roman"/>
          <w:sz w:val="22"/>
          <w:szCs w:val="22"/>
          <w:color w:val="auto"/>
        </w:rPr>
        <w:t>the person administering the trading plan must provide prompt notice to the Company of the execution of a transaction pursuant to the plan.</w:t>
      </w:r>
    </w:p>
    <w:p>
      <w:pPr>
        <w:spacing w:after="0" w:line="162" w:lineRule="exact"/>
        <w:rPr>
          <w:sz w:val="20"/>
          <w:szCs w:val="20"/>
          <w:color w:val="auto"/>
        </w:rPr>
      </w:pPr>
    </w:p>
    <w:p>
      <w:pPr>
        <w:ind w:left="425" w:hanging="425"/>
        <w:spacing w:after="0"/>
        <w:tabs>
          <w:tab w:leader="none" w:pos="425"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transactions under the trading plan must be in accordance with applicable law.</w:t>
      </w:r>
    </w:p>
    <w:p>
      <w:pPr>
        <w:spacing w:after="0" w:line="204" w:lineRule="exact"/>
        <w:rPr>
          <w:rFonts w:ascii="Times New Roman" w:cs="Times New Roman" w:eastAsia="Times New Roman" w:hAnsi="Times New Roman"/>
          <w:sz w:val="22"/>
          <w:szCs w:val="22"/>
          <w:color w:val="auto"/>
        </w:rPr>
      </w:pPr>
    </w:p>
    <w:p>
      <w:pPr>
        <w:ind w:left="365" w:right="40" w:hanging="365"/>
        <w:spacing w:after="0" w:line="255" w:lineRule="auto"/>
        <w:tabs>
          <w:tab w:leader="none" w:pos="435"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(including any Modification) must meet such other requirements as the Compliance Officer may determine.</w:t>
      </w:r>
    </w:p>
    <w:p>
      <w:pPr>
        <w:spacing w:after="0" w:line="156" w:lineRule="exact"/>
        <w:rPr>
          <w:rFonts w:ascii="Times New Roman" w:cs="Times New Roman" w:eastAsia="Times New Roman" w:hAnsi="Times New Roman"/>
          <w:sz w:val="22"/>
          <w:szCs w:val="22"/>
          <w:color w:val="auto"/>
        </w:rPr>
      </w:pPr>
    </w:p>
    <w:p>
      <w:pPr>
        <w:jc w:val="both"/>
        <w:ind w:left="365" w:hanging="365"/>
        <w:spacing w:after="0"/>
        <w:tabs>
          <w:tab w:leader="none" w:pos="435"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trading plans adopted or modified prior to February 27,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are permitted to continue in place until all trades are executed thereunder or they expire by their terms (“</w:t>
      </w:r>
      <w:r>
        <w:rPr>
          <w:rFonts w:ascii="Times New Roman" w:cs="Times New Roman" w:eastAsia="Times New Roman" w:hAnsi="Times New Roman"/>
          <w:sz w:val="22"/>
          <w:szCs w:val="22"/>
          <w:b w:val="1"/>
          <w:bCs w:val="1"/>
          <w:i w:val="1"/>
          <w:iCs w:val="1"/>
          <w:color w:val="auto"/>
        </w:rPr>
        <w:t>Pre-effective Plans</w:t>
      </w:r>
      <w:r>
        <w:rPr>
          <w:rFonts w:ascii="Times New Roman" w:cs="Times New Roman" w:eastAsia="Times New Roman" w:hAnsi="Times New Roman"/>
          <w:sz w:val="22"/>
          <w:szCs w:val="22"/>
          <w:color w:val="auto"/>
        </w:rPr>
        <w:t>”). If the person undertakes a Modification of a Pre-effective Plan on or after the Effective Date, then the Modification must meet all of the requirements set forth herein.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75"/>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480060</wp:posOffset>
            </wp:positionV>
            <wp:extent cx="7158355"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45"/>
          </w:cols>
          <w:pgMar w:left="715" w:top="1440" w:right="339" w:bottom="1440" w:gutter="0" w:footer="0" w:header="0"/>
        </w:sectPr>
      </w:pPr>
    </w:p>
    <w:bookmarkStart w:id="247" w:name="page248"/>
    <w:bookmarkEnd w:id="247"/>
    <w:p>
      <w:pPr>
        <w:jc w:val="center"/>
        <w:spacing w:after="0"/>
        <w:rPr>
          <w:sz w:val="20"/>
          <w:szCs w:val="20"/>
          <w:color w:val="auto"/>
        </w:rPr>
      </w:pPr>
      <w:r>
        <w:rPr>
          <w:rFonts w:ascii="Times New Roman" w:cs="Times New Roman" w:eastAsia="Times New Roman" w:hAnsi="Times New Roman"/>
          <w:sz w:val="22"/>
          <w:szCs w:val="22"/>
          <w:b w:val="1"/>
          <w:bCs w:val="1"/>
          <w:color w:val="auto"/>
        </w:rPr>
        <w:t>SOLENO THERAPEUTICS,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GUIDELINES FOR PREPARING TRADING PLANS</w:t>
      </w:r>
    </w:p>
    <w:p>
      <w:pPr>
        <w:spacing w:after="0" w:line="18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color w:val="auto"/>
        </w:rPr>
        <w:t>Please consider the following important guidelines in connection with preparing a trading plan. These guidelines should not serve as a substitute for obtaining professional advice and assistance in connection with preparing a plan.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Learn the rules applicable to trading plans</w:t>
      </w:r>
    </w:p>
    <w:p>
      <w:pPr>
        <w:spacing w:after="0" w:line="209" w:lineRule="exact"/>
        <w:rPr>
          <w:sz w:val="20"/>
          <w:szCs w:val="20"/>
          <w:color w:val="auto"/>
        </w:rPr>
      </w:pPr>
    </w:p>
    <w:p>
      <w:pPr>
        <w:jc w:val="both"/>
        <w:ind w:firstLine="749"/>
        <w:spacing w:after="0" w:line="249" w:lineRule="exact"/>
        <w:rPr>
          <w:sz w:val="20"/>
          <w:szCs w:val="20"/>
          <w:color w:val="auto"/>
        </w:rPr>
      </w:pPr>
      <w:r>
        <w:rPr>
          <w:rFonts w:ascii="Times New Roman" w:cs="Times New Roman" w:eastAsia="Times New Roman" w:hAnsi="Times New Roman"/>
          <w:sz w:val="22"/>
          <w:szCs w:val="22"/>
          <w:color w:val="auto"/>
        </w:rPr>
        <w:t>The SEC has enacted rules that provide an affirmative defense against alleged violations of U.S. federal insider trading laws for transactions pursuant to trading plans that meet certain requirements. In general, these rules, as set forth in 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under the Exchange Act, provide for an affirmative defense if you enter into a contract, provide instructions or adopt a written plan for trading securities when you are not aware of material nonpublic information. The contract, instructions or plan must (i) specify the amount, price and date of the transaction(s), (ii) specify an objective method for determining the amount, price and date of the transaction(s) and/or (iii) place any subsequent discretion for determining the amount, price and date of the transaction(s) in another person who is not, at the time of any transaction, aware of material nonpublic information.</w:t>
      </w:r>
    </w:p>
    <w:p>
      <w:pPr>
        <w:spacing w:after="0" w:line="181" w:lineRule="exact"/>
        <w:rPr>
          <w:sz w:val="20"/>
          <w:szCs w:val="20"/>
          <w:color w:val="auto"/>
        </w:rPr>
      </w:pPr>
    </w:p>
    <w:p>
      <w:pPr>
        <w:jc w:val="both"/>
        <w:ind w:firstLine="749"/>
        <w:spacing w:after="0" w:line="287" w:lineRule="exact"/>
        <w:rPr>
          <w:sz w:val="20"/>
          <w:szCs w:val="20"/>
          <w:color w:val="auto"/>
        </w:rPr>
      </w:pPr>
      <w:r>
        <w:rPr>
          <w:rFonts w:ascii="Times New Roman" w:cs="Times New Roman" w:eastAsia="Times New Roman" w:hAnsi="Times New Roman"/>
          <w:sz w:val="22"/>
          <w:szCs w:val="22"/>
          <w:i w:val="1"/>
          <w:iCs w:val="1"/>
          <w:color w:val="auto"/>
        </w:rPr>
        <w:t>The discussion above provides only a summary of the relevant rules. You are responsible for understanding the rules applicable to trading plans and ensuring that your trading plan complies with the requirements of Rule 10b5</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Hire legal and other advisors to assist in preparing the plan</w:t>
      </w:r>
    </w:p>
    <w:p>
      <w:pPr>
        <w:spacing w:after="0" w:line="209" w:lineRule="exact"/>
        <w:rPr>
          <w:sz w:val="20"/>
          <w:szCs w:val="20"/>
          <w:color w:val="auto"/>
        </w:rPr>
      </w:pPr>
    </w:p>
    <w:p>
      <w:pPr>
        <w:jc w:val="both"/>
        <w:ind w:firstLine="749"/>
        <w:spacing w:after="0" w:line="270" w:lineRule="exact"/>
        <w:rPr>
          <w:sz w:val="20"/>
          <w:szCs w:val="20"/>
          <w:color w:val="auto"/>
        </w:rPr>
      </w:pPr>
      <w:r>
        <w:rPr>
          <w:rFonts w:ascii="Times New Roman" w:cs="Times New Roman" w:eastAsia="Times New Roman" w:hAnsi="Times New Roman"/>
          <w:sz w:val="22"/>
          <w:szCs w:val="22"/>
          <w:color w:val="auto"/>
        </w:rPr>
        <w:t>You should hire your own advisors, including your own legal counsel, in connection with adopting a trading plan. Neither the Company nor its legal counsel assumes responsibility for determining whether your trading plan complies with 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Assess whether a trading plan is suitable for you</w:t>
      </w:r>
    </w:p>
    <w:p>
      <w:pPr>
        <w:spacing w:after="0" w:line="20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color w:val="auto"/>
        </w:rPr>
        <w:t>Trading plans may not be appropriate for many people. You should therefore carefully consider whether it is advisable for you to adopt a trading plan.</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There are several potential benefits to adopting a trading plan:</w:t>
      </w:r>
    </w:p>
    <w:p>
      <w:pPr>
        <w:spacing w:after="0" w:line="93" w:lineRule="exact"/>
        <w:rPr>
          <w:sz w:val="20"/>
          <w:szCs w:val="20"/>
          <w:color w:val="auto"/>
        </w:rPr>
      </w:pPr>
    </w:p>
    <w:p>
      <w:pPr>
        <w:ind w:left="1140" w:firstLine="84"/>
        <w:spacing w:after="0" w:line="239" w:lineRule="auto"/>
        <w:rPr>
          <w:sz w:val="20"/>
          <w:szCs w:val="20"/>
          <w:color w:val="auto"/>
        </w:rPr>
      </w:pPr>
      <w:r>
        <w:rPr>
          <w:rFonts w:ascii="Times New Roman" w:cs="Times New Roman" w:eastAsia="Times New Roman" w:hAnsi="Times New Roman"/>
          <w:sz w:val="22"/>
          <w:szCs w:val="22"/>
          <w:i w:val="1"/>
          <w:iCs w:val="1"/>
          <w:color w:val="auto"/>
        </w:rPr>
        <w:t xml:space="preserve">Affirmative defense to insider trading actions by the SEC. </w:t>
      </w:r>
      <w:r>
        <w:rPr>
          <w:rFonts w:ascii="Times New Roman" w:cs="Times New Roman" w:eastAsia="Times New Roman" w:hAnsi="Times New Roman"/>
          <w:sz w:val="22"/>
          <w:szCs w:val="22"/>
          <w:color w:val="auto"/>
        </w:rPr>
        <w:t>Trading plans enable insiders to obtain liquidity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portfolio diversification while limiting exposure to insider trading liability. Trades pursuant to a compliant trading plan are subject to an affirmative defense in actions by the SEC. Trading pursuant to trading plans may also help to limit the Company’s exposure to liability under securities laws.</w:t>
      </w:r>
    </w:p>
    <w:p>
      <w:pPr>
        <w:spacing w:after="0" w:line="39" w:lineRule="exact"/>
        <w:rPr>
          <w:sz w:val="20"/>
          <w:szCs w:val="20"/>
          <w:color w:val="auto"/>
        </w:rPr>
      </w:pPr>
    </w:p>
    <w:p>
      <w:pPr>
        <w:ind w:left="1140" w:right="20" w:firstLine="84"/>
        <w:spacing w:after="0" w:line="285" w:lineRule="exact"/>
        <w:rPr>
          <w:sz w:val="20"/>
          <w:szCs w:val="20"/>
          <w:color w:val="auto"/>
        </w:rPr>
      </w:pPr>
      <w:r>
        <w:rPr>
          <w:rFonts w:ascii="Times New Roman" w:cs="Times New Roman" w:eastAsia="Times New Roman" w:hAnsi="Times New Roman"/>
          <w:sz w:val="22"/>
          <w:szCs w:val="22"/>
          <w:i w:val="1"/>
          <w:iCs w:val="1"/>
          <w:color w:val="auto"/>
        </w:rPr>
        <w:t xml:space="preserve">More trading opportunities. </w:t>
      </w:r>
      <w:r>
        <w:rPr>
          <w:rFonts w:ascii="Times New Roman" w:cs="Times New Roman" w:eastAsia="Times New Roman" w:hAnsi="Times New Roman"/>
          <w:sz w:val="22"/>
          <w:szCs w:val="22"/>
          <w:color w:val="auto"/>
        </w:rPr>
        <w:t>Trades under a Company-approved 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trading plan are not subject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blackout restrictions and pre-clearance requirements in the Company’s insider trading policy.</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248" w:name="page249"/>
    <w:bookmarkEnd w:id="248"/>
    <w:p>
      <w:pPr>
        <w:spacing w:after="0" w:line="70" w:lineRule="exact"/>
        <w:rPr>
          <w:sz w:val="20"/>
          <w:szCs w:val="20"/>
          <w:color w:val="auto"/>
        </w:rPr>
      </w:pPr>
    </w:p>
    <w:p>
      <w:pPr>
        <w:ind w:left="1140" w:firstLine="70"/>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Reduced adverse perceptions. </w:t>
      </w:r>
      <w:r>
        <w:rPr>
          <w:rFonts w:ascii="Times New Roman" w:cs="Times New Roman" w:eastAsia="Times New Roman" w:hAnsi="Times New Roman"/>
          <w:sz w:val="22"/>
          <w:szCs w:val="22"/>
          <w:color w:val="auto"/>
        </w:rPr>
        <w:t>Sales pursuant to a trading plan may be better received by investors and the media.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Open market sales by corporate insiders may attract unwanted attention due to the perception of many investors that such sales may reflect a lack of confidence in the Company. These trades may come under even more scrutiny if they are concentrated during the relatively brief trading windows mandated by the Company’s insider trading policy. With appropriate disclosure, trading pursuant to a plan may help to limit the perception that the trades were based on undisclosed information. Moreover, since trades under Company-approved trading plans are not subject to the Company’s trading blackout periods, trading plans may enable insiders to make smaller, periodic trades, which may attract less public attention.</w:t>
      </w:r>
    </w:p>
    <w:p>
      <w:pPr>
        <w:spacing w:after="0" w:line="73" w:lineRule="exact"/>
        <w:rPr>
          <w:sz w:val="20"/>
          <w:szCs w:val="20"/>
          <w:color w:val="auto"/>
        </w:rPr>
      </w:pPr>
    </w:p>
    <w:p>
      <w:pPr>
        <w:ind w:left="1140" w:firstLine="84"/>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Administrative benefits. </w:t>
      </w:r>
      <w:r>
        <w:rPr>
          <w:rFonts w:ascii="Times New Roman" w:cs="Times New Roman" w:eastAsia="Times New Roman" w:hAnsi="Times New Roman"/>
          <w:sz w:val="22"/>
          <w:szCs w:val="22"/>
          <w:color w:val="auto"/>
        </w:rPr>
        <w:t>Use of a plan may enable you to reduce the time spent on executing trades (including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obtaining any required pre-clearance of trades) and managing your portfolio of Company stock.</w:t>
      </w:r>
    </w:p>
    <w:p>
      <w:pPr>
        <w:spacing w:after="0" w:line="158"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22"/>
          <w:szCs w:val="22"/>
          <w:color w:val="auto"/>
        </w:rPr>
        <w:t>Before adopting a trading plan, however, you should assess the risks and limitations of trading plans, including the following:</w:t>
      </w:r>
    </w:p>
    <w:p>
      <w:pPr>
        <w:spacing w:after="0" w:line="51" w:lineRule="exact"/>
        <w:rPr>
          <w:sz w:val="20"/>
          <w:szCs w:val="20"/>
          <w:color w:val="auto"/>
        </w:rPr>
      </w:pPr>
    </w:p>
    <w:p>
      <w:pPr>
        <w:ind w:left="1140" w:firstLine="70"/>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Reduced flexibility. </w:t>
      </w:r>
      <w:r>
        <w:rPr>
          <w:rFonts w:ascii="Times New Roman" w:cs="Times New Roman" w:eastAsia="Times New Roman" w:hAnsi="Times New Roman"/>
          <w:sz w:val="22"/>
          <w:szCs w:val="22"/>
          <w:color w:val="auto"/>
        </w:rPr>
        <w:t>Use of a trading plan requires you to plan your trades and finances in advance.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requires that, during the duration of a plan, all trades be conducted through the plan. Sales outside of a plan are not subject to the affirmative defense, and may create a presumption that other sales under the plan were not made pursuant to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plan. Careful advanced planning is also critical because deviation from or cancellation of an established trading plan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to account for changes in market condition or personal finances) may jeopardize the availability of the affirmative defense. Plans are therefore advisable for only those individuals who are able to bear significant risk on their stock.</w:t>
      </w:r>
    </w:p>
    <w:p>
      <w:pPr>
        <w:spacing w:after="0" w:line="40" w:lineRule="exact"/>
        <w:rPr>
          <w:sz w:val="20"/>
          <w:szCs w:val="20"/>
          <w:color w:val="auto"/>
        </w:rPr>
      </w:pPr>
    </w:p>
    <w:p>
      <w:pPr>
        <w:ind w:left="1140" w:right="20" w:firstLine="57"/>
        <w:spacing w:after="0" w:line="285" w:lineRule="exact"/>
        <w:rPr>
          <w:sz w:val="20"/>
          <w:szCs w:val="20"/>
          <w:color w:val="auto"/>
        </w:rPr>
      </w:pPr>
      <w:r>
        <w:rPr>
          <w:rFonts w:ascii="Times New Roman" w:cs="Times New Roman" w:eastAsia="Times New Roman" w:hAnsi="Times New Roman"/>
          <w:sz w:val="22"/>
          <w:szCs w:val="22"/>
          <w:i w:val="1"/>
          <w:iCs w:val="1"/>
          <w:color w:val="auto"/>
        </w:rPr>
        <w:t xml:space="preserve">Exposure to private claims. </w:t>
      </w:r>
      <w:r>
        <w:rPr>
          <w:rFonts w:ascii="Times New Roman" w:cs="Times New Roman" w:eastAsia="Times New Roman" w:hAnsi="Times New Roman"/>
          <w:sz w:val="22"/>
          <w:szCs w:val="22"/>
          <w:color w:val="auto"/>
        </w:rPr>
        <w:t>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provides an affirmative defense to federal insider trading liability, but does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apply to private securities class action lawsuits.</w:t>
      </w:r>
    </w:p>
    <w:p>
      <w:pPr>
        <w:spacing w:after="0" w:line="67" w:lineRule="exact"/>
        <w:rPr>
          <w:sz w:val="20"/>
          <w:szCs w:val="20"/>
          <w:color w:val="auto"/>
        </w:rPr>
      </w:pPr>
    </w:p>
    <w:p>
      <w:pPr>
        <w:ind w:left="1140" w:firstLine="57"/>
        <w:spacing w:after="0" w:line="261" w:lineRule="exact"/>
        <w:rPr>
          <w:sz w:val="20"/>
          <w:szCs w:val="20"/>
          <w:color w:val="auto"/>
        </w:rPr>
      </w:pPr>
      <w:r>
        <w:rPr>
          <w:rFonts w:ascii="Times New Roman" w:cs="Times New Roman" w:eastAsia="Times New Roman" w:hAnsi="Times New Roman"/>
          <w:sz w:val="22"/>
          <w:szCs w:val="22"/>
          <w:i w:val="1"/>
          <w:iCs w:val="1"/>
          <w:color w:val="auto"/>
        </w:rPr>
        <w:t xml:space="preserve">Affirmative defense must be proved. </w:t>
      </w:r>
      <w:r>
        <w:rPr>
          <w:rFonts w:ascii="Times New Roman" w:cs="Times New Roman" w:eastAsia="Times New Roman" w:hAnsi="Times New Roman"/>
          <w:sz w:val="22"/>
          <w:szCs w:val="22"/>
          <w:color w:val="auto"/>
        </w:rPr>
        <w:t>An insider that trades based on a trading plan will have the burden of proving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the trading plan satisfies the requirements set forth in 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Moreover, a trading plan will not necessarily prevent someone from bringing a lawsuit and will not necessarily avoid adverse media coverage.</w:t>
      </w:r>
    </w:p>
    <w:p>
      <w:pPr>
        <w:spacing w:after="0" w:line="67" w:lineRule="exact"/>
        <w:rPr>
          <w:sz w:val="20"/>
          <w:szCs w:val="20"/>
          <w:color w:val="auto"/>
        </w:rPr>
      </w:pPr>
    </w:p>
    <w:p>
      <w:pPr>
        <w:ind w:left="1140" w:right="20" w:firstLine="57"/>
        <w:spacing w:after="0" w:line="287" w:lineRule="exact"/>
        <w:rPr>
          <w:sz w:val="20"/>
          <w:szCs w:val="20"/>
          <w:color w:val="auto"/>
        </w:rPr>
      </w:pPr>
      <w:r>
        <w:rPr>
          <w:rFonts w:ascii="Times New Roman" w:cs="Times New Roman" w:eastAsia="Times New Roman" w:hAnsi="Times New Roman"/>
          <w:sz w:val="22"/>
          <w:szCs w:val="22"/>
          <w:i w:val="1"/>
          <w:iCs w:val="1"/>
          <w:color w:val="auto"/>
        </w:rPr>
        <w:t xml:space="preserve">Time required to prepare a plan. </w:t>
      </w:r>
      <w:r>
        <w:rPr>
          <w:rFonts w:ascii="Times New Roman" w:cs="Times New Roman" w:eastAsia="Times New Roman" w:hAnsi="Times New Roman"/>
          <w:sz w:val="22"/>
          <w:szCs w:val="22"/>
          <w:color w:val="auto"/>
        </w:rPr>
        <w:t>The preparation of a trading plan requires careful attention to ensure compliance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and any Company-imposed requirements.</w:t>
      </w:r>
    </w:p>
    <w:p>
      <w:pPr>
        <w:spacing w:after="0" w:line="32" w:lineRule="exact"/>
        <w:rPr>
          <w:sz w:val="20"/>
          <w:szCs w:val="20"/>
          <w:color w:val="auto"/>
        </w:rPr>
      </w:pPr>
    </w:p>
    <w:p>
      <w:pPr>
        <w:ind w:left="1140" w:firstLine="70"/>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SEC concerns over potential abuse of trading plans. </w:t>
      </w:r>
      <w:r>
        <w:rPr>
          <w:rFonts w:ascii="Times New Roman" w:cs="Times New Roman" w:eastAsia="Times New Roman" w:hAnsi="Times New Roman"/>
          <w:sz w:val="22"/>
          <w:szCs w:val="22"/>
          <w:color w:val="auto"/>
        </w:rPr>
        <w:t>The SEC may give trading plans a skeptical reading given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concerns over the potential abuse of trading plans by insiders.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Allocate sufficient time to prepare a plan</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process of preparing a plan and the related documentation may take some time, and you should plan accordingly.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Ensure that the trading plan complies with all applicable law</w:t>
      </w:r>
    </w:p>
    <w:p>
      <w:pPr>
        <w:spacing w:after="0" w:line="174" w:lineRule="exact"/>
        <w:rPr>
          <w:sz w:val="20"/>
          <w:szCs w:val="20"/>
          <w:color w:val="auto"/>
        </w:rPr>
      </w:pPr>
    </w:p>
    <w:p>
      <w:pPr>
        <w:ind w:right="20" w:firstLine="749"/>
        <w:spacing w:after="0" w:line="285" w:lineRule="exact"/>
        <w:rPr>
          <w:sz w:val="20"/>
          <w:szCs w:val="20"/>
          <w:color w:val="auto"/>
        </w:rPr>
      </w:pPr>
      <w:r>
        <w:rPr>
          <w:rFonts w:ascii="Times New Roman" w:cs="Times New Roman" w:eastAsia="Times New Roman" w:hAnsi="Times New Roman"/>
          <w:sz w:val="22"/>
          <w:szCs w:val="22"/>
          <w:color w:val="auto"/>
        </w:rPr>
        <w:t>In preparing a plan, your primary objective should be to ensure that all elements of the 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trading plan defense are adequately addressed.</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You should also be sure that the trading plan complies with other applicable law. For example:</w:t>
      </w:r>
    </w:p>
    <w:p>
      <w:pPr>
        <w:spacing w:after="0" w:line="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You should consider any Rule 144 volume limitations when devising trading instructions or formulas.</w:t>
      </w:r>
    </w:p>
    <w:p>
      <w:pPr>
        <w:spacing w:after="0" w:line="97" w:lineRule="exact"/>
        <w:rPr>
          <w:sz w:val="20"/>
          <w:szCs w:val="20"/>
          <w:color w:val="auto"/>
        </w:rPr>
      </w:pPr>
    </w:p>
    <w:p>
      <w:pPr>
        <w:ind w:left="1140" w:firstLine="70"/>
        <w:spacing w:after="0" w:line="255" w:lineRule="auto"/>
        <w:rPr>
          <w:sz w:val="20"/>
          <w:szCs w:val="20"/>
          <w:color w:val="auto"/>
        </w:rPr>
      </w:pPr>
      <w:r>
        <w:rPr>
          <w:rFonts w:ascii="Times New Roman" w:cs="Times New Roman" w:eastAsia="Times New Roman" w:hAnsi="Times New Roman"/>
          <w:sz w:val="22"/>
          <w:szCs w:val="22"/>
          <w:color w:val="auto"/>
        </w:rPr>
        <w:t>You should consider any burdens created by Rule 144 and Section 16 filing requirements when devising trading instructions or formulas.</w:t>
      </w:r>
    </w:p>
    <w:p>
      <w:pPr>
        <w:spacing w:after="0" w:line="55" w:lineRule="exact"/>
        <w:rPr>
          <w:sz w:val="20"/>
          <w:szCs w:val="20"/>
          <w:color w:val="auto"/>
        </w:rPr>
      </w:pPr>
    </w:p>
    <w:p>
      <w:pPr>
        <w:ind w:left="1140" w:right="20" w:firstLine="84"/>
        <w:spacing w:after="0" w:line="255" w:lineRule="auto"/>
        <w:rPr>
          <w:sz w:val="20"/>
          <w:szCs w:val="20"/>
          <w:color w:val="auto"/>
        </w:rPr>
      </w:pPr>
      <w:r>
        <w:rPr>
          <w:rFonts w:ascii="Times New Roman" w:cs="Times New Roman" w:eastAsia="Times New Roman" w:hAnsi="Times New Roman"/>
          <w:sz w:val="22"/>
          <w:szCs w:val="22"/>
          <w:color w:val="auto"/>
        </w:rPr>
        <w:t>In developing trading instructions or formulas, you should account for potential “short-swing” trading liability under Section 16(b).</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Ensure that the trading plan complies with Company-imposed requirements</w:t>
      </w:r>
    </w:p>
    <w:p>
      <w:pPr>
        <w:spacing w:after="0" w:line="209" w:lineRule="exact"/>
        <w:rPr>
          <w:sz w:val="20"/>
          <w:szCs w:val="20"/>
          <w:color w:val="auto"/>
        </w:rPr>
      </w:pPr>
    </w:p>
    <w:p>
      <w:pPr>
        <w:jc w:val="both"/>
        <w:ind w:firstLine="749"/>
        <w:spacing w:after="0" w:line="260" w:lineRule="exact"/>
        <w:rPr>
          <w:sz w:val="20"/>
          <w:szCs w:val="20"/>
          <w:color w:val="auto"/>
        </w:rPr>
      </w:pPr>
      <w:r>
        <w:rPr>
          <w:rFonts w:ascii="Times New Roman" w:cs="Times New Roman" w:eastAsia="Times New Roman" w:hAnsi="Times New Roman"/>
          <w:sz w:val="22"/>
          <w:szCs w:val="22"/>
          <w:color w:val="auto"/>
        </w:rPr>
        <w:t>You should ensure that the trading plan complies with any Company-imposed requirements, which may be in addition to the requirements under 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Please contact the Compliance Officer under the insider trading policy for further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Develop trading instructions</w:t>
      </w:r>
    </w:p>
    <w:p>
      <w:pPr>
        <w:spacing w:after="0" w:line="174" w:lineRule="exact"/>
        <w:rPr>
          <w:sz w:val="20"/>
          <w:szCs w:val="20"/>
          <w:color w:val="auto"/>
        </w:rPr>
      </w:pPr>
    </w:p>
    <w:p>
      <w:pPr>
        <w:ind w:left="760"/>
        <w:spacing w:after="0" w:line="253" w:lineRule="exact"/>
        <w:rPr>
          <w:sz w:val="20"/>
          <w:szCs w:val="20"/>
          <w:color w:val="auto"/>
        </w:rPr>
      </w:pPr>
      <w:r>
        <w:rPr>
          <w:rFonts w:ascii="Times New Roman" w:cs="Times New Roman" w:eastAsia="Times New Roman" w:hAnsi="Times New Roman"/>
          <w:sz w:val="22"/>
          <w:szCs w:val="22"/>
          <w:color w:val="auto"/>
        </w:rPr>
        <w:t>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allows significant flexibility in designing trading instructions or formulas. For example, you can:</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construct a matrix with different sale amounts at different price targets;</w:t>
      </w:r>
    </w:p>
    <w:p>
      <w:pPr>
        <w:spacing w:after="0" w:line="97" w:lineRule="exact"/>
        <w:rPr>
          <w:sz w:val="20"/>
          <w:szCs w:val="20"/>
          <w:color w:val="auto"/>
        </w:rPr>
      </w:pPr>
    </w:p>
    <w:p>
      <w:pPr>
        <w:ind w:left="1140" w:firstLine="57"/>
        <w:spacing w:after="0" w:line="255" w:lineRule="auto"/>
        <w:rPr>
          <w:sz w:val="20"/>
          <w:szCs w:val="20"/>
          <w:color w:val="auto"/>
        </w:rPr>
      </w:pPr>
      <w:r>
        <w:rPr>
          <w:rFonts w:ascii="Times New Roman" w:cs="Times New Roman" w:eastAsia="Times New Roman" w:hAnsi="Times New Roman"/>
          <w:sz w:val="22"/>
          <w:szCs w:val="22"/>
          <w:color w:val="auto"/>
        </w:rPr>
        <w:t>base trading decisions on the performance of the Company’s stock against various market or industry indices, price gaps or personal financial milestones;</w:t>
      </w:r>
    </w:p>
    <w:p>
      <w:pPr>
        <w:spacing w:after="0" w:line="55" w:lineRule="exact"/>
        <w:rPr>
          <w:sz w:val="20"/>
          <w:szCs w:val="20"/>
          <w:color w:val="auto"/>
        </w:rPr>
      </w:pPr>
    </w:p>
    <w:p>
      <w:pPr>
        <w:ind w:left="1140" w:firstLine="97"/>
        <w:spacing w:after="0" w:line="255" w:lineRule="auto"/>
        <w:rPr>
          <w:sz w:val="20"/>
          <w:szCs w:val="20"/>
          <w:color w:val="auto"/>
        </w:rPr>
      </w:pPr>
      <w:r>
        <w:rPr>
          <w:rFonts w:ascii="Times New Roman" w:cs="Times New Roman" w:eastAsia="Times New Roman" w:hAnsi="Times New Roman"/>
          <w:sz w:val="22"/>
          <w:szCs w:val="22"/>
          <w:color w:val="auto"/>
        </w:rPr>
        <w:t>tie transactions to independent events, such as the timing of tuition or mortgage payments or other financial obligations;</w:t>
      </w:r>
    </w:p>
    <w:p>
      <w:pPr>
        <w:spacing w:after="0" w:line="55" w:lineRule="exact"/>
        <w:rPr>
          <w:sz w:val="20"/>
          <w:szCs w:val="20"/>
          <w:color w:val="auto"/>
        </w:rPr>
      </w:pPr>
    </w:p>
    <w:p>
      <w:pPr>
        <w:ind w:left="1140" w:right="20" w:firstLine="70"/>
        <w:spacing w:after="0" w:line="255" w:lineRule="auto"/>
        <w:rPr>
          <w:sz w:val="20"/>
          <w:szCs w:val="20"/>
          <w:color w:val="auto"/>
        </w:rPr>
      </w:pPr>
      <w:r>
        <w:rPr>
          <w:rFonts w:ascii="Times New Roman" w:cs="Times New Roman" w:eastAsia="Times New Roman" w:hAnsi="Times New Roman"/>
          <w:sz w:val="22"/>
          <w:szCs w:val="22"/>
          <w:color w:val="auto"/>
        </w:rPr>
        <w:t>prioritize the sale (or exercise and sale) of particular securities based on factors such as tax treatment, tax basis, expiration dates and exercise prices; and</w:t>
      </w:r>
    </w:p>
    <w:p>
      <w:pPr>
        <w:spacing w:after="0" w:line="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establish a trading plan for a single transaction.</w:t>
      </w:r>
    </w:p>
    <w:p>
      <w:pPr>
        <w:spacing w:after="0" w:line="170" w:lineRule="exact"/>
        <w:rPr>
          <w:sz w:val="20"/>
          <w:szCs w:val="20"/>
          <w:color w:val="auto"/>
        </w:rPr>
      </w:pPr>
    </w:p>
    <w:p>
      <w:pPr>
        <w:jc w:val="both"/>
        <w:ind w:firstLine="749"/>
        <w:spacing w:after="0" w:line="264" w:lineRule="exact"/>
        <w:rPr>
          <w:sz w:val="20"/>
          <w:szCs w:val="20"/>
          <w:color w:val="auto"/>
        </w:rPr>
      </w:pPr>
      <w:r>
        <w:rPr>
          <w:rFonts w:ascii="Times New Roman" w:cs="Times New Roman" w:eastAsia="Times New Roman" w:hAnsi="Times New Roman"/>
          <w:sz w:val="22"/>
          <w:szCs w:val="22"/>
          <w:color w:val="auto"/>
        </w:rPr>
        <w:t>Various types of transactions may be structured to fit the affirmative defense under 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For example, a trading plan can cover pre-scheduled stock option exercises and sales. This may be helpful in avoiding a situation where a blackout period may effectively block exercise of an in-the-money option that is about to expire because a same-day sale is necessary to fund payment of the exercise price and/or taxes. If properly</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structured, employee stock purchase plan transactions and 401(k) plan transactions can also qualify for the affirmative defense.</w:t>
      </w:r>
    </w:p>
    <w:p>
      <w:pPr>
        <w:spacing w:after="0" w:line="20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2"/>
          <w:szCs w:val="22"/>
          <w:color w:val="auto"/>
        </w:rPr>
        <w:t>You may find it helpful to discuss trading strategies with a broker or another market professional prior to adopting a trading plan, particularly if the trading plan covers large amounts of stock.</w:t>
      </w:r>
    </w:p>
    <w:p>
      <w:pPr>
        <w:spacing w:after="0" w:line="163" w:lineRule="exact"/>
        <w:rPr>
          <w:sz w:val="20"/>
          <w:szCs w:val="20"/>
          <w:color w:val="auto"/>
        </w:rPr>
      </w:pPr>
    </w:p>
    <w:p>
      <w:pPr>
        <w:ind w:right="1500" w:firstLine="749"/>
        <w:spacing w:after="0" w:line="434" w:lineRule="auto"/>
        <w:rPr>
          <w:sz w:val="20"/>
          <w:szCs w:val="20"/>
          <w:color w:val="auto"/>
        </w:rPr>
      </w:pPr>
      <w:r>
        <w:rPr>
          <w:rFonts w:ascii="Times New Roman" w:cs="Times New Roman" w:eastAsia="Times New Roman" w:hAnsi="Times New Roman"/>
          <w:sz w:val="22"/>
          <w:szCs w:val="22"/>
          <w:color w:val="auto"/>
        </w:rPr>
        <w:t xml:space="preserve">You should also carefully consider the guidance below when designing trading instructions or formulas. </w:t>
      </w:r>
      <w:r>
        <w:rPr>
          <w:rFonts w:ascii="Times New Roman" w:cs="Times New Roman" w:eastAsia="Times New Roman" w:hAnsi="Times New Roman"/>
          <w:sz w:val="22"/>
          <w:szCs w:val="22"/>
          <w:b w:val="1"/>
          <w:bCs w:val="1"/>
          <w:color w:val="auto"/>
        </w:rPr>
        <w:t>Avoid unnecessarily complicated instructions</w:t>
      </w:r>
    </w:p>
    <w:p>
      <w:pPr>
        <w:spacing w:after="0" w:line="1"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You should be careful to avoid unnecessarily complicated instructions or formulas. Complicated instructions or formulas may result in mistakes in execution by the person administering the plan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due to a misunderstanding or misapplication of an instruction or formula or the failure to complete a calculation in time to exploit a market opportunity). In addition, while an elaborate trading plan may reduce the inference of insider trading in some instances, elaborate trading plans may look suspicious in other instances.</w:t>
      </w:r>
    </w:p>
    <w:p>
      <w:pPr>
        <w:spacing w:after="0" w:line="17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In general, instructions and formulas should be carefully and explicitly drafted to avoid potential misunderstandings. You should try to provide as much detail as possible to facilitate the proper execution of the trading plan. For example, if you have shares in more than one brokerage account, the plan should specify which shares are subject to the plan. Likewise, if you possess several series of options, the plan should specify which options to exercise. It may also be helpful to include examples of different scenarios in the instructions, and/or to review the trading instructions in advance with the person administering the plan, to help ensure that you are in agreement as to how the instructions or formulas are to operate. If you plan to adopt particularly complicated instructions, you may want to consider hiring a money manager to assist in implementing your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Exercise caution when adopting plans based on specific prices, floors or ceilings</w:t>
      </w:r>
    </w:p>
    <w:p>
      <w:pPr>
        <w:spacing w:after="0" w:line="174" w:lineRule="exact"/>
        <w:rPr>
          <w:sz w:val="20"/>
          <w:szCs w:val="20"/>
          <w:color w:val="auto"/>
        </w:rPr>
      </w:pPr>
    </w:p>
    <w:p>
      <w:pPr>
        <w:jc w:val="both"/>
        <w:ind w:firstLine="749"/>
        <w:spacing w:after="0" w:line="254" w:lineRule="exact"/>
        <w:rPr>
          <w:sz w:val="20"/>
          <w:szCs w:val="20"/>
          <w:color w:val="auto"/>
        </w:rPr>
      </w:pPr>
      <w:r>
        <w:rPr>
          <w:rFonts w:ascii="Times New Roman" w:cs="Times New Roman" w:eastAsia="Times New Roman" w:hAnsi="Times New Roman"/>
          <w:sz w:val="20"/>
          <w:szCs w:val="20"/>
          <w:color w:val="auto"/>
        </w:rPr>
        <w:t>Although Rule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1(c) permits plans based on “the market price on a particular date or a limit price, or a particular dollar price”, you should be careful when adopting plans that contain instructions that set specific prices, floors or ceilings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limit orders or stop orders). These types of plans are riskier than plans that set specific numbers of shares to be sold, since it may be inferred from price-based instructions that, for example, you had a motive to inflate stock prices or had knowledge of events that would change prices. In addition, these types of plans may produce an irregular pattern of trades instead of a more regular trading pattern (which is more defensible). You may want to give some consideration, however, to including floors to avoid sales at prices that are unacceptably low (or to avoid a subsequent modification or termination of the trading plan to avoid such sales).</w:t>
      </w:r>
    </w:p>
    <w:p>
      <w:pPr>
        <w:spacing w:after="0" w:line="18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If you intend to adopt a plan with specific prices, floors or ceilings, you should consider carefully the prices at which trades are to be executed. A plan with specific prices, floors or ceilings may result in periods of no stock sales, which may run counter to the reasons for adopting a plan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cash flow and portfolio diversification). If your price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color w:val="auto"/>
        </w:rPr>
        <w:t>targets are high relative to then existing prices, you may want to wait on establishing a trading plan until the targets are more likely reachable. By delaying the adoption of a plan in that instance, you may be able to avoid risks associated with any subsequent modification or termination of an ineffective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Consider the expected magnitude and timing of trades under the trading plan relative to the adoption of the plan</w:t>
      </w:r>
    </w:p>
    <w:p>
      <w:pPr>
        <w:spacing w:after="0" w:line="20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When preparing a trading plan, you should give some consideration as to the expected timing and magnitude of trades relative to the adoption of the trading plan. Significant trading activity that occurs shortly after adoption of the plan may raise suspicion as to whether the trades were based on material nonpublic information.</w:t>
      </w:r>
    </w:p>
    <w:p>
      <w:pPr>
        <w:spacing w:after="0" w:line="17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b w:val="1"/>
          <w:bCs w:val="1"/>
          <w:color w:val="auto"/>
        </w:rPr>
        <w:t>Consider whether expected trades under the trading plan will coincide with significant future announcements or developments</w:t>
      </w:r>
    </w:p>
    <w:p>
      <w:pPr>
        <w:spacing w:after="0" w:line="15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When preparing a trading plan, you should give some consideration as to whether trades are expected to occur during quarterly trading blackout periods established under the Company’s insider trading policy (or around the time other significant announcements or developments involving the Company are expected). Even though transactions executed in accordance with a properly designed trading plan are subject to an affirmative defense against insider trading claims (and are exempt from trading blackout periods under the Company’s insider trading policy), the investing public and media may not understand the nuances of trading pursuant to a trading plan. Trades that occur at times shortly before a Company announces material news may therefore result in negative publicity for you and the Company. In addition, trades that occur in the same general time frame as a significant announcement may raise questions as to whether the timing of the announcement was manipulated to your benefit. If you are generally indifferent as to the specific timing of a trade, you should try to avoid having trades occur, for example, before quarterly earnings announcements. An even more conservative approach would involve avoiding trades during the month of the Company’s earnings release.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Consider the expected magnitude and frequency of trades under the plan generally</w:t>
      </w:r>
    </w:p>
    <w:p>
      <w:pPr>
        <w:spacing w:after="0" w:line="209" w:lineRule="exact"/>
        <w:rPr>
          <w:sz w:val="20"/>
          <w:szCs w:val="20"/>
          <w:color w:val="auto"/>
        </w:rPr>
      </w:pPr>
    </w:p>
    <w:p>
      <w:pPr>
        <w:jc w:val="both"/>
        <w:ind w:firstLine="749"/>
        <w:spacing w:after="0" w:line="249" w:lineRule="exact"/>
        <w:rPr>
          <w:sz w:val="20"/>
          <w:szCs w:val="20"/>
          <w:color w:val="auto"/>
        </w:rPr>
      </w:pPr>
      <w:r>
        <w:rPr>
          <w:rFonts w:ascii="Times New Roman" w:cs="Times New Roman" w:eastAsia="Times New Roman" w:hAnsi="Times New Roman"/>
          <w:sz w:val="20"/>
          <w:szCs w:val="20"/>
          <w:color w:val="auto"/>
        </w:rPr>
        <w:t>When preparing a trading plan, you should give some consideration generally to the expected magnitude and frequency of trades under the plan. Spreading out trades may decrease exposure to insider trading claims. A regular pattern of small sales helps to limit any inference that you sought to exploit material nonpublic information in developing your trading plan. A regular pattern of small sales may also help to negate any argument that the plan was not entered in good faith or that the plan was part of a scheme to evade the prohibitions of Rule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In contrast, occasional high-volume sales may send a negative signal to the investment community and, if any of those sales turn out to precede bad news, may attract attention from the SEC and private securities class action plaintiffs. Plans that involve a regular pattern of small sales may also be easier to administer. You should note, however, that frequent trades may give rise to significant Section 16 reporting obligations, to the extent applicable.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You may want to limit the portion of your holdings that are subject to the trading plan to limit your overall exposure to situations where your trading instructions or formulas may not account for unexpected market changes. You may also want to cap or otherwise limit the amount of potential sales for a particular period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week, month, quarter) to decrease the risk of unintended large sales (particularly if the trading plan provides for cumulative sales in the event of shortfalls).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Determine an appropriate duration for the trading plan</w:t>
      </w:r>
    </w:p>
    <w:p>
      <w:pPr>
        <w:spacing w:after="0" w:line="174" w:lineRule="exact"/>
        <w:rPr>
          <w:sz w:val="20"/>
          <w:szCs w:val="20"/>
          <w:color w:val="auto"/>
        </w:rPr>
      </w:pPr>
    </w:p>
    <w:p>
      <w:pPr>
        <w:jc w:val="both"/>
        <w:ind w:firstLine="749"/>
        <w:spacing w:after="0" w:line="257" w:lineRule="exact"/>
        <w:rPr>
          <w:sz w:val="20"/>
          <w:szCs w:val="20"/>
          <w:color w:val="auto"/>
        </w:rPr>
      </w:pPr>
      <w:r>
        <w:rPr>
          <w:rFonts w:ascii="Times New Roman" w:cs="Times New Roman" w:eastAsia="Times New Roman" w:hAnsi="Times New Roman"/>
          <w:sz w:val="22"/>
          <w:szCs w:val="22"/>
          <w:color w:val="auto"/>
        </w:rPr>
        <w:t>Although 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does not prescribe any limits on the duration of trading plans, it is advisable to have trading plans terminate after a certain period. Requiring that trading plans have a set term will force you to re-evaluate your trading instructions periodically, and allows you to change your trading instructions (in conjunction with adopting a new plan upon the scheduled expiration of the existing plan) without raising any suspicions about the timing of those changes. It also allows you an opportunity to revert from a trading plan to normal, discretionary trading without raising questions about the timing of that switch.</w:t>
      </w:r>
    </w:p>
    <w:p>
      <w:pPr>
        <w:spacing w:after="0" w:line="181"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While it is important that you comply with Company-imposed requirements as to the minimum duration for trading plans, you should also generally try to avoid adopting a plan that has an unnecessarily long duration. The longer the duration, the greater the risk that circumstances may change such that you will have an incentive to modify or terminate the plan. The modification or early termination of a plan may create an implication that prior transactions under the plan were not in fact pursuant to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plan. In addition, subsequent trading will not be considered as pursuant to the trading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Accommodate for unexpected events that may warrant temporary suspension of trading under the plan</w:t>
      </w:r>
    </w:p>
    <w:p>
      <w:pPr>
        <w:spacing w:after="0" w:line="209" w:lineRule="exact"/>
        <w:rPr>
          <w:sz w:val="20"/>
          <w:szCs w:val="20"/>
          <w:color w:val="auto"/>
        </w:rPr>
      </w:pPr>
    </w:p>
    <w:p>
      <w:pPr>
        <w:jc w:val="both"/>
        <w:ind w:firstLine="749"/>
        <w:spacing w:after="0" w:line="270" w:lineRule="exact"/>
        <w:rPr>
          <w:sz w:val="20"/>
          <w:szCs w:val="20"/>
          <w:color w:val="auto"/>
        </w:rPr>
      </w:pPr>
      <w:r>
        <w:rPr>
          <w:rFonts w:ascii="Times New Roman" w:cs="Times New Roman" w:eastAsia="Times New Roman" w:hAnsi="Times New Roman"/>
          <w:sz w:val="22"/>
          <w:szCs w:val="22"/>
          <w:color w:val="auto"/>
        </w:rPr>
        <w:t>In preparing a plan, you should make allowances for unforeseen events that may warrant automatic suspension of transactions under the plan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a proxy contest, tender offer, merger, </w:t>
      </w:r>
      <w:r>
        <w:rPr>
          <w:rFonts w:ascii="Times New Roman" w:cs="Times New Roman" w:eastAsia="Times New Roman" w:hAnsi="Times New Roman"/>
          <w:sz w:val="22"/>
          <w:szCs w:val="22"/>
          <w:i w:val="1"/>
          <w:iCs w:val="1"/>
          <w:color w:val="auto"/>
        </w:rPr>
        <w:t>etc.</w:t>
      </w:r>
      <w:r>
        <w:rPr>
          <w:rFonts w:ascii="Times New Roman" w:cs="Times New Roman" w:eastAsia="Times New Roman" w:hAnsi="Times New Roman"/>
          <w:sz w:val="22"/>
          <w:szCs w:val="22"/>
          <w:color w:val="auto"/>
        </w:rPr>
        <w:t>). In particular, you should note that in the context of tender offers, you may be subject to liability under Exchange Act Rule 14e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for transactions under a plan.</w:t>
      </w:r>
    </w:p>
    <w:p>
      <w:pPr>
        <w:spacing w:after="0" w:line="147" w:lineRule="exact"/>
        <w:rPr>
          <w:sz w:val="20"/>
          <w:szCs w:val="20"/>
          <w:color w:val="auto"/>
        </w:rPr>
      </w:pPr>
    </w:p>
    <w:p>
      <w:pPr>
        <w:jc w:val="both"/>
        <w:ind w:right="20" w:firstLine="749"/>
        <w:spacing w:after="0" w:line="255" w:lineRule="auto"/>
        <w:rPr>
          <w:sz w:val="20"/>
          <w:szCs w:val="20"/>
          <w:color w:val="auto"/>
        </w:rPr>
      </w:pPr>
      <w:r>
        <w:rPr>
          <w:rFonts w:ascii="Times New Roman" w:cs="Times New Roman" w:eastAsia="Times New Roman" w:hAnsi="Times New Roman"/>
          <w:sz w:val="22"/>
          <w:szCs w:val="22"/>
          <w:color w:val="auto"/>
        </w:rPr>
        <w:t>If the plan provides for purchases of securities, you should also consider whether it is appropriate to suspend trades in connection with securities offerings by the Company to avoid potential liability under Regulation M requirements.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Account for the potential need to modify or terminate the plan</w:t>
      </w:r>
    </w:p>
    <w:p>
      <w:pPr>
        <w:spacing w:after="0" w:line="20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While modifications are discouraged, there may be situations in which market volatility fundamentally alters the conditions under which you adopted the trading plan. To anticipate this possibility, it is advisable that a trading plan include formal provisions for its modification, subject to any Company-imposed requirements with respect to the modification of plans. Modifications can then be made in a planned and limited manner, which may be helpful in defending against claims that modification of the trading plan undermines the good faith nature of the existing plan.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181"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Similarly, it may be helpful to include a provision in the plan that permits you to terminate the plan. Although such a provision may not shield you from questions of bad faith in connection with terminating a plan, you would at least avoid having to defend why you acted in a manner that was inconsistent with the express terms of the plan. You may also want your trading plan to provide for automatic termination upon certain changes in personal circumstances such as death, bankruptcy or insolvency or divorce.</w:t>
      </w:r>
    </w:p>
    <w:p>
      <w:pPr>
        <w:spacing w:after="0" w:line="17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You should be careful to restrict those circumstances in which the trading plan may be terminated without your consent. You may be subject to some hardship, for example, if the person administering the plan terminated your trading plan at a time when you possessed material nonpublic information. In that case, you would be prohibited from trading until you no longer possessed material nonpublic information (and possibly longer if, for example, the plan was terminated during a trading blackout period).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Avoid modifying the trading plan</w:t>
      </w:r>
    </w:p>
    <w:p>
      <w:pPr>
        <w:spacing w:after="0" w:line="174" w:lineRule="exact"/>
        <w:rPr>
          <w:sz w:val="20"/>
          <w:szCs w:val="20"/>
          <w:color w:val="auto"/>
        </w:rPr>
      </w:pPr>
    </w:p>
    <w:p>
      <w:pPr>
        <w:jc w:val="both"/>
        <w:ind w:firstLine="749"/>
        <w:spacing w:after="0" w:line="257" w:lineRule="exact"/>
        <w:rPr>
          <w:sz w:val="20"/>
          <w:szCs w:val="20"/>
          <w:color w:val="auto"/>
        </w:rPr>
      </w:pPr>
      <w:r>
        <w:rPr>
          <w:rFonts w:ascii="Times New Roman" w:cs="Times New Roman" w:eastAsia="Times New Roman" w:hAnsi="Times New Roman"/>
          <w:sz w:val="22"/>
          <w:szCs w:val="22"/>
          <w:color w:val="auto"/>
        </w:rPr>
        <w:t>You should try to avoid modifying the trading plan. 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requires that, to be covered by the affirmative defense, a transaction must occur pursuant to a trading plan. This requirement will not be satisfied if you alter or deviate from the trading plan (whether by changing the amount, price or timing of a purchase or sale) or if you enter into or alter a corresponding or hedging transaction or position with respect to transactions under the plan. In addition, modification of a trading plan brings into question whether the trading plan was entered in good faith and whether any prior transactions under the trading plan were in fact made pursuant to a plan for purposes of the requirements of 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Deviation from the trading plan also suggests that you may be modifying trading behavior to take advantage of material nonpublic information.</w:t>
      </w:r>
    </w:p>
    <w:p>
      <w:pPr>
        <w:spacing w:after="0" w:line="181"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Although deviations will not be considered part of the existing trading plan for purposes of the affirmative defense, it is possible for a person acting in good faith to modify a trading plan at a time when the person is not aware of material nonpublic information. In such a situation, a purchase or sale that complies with the modified trading plan will be deemed to have been made pursuant to a new trading plan. You should note, however, that you will need to comply with Company-imposed restrictions with respect to any modification of trading plans.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Consider having an independent party administer the trading plan</w:t>
      </w:r>
    </w:p>
    <w:p>
      <w:pPr>
        <w:spacing w:after="0" w:line="20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Having an independent party administer the trading plan may help to limit your exposure to potential liability for trades under the plan. Even if your trading plan is based on specific instructions or a specific formula, there is often some discretion in effecting trades under a plan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in deciding the specific time during a given trading day when orders will be entered) for which it may be appropriate to involve an independent decision maker.</w:t>
      </w:r>
    </w:p>
    <w:p>
      <w:pPr>
        <w:spacing w:after="0" w:line="182" w:lineRule="exact"/>
        <w:rPr>
          <w:sz w:val="20"/>
          <w:szCs w:val="20"/>
          <w:color w:val="auto"/>
        </w:rPr>
      </w:pPr>
    </w:p>
    <w:p>
      <w:pPr>
        <w:jc w:val="both"/>
        <w:ind w:right="20" w:firstLine="749"/>
        <w:spacing w:after="0" w:line="242" w:lineRule="auto"/>
        <w:rPr>
          <w:sz w:val="20"/>
          <w:szCs w:val="20"/>
          <w:color w:val="auto"/>
        </w:rPr>
      </w:pPr>
      <w:r>
        <w:rPr>
          <w:rFonts w:ascii="Times New Roman" w:cs="Times New Roman" w:eastAsia="Times New Roman" w:hAnsi="Times New Roman"/>
          <w:sz w:val="22"/>
          <w:szCs w:val="22"/>
          <w:color w:val="auto"/>
        </w:rPr>
        <w:t>In general, when selecting someone to administer your trading plan, you should consider whether that person has a relationship with you or the Company that could undermine the affirmative defense in the event of litigation. Consequently, it may be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81" w:lineRule="exact"/>
        <w:rPr>
          <w:sz w:val="20"/>
          <w:szCs w:val="20"/>
          <w:color w:val="auto"/>
        </w:rPr>
      </w:pPr>
    </w:p>
    <w:p>
      <w:pPr>
        <w:jc w:val="both"/>
        <w:spacing w:after="0" w:line="249" w:lineRule="exact"/>
        <w:rPr>
          <w:sz w:val="20"/>
          <w:szCs w:val="20"/>
          <w:color w:val="auto"/>
        </w:rPr>
      </w:pPr>
      <w:r>
        <w:rPr>
          <w:rFonts w:ascii="Times New Roman" w:cs="Times New Roman" w:eastAsia="Times New Roman" w:hAnsi="Times New Roman"/>
          <w:sz w:val="22"/>
          <w:szCs w:val="22"/>
          <w:color w:val="auto"/>
        </w:rPr>
        <w:t>helpful to select a person with whom only a professional, arm’s-length relationship exists. You should, however, try to avoid using the person that regularly executes trades in your securities. Because you may be in frequent contact with that person, there is an increased likelihood that he or she may be in possession of material nonpublic information concerning the Company when exercising discretionary authority under the plan (which is prohibited by 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You should also exercise caution if you are considering using a broker that is directly or indirectly affiliated with the Company. If a broker works for a firm that is also the Company’s investment banker, for example, there is a significant risk that the firm may have inside information concerning the Company that may be imputed to the broker.</w:t>
      </w:r>
    </w:p>
    <w:p>
      <w:pPr>
        <w:spacing w:after="0" w:line="185" w:lineRule="exact"/>
        <w:rPr>
          <w:sz w:val="20"/>
          <w:szCs w:val="20"/>
          <w:color w:val="auto"/>
        </w:rPr>
      </w:pPr>
    </w:p>
    <w:p>
      <w:pPr>
        <w:jc w:val="both"/>
        <w:ind w:firstLine="749"/>
        <w:spacing w:after="0" w:line="264" w:lineRule="exact"/>
        <w:rPr>
          <w:sz w:val="20"/>
          <w:szCs w:val="20"/>
          <w:color w:val="auto"/>
        </w:rPr>
      </w:pPr>
      <w:r>
        <w:rPr>
          <w:rFonts w:ascii="Times New Roman" w:cs="Times New Roman" w:eastAsia="Times New Roman" w:hAnsi="Times New Roman"/>
          <w:sz w:val="22"/>
          <w:szCs w:val="22"/>
          <w:color w:val="auto"/>
        </w:rPr>
        <w:t>One possible approach is to have a separate department within a brokerage firm administer the plan. Many brokerage firms have a special trading desk dedicated to administering trading plans and have implemented related ethical wall procedures. A dedicated department in a brokerage firm may have more experience following complex instructions, will be more knowledgeable about the parameters of 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and will be less likely to be subject to influence by you.</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If you rely on someone to administer the trading plan, implement procedures to ensure their independence</w:t>
      </w:r>
    </w:p>
    <w:p>
      <w:pPr>
        <w:spacing w:after="0" w:line="20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To help ensure that the person administering your plan is independent, your trading plan could specify that (i) you and the person administering the plan will only communicate in writing (thereby documenting all communications in case of future SEC inquiry), (ii) you will not communicate any information concerning the Company or its securities to the person administering the plan and (iii) if you are using a broker, there must be ethical wall procedures to restrict communications within the brokerage firm regarding the Company and your trades. To further address concerns as to the availability of the affirmative defense, it may be helpful to include a provision in your agreement with the third party that provides for the suspension or termination of trading authority if the third party becomes aware of material nonpublic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Protect your rights when working with brokers or other third parties</w:t>
      </w:r>
    </w:p>
    <w:p>
      <w:pPr>
        <w:spacing w:after="0" w:line="209" w:lineRule="exact"/>
        <w:rPr>
          <w:sz w:val="20"/>
          <w:szCs w:val="20"/>
          <w:color w:val="auto"/>
        </w:rPr>
      </w:pPr>
    </w:p>
    <w:p>
      <w:pPr>
        <w:jc w:val="both"/>
        <w:ind w:right="20" w:firstLine="749"/>
        <w:spacing w:after="0" w:line="238" w:lineRule="auto"/>
        <w:rPr>
          <w:sz w:val="20"/>
          <w:szCs w:val="20"/>
          <w:color w:val="auto"/>
        </w:rPr>
      </w:pPr>
      <w:r>
        <w:rPr>
          <w:rFonts w:ascii="Times New Roman" w:cs="Times New Roman" w:eastAsia="Times New Roman" w:hAnsi="Times New Roman"/>
          <w:sz w:val="22"/>
          <w:szCs w:val="22"/>
          <w:color w:val="auto"/>
        </w:rPr>
        <w:t>When working with a broker or another third party in connection with a trading plan, you will typically be expected to enter into some sort of agreement with that person. Brokers, for example, will often have a standard form of stock sale agreement for purposes of implementing trading plans. Your trading instructions would typically be included as a section of the stock sale agreement or attached to the stock sale agreement as an exhibit.</w:t>
      </w:r>
    </w:p>
    <w:p>
      <w:pPr>
        <w:spacing w:after="0" w:line="18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While brokers will often request that you use their form of agreement, brokers will generally be amenable to the use of an alternative form or to revisions to their standard forms. Trading plans are for your benefit, and you should be proactive in defining the terms of the trading plan to ensure that your interests are adequately met. In particular, while you should consider recommendations and advice from the broker as to the trading plan generally, there should be no negotiation over the trading instructions.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81" w:lineRule="exact"/>
        <w:rPr>
          <w:sz w:val="20"/>
          <w:szCs w:val="20"/>
          <w:color w:val="auto"/>
        </w:rPr>
      </w:pPr>
    </w:p>
    <w:p>
      <w:pPr>
        <w:jc w:val="both"/>
        <w:ind w:firstLine="749"/>
        <w:spacing w:after="0" w:line="260" w:lineRule="exact"/>
        <w:rPr>
          <w:sz w:val="20"/>
          <w:szCs w:val="20"/>
          <w:color w:val="auto"/>
        </w:rPr>
      </w:pPr>
      <w:r>
        <w:rPr>
          <w:rFonts w:ascii="Times New Roman" w:cs="Times New Roman" w:eastAsia="Times New Roman" w:hAnsi="Times New Roman"/>
          <w:sz w:val="22"/>
          <w:szCs w:val="22"/>
          <w:color w:val="auto"/>
        </w:rPr>
        <w:t>It is strongly advised that you have an attorney review any proposed form of trading plan for compliance with 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as well as to protect your legal rights generally. You should expect that third parties will request certain rights and protections (such as indemnification) that may be to your potential detriment.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Provide the person administering the trading plan with some flexibility in executing orders</w:t>
      </w:r>
    </w:p>
    <w:p>
      <w:pPr>
        <w:spacing w:after="0" w:line="20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If a third party is administering the plan, you should try to provide that person with some flexibility in executing orders. Otherwise, trades may not occur as planned. Factors such as insufficient trading volume and market volatility may prevent trades from being executed as planned, particularly if the trading plan includes strict instructions with respect to the timing of transactions or provides for block purchases or sales. You should also consider how to handle any shortfalls that may occur if the person administering the plan is unable or otherwise fails to effect all transactions specified in the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Consider delegating the precise timing of trades to a third party</w:t>
      </w:r>
    </w:p>
    <w:p>
      <w:pPr>
        <w:spacing w:after="0" w:line="20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Where appropriate, to minimize the risk of allegations that you (i) selected the precise timing of trades based on your knowledge of material nonpublic information or (ii) affected the timing of disclosure to manipulate the stock price to your benefit, you should consider delegating discretion regarding the exact timing of trades, within a specified period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five trading days), to a stockbroker or other third party administering the plan. This may also be beneficial since that other person may be able to maximize proceeds from sales by taking into account publicly available information and general market trend information when determining the precise timing of trades. In contrast, the use of a pre-designated date and/or time may lock you into a trade at an inopportune time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when prices are unusually low).</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8355"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6" w:name="page257"/>
    <w:bookmarkEnd w:id="256"/>
    <w:p>
      <w:pPr>
        <w:ind w:left="102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of Soleno Therapeutics, Inc.</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20" w:type="dxa"/>
            <w:vAlign w:val="bottom"/>
          </w:tcPr>
          <w:p>
            <w:pPr>
              <w:spacing w:after="0"/>
              <w:rPr>
                <w:sz w:val="15"/>
                <w:szCs w:val="15"/>
                <w:color w:val="auto"/>
              </w:rPr>
            </w:pP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191"/>
        </w:trPr>
        <w:tc>
          <w:tcPr>
            <w:tcW w:w="55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Soleno Therapeutics U.K. Ltd.</w:t>
            </w:r>
          </w:p>
        </w:tc>
        <w:tc>
          <w:tcPr>
            <w:tcW w:w="220" w:type="dxa"/>
            <w:vAlign w:val="bottom"/>
          </w:tcPr>
          <w:p>
            <w:pPr>
              <w:spacing w:after="0"/>
              <w:rPr>
                <w:sz w:val="16"/>
                <w:szCs w:val="16"/>
                <w:color w:val="auto"/>
              </w:rPr>
            </w:pPr>
          </w:p>
        </w:tc>
        <w:tc>
          <w:tcPr>
            <w:tcW w:w="55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United Kingdom</w:t>
            </w:r>
          </w:p>
        </w:tc>
      </w:tr>
      <w:tr>
        <w:trPr>
          <w:trHeight w:val="215"/>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Soleno Therapeutics Europe Ltd.</w:t>
            </w:r>
          </w:p>
        </w:tc>
        <w:tc>
          <w:tcPr>
            <w:tcW w:w="2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Essentialis, Inc.</w:t>
            </w:r>
          </w:p>
        </w:tc>
        <w:tc>
          <w:tcPr>
            <w:tcW w:w="2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1636"/>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257" w:name="page258"/>
    <w:bookmarkEnd w:id="257"/>
    <w:p>
      <w:pPr>
        <w:ind w:left="1026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REGISTERED PUBLIC ACCOUNTING FIRM’S CONSENT</w:t>
      </w: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of Soleno Therapeutics, Inc. on Form S-8 (File No.’s 333-200175, 333-210563, 333-220056, 333-224070, 333-230402, 333-235999, 333-239496, 333-252014, 333-264035, 333-270285, 333-273816, 333-276548, 333-276785 and 333-281339) and Form S-3 (File No.'s 333-275120 and 333-276344) of our report dated February 28, 2025, with respect to our audits of the consolidated financial statements of Soleno Therapeutics, Inc. as of December 31, 2024 and 2023 and for each of the three years in the period ended December 31, 2024 and our report dated February 28, 2025 with respect to our audit of internal control over financial reporting of Soleno Therapeutics, Inc. as of December 31, 2024, which reports are included in this Annual Report on Form 10-K of Soleno Therapeutics, Inc. for the year ended December 31, 2024.</w:t>
      </w:r>
    </w:p>
    <w:p>
      <w:pPr>
        <w:spacing w:after="0" w:line="18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Our report on the effectiveness of internal control over financial reporting as of December 31, 2024 expressed an adverse opinion because of the existence of a material weakness.</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Marcum LLP</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Marcum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 Francisco, CA</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1019175</wp:posOffset>
            </wp:positionV>
            <wp:extent cx="7158355"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258" w:name="page259"/>
    <w:bookmarkEnd w:id="258"/>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Anish Bhatnagar, M.D., certify that:</w:t>
      </w:r>
    </w:p>
    <w:p>
      <w:pPr>
        <w:spacing w:after="0" w:line="116" w:lineRule="exact"/>
        <w:rPr>
          <w:sz w:val="20"/>
          <w:szCs w:val="20"/>
          <w:color w:val="auto"/>
        </w:rPr>
      </w:pPr>
    </w:p>
    <w:p>
      <w:pPr>
        <w:ind w:left="520" w:hanging="512"/>
        <w:spacing w:after="0"/>
        <w:tabs>
          <w:tab w:leader="none" w:pos="5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Soleno Therapeutics, Inc.;</w:t>
      </w:r>
    </w:p>
    <w:p>
      <w:pPr>
        <w:spacing w:after="0" w:line="116" w:lineRule="exact"/>
        <w:rPr>
          <w:rFonts w:ascii="Times New Roman" w:cs="Times New Roman" w:eastAsia="Times New Roman" w:hAnsi="Times New Roman"/>
          <w:sz w:val="18"/>
          <w:szCs w:val="18"/>
          <w:color w:val="auto"/>
        </w:rPr>
      </w:pPr>
    </w:p>
    <w:p>
      <w:pPr>
        <w:jc w:val="both"/>
        <w:ind w:left="520" w:right="280" w:hanging="512"/>
        <w:spacing w:after="0" w:line="265" w:lineRule="auto"/>
        <w:tabs>
          <w:tab w:leader="none" w:pos="5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20" w:right="500" w:hanging="504"/>
        <w:spacing w:after="0" w:line="311" w:lineRule="auto"/>
        <w:tabs>
          <w:tab w:leader="none" w:pos="1020"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1020" w:hanging="504"/>
        <w:spacing w:after="0" w:line="265" w:lineRule="auto"/>
        <w:tabs>
          <w:tab w:leader="none" w:pos="102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60" w:hanging="504"/>
        <w:spacing w:after="0" w:line="281" w:lineRule="auto"/>
        <w:tabs>
          <w:tab w:leader="none" w:pos="102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074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3">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Anish Bhatnagar</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1027430</wp:posOffset>
            </wp:positionV>
            <wp:extent cx="715835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259" w:name="page260"/>
    <w:bookmarkEnd w:id="259"/>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James Mackaness, certify that:</w:t>
      </w:r>
    </w:p>
    <w:p>
      <w:pPr>
        <w:spacing w:after="0" w:line="116" w:lineRule="exact"/>
        <w:rPr>
          <w:sz w:val="20"/>
          <w:szCs w:val="20"/>
          <w:color w:val="auto"/>
        </w:rPr>
      </w:pPr>
    </w:p>
    <w:p>
      <w:pPr>
        <w:ind w:left="520" w:hanging="512"/>
        <w:spacing w:after="0"/>
        <w:tabs>
          <w:tab w:leader="none" w:pos="5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Soleno Therapeutics, Inc.;</w:t>
      </w:r>
    </w:p>
    <w:p>
      <w:pPr>
        <w:spacing w:after="0" w:line="116" w:lineRule="exact"/>
        <w:rPr>
          <w:rFonts w:ascii="Times New Roman" w:cs="Times New Roman" w:eastAsia="Times New Roman" w:hAnsi="Times New Roman"/>
          <w:sz w:val="18"/>
          <w:szCs w:val="18"/>
          <w:color w:val="auto"/>
        </w:rPr>
      </w:pPr>
    </w:p>
    <w:p>
      <w:pPr>
        <w:jc w:val="both"/>
        <w:ind w:left="520" w:right="280" w:hanging="512"/>
        <w:spacing w:after="0" w:line="265" w:lineRule="auto"/>
        <w:tabs>
          <w:tab w:leader="none" w:pos="5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20" w:right="500" w:hanging="504"/>
        <w:spacing w:after="0" w:line="311" w:lineRule="auto"/>
        <w:tabs>
          <w:tab w:leader="none" w:pos="1020"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1020" w:hanging="504"/>
        <w:spacing w:after="0" w:line="265" w:lineRule="auto"/>
        <w:tabs>
          <w:tab w:leader="none" w:pos="10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60" w:hanging="504"/>
        <w:spacing w:after="0" w:line="281" w:lineRule="auto"/>
        <w:tabs>
          <w:tab w:leader="none" w:pos="10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074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5">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Mackaness</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1027430</wp:posOffset>
            </wp:positionV>
            <wp:extent cx="715835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Soleno Therapeutics, Inc. (the “Company”) on Form 10-K for the fiscal year ended December 31, 2024, as filed with the Securities and Exchange Commission (the “Report”), Anish Bhatnagar, President, Chief Executive Officer of the Company, do hereby certify, pursuant to 18 U.S.C. Section 1350, as adopted pursuant to Section 906 of the Sarbanes-Oxley Act of 2002, that:</w:t>
      </w:r>
    </w:p>
    <w:p>
      <w:pPr>
        <w:spacing w:after="0" w:line="69" w:lineRule="exact"/>
        <w:rPr>
          <w:sz w:val="20"/>
          <w:szCs w:val="20"/>
          <w:color w:val="auto"/>
        </w:rPr>
      </w:pPr>
    </w:p>
    <w:p>
      <w:pPr>
        <w:ind w:left="1020" w:hanging="369"/>
        <w:spacing w:after="0"/>
        <w:tabs>
          <w:tab w:leader="none" w:pos="10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6" w:lineRule="exact"/>
        <w:rPr>
          <w:rFonts w:ascii="Times New Roman" w:cs="Times New Roman" w:eastAsia="Times New Roman" w:hAnsi="Times New Roman"/>
          <w:sz w:val="18"/>
          <w:szCs w:val="18"/>
          <w:color w:val="auto"/>
        </w:rPr>
      </w:pPr>
    </w:p>
    <w:p>
      <w:pPr>
        <w:ind w:left="1020" w:hanging="369"/>
        <w:spacing w:after="0"/>
        <w:tabs>
          <w:tab w:leader="none" w:pos="10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Report fairly presents, in all material respects, the financial condition and results of operations of the Company.</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074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7">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Anish Bhatnagar</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1027430</wp:posOffset>
            </wp:positionV>
            <wp:extent cx="715835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410" w:right="379" w:bottom="1440" w:gutter="0" w:footer="0" w:header="0"/>
        </w:sectPr>
      </w:pPr>
    </w:p>
    <w:bookmarkStart w:id="261" w:name="page262"/>
    <w:bookmarkEnd w:id="261"/>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Soleno Therapeutics, Inc. (the “Company”) on Form 10-K for the fiscal year ended December 31, 2024, as filed with the Securities and Exchange Commission (the “Report”), James Mackaness, Chief Financial Officer of the Company, do hereby certify, pursuant to 18 U.S.C. Section 1350, as adopted pursuant to Section 906 of the Sarbanes-Oxley Act of 2002, that:</w:t>
      </w:r>
    </w:p>
    <w:p>
      <w:pPr>
        <w:spacing w:after="0" w:line="69" w:lineRule="exact"/>
        <w:rPr>
          <w:sz w:val="20"/>
          <w:szCs w:val="20"/>
          <w:color w:val="auto"/>
        </w:rPr>
      </w:pPr>
    </w:p>
    <w:p>
      <w:pPr>
        <w:ind w:left="1020" w:hanging="369"/>
        <w:spacing w:after="0"/>
        <w:tabs>
          <w:tab w:leader="none" w:pos="10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6" w:lineRule="exact"/>
        <w:rPr>
          <w:rFonts w:ascii="Times New Roman" w:cs="Times New Roman" w:eastAsia="Times New Roman" w:hAnsi="Times New Roman"/>
          <w:sz w:val="18"/>
          <w:szCs w:val="18"/>
          <w:color w:val="auto"/>
        </w:rPr>
      </w:pPr>
    </w:p>
    <w:p>
      <w:pPr>
        <w:ind w:left="1020" w:hanging="369"/>
        <w:spacing w:after="0"/>
        <w:tabs>
          <w:tab w:leader="none" w:pos="10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Report fairly presents, in all material respects, the financial condition and results of operations of the Company.</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074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9">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Mackaness</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1027430</wp:posOffset>
            </wp:positionV>
            <wp:extent cx="715835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410" w:right="379" w:bottom="1440" w:gutter="0" w:footer="0" w:header="0"/>
        </w:sectPr>
      </w:pPr>
    </w:p>
    <w:bookmarkStart w:id="262" w:name="page263"/>
    <w:bookmarkEnd w:id="2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C1016F"/>
    <w:multiLevelType w:val="hybridMultilevel"/>
    <w:lvl w:ilvl="0">
      <w:lvlJc w:val="left"/>
      <w:lvlText w:val="☒"/>
      <w:numFmt w:val="bullet"/>
      <w:start w:val="1"/>
    </w:lvl>
  </w:abstractNum>
  <w:abstractNum w:abstractNumId="1">
    <w:nsid w:val="43F18422"/>
    <w:multiLevelType w:val="hybridMultilevel"/>
    <w:lvl w:ilvl="0">
      <w:lvlJc w:val="left"/>
      <w:lvlText w:val="☐"/>
      <w:numFmt w:val="bullet"/>
      <w:start w:val="1"/>
    </w:lvl>
  </w:abstractNum>
  <w:abstractNum w:abstractNumId="2">
    <w:nsid w:val="60EF0119"/>
    <w:multiLevelType w:val="hybridMultilevel"/>
    <w:lvl w:ilvl="0">
      <w:lvlJc w:val="left"/>
      <w:lvlText w:val="•"/>
      <w:numFmt w:val="bullet"/>
      <w:start w:val="1"/>
    </w:lvl>
  </w:abstractNum>
  <w:abstractNum w:abstractNumId="3">
    <w:nsid w:val="26F324BA"/>
    <w:multiLevelType w:val="hybridMultilevel"/>
    <w:lvl w:ilvl="0">
      <w:lvlJc w:val="left"/>
      <w:lvlText w:val="•"/>
      <w:numFmt w:val="bullet"/>
      <w:start w:val="1"/>
    </w:lvl>
  </w:abstractNum>
  <w:abstractNum w:abstractNumId="4">
    <w:nsid w:val="7F01579B"/>
    <w:multiLevelType w:val="hybridMultilevel"/>
    <w:lvl w:ilvl="0">
      <w:lvlJc w:val="left"/>
      <w:lvlText w:val="•"/>
      <w:numFmt w:val="bullet"/>
      <w:start w:val="1"/>
    </w:lvl>
  </w:abstractNum>
  <w:abstractNum w:abstractNumId="5">
    <w:nsid w:val="49DA307D"/>
    <w:multiLevelType w:val="hybridMultilevel"/>
    <w:lvl w:ilvl="0">
      <w:lvlJc w:val="left"/>
      <w:lvlText w:val="•"/>
      <w:numFmt w:val="bullet"/>
      <w:start w:val="1"/>
    </w:lvl>
  </w:abstractNum>
  <w:abstractNum w:abstractNumId="6">
    <w:nsid w:val="7055A5F5"/>
    <w:multiLevelType w:val="hybridMultilevel"/>
    <w:lvl w:ilvl="0">
      <w:lvlJc w:val="left"/>
      <w:lvlText w:val="•"/>
      <w:numFmt w:val="bullet"/>
      <w:start w:val="1"/>
    </w:lvl>
  </w:abstractNum>
  <w:abstractNum w:abstractNumId="7">
    <w:nsid w:val="5FB8370B"/>
    <w:multiLevelType w:val="hybridMultilevel"/>
    <w:lvl w:ilvl="0">
      <w:lvlJc w:val="left"/>
      <w:lvlText w:val="•"/>
      <w:numFmt w:val="bullet"/>
      <w:start w:val="1"/>
    </w:lvl>
  </w:abstractNum>
  <w:abstractNum w:abstractNumId="8">
    <w:nsid w:val="50801EE1"/>
    <w:multiLevelType w:val="hybridMultilevel"/>
    <w:lvl w:ilvl="0">
      <w:lvlJc w:val="left"/>
      <w:lvlText w:val="•"/>
      <w:numFmt w:val="bullet"/>
      <w:start w:val="1"/>
    </w:lvl>
  </w:abstractNum>
  <w:abstractNum w:abstractNumId="9">
    <w:nsid w:val="488AC1A"/>
    <w:multiLevelType w:val="hybridMultilevel"/>
    <w:lvl w:ilvl="0">
      <w:lvlJc w:val="left"/>
      <w:lvlText w:val="•"/>
      <w:numFmt w:val="bullet"/>
      <w:start w:val="1"/>
    </w:lvl>
  </w:abstractNum>
  <w:abstractNum w:abstractNumId="10">
    <w:nsid w:val="5FB8011C"/>
    <w:multiLevelType w:val="hybridMultilevel"/>
    <w:lvl w:ilvl="0">
      <w:lvlJc w:val="left"/>
      <w:lvlText w:val="•"/>
      <w:numFmt w:val="bullet"/>
      <w:start w:val="1"/>
    </w:lvl>
  </w:abstractNum>
  <w:abstractNum w:abstractNumId="11">
    <w:nsid w:val="6AA78F7F"/>
    <w:multiLevelType w:val="hybridMultilevel"/>
    <w:lvl w:ilvl="0">
      <w:lvlJc w:val="left"/>
      <w:lvlText w:val="•"/>
      <w:numFmt w:val="bullet"/>
      <w:start w:val="1"/>
    </w:lvl>
  </w:abstractNum>
  <w:abstractNum w:abstractNumId="12">
    <w:nsid w:val="7672BD23"/>
    <w:multiLevelType w:val="hybridMultilevel"/>
    <w:lvl w:ilvl="0">
      <w:lvlJc w:val="left"/>
      <w:lvlText w:val="•"/>
      <w:numFmt w:val="bullet"/>
      <w:start w:val="1"/>
    </w:lvl>
  </w:abstractNum>
  <w:abstractNum w:abstractNumId="13">
    <w:nsid w:val="6FC75AF8"/>
    <w:multiLevelType w:val="hybridMultilevel"/>
    <w:lvl w:ilvl="0">
      <w:lvlJc w:val="left"/>
      <w:lvlText w:val="•"/>
      <w:numFmt w:val="bullet"/>
      <w:start w:val="1"/>
    </w:lvl>
  </w:abstractNum>
  <w:abstractNum w:abstractNumId="14">
    <w:nsid w:val="6A5F7029"/>
    <w:multiLevelType w:val="hybridMultilevel"/>
    <w:lvl w:ilvl="0">
      <w:lvlJc w:val="left"/>
      <w:lvlText w:val="•"/>
      <w:numFmt w:val="bullet"/>
      <w:start w:val="1"/>
    </w:lvl>
  </w:abstractNum>
  <w:abstractNum w:abstractNumId="15">
    <w:nsid w:val="7D5E18F8"/>
    <w:multiLevelType w:val="hybridMultilevel"/>
    <w:lvl w:ilvl="0">
      <w:lvlJc w:val="left"/>
      <w:lvlText w:val="•"/>
      <w:numFmt w:val="bullet"/>
      <w:start w:val="1"/>
    </w:lvl>
  </w:abstractNum>
  <w:abstractNum w:abstractNumId="16">
    <w:nsid w:val="5F3534A4"/>
    <w:multiLevelType w:val="hybridMultilevel"/>
    <w:lvl w:ilvl="0">
      <w:lvlJc w:val="left"/>
      <w:lvlText w:val="•"/>
      <w:numFmt w:val="bullet"/>
      <w:start w:val="1"/>
    </w:lvl>
  </w:abstractNum>
  <w:abstractNum w:abstractNumId="17">
    <w:nsid w:val="73A1821B"/>
    <w:multiLevelType w:val="hybridMultilevel"/>
    <w:lvl w:ilvl="0">
      <w:lvlJc w:val="left"/>
      <w:lvlText w:val="•"/>
      <w:numFmt w:val="bullet"/>
      <w:start w:val="1"/>
    </w:lvl>
  </w:abstractNum>
  <w:abstractNum w:abstractNumId="18">
    <w:nsid w:val="7DE67713"/>
    <w:multiLevelType w:val="hybridMultilevel"/>
    <w:lvl w:ilvl="0">
      <w:lvlJc w:val="left"/>
      <w:lvlText w:val="•"/>
      <w:numFmt w:val="bullet"/>
      <w:start w:val="1"/>
    </w:lvl>
  </w:abstractNum>
  <w:abstractNum w:abstractNumId="19">
    <w:nsid w:val="555C55B5"/>
    <w:multiLevelType w:val="hybridMultilevel"/>
    <w:lvl w:ilvl="0">
      <w:lvlJc w:val="left"/>
      <w:lvlText w:val="•"/>
      <w:numFmt w:val="bullet"/>
      <w:start w:val="1"/>
    </w:lvl>
  </w:abstractNum>
  <w:abstractNum w:abstractNumId="20">
    <w:nsid w:val="3FA62ACA"/>
    <w:multiLevelType w:val="hybridMultilevel"/>
    <w:lvl w:ilvl="0">
      <w:lvlJc w:val="left"/>
      <w:lvlText w:val="•"/>
      <w:numFmt w:val="bullet"/>
      <w:start w:val="1"/>
    </w:lvl>
  </w:abstractNum>
  <w:abstractNum w:abstractNumId="21">
    <w:nsid w:val="14FCE74E"/>
    <w:multiLevelType w:val="hybridMultilevel"/>
    <w:lvl w:ilvl="0">
      <w:lvlJc w:val="left"/>
      <w:lvlText w:val="•"/>
      <w:numFmt w:val="bullet"/>
      <w:start w:val="1"/>
    </w:lvl>
  </w:abstractNum>
  <w:abstractNum w:abstractNumId="22">
    <w:nsid w:val="6A3DD3E8"/>
    <w:multiLevelType w:val="hybridMultilevel"/>
    <w:lvl w:ilvl="0">
      <w:lvlJc w:val="left"/>
      <w:lvlText w:val="•"/>
      <w:numFmt w:val="bullet"/>
      <w:start w:val="1"/>
    </w:lvl>
  </w:abstractNum>
  <w:abstractNum w:abstractNumId="23">
    <w:nsid w:val="71C91298"/>
    <w:multiLevelType w:val="hybridMultilevel"/>
    <w:lvl w:ilvl="0">
      <w:lvlJc w:val="left"/>
      <w:lvlText w:val="•"/>
      <w:numFmt w:val="bullet"/>
      <w:start w:val="1"/>
    </w:lvl>
  </w:abstractNum>
  <w:abstractNum w:abstractNumId="24">
    <w:nsid w:val="9DAF632"/>
    <w:multiLevelType w:val="hybridMultilevel"/>
    <w:lvl w:ilvl="0">
      <w:lvlJc w:val="left"/>
      <w:lvlText w:val="•"/>
      <w:numFmt w:val="bullet"/>
      <w:start w:val="1"/>
    </w:lvl>
  </w:abstractNum>
  <w:abstractNum w:abstractNumId="25">
    <w:nsid w:val="53299938"/>
    <w:multiLevelType w:val="hybridMultilevel"/>
    <w:lvl w:ilvl="0">
      <w:lvlJc w:val="left"/>
      <w:lvlText w:val="•"/>
      <w:numFmt w:val="bullet"/>
      <w:start w:val="1"/>
    </w:lvl>
  </w:abstractNum>
  <w:abstractNum w:abstractNumId="26">
    <w:nsid w:val="1FBFE8E0"/>
    <w:multiLevelType w:val="hybridMultilevel"/>
    <w:lvl w:ilvl="0">
      <w:lvlJc w:val="left"/>
      <w:lvlText w:val="•"/>
      <w:numFmt w:val="bullet"/>
      <w:start w:val="1"/>
    </w:lvl>
  </w:abstractNum>
  <w:abstractNum w:abstractNumId="27">
    <w:nsid w:val="5092CA79"/>
    <w:multiLevelType w:val="hybridMultilevel"/>
    <w:lvl w:ilvl="0">
      <w:lvlJc w:val="left"/>
      <w:lvlText w:val="•"/>
      <w:numFmt w:val="bullet"/>
      <w:start w:val="1"/>
    </w:lvl>
  </w:abstractNum>
  <w:abstractNum w:abstractNumId="28">
    <w:nsid w:val="1D545C4D"/>
    <w:multiLevelType w:val="hybridMultilevel"/>
    <w:lvl w:ilvl="0">
      <w:lvlJc w:val="left"/>
      <w:lvlText w:val="•"/>
      <w:numFmt w:val="bullet"/>
      <w:start w:val="1"/>
    </w:lvl>
  </w:abstractNum>
  <w:abstractNum w:abstractNumId="29">
    <w:nsid w:val="59ADEA3D"/>
    <w:multiLevelType w:val="hybridMultilevel"/>
    <w:lvl w:ilvl="0">
      <w:lvlJc w:val="left"/>
      <w:lvlText w:val="•"/>
      <w:numFmt w:val="bullet"/>
      <w:start w:val="1"/>
    </w:lvl>
  </w:abstractNum>
  <w:abstractNum w:abstractNumId="30">
    <w:nsid w:val="288F1A34"/>
    <w:multiLevelType w:val="hybridMultilevel"/>
    <w:lvl w:ilvl="0">
      <w:lvlJc w:val="left"/>
      <w:lvlText w:val="•"/>
      <w:numFmt w:val="bullet"/>
      <w:start w:val="1"/>
    </w:lvl>
  </w:abstractNum>
  <w:abstractNum w:abstractNumId="31">
    <w:nsid w:val="2A155DBC"/>
    <w:multiLevelType w:val="hybridMultilevel"/>
    <w:lvl w:ilvl="0">
      <w:lvlJc w:val="left"/>
      <w:lvlText w:val="•"/>
      <w:numFmt w:val="bullet"/>
      <w:start w:val="1"/>
    </w:lvl>
  </w:abstractNum>
  <w:abstractNum w:abstractNumId="32">
    <w:nsid w:val="1D9F6E5F"/>
    <w:multiLevelType w:val="hybridMultilevel"/>
    <w:lvl w:ilvl="0">
      <w:lvlJc w:val="left"/>
      <w:lvlText w:val="•"/>
      <w:numFmt w:val="bullet"/>
      <w:start w:val="1"/>
    </w:lvl>
  </w:abstractNum>
  <w:abstractNum w:abstractNumId="33">
    <w:nsid w:val="97E1B4E"/>
    <w:multiLevelType w:val="hybridMultilevel"/>
    <w:lvl w:ilvl="0">
      <w:lvlJc w:val="left"/>
      <w:lvlText w:val="•"/>
      <w:numFmt w:val="bullet"/>
      <w:start w:val="1"/>
    </w:lvl>
  </w:abstractNum>
  <w:abstractNum w:abstractNumId="34">
    <w:nsid w:val="51088277"/>
    <w:multiLevelType w:val="hybridMultilevel"/>
    <w:lvl w:ilvl="0">
      <w:lvlJc w:val="left"/>
      <w:lvlText w:val="•"/>
      <w:numFmt w:val="bullet"/>
      <w:start w:val="1"/>
    </w:lvl>
  </w:abstractNum>
  <w:abstractNum w:abstractNumId="35">
    <w:nsid w:val="1CA0C5FA"/>
    <w:multiLevelType w:val="hybridMultilevel"/>
    <w:lvl w:ilvl="0">
      <w:lvlJc w:val="left"/>
      <w:lvlText w:val="•"/>
      <w:numFmt w:val="bullet"/>
      <w:start w:val="1"/>
    </w:lvl>
  </w:abstractNum>
  <w:abstractNum w:abstractNumId="36">
    <w:nsid w:val="53584BCB"/>
    <w:multiLevelType w:val="hybridMultilevel"/>
    <w:lvl w:ilvl="0">
      <w:lvlJc w:val="left"/>
      <w:lvlText w:val="•"/>
      <w:numFmt w:val="bullet"/>
      <w:start w:val="1"/>
    </w:lvl>
  </w:abstractNum>
  <w:abstractNum w:abstractNumId="37">
    <w:nsid w:val="415E286C"/>
    <w:multiLevelType w:val="hybridMultilevel"/>
    <w:lvl w:ilvl="0">
      <w:lvlJc w:val="left"/>
      <w:lvlText w:val="•"/>
      <w:numFmt w:val="bullet"/>
      <w:start w:val="1"/>
    </w:lvl>
  </w:abstractNum>
  <w:abstractNum w:abstractNumId="38">
    <w:nsid w:val="7C58FD05"/>
    <w:multiLevelType w:val="hybridMultilevel"/>
    <w:lvl w:ilvl="0">
      <w:lvlJc w:val="left"/>
      <w:lvlText w:val="•"/>
      <w:numFmt w:val="bullet"/>
      <w:start w:val="1"/>
    </w:lvl>
  </w:abstractNum>
  <w:abstractNum w:abstractNumId="39">
    <w:nsid w:val="23D86AAC"/>
    <w:multiLevelType w:val="hybridMultilevel"/>
    <w:lvl w:ilvl="0">
      <w:lvlJc w:val="left"/>
      <w:lvlText w:val="•"/>
      <w:numFmt w:val="bullet"/>
      <w:start w:val="1"/>
    </w:lvl>
  </w:abstractNum>
  <w:abstractNum w:abstractNumId="40">
    <w:nsid w:val="45E6D486"/>
    <w:multiLevelType w:val="hybridMultilevel"/>
    <w:lvl w:ilvl="0">
      <w:lvlJc w:val="left"/>
      <w:lvlText w:val="•"/>
      <w:numFmt w:val="bullet"/>
      <w:start w:val="1"/>
    </w:lvl>
  </w:abstractNum>
  <w:abstractNum w:abstractNumId="41">
    <w:nsid w:val="5C10FE21"/>
    <w:multiLevelType w:val="hybridMultilevel"/>
    <w:lvl w:ilvl="0">
      <w:lvlJc w:val="left"/>
      <w:lvlText w:val="•"/>
      <w:numFmt w:val="bullet"/>
      <w:start w:val="1"/>
    </w:lvl>
  </w:abstractNum>
  <w:abstractNum w:abstractNumId="42">
    <w:nsid w:val="E7FFA2B"/>
    <w:multiLevelType w:val="hybridMultilevel"/>
    <w:lvl w:ilvl="0">
      <w:lvlJc w:val="left"/>
      <w:lvlText w:val="•"/>
      <w:numFmt w:val="bullet"/>
      <w:start w:val="1"/>
    </w:lvl>
  </w:abstractNum>
  <w:abstractNum w:abstractNumId="43">
    <w:nsid w:val="3C5991AA"/>
    <w:multiLevelType w:val="hybridMultilevel"/>
    <w:lvl w:ilvl="0">
      <w:lvlJc w:val="left"/>
      <w:lvlText w:val="•"/>
      <w:numFmt w:val="bullet"/>
      <w:start w:val="1"/>
    </w:lvl>
  </w:abstractNum>
  <w:abstractNum w:abstractNumId="44">
    <w:nsid w:val="4BD8591A"/>
    <w:multiLevelType w:val="hybridMultilevel"/>
    <w:lvl w:ilvl="0">
      <w:lvlJc w:val="left"/>
      <w:lvlText w:val="•"/>
      <w:numFmt w:val="bullet"/>
      <w:start w:val="1"/>
    </w:lvl>
  </w:abstractNum>
  <w:abstractNum w:abstractNumId="45">
    <w:nsid w:val="78DF6A55"/>
    <w:multiLevelType w:val="hybridMultilevel"/>
    <w:lvl w:ilvl="0">
      <w:lvlJc w:val="left"/>
      <w:lvlText w:val="•"/>
      <w:numFmt w:val="bullet"/>
      <w:start w:val="1"/>
    </w:lvl>
  </w:abstractNum>
  <w:abstractNum w:abstractNumId="46">
    <w:nsid w:val="39B7AAA2"/>
    <w:multiLevelType w:val="hybridMultilevel"/>
    <w:lvl w:ilvl="0">
      <w:lvlJc w:val="left"/>
      <w:lvlText w:val="(%1)"/>
      <w:numFmt w:val="decimal"/>
      <w:start w:val="1"/>
    </w:lvl>
  </w:abstractNum>
  <w:abstractNum w:abstractNumId="47">
    <w:nsid w:val="2B0D8DBE"/>
    <w:multiLevelType w:val="hybridMultilevel"/>
    <w:lvl w:ilvl="0">
      <w:lvlJc w:val="left"/>
      <w:lvlText w:val="•"/>
      <w:numFmt w:val="bullet"/>
      <w:start w:val="1"/>
    </w:lvl>
  </w:abstractNum>
  <w:abstractNum w:abstractNumId="48">
    <w:nsid w:val="6C80EC70"/>
    <w:multiLevelType w:val="hybridMultilevel"/>
    <w:lvl w:ilvl="0">
      <w:lvlJc w:val="left"/>
      <w:lvlText w:val="•"/>
      <w:numFmt w:val="bullet"/>
      <w:start w:val="1"/>
    </w:lvl>
  </w:abstractNum>
  <w:abstractNum w:abstractNumId="49">
    <w:nsid w:val="379E21B5"/>
    <w:multiLevelType w:val="hybridMultilevel"/>
    <w:lvl w:ilvl="0">
      <w:lvlJc w:val="left"/>
      <w:lvlText w:val="•"/>
      <w:numFmt w:val="bullet"/>
      <w:start w:val="1"/>
    </w:lvl>
  </w:abstractNum>
  <w:abstractNum w:abstractNumId="50">
    <w:nsid w:val="69E373"/>
    <w:multiLevelType w:val="hybridMultilevel"/>
    <w:lvl w:ilvl="0">
      <w:lvlJc w:val="left"/>
      <w:lvlText w:val="•"/>
      <w:numFmt w:val="bullet"/>
      <w:start w:val="1"/>
    </w:lvl>
  </w:abstractNum>
  <w:abstractNum w:abstractNumId="51">
    <w:nsid w:val="2C27173B"/>
    <w:multiLevelType w:val="hybridMultilevel"/>
    <w:lvl w:ilvl="0">
      <w:lvlJc w:val="left"/>
      <w:lvlText w:val="•"/>
      <w:numFmt w:val="bullet"/>
      <w:start w:val="1"/>
    </w:lvl>
  </w:abstractNum>
  <w:abstractNum w:abstractNumId="52">
    <w:nsid w:val="4C9B0904"/>
    <w:multiLevelType w:val="hybridMultilevel"/>
    <w:lvl w:ilvl="0">
      <w:lvlJc w:val="left"/>
      <w:lvlText w:val="%1."/>
      <w:numFmt w:val="decimal"/>
      <w:start w:val="1"/>
    </w:lvl>
  </w:abstractNum>
  <w:abstractNum w:abstractNumId="53">
    <w:nsid w:val="6AA7B75C"/>
    <w:multiLevelType w:val="hybridMultilevel"/>
    <w:lvl w:ilvl="0">
      <w:lvlJc w:val="left"/>
      <w:lvlText w:val="*"/>
      <w:numFmt w:val="bullet"/>
      <w:start w:val="1"/>
    </w:lvl>
    <w:lvl w:ilvl="1">
      <w:lvlJc w:val="left"/>
      <w:lvlText w:val="%2"/>
      <w:numFmt w:val="decimal"/>
      <w:start w:val="104"/>
    </w:lvl>
  </w:abstractNum>
  <w:abstractNum w:abstractNumId="54">
    <w:nsid w:val="1DF029D3"/>
    <w:multiLevelType w:val="hybridMultilevel"/>
    <w:lvl w:ilvl="0">
      <w:lvlJc w:val="left"/>
      <w:lvlText w:val="%1."/>
      <w:numFmt w:val="decimal"/>
      <w:start w:val="1"/>
    </w:lvl>
    <w:lvl w:ilvl="1">
      <w:lvlJc w:val="left"/>
      <w:lvlText w:val="(%2)"/>
      <w:numFmt w:val="lowerLetter"/>
      <w:start w:val="1"/>
    </w:lvl>
  </w:abstractNum>
  <w:abstractNum w:abstractNumId="55">
    <w:nsid w:val="5675FF36"/>
    <w:multiLevelType w:val="hybridMultilevel"/>
    <w:lvl w:ilvl="0">
      <w:lvlJc w:val="left"/>
      <w:lvlText w:val="%1."/>
      <w:numFmt w:val="decimal"/>
      <w:start w:val="4"/>
    </w:lvl>
  </w:abstractNum>
  <w:abstractNum w:abstractNumId="56">
    <w:nsid w:val="3DD15094"/>
    <w:multiLevelType w:val="hybridMultilevel"/>
    <w:lvl w:ilvl="0">
      <w:lvlJc w:val="left"/>
      <w:lvlText w:val="(%1)"/>
      <w:numFmt w:val="lowerLetter"/>
      <w:start w:val="2"/>
    </w:lvl>
  </w:abstractNum>
  <w:abstractNum w:abstractNumId="57">
    <w:nsid w:val="3DB012B3"/>
    <w:multiLevelType w:val="hybridMultilevel"/>
    <w:lvl w:ilvl="0">
      <w:lvlJc w:val="left"/>
      <w:lvlText w:val="%1."/>
      <w:numFmt w:val="decimal"/>
      <w:start w:val="8"/>
    </w:lvl>
  </w:abstractNum>
  <w:abstractNum w:abstractNumId="58">
    <w:nsid w:val="2708C9AF"/>
    <w:multiLevelType w:val="hybridMultilevel"/>
    <w:lvl w:ilvl="0">
      <w:lvlJc w:val="left"/>
      <w:lvlText w:val="(%1)"/>
      <w:numFmt w:val="lowerLetter"/>
      <w:start w:val="1"/>
    </w:lvl>
  </w:abstractNum>
  <w:abstractNum w:abstractNumId="59">
    <w:nsid w:val="5B25ACE2"/>
    <w:multiLevelType w:val="hybridMultilevel"/>
    <w:lvl w:ilvl="0">
      <w:lvlJc w:val="left"/>
      <w:lvlText w:val="(%1)"/>
      <w:numFmt w:val="lowerLetter"/>
      <w:start w:val="9"/>
    </w:lvl>
    <w:lvl w:ilvl="1">
      <w:lvlJc w:val="left"/>
      <w:lvlText w:val="%2"/>
      <w:numFmt w:val="lowerRoman"/>
      <w:start w:val="1"/>
    </w:lvl>
    <w:lvl w:ilvl="2">
      <w:lvlJc w:val="left"/>
      <w:lvlText w:val="%3"/>
      <w:numFmt w:val="lowerLetter"/>
      <w:start w:val="1"/>
    </w:lvl>
  </w:abstractNum>
  <w:abstractNum w:abstractNumId="60">
    <w:nsid w:val="175DFCF0"/>
    <w:multiLevelType w:val="hybridMultilevel"/>
    <w:lvl w:ilvl="0">
      <w:lvlJc w:val="left"/>
      <w:lvlText w:val="(%1)"/>
      <w:numFmt w:val="lowerLetter"/>
      <w:start w:val="35"/>
    </w:lvl>
    <w:lvl w:ilvl="1">
      <w:lvlJc w:val="left"/>
      <w:lvlText w:val="(%2)"/>
      <w:numFmt w:val="lowerRoman"/>
    </w:lvl>
    <w:lvl w:ilvl="2">
      <w:lvlJc w:val="left"/>
      <w:lvlText w:val="(%3)"/>
      <w:numFmt w:val="lowerLetter"/>
      <w:start w:val="2"/>
    </w:lvl>
  </w:abstractNum>
  <w:abstractNum w:abstractNumId="61">
    <w:nsid w:val="4F97E3E4"/>
    <w:multiLevelType w:val="hybridMultilevel"/>
    <w:lvl w:ilvl="0">
      <w:lvlJc w:val="left"/>
      <w:lvlText w:val="%1."/>
      <w:numFmt w:val="decimal"/>
      <w:start w:val="9"/>
    </w:lvl>
    <w:lvl w:ilvl="1">
      <w:lvlJc w:val="left"/>
      <w:lvlText w:val="(%2)"/>
      <w:numFmt w:val="decimal"/>
      <w:start w:val="59"/>
    </w:lvl>
    <w:lvl w:ilvl="2">
      <w:lvlJc w:val="left"/>
      <w:lvlText w:val="(%3)"/>
      <w:numFmt w:val="lowerLetter"/>
      <w:start w:val="1"/>
    </w:lvl>
  </w:abstractNum>
  <w:abstractNum w:abstractNumId="62">
    <w:nsid w:val="53B0A9E"/>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63">
    <w:nsid w:val="34FD6B4F"/>
    <w:multiLevelType w:val="hybridMultilevel"/>
    <w:lvl w:ilvl="0">
      <w:lvlJc w:val="left"/>
      <w:lvlText w:val="(%1)"/>
      <w:numFmt w:val="lowerRoman"/>
      <w:start w:val="1"/>
    </w:lvl>
  </w:abstractNum>
  <w:abstractNum w:abstractNumId="64">
    <w:nsid w:val="5915FF32"/>
    <w:multiLevelType w:val="hybridMultilevel"/>
    <w:lvl w:ilvl="0">
      <w:lvlJc w:val="left"/>
      <w:lvlText w:val="(%1)"/>
      <w:numFmt w:val="lowerLetter"/>
      <w:start w:val="4"/>
    </w:lvl>
  </w:abstractNum>
  <w:abstractNum w:abstractNumId="65">
    <w:nsid w:val="56438D15"/>
    <w:multiLevelType w:val="hybridMultilevel"/>
    <w:lvl w:ilvl="0">
      <w:lvlJc w:val="left"/>
      <w:lvlText w:val="%1."/>
      <w:numFmt w:val="decimal"/>
      <w:start w:val="10"/>
    </w:lvl>
  </w:abstractNum>
  <w:abstractNum w:abstractNumId="66">
    <w:nsid w:val="519E314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67">
    <w:nsid w:val="2C6E4AFD"/>
    <w:multiLevelType w:val="hybridMultilevel"/>
    <w:lvl w:ilvl="0">
      <w:lvlJc w:val="left"/>
      <w:lvlText w:val="(%1)"/>
      <w:numFmt w:val="lowerLetter"/>
      <w:start w:val="24"/>
    </w:lvl>
    <w:lvl w:ilvl="1">
      <w:lvlJc w:val="left"/>
      <w:lvlText w:val="(%2)"/>
      <w:numFmt w:val="decimal"/>
      <w:start w:val="49"/>
    </w:lvl>
    <w:lvl w:ilvl="2">
      <w:lvlJc w:val="left"/>
      <w:lvlText w:val="(%3)"/>
      <w:numFmt w:val="lowerLetter"/>
      <w:start w:val="2"/>
    </w:lvl>
    <w:lvl w:ilvl="3">
      <w:lvlJc w:val="left"/>
      <w:lvlText w:val="(%4)"/>
      <w:numFmt w:val="lowerLetter"/>
      <w:start w:val="4"/>
    </w:lvl>
    <w:lvl w:ilvl="4">
      <w:lvlJc w:val="left"/>
      <w:lvlText w:val="(%5)"/>
      <w:numFmt w:val="lowerLetter"/>
      <w:start w:val="4"/>
    </w:lvl>
  </w:abstractNum>
  <w:abstractNum w:abstractNumId="68">
    <w:nsid w:val="17A1B582"/>
    <w:multiLevelType w:val="hybridMultilevel"/>
    <w:lvl w:ilvl="0">
      <w:lvlJc w:val="left"/>
      <w:lvlText w:val="(%1)"/>
      <w:numFmt w:val="lowerLetter"/>
      <w:start w:val="1"/>
    </w:lvl>
  </w:abstractNum>
  <w:abstractNum w:abstractNumId="69">
    <w:nsid w:val="4DF72E4E"/>
    <w:multiLevelType w:val="hybridMultilevel"/>
    <w:lvl w:ilvl="0">
      <w:lvlJc w:val="left"/>
      <w:lvlText w:val="%1."/>
      <w:numFmt w:val="decimal"/>
      <w:start w:val="1"/>
    </w:lvl>
  </w:abstractNum>
  <w:abstractNum w:abstractNumId="70">
    <w:nsid w:val="5046B5A9"/>
    <w:multiLevelType w:val="hybridMultilevel"/>
    <w:lvl w:ilvl="0">
      <w:lvlJc w:val="left"/>
      <w:lvlText w:val="%1."/>
      <w:numFmt w:val="decimal"/>
      <w:start w:val="2"/>
    </w:lvl>
  </w:abstractNum>
  <w:abstractNum w:abstractNumId="71">
    <w:nsid w:val="5D888A08"/>
    <w:multiLevelType w:val="hybridMultilevel"/>
    <w:lvl w:ilvl="0">
      <w:lvlJc w:val="left"/>
      <w:lvlText w:val="%1."/>
      <w:numFmt w:val="decimal"/>
      <w:start w:val="4"/>
    </w:lvl>
  </w:abstractNum>
  <w:abstractNum w:abstractNumId="72">
    <w:nsid w:val="2A082C70"/>
    <w:multiLevelType w:val="hybridMultilevel"/>
    <w:lvl w:ilvl="0">
      <w:lvlJc w:val="left"/>
      <w:lvlText w:val="(%1)"/>
      <w:numFmt w:val="lowerRoman"/>
      <w:start w:val="1"/>
    </w:lvl>
  </w:abstractNum>
  <w:abstractNum w:abstractNumId="73">
    <w:nsid w:val="5EC6AFD4"/>
    <w:multiLevelType w:val="hybridMultilevel"/>
    <w:lvl w:ilvl="0">
      <w:lvlJc w:val="left"/>
      <w:lvlText w:val="(%1)"/>
      <w:numFmt w:val="lowerRoman"/>
      <w:start w:val="2"/>
    </w:lvl>
  </w:abstractNum>
  <w:abstractNum w:abstractNumId="74">
    <w:nsid w:val="19E21BB2"/>
    <w:multiLevelType w:val="hybridMultilevel"/>
    <w:lvl w:ilvl="0">
      <w:lvlJc w:val="left"/>
      <w:lvlText w:val="(%1)"/>
      <w:numFmt w:val="lowerRoman"/>
      <w:start w:val="1"/>
    </w:lvl>
  </w:abstractNum>
  <w:abstractNum w:abstractNumId="75">
    <w:nsid w:val="75E0858A"/>
    <w:multiLevelType w:val="hybridMultilevel"/>
    <w:lvl w:ilvl="0">
      <w:lvlJc w:val="left"/>
      <w:lvlText w:val="(%1)"/>
      <w:numFmt w:val="lowerRoman"/>
      <w:start w:val="4"/>
    </w:lvl>
  </w:abstractNum>
  <w:abstractNum w:abstractNumId="76">
    <w:nsid w:val="57A61A29"/>
    <w:multiLevelType w:val="hybridMultilevel"/>
    <w:lvl w:ilvl="0">
      <w:lvlJc w:val="left"/>
      <w:lvlText w:val="%1."/>
      <w:numFmt w:val="decimal"/>
      <w:start w:val="9"/>
    </w:lvl>
  </w:abstractNum>
  <w:abstractNum w:abstractNumId="77">
    <w:nsid w:val="5399C654"/>
    <w:multiLevelType w:val="hybridMultilevel"/>
    <w:lvl w:ilvl="0">
      <w:lvlJc w:val="left"/>
      <w:lvlText w:val="(%1)"/>
      <w:numFmt w:val="lowerRoman"/>
      <w:start w:val="1"/>
    </w:lvl>
    <w:lvl w:ilvl="1">
      <w:lvlJc w:val="left"/>
      <w:lvlText w:val="(%2)"/>
      <w:numFmt w:val="decimal"/>
      <w:start w:val="1"/>
    </w:lvl>
  </w:abstractNum>
  <w:abstractNum w:abstractNumId="78">
    <w:nsid w:val="20EE1348"/>
    <w:multiLevelType w:val="hybridMultilevel"/>
    <w:lvl w:ilvl="0">
      <w:lvlJc w:val="left"/>
      <w:lvlText w:val="(%1)"/>
      <w:numFmt w:val="lowerRoman"/>
      <w:start w:val="3"/>
    </w:lvl>
  </w:abstractNum>
  <w:abstractNum w:abstractNumId="79">
    <w:nsid w:val="4427069A"/>
    <w:multiLevelType w:val="hybridMultilevel"/>
    <w:lvl w:ilvl="0">
      <w:lvlJc w:val="left"/>
      <w:lvlText w:val="(%1)"/>
      <w:numFmt w:val="lowerRoman"/>
      <w:start w:val="1"/>
    </w:lvl>
  </w:abstractNum>
  <w:abstractNum w:abstractNumId="80">
    <w:nsid w:val="B37E80A"/>
    <w:multiLevelType w:val="hybridMultilevel"/>
    <w:lvl w:ilvl="0">
      <w:lvlJc w:val="left"/>
      <w:lvlText w:val="(%1)"/>
      <w:numFmt w:val="lowerRoman"/>
      <w:start w:val="6"/>
    </w:lvl>
  </w:abstractNum>
  <w:abstractNum w:abstractNumId="81">
    <w:nsid w:val="2157F6BC"/>
    <w:multiLevelType w:val="hybridMultilevel"/>
    <w:lvl w:ilvl="0">
      <w:lvlJc w:val="left"/>
      <w:lvlText w:val="(%1)"/>
      <w:numFmt w:val="lowerRoman"/>
      <w:start w:val="2"/>
    </w:lvl>
  </w:abstractNum>
  <w:abstractNum w:abstractNumId="82">
    <w:nsid w:val="704E1DD5"/>
    <w:multiLevelType w:val="hybridMultilevel"/>
    <w:lvl w:ilvl="0">
      <w:lvlJc w:val="left"/>
      <w:lvlText w:val="[***]"/>
      <w:numFmt w:val="bullet"/>
      <w:start w:val="1"/>
    </w:lvl>
  </w:abstractNum>
  <w:abstractNum w:abstractNumId="83">
    <w:nsid w:val="57D2F10E"/>
    <w:multiLevelType w:val="hybridMultilevel"/>
    <w:lvl w:ilvl="0">
      <w:lvlJc w:val="left"/>
      <w:lvlText w:val="%1."/>
      <w:numFmt w:val="decimal"/>
      <w:start w:val="1"/>
    </w:lvl>
  </w:abstractNum>
  <w:abstractNum w:abstractNumId="84">
    <w:nsid w:val="BFFAE18"/>
    <w:multiLevelType w:val="hybridMultilevel"/>
    <w:lvl w:ilvl="0">
      <w:lvlJc w:val="left"/>
      <w:lvlText w:val="%1."/>
      <w:numFmt w:val="decimal"/>
      <w:start w:val="2"/>
    </w:lvl>
  </w:abstractNum>
  <w:abstractNum w:abstractNumId="85">
    <w:nsid w:val="E3E47A8"/>
    <w:multiLevelType w:val="hybridMultilevel"/>
    <w:lvl w:ilvl="0">
      <w:lvlJc w:val="left"/>
      <w:lvlText w:val="(%1)"/>
      <w:numFmt w:val="lowerLetter"/>
      <w:start w:val="1"/>
    </w:lvl>
    <w:lvl w:ilvl="1">
      <w:lvlJc w:val="left"/>
      <w:lvlText w:val="(%2)"/>
      <w:numFmt w:val="lowerRoman"/>
      <w:start w:val="1"/>
    </w:lvl>
  </w:abstractNum>
  <w:abstractNum w:abstractNumId="86">
    <w:nsid w:val="2E48F044"/>
    <w:multiLevelType w:val="hybridMultilevel"/>
    <w:lvl w:ilvl="0">
      <w:lvlJc w:val="left"/>
      <w:lvlText w:val="%1"/>
      <w:numFmt w:val="lowerRoman"/>
      <w:start w:val="1"/>
    </w:lvl>
    <w:lvl w:ilvl="1">
      <w:lvlJc w:val="left"/>
      <w:lvlText w:val="(%2)"/>
      <w:numFmt w:val="lowerLetter"/>
      <w:start w:val="3"/>
    </w:lvl>
  </w:abstractNum>
  <w:abstractNum w:abstractNumId="87">
    <w:nsid w:val="49D0FEAC"/>
    <w:multiLevelType w:val="hybridMultilevel"/>
    <w:lvl w:ilvl="0">
      <w:lvlJc w:val="left"/>
      <w:lvlText w:val="(%1)"/>
      <w:numFmt w:val="lowerRoman"/>
      <w:start w:val="4"/>
    </w:lvl>
    <w:lvl w:ilvl="1">
      <w:lvlJc w:val="left"/>
      <w:lvlText w:val="(%2)"/>
      <w:numFmt w:val="lowerLetter"/>
      <w:start w:val="4"/>
    </w:lvl>
  </w:abstractNum>
  <w:abstractNum w:abstractNumId="88">
    <w:nsid w:val="4BEE5A5B"/>
    <w:multiLevelType w:val="hybridMultilevel"/>
    <w:lvl w:ilvl="0">
      <w:lvlJc w:val="left"/>
      <w:lvlText w:val="(%1)"/>
      <w:numFmt w:val="lowerLetter"/>
      <w:start w:val="1"/>
    </w:lvl>
  </w:abstractNum>
  <w:abstractNum w:abstractNumId="89">
    <w:nsid w:val="5551B9F3"/>
    <w:multiLevelType w:val="hybridMultilevel"/>
    <w:lvl w:ilvl="0">
      <w:lvlJc w:val="left"/>
      <w:lvlText w:val="(%1)"/>
      <w:numFmt w:val="lowerLetter"/>
      <w:start w:val="1"/>
    </w:lvl>
  </w:abstractNum>
  <w:abstractNum w:abstractNumId="90">
    <w:nsid w:val="24F6AB8E"/>
    <w:multiLevelType w:val="hybridMultilevel"/>
    <w:lvl w:ilvl="0">
      <w:lvlJc w:val="left"/>
      <w:lvlText w:val="(%1)"/>
      <w:numFmt w:val="lowerLetter"/>
      <w:start w:val="4"/>
    </w:lvl>
  </w:abstractNum>
  <w:abstractNum w:abstractNumId="91">
    <w:nsid w:val="634C574C"/>
    <w:multiLevelType w:val="hybridMultilevel"/>
    <w:lvl w:ilvl="0">
      <w:lvlJc w:val="left"/>
      <w:lvlText w:val="%1."/>
      <w:numFmt w:val="decimal"/>
      <w:start w:val="3"/>
    </w:lvl>
  </w:abstractNum>
  <w:abstractNum w:abstractNumId="92">
    <w:nsid w:val="24E99DD7"/>
    <w:multiLevelType w:val="hybridMultilevel"/>
    <w:lvl w:ilvl="0">
      <w:lvlJc w:val="left"/>
      <w:lvlText w:val="(%1)"/>
      <w:numFmt w:val="lowerLetter"/>
      <w:start w:val="1"/>
    </w:lvl>
  </w:abstractNum>
  <w:abstractNum w:abstractNumId="93">
    <w:nsid w:val="2A31B62D"/>
    <w:multiLevelType w:val="hybridMultilevel"/>
    <w:lvl w:ilvl="0">
      <w:lvlJc w:val="left"/>
      <w:lvlText w:val="(%1)"/>
      <w:numFmt w:val="lowerLetter"/>
      <w:start w:val="1"/>
    </w:lvl>
  </w:abstractNum>
  <w:abstractNum w:abstractNumId="94">
    <w:nsid w:val="1849C29B"/>
    <w:multiLevelType w:val="hybridMultilevel"/>
    <w:lvl w:ilvl="0">
      <w:lvlJc w:val="left"/>
      <w:lvlText w:val="%1."/>
      <w:numFmt w:val="decimal"/>
      <w:start w:val="4"/>
    </w:lvl>
  </w:abstractNum>
  <w:abstractNum w:abstractNumId="95">
    <w:nsid w:val="7DFF9D09"/>
    <w:multiLevelType w:val="hybridMultilevel"/>
    <w:lvl w:ilvl="0">
      <w:lvlJc w:val="left"/>
      <w:lvlText w:val="%1."/>
      <w:numFmt w:val="decimal"/>
      <w:start w:val="5"/>
    </w:lvl>
  </w:abstractNum>
  <w:abstractNum w:abstractNumId="96">
    <w:nsid w:val="754342"/>
    <w:multiLevelType w:val="hybridMultilevel"/>
    <w:lvl w:ilvl="0">
      <w:lvlJc w:val="left"/>
      <w:lvlText w:val="(%1)"/>
      <w:numFmt w:val="lowerLetter"/>
      <w:start w:val="3"/>
    </w:lvl>
  </w:abstractNum>
  <w:abstractNum w:abstractNumId="97">
    <w:nsid w:val="69E7F3E5"/>
    <w:multiLevelType w:val="hybridMultilevel"/>
    <w:lvl w:ilvl="0">
      <w:lvlJc w:val="left"/>
      <w:lvlText w:val="(%1)"/>
      <w:numFmt w:val="lowerLetter"/>
      <w:start w:val="1"/>
    </w:lvl>
  </w:abstractNum>
  <w:abstractNum w:abstractNumId="98">
    <w:nsid w:val="2A6DE806"/>
    <w:multiLevelType w:val="hybridMultilevel"/>
    <w:lvl w:ilvl="0">
      <w:lvlJc w:val="left"/>
      <w:lvlText w:val="(%1)"/>
      <w:numFmt w:val="lowerLetter"/>
      <w:start w:val="4"/>
    </w:lvl>
  </w:abstractNum>
  <w:abstractNum w:abstractNumId="99">
    <w:nsid w:val="1816F8C4"/>
    <w:multiLevelType w:val="hybridMultilevel"/>
    <w:lvl w:ilvl="0">
      <w:lvlJc w:val="left"/>
      <w:lvlText w:val="%1."/>
      <w:numFmt w:val="decimal"/>
      <w:start w:val="6"/>
    </w:lvl>
  </w:abstractNum>
  <w:abstractNum w:abstractNumId="100">
    <w:nsid w:val="37DF2233"/>
    <w:multiLevelType w:val="hybridMultilevel"/>
    <w:lvl w:ilvl="0">
      <w:lvlJc w:val="left"/>
      <w:lvlText w:val="(%1)"/>
      <w:numFmt w:val="lowerLetter"/>
      <w:start w:val="1"/>
    </w:lvl>
  </w:abstractNum>
  <w:abstractNum w:abstractNumId="101">
    <w:nsid w:val="7AB49DAF"/>
    <w:multiLevelType w:val="hybridMultilevel"/>
    <w:lvl w:ilvl="0">
      <w:lvlJc w:val="left"/>
      <w:lvlText w:val="(%1)"/>
      <w:numFmt w:val="lowerLetter"/>
      <w:start w:val="1"/>
    </w:lvl>
    <w:lvl w:ilvl="1">
      <w:lvlJc w:val="left"/>
      <w:lvlText w:val="(%2)"/>
      <w:numFmt w:val="lowerRoman"/>
      <w:start w:val="1"/>
    </w:lvl>
  </w:abstractNum>
  <w:abstractNum w:abstractNumId="102">
    <w:nsid w:val="759F82CD"/>
    <w:multiLevelType w:val="hybridMultilevel"/>
    <w:lvl w:ilvl="0">
      <w:lvlJc w:val="left"/>
      <w:lvlText w:val="(%1)"/>
      <w:numFmt w:val="lowerRoman"/>
      <w:start w:val="6"/>
    </w:lvl>
  </w:abstractNum>
  <w:abstractNum w:abstractNumId="103">
    <w:nsid w:val="61E74EA3"/>
    <w:multiLevelType w:val="hybridMultilevel"/>
    <w:lvl w:ilvl="0">
      <w:lvlJc w:val="left"/>
      <w:lvlText w:val="(%1)"/>
      <w:numFmt w:val="lowerLetter"/>
      <w:start w:val="2"/>
    </w:lvl>
  </w:abstractNum>
  <w:abstractNum w:abstractNumId="104">
    <w:nsid w:val="597B4D84"/>
    <w:multiLevelType w:val="hybridMultilevel"/>
    <w:lvl w:ilvl="0">
      <w:lvlJc w:val="left"/>
      <w:lvlText w:val="(%1)"/>
      <w:numFmt w:val="lowerLetter"/>
      <w:start w:val="1"/>
    </w:lvl>
  </w:abstractNum>
  <w:abstractNum w:abstractNumId="105">
    <w:nsid w:val="F819E7F"/>
    <w:multiLevelType w:val="hybridMultilevel"/>
    <w:lvl w:ilvl="0">
      <w:lvlJc w:val="left"/>
      <w:lvlText w:val="(%1)"/>
      <w:numFmt w:val="decimal"/>
      <w:start w:val="3"/>
    </w:lvl>
  </w:abstractNum>
  <w:abstractNum w:abstractNumId="106">
    <w:nsid w:val="57C7D42D"/>
    <w:multiLevelType w:val="hybridMultilevel"/>
    <w:lvl w:ilvl="0">
      <w:lvlJc w:val="left"/>
      <w:lvlText w:val="(%1)"/>
      <w:numFmt w:val="lowerLetter"/>
      <w:start w:val="1"/>
    </w:lvl>
  </w:abstractNum>
  <w:abstractNum w:abstractNumId="107">
    <w:nsid w:val="312167AD"/>
    <w:multiLevelType w:val="hybridMultilevel"/>
    <w:lvl w:ilvl="0">
      <w:lvlJc w:val="left"/>
      <w:lvlText w:val="(%1)"/>
      <w:numFmt w:val="lowerLetter"/>
      <w:start w:val="1"/>
    </w:lvl>
  </w:abstractNum>
  <w:abstractNum w:abstractNumId="108">
    <w:nsid w:val="631B64D4"/>
    <w:multiLevelType w:val="hybridMultilevel"/>
    <w:lvl w:ilvl="0">
      <w:lvlJc w:val="left"/>
      <w:lvlText w:val="%1."/>
      <w:numFmt w:val="decimal"/>
      <w:start w:val="7"/>
    </w:lvl>
  </w:abstractNum>
  <w:abstractNum w:abstractNumId="109">
    <w:nsid w:val="78B5E776"/>
    <w:multiLevelType w:val="hybridMultilevel"/>
    <w:lvl w:ilvl="0">
      <w:lvlJc w:val="left"/>
      <w:lvlText w:val="%1."/>
      <w:numFmt w:val="decimal"/>
      <w:start w:val="8"/>
    </w:lvl>
  </w:abstractNum>
  <w:abstractNum w:abstractNumId="110">
    <w:nsid w:val="75486E47"/>
    <w:multiLevelType w:val="hybridMultilevel"/>
    <w:lvl w:ilvl="0">
      <w:lvlJc w:val="left"/>
      <w:lvlText w:val="(%1)"/>
      <w:numFmt w:val="lowerLetter"/>
      <w:start w:val="1"/>
    </w:lvl>
  </w:abstractNum>
  <w:abstractNum w:abstractNumId="111">
    <w:nsid w:val="6E534CDE"/>
    <w:multiLevelType w:val="hybridMultilevel"/>
    <w:lvl w:ilvl="0">
      <w:lvlJc w:val="left"/>
      <w:lvlText w:val="%1"/>
      <w:numFmt w:val="lowerLetter"/>
      <w:start w:val="1"/>
    </w:lvl>
    <w:lvl w:ilvl="1">
      <w:lvlJc w:val="left"/>
      <w:lvlText w:val="(%2)"/>
      <w:numFmt w:val="lowerLetter"/>
      <w:start w:val="1"/>
    </w:lvl>
  </w:abstractNum>
  <w:abstractNum w:abstractNumId="112">
    <w:nsid w:val="1A0DDE32"/>
    <w:multiLevelType w:val="hybridMultilevel"/>
    <w:lvl w:ilvl="0">
      <w:lvlJc w:val="left"/>
      <w:lvlText w:val="(%1)"/>
      <w:numFmt w:val="lowerLetter"/>
      <w:start w:val="35"/>
    </w:lvl>
    <w:lvl w:ilvl="1">
      <w:lvlJc w:val="left"/>
      <w:lvlText w:val="(%2)"/>
      <w:numFmt w:val="lowerLetter"/>
      <w:start w:val="2"/>
    </w:lvl>
  </w:abstractNum>
  <w:abstractNum w:abstractNumId="113">
    <w:nsid w:val="65968C1C"/>
    <w:multiLevelType w:val="hybridMultilevel"/>
    <w:lvl w:ilvl="0">
      <w:lvlJc w:val="left"/>
      <w:lvlText w:val="%1."/>
      <w:numFmt w:val="decimal"/>
      <w:start w:val="9"/>
    </w:lvl>
  </w:abstractNum>
  <w:abstractNum w:abstractNumId="114">
    <w:nsid w:val="46263DEC"/>
    <w:multiLevelType w:val="hybridMultilevel"/>
    <w:lvl w:ilvl="0">
      <w:lvlJc w:val="left"/>
      <w:lvlText w:val="(%1)"/>
      <w:numFmt w:val="lowerLetter"/>
      <w:start w:val="1"/>
    </w:lvl>
    <w:lvl w:ilvl="1">
      <w:lvlJc w:val="left"/>
      <w:lvlText w:val="(%2)"/>
      <w:numFmt w:val="lowerRoman"/>
      <w:start w:val="1"/>
    </w:lvl>
  </w:abstractNum>
  <w:abstractNum w:abstractNumId="115">
    <w:nsid w:val="260D8C4A"/>
    <w:multiLevelType w:val="hybridMultilevel"/>
    <w:lvl w:ilvl="0">
      <w:lvlJc w:val="left"/>
      <w:lvlText w:val="(%1)"/>
      <w:numFmt w:val="lowerRoman"/>
      <w:start w:val="3"/>
    </w:lvl>
  </w:abstractNum>
  <w:abstractNum w:abstractNumId="116">
    <w:nsid w:val="73D4D3C4"/>
    <w:multiLevelType w:val="hybridMultilevel"/>
    <w:lvl w:ilvl="0">
      <w:lvlJc w:val="left"/>
      <w:lvlText w:val="(%1)"/>
      <w:numFmt w:val="lowerRoman"/>
      <w:start w:val="10"/>
    </w:lvl>
  </w:abstractNum>
  <w:abstractNum w:abstractNumId="117">
    <w:nsid w:val="746F2E30"/>
    <w:multiLevelType w:val="hybridMultilevel"/>
    <w:lvl w:ilvl="0">
      <w:lvlJc w:val="left"/>
      <w:lvlText w:val="%1."/>
      <w:numFmt w:val="decimal"/>
      <w:start w:val="10"/>
    </w:lvl>
  </w:abstractNum>
  <w:abstractNum w:abstractNumId="118">
    <w:nsid w:val="6FDE8AF6"/>
    <w:multiLevelType w:val="hybridMultilevel"/>
    <w:lvl w:ilvl="0">
      <w:lvlJc w:val="left"/>
      <w:lvlText w:val="%1."/>
      <w:numFmt w:val="decimal"/>
      <w:start w:val="11"/>
    </w:lvl>
  </w:abstractNum>
  <w:abstractNum w:abstractNumId="119">
    <w:nsid w:val="3FC32E20"/>
    <w:multiLevelType w:val="hybridMultilevel"/>
    <w:lvl w:ilvl="0">
      <w:lvlJc w:val="left"/>
      <w:lvlText w:val="%1."/>
      <w:numFmt w:val="decimal"/>
      <w:start w:val="12"/>
    </w:lvl>
  </w:abstractNum>
  <w:abstractNum w:abstractNumId="120">
    <w:nsid w:val="49C0E823"/>
    <w:multiLevelType w:val="hybridMultilevel"/>
    <w:lvl w:ilvl="0">
      <w:lvlJc w:val="left"/>
      <w:lvlText w:val="(%1)"/>
      <w:numFmt w:val="lowerRoman"/>
      <w:start w:val="1"/>
    </w:lvl>
  </w:abstractNum>
  <w:abstractNum w:abstractNumId="121">
    <w:nsid w:val="14D5368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22">
    <w:nsid w:val="230F856C"/>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4"/>
    </w:lvl>
  </w:abstractNum>
  <w:abstractNum w:abstractNumId="123">
    <w:nsid w:val="6EAA85FB"/>
    <w:multiLevelType w:val="hybridMultilevel"/>
    <w:lvl w:ilvl="0">
      <w:lvlJc w:val="left"/>
      <w:lvlText w:val="(%1)"/>
      <w:numFmt w:val="lowerRoman"/>
      <w:start w:val="2"/>
    </w:lvl>
  </w:abstractNum>
  <w:abstractNum w:abstractNumId="124">
    <w:nsid w:val="3F06ECB2"/>
    <w:multiLevelType w:val="hybridMultilevel"/>
    <w:lvl w:ilvl="0">
      <w:lvlJc w:val="left"/>
      <w:lvlText w:val="%1."/>
      <w:numFmt w:val="decimal"/>
      <w:start w:val="13"/>
    </w:lvl>
  </w:abstractNum>
  <w:abstractNum w:abstractNumId="125">
    <w:nsid w:val="3B594807"/>
    <w:multiLevelType w:val="hybridMultilevel"/>
    <w:lvl w:ilvl="0">
      <w:lvlJc w:val="left"/>
      <w:lvlText w:val="(%1)"/>
      <w:numFmt w:val="lowerLetter"/>
      <w:start w:val="1"/>
    </w:lvl>
  </w:abstractNum>
  <w:abstractNum w:abstractNumId="126">
    <w:nsid w:val="6CAA2304"/>
    <w:multiLevelType w:val="hybridMultilevel"/>
    <w:lvl w:ilvl="0">
      <w:lvlJc w:val="left"/>
      <w:lvlText w:val="(%1)"/>
      <w:numFmt w:val="lowerLetter"/>
      <w:start w:val="1"/>
    </w:lvl>
  </w:abstractNum>
  <w:abstractNum w:abstractNumId="127">
    <w:nsid w:val="3F7C2FF4"/>
    <w:multiLevelType w:val="hybridMultilevel"/>
    <w:lvl w:ilvl="0">
      <w:lvlJc w:val="left"/>
      <w:lvlText w:val="(%1)"/>
      <w:numFmt w:val="lowerLetter"/>
      <w:start w:val="3"/>
    </w:lvl>
  </w:abstractNum>
  <w:abstractNum w:abstractNumId="128">
    <w:nsid w:val="25413BEC"/>
    <w:multiLevelType w:val="hybridMultilevel"/>
    <w:lvl w:ilvl="0">
      <w:lvlJc w:val="left"/>
      <w:lvlText w:val="(%1)"/>
      <w:numFmt w:val="lowerLetter"/>
      <w:start w:val="2"/>
    </w:lvl>
  </w:abstractNum>
  <w:abstractNum w:abstractNumId="129">
    <w:nsid w:val="17180B0B"/>
    <w:multiLevelType w:val="hybridMultilevel"/>
    <w:lvl w:ilvl="0">
      <w:lvlJc w:val="left"/>
      <w:lvlText w:val="(%1)"/>
      <w:numFmt w:val="lowerLetter"/>
      <w:start w:val="8"/>
    </w:lvl>
  </w:abstractNum>
  <w:abstractNum w:abstractNumId="130">
    <w:nsid w:val="579328B9"/>
    <w:multiLevelType w:val="hybridMultilevel"/>
    <w:lvl w:ilvl="0">
      <w:lvlJc w:val="left"/>
      <w:lvlText w:val="(%1)"/>
      <w:numFmt w:val="lowerLetter"/>
      <w:start w:val="2"/>
    </w:lvl>
  </w:abstractNum>
  <w:abstractNum w:abstractNumId="131">
    <w:nsid w:val="5D205E20"/>
    <w:multiLevelType w:val="hybridMultilevel"/>
    <w:lvl w:ilvl="0">
      <w:lvlJc w:val="left"/>
      <w:lvlText w:val="(%1)"/>
      <w:numFmt w:val="lowerLetter"/>
      <w:start w:val="8"/>
    </w:lvl>
  </w:abstractNum>
  <w:abstractNum w:abstractNumId="132">
    <w:nsid w:val="11CCA8BA"/>
    <w:multiLevelType w:val="hybridMultilevel"/>
    <w:lvl w:ilvl="0">
      <w:lvlJc w:val="left"/>
      <w:lvlText w:val="(%1)"/>
      <w:numFmt w:val="lowerLetter"/>
      <w:start w:val="1"/>
    </w:lvl>
  </w:abstractNum>
  <w:abstractNum w:abstractNumId="133">
    <w:nsid w:val="4D32AB86"/>
    <w:multiLevelType w:val="hybridMultilevel"/>
    <w:lvl w:ilvl="0">
      <w:lvlJc w:val="left"/>
      <w:lvlText w:val="(%1)"/>
      <w:numFmt w:val="lowerLetter"/>
      <w:start w:val="7"/>
    </w:lvl>
  </w:abstractNum>
  <w:abstractNum w:abstractNumId="134">
    <w:nsid w:val="3F07ACC3"/>
    <w:multiLevelType w:val="hybridMultilevel"/>
    <w:lvl w:ilvl="0">
      <w:lvlJc w:val="left"/>
      <w:lvlText w:val="(%1)"/>
      <w:numFmt w:val="lowerLetter"/>
      <w:start w:val="2"/>
    </w:lvl>
  </w:abstractNum>
  <w:abstractNum w:abstractNumId="135">
    <w:nsid w:val="6B47F63E"/>
    <w:multiLevelType w:val="hybridMultilevel"/>
    <w:lvl w:ilvl="0">
      <w:lvlJc w:val="left"/>
      <w:lvlText w:val="(%1)"/>
      <w:numFmt w:val="lowerLetter"/>
      <w:start w:val="3"/>
    </w:lvl>
  </w:abstractNum>
  <w:abstractNum w:abstractNumId="136">
    <w:nsid w:val="5CB44A05"/>
    <w:multiLevelType w:val="hybridMultilevel"/>
    <w:lvl w:ilvl="0">
      <w:lvlJc w:val="left"/>
      <w:lvlText w:val="(%1)"/>
      <w:numFmt w:val="lowerLetter"/>
      <w:start w:val="15"/>
    </w:lvl>
  </w:abstractNum>
  <w:abstractNum w:abstractNumId="137">
    <w:nsid w:val="16CF80F1"/>
    <w:multiLevelType w:val="hybridMultilevel"/>
    <w:lvl w:ilvl="0">
      <w:lvlJc w:val="left"/>
      <w:lvlText w:val="(%1)"/>
      <w:numFmt w:val="lowerRoman"/>
      <w:start w:val="1"/>
    </w:lvl>
  </w:abstractNum>
  <w:abstractNum w:abstractNumId="138">
    <w:nsid w:val="1C695DEC"/>
    <w:multiLevelType w:val="hybridMultilevel"/>
    <w:lvl w:ilvl="0">
      <w:lvlJc w:val="left"/>
      <w:lvlText w:val="(%1)"/>
      <w:numFmt w:val="lowerRoman"/>
      <w:start w:val="2"/>
    </w:lvl>
  </w:abstractNum>
  <w:abstractNum w:abstractNumId="139">
    <w:nsid w:val="3FCFAED9"/>
    <w:multiLevelType w:val="hybridMultilevel"/>
    <w:lvl w:ilvl="0">
      <w:lvlJc w:val="left"/>
      <w:lvlText w:val="(%1)"/>
      <w:numFmt w:val="lowerRoman"/>
      <w:start w:val="2"/>
    </w:lvl>
  </w:abstractNum>
  <w:abstractNum w:abstractNumId="140">
    <w:nsid w:val="F856867"/>
    <w:multiLevelType w:val="hybridMultilevel"/>
    <w:lvl w:ilvl="0">
      <w:lvlJc w:val="left"/>
      <w:lvlText w:val="%1."/>
      <w:numFmt w:val="decimal"/>
      <w:start w:val="1"/>
    </w:lvl>
  </w:abstractNum>
  <w:abstractNum w:abstractNumId="141">
    <w:nsid w:val="11B1CC33"/>
    <w:multiLevelType w:val="hybridMultilevel"/>
    <w:lvl w:ilvl="0">
      <w:lvlJc w:val="left"/>
      <w:lvlText w:val="%1."/>
      <w:numFmt w:val="decimal"/>
      <w:start w:val="8"/>
    </w:lvl>
  </w:abstractNum>
  <w:abstractNum w:abstractNumId="142">
    <w:nsid w:val="2E22FBB7"/>
    <w:multiLevelType w:val="hybridMultilevel"/>
    <w:lvl w:ilvl="0">
      <w:lvlJc w:val="left"/>
      <w:lvlText w:val="*"/>
      <w:numFmt w:val="bullet"/>
      <w:start w:val="1"/>
    </w:lvl>
  </w:abstractNum>
  <w:abstractNum w:abstractNumId="143">
    <w:nsid w:val="29934699"/>
    <w:multiLevelType w:val="hybridMultilevel"/>
    <w:lvl w:ilvl="0">
      <w:lvlJc w:val="left"/>
      <w:lvlText w:val="(%1)"/>
      <w:numFmt w:val="lowerLetter"/>
      <w:start w:val="1"/>
    </w:lvl>
  </w:abstractNum>
  <w:abstractNum w:abstractNumId="144">
    <w:nsid w:val="77485850"/>
    <w:multiLevelType w:val="hybridMultilevel"/>
    <w:lvl w:ilvl="0">
      <w:lvlJc w:val="left"/>
      <w:lvlText w:val="%1)"/>
      <w:numFmt w:val="decimal"/>
      <w:start w:val="1"/>
    </w:lvl>
  </w:abstractNum>
  <w:abstractNum w:abstractNumId="145">
    <w:nsid w:val="744939A3"/>
    <w:multiLevelType w:val="hybridMultilevel"/>
    <w:lvl w:ilvl="0">
      <w:lvlJc w:val="left"/>
      <w:lvlText w:val="%1)"/>
      <w:numFmt w:val="decimal"/>
      <w:start w:val="5"/>
    </w:lvl>
  </w:abstractNum>
  <w:abstractNum w:abstractNumId="146">
    <w:nsid w:val="4FA0D2E3"/>
    <w:multiLevelType w:val="hybridMultilevel"/>
    <w:lvl w:ilvl="0">
      <w:lvlJc w:val="left"/>
      <w:lvlText w:val="☐"/>
      <w:numFmt w:val="bullet"/>
      <w:start w:val="1"/>
    </w:lvl>
  </w:abstractNum>
  <w:abstractNum w:abstractNumId="147">
    <w:nsid w:val="6B1D2C14"/>
    <w:multiLevelType w:val="hybridMultilevel"/>
    <w:lvl w:ilvl="0">
      <w:lvlJc w:val="left"/>
      <w:lvlText w:val="%1)"/>
      <w:numFmt w:val="decimal"/>
      <w:start w:val="1"/>
    </w:lvl>
  </w:abstractNum>
  <w:abstractNum w:abstractNumId="148">
    <w:nsid w:val="68B867D3"/>
    <w:multiLevelType w:val="hybridMultilevel"/>
    <w:lvl w:ilvl="0">
      <w:lvlJc w:val="left"/>
      <w:lvlText w:val="%1."/>
      <w:numFmt w:val="decimal"/>
      <w:start w:val="1"/>
    </w:lvl>
  </w:abstractNum>
  <w:abstractNum w:abstractNumId="149">
    <w:nsid w:val="3F7F5DD9"/>
    <w:multiLevelType w:val="hybridMultilevel"/>
    <w:lvl w:ilvl="0">
      <w:lvlJc w:val="left"/>
      <w:lvlText w:val="%1."/>
      <w:numFmt w:val="decimal"/>
      <w:start w:val="5"/>
    </w:lvl>
  </w:abstractNum>
  <w:abstractNum w:abstractNumId="150">
    <w:nsid w:val="2AE05A34"/>
    <w:multiLevelType w:val="hybridMultilevel"/>
    <w:lvl w:ilvl="0">
      <w:lvlJc w:val="left"/>
      <w:lvlText w:val="***"/>
      <w:numFmt w:val="bullet"/>
      <w:start w:val="1"/>
    </w:lvl>
  </w:abstractNum>
  <w:abstractNum w:abstractNumId="151">
    <w:nsid w:val="32794FF7"/>
    <w:multiLevelType w:val="hybridMultilevel"/>
    <w:lvl w:ilvl="0">
      <w:lvlJc w:val="left"/>
      <w:lvlText w:val="%1."/>
      <w:numFmt w:val="decimal"/>
      <w:start w:val="1"/>
    </w:lvl>
  </w:abstractNum>
  <w:abstractNum w:abstractNumId="152">
    <w:nsid w:val="5454945E"/>
    <w:multiLevelType w:val="hybridMultilevel"/>
    <w:lvl w:ilvl="0">
      <w:lvlJc w:val="left"/>
      <w:lvlText w:val="%1."/>
      <w:numFmt w:val="decimal"/>
      <w:start w:val="5"/>
    </w:lvl>
  </w:abstractNum>
  <w:abstractNum w:abstractNumId="153">
    <w:nsid w:val="4DEFDFA0"/>
    <w:multiLevelType w:val="hybridMultilevel"/>
    <w:lvl w:ilvl="0">
      <w:lvlJc w:val="left"/>
      <w:lvlText w:val="***"/>
      <w:numFmt w:val="bullet"/>
      <w:start w:val="1"/>
    </w:lvl>
  </w:abstractNum>
  <w:abstractNum w:abstractNumId="154">
    <w:nsid w:val="2123D5F2"/>
    <w:multiLevelType w:val="hybridMultilevel"/>
    <w:lvl w:ilvl="0">
      <w:lvlJc w:val="left"/>
      <w:lvlText w:val="%1."/>
      <w:numFmt w:val="decimal"/>
      <w:start w:val="1"/>
    </w:lvl>
  </w:abstractNum>
  <w:abstractNum w:abstractNumId="155">
    <w:nsid w:val="135B8110"/>
    <w:multiLevelType w:val="hybridMultilevel"/>
    <w:lvl w:ilvl="0">
      <w:lvlJc w:val="left"/>
      <w:lvlText w:val="%1."/>
      <w:numFmt w:val="decimal"/>
      <w:start w:val="2"/>
    </w:lvl>
  </w:abstractNum>
  <w:abstractNum w:abstractNumId="156">
    <w:nsid w:val="94927A8"/>
    <w:multiLevelType w:val="hybridMultilevel"/>
    <w:lvl w:ilvl="0">
      <w:lvlJc w:val="left"/>
      <w:lvlText w:val="%1."/>
      <w:numFmt w:val="lowerLetter"/>
      <w:start w:val="1"/>
    </w:lvl>
  </w:abstractNum>
  <w:abstractNum w:abstractNumId="157">
    <w:nsid w:val="DCDF8F6"/>
    <w:multiLevelType w:val="hybridMultilevel"/>
    <w:lvl w:ilvl="0">
      <w:lvlJc w:val="left"/>
      <w:lvlText w:val="%1"/>
      <w:numFmt w:val="decimal"/>
      <w:start w:val="1"/>
    </w:lvl>
    <w:lvl w:ilvl="1">
      <w:lvlJc w:val="left"/>
      <w:lvlText w:val="%2."/>
      <w:numFmt w:val="lowerLetter"/>
      <w:start w:val="5"/>
    </w:lvl>
  </w:abstractNum>
  <w:abstractNum w:abstractNumId="158">
    <w:nsid w:val="52D7B105"/>
    <w:multiLevelType w:val="hybridMultilevel"/>
    <w:lvl w:ilvl="0">
      <w:lvlJc w:val="left"/>
      <w:lvlText w:val="%1."/>
      <w:numFmt w:val="decimal"/>
      <w:start w:val="3"/>
    </w:lvl>
    <w:lvl w:ilvl="1">
      <w:lvlJc w:val="left"/>
      <w:lvlText w:val="%2"/>
      <w:numFmt w:val="lowerLetter"/>
      <w:start w:val="1"/>
    </w:lvl>
  </w:abstractNum>
  <w:abstractNum w:abstractNumId="159">
    <w:nsid w:val="2E8A6394"/>
    <w:multiLevelType w:val="hybridMultilevel"/>
    <w:lvl w:ilvl="0">
      <w:lvlJc w:val="left"/>
      <w:lvlText w:val="%1."/>
      <w:numFmt w:val="decimal"/>
      <w:start w:val="4"/>
    </w:lvl>
  </w:abstractNum>
  <w:abstractNum w:abstractNumId="160">
    <w:nsid w:val="24E60401"/>
    <w:multiLevelType w:val="hybridMultilevel"/>
    <w:lvl w:ilvl="0">
      <w:lvlJc w:val="left"/>
      <w:lvlText w:val="%1."/>
      <w:numFmt w:val="decimal"/>
      <w:start w:val="5"/>
    </w:lvl>
  </w:abstractNum>
  <w:abstractNum w:abstractNumId="161">
    <w:nsid w:val="2A6AD9BE"/>
    <w:multiLevelType w:val="hybridMultilevel"/>
    <w:lvl w:ilvl="0">
      <w:lvlJc w:val="left"/>
      <w:lvlText w:val="%1."/>
      <w:numFmt w:val="decimal"/>
      <w:start w:val="6"/>
    </w:lvl>
  </w:abstractNum>
  <w:abstractNum w:abstractNumId="162">
    <w:nsid w:val="BAAC1B4"/>
    <w:multiLevelType w:val="hybridMultilevel"/>
    <w:lvl w:ilvl="0">
      <w:lvlJc w:val="left"/>
      <w:lvlText w:val="%1."/>
      <w:numFmt w:val="decimal"/>
      <w:start w:val="7"/>
    </w:lvl>
  </w:abstractNum>
  <w:abstractNum w:abstractNumId="163">
    <w:nsid w:val="36B2ACBC"/>
    <w:multiLevelType w:val="hybridMultilevel"/>
    <w:lvl w:ilvl="0">
      <w:lvlJc w:val="left"/>
      <w:lvlText w:val="%1."/>
      <w:numFmt w:val="decimal"/>
      <w:start w:val="8"/>
    </w:lvl>
  </w:abstractNum>
  <w:abstractNum w:abstractNumId="164">
    <w:nsid w:val="779D8544"/>
    <w:multiLevelType w:val="hybridMultilevel"/>
    <w:lvl w:ilvl="0">
      <w:lvlJc w:val="left"/>
      <w:lvlText w:val="%1."/>
      <w:numFmt w:val="decimal"/>
      <w:start w:val="9"/>
    </w:lvl>
  </w:abstractNum>
  <w:abstractNum w:abstractNumId="165">
    <w:nsid w:val="4AB26E78"/>
    <w:multiLevelType w:val="hybridMultilevel"/>
    <w:lvl w:ilvl="0">
      <w:lvlJc w:val="left"/>
      <w:lvlText w:val=" "/>
      <w:numFmt w:val="bullet"/>
      <w:start w:val="1"/>
    </w:lvl>
  </w:abstractNum>
  <w:abstractNum w:abstractNumId="166">
    <w:nsid w:val="21FAA2FA"/>
    <w:multiLevelType w:val="hybridMultilevel"/>
    <w:lvl w:ilvl="0">
      <w:lvlJc w:val="left"/>
      <w:lvlText w:val=" "/>
      <w:numFmt w:val="bullet"/>
      <w:start w:val="1"/>
    </w:lvl>
  </w:abstractNum>
  <w:abstractNum w:abstractNumId="167">
    <w:nsid w:val="5451CF49"/>
    <w:multiLevelType w:val="hybridMultilevel"/>
    <w:lvl w:ilvl="0">
      <w:lvlJc w:val="left"/>
      <w:lvlText w:val=" "/>
      <w:numFmt w:val="bullet"/>
      <w:start w:val="1"/>
    </w:lvl>
  </w:abstractNum>
  <w:abstractNum w:abstractNumId="168">
    <w:nsid w:val="6181EF69"/>
    <w:multiLevelType w:val="hybridMultilevel"/>
    <w:lvl w:ilvl="0">
      <w:lvlJc w:val="left"/>
      <w:lvlText w:val=" "/>
      <w:numFmt w:val="bullet"/>
      <w:start w:val="1"/>
    </w:lvl>
  </w:abstractNum>
  <w:abstractNum w:abstractNumId="169">
    <w:nsid w:val="3E6400E6"/>
    <w:multiLevelType w:val="hybridMultilevel"/>
    <w:lvl w:ilvl="0">
      <w:lvlJc w:val="left"/>
      <w:lvlText w:val="(%1)"/>
      <w:numFmt w:val="lowerRoman"/>
      <w:start w:val="2"/>
    </w:lvl>
  </w:abstractNum>
  <w:abstractNum w:abstractNumId="170">
    <w:nsid w:val="14217E23"/>
    <w:multiLevelType w:val="hybridMultilevel"/>
    <w:lvl w:ilvl="0">
      <w:lvlJc w:val="left"/>
      <w:lvlText w:val="(%1)"/>
      <w:numFmt w:val="lowerRoman"/>
      <w:start w:val="2"/>
    </w:lvl>
  </w:abstractNum>
  <w:abstractNum w:abstractNumId="171">
    <w:nsid w:val="710757D0"/>
    <w:multiLevelType w:val="hybridMultilevel"/>
    <w:lvl w:ilvl="0">
      <w:lvlJc w:val="left"/>
      <w:lvlText w:val="*"/>
      <w:numFmt w:val="bullet"/>
      <w:start w:val="1"/>
    </w:lvl>
  </w:abstractNum>
  <w:abstractNum w:abstractNumId="172">
    <w:nsid w:val="5015CD1A"/>
    <w:multiLevelType w:val="hybridMultilevel"/>
    <w:lvl w:ilvl="0">
      <w:lvlJc w:val="left"/>
      <w:lvlText w:val=" "/>
      <w:numFmt w:val="bullet"/>
      <w:start w:val="1"/>
    </w:lvl>
  </w:abstractNum>
  <w:abstractNum w:abstractNumId="173">
    <w:nsid w:val="424479DA"/>
    <w:multiLevelType w:val="hybridMultilevel"/>
    <w:lvl w:ilvl="0">
      <w:lvlJc w:val="left"/>
      <w:lvlText w:val="%1."/>
      <w:numFmt w:val="decimal"/>
      <w:start w:val="1"/>
    </w:lvl>
    <w:lvl w:ilvl="1">
      <w:lvlJc w:val="left"/>
      <w:lvlText w:val=" "/>
      <w:numFmt w:val="bullet"/>
      <w:start w:val="1"/>
    </w:lvl>
  </w:abstractNum>
  <w:abstractNum w:abstractNumId="174">
    <w:nsid w:val="1A9A9E69"/>
    <w:multiLevelType w:val="hybridMultilevel"/>
    <w:lvl w:ilvl="0">
      <w:lvlJc w:val="left"/>
      <w:lvlText w:val="%1."/>
      <w:numFmt w:val="decimal"/>
      <w:start w:val="7"/>
    </w:lvl>
  </w:abstractNum>
  <w:abstractNum w:abstractNumId="175">
    <w:nsid w:val="475E256A"/>
    <w:multiLevelType w:val="hybridMultilevel"/>
    <w:lvl w:ilvl="0">
      <w:lvlJc w:val="left"/>
      <w:lvlText w:val="%1."/>
      <w:numFmt w:val="decimal"/>
      <w:start w:val="15"/>
    </w:lvl>
    <w:lvl w:ilvl="1">
      <w:lvlJc w:val="left"/>
      <w:lvlText w:val=" "/>
      <w:numFmt w:val="bullet"/>
      <w:start w:val="1"/>
    </w:lvl>
  </w:abstractNum>
  <w:abstractNum w:abstractNumId="176">
    <w:nsid w:val="368DB37E"/>
    <w:multiLevelType w:val="hybridMultilevel"/>
    <w:lvl w:ilvl="0">
      <w:lvlJc w:val="left"/>
      <w:lvlText w:val=" "/>
      <w:numFmt w:val="bullet"/>
      <w:start w:val="1"/>
    </w:lvl>
  </w:abstractNum>
  <w:abstractNum w:abstractNumId="177">
    <w:nsid w:val="6A3B714C"/>
    <w:multiLevelType w:val="hybridMultilevel"/>
    <w:lvl w:ilvl="0">
      <w:lvlJc w:val="left"/>
      <w:lvlText w:val=" "/>
      <w:numFmt w:val="bullet"/>
      <w:start w:val="1"/>
    </w:lvl>
  </w:abstractNum>
  <w:abstractNum w:abstractNumId="178">
    <w:nsid w:val="327B517E"/>
    <w:multiLevelType w:val="hybridMultilevel"/>
    <w:lvl w:ilvl="0">
      <w:lvlJc w:val="left"/>
      <w:lvlText w:val=" "/>
      <w:numFmt w:val="bullet"/>
      <w:start w:val="1"/>
    </w:lvl>
  </w:abstractNum>
  <w:abstractNum w:abstractNumId="179">
    <w:nsid w:val="1F461B51"/>
    <w:multiLevelType w:val="hybridMultilevel"/>
    <w:lvl w:ilvl="0">
      <w:lvlJc w:val="left"/>
      <w:lvlText w:val=" "/>
      <w:numFmt w:val="bullet"/>
      <w:start w:val="1"/>
    </w:lvl>
  </w:abstractNum>
  <w:abstractNum w:abstractNumId="180">
    <w:nsid w:val="29BACF25"/>
    <w:multiLevelType w:val="hybridMultilevel"/>
    <w:lvl w:ilvl="0">
      <w:lvlJc w:val="left"/>
      <w:lvlText w:val=" "/>
      <w:numFmt w:val="bullet"/>
      <w:start w:val="1"/>
    </w:lvl>
  </w:abstractNum>
  <w:abstractNum w:abstractNumId="181">
    <w:nsid w:val="5D5BABB3"/>
    <w:multiLevelType w:val="hybridMultilevel"/>
    <w:lvl w:ilvl="0">
      <w:lvlJc w:val="left"/>
      <w:lvlText w:val="%1."/>
      <w:numFmt w:val="decimal"/>
      <w:start w:val="1"/>
    </w:lvl>
    <w:lvl w:ilvl="1">
      <w:lvlJc w:val="left"/>
      <w:lvlText w:val="(%2)"/>
      <w:numFmt w:val="lowerLetter"/>
      <w:start w:val="1"/>
    </w:lvl>
  </w:abstractNum>
  <w:abstractNum w:abstractNumId="182">
    <w:nsid w:val="51BF6B48"/>
    <w:multiLevelType w:val="hybridMultilevel"/>
    <w:lvl w:ilvl="0">
      <w:lvlJc w:val="left"/>
      <w:lvlText w:val="%1."/>
      <w:numFmt w:val="decimal"/>
      <w:start w:val="1"/>
    </w:lvl>
    <w:lvl w:ilvl="1">
      <w:lvlJc w:val="left"/>
      <w:lvlText w:val="(%2)"/>
      <w:numFmt w:val="lowerLetter"/>
      <w:start w:val="1"/>
    </w:lvl>
  </w:abstractNum>
  <w:abstractNum w:abstractNumId="183">
    <w:nsid w:val="7E0F6384"/>
    <w:multiLevelType w:val="hybridMultilevel"/>
    <w:lvl w:ilvl="0">
      <w:lvlJc w:val="left"/>
      <w:lvlText w:val="•"/>
      <w:numFmt w:val="bullet"/>
      <w:start w:val="1"/>
    </w:lvl>
  </w:abstractNum>
  <w:abstractNum w:abstractNumId="184">
    <w:nsid w:val="2B4B8B5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80" Type="http://schemas.openxmlformats.org/officeDocument/2006/relationships/image" Target="media/image358.png"/><Relationship Id="rId381" Type="http://schemas.openxmlformats.org/officeDocument/2006/relationships/image" Target="media/image359.png"/><Relationship Id="rId391" Type="http://schemas.openxmlformats.org/officeDocument/2006/relationships/image" Target="media/image360.png"/><Relationship Id="rId392" Type="http://schemas.openxmlformats.org/officeDocument/2006/relationships/image" Target="media/image361.png"/><Relationship Id="rId393" Type="http://schemas.openxmlformats.org/officeDocument/2006/relationships/image" Target="media/image362.png"/><Relationship Id="rId394" Type="http://schemas.openxmlformats.org/officeDocument/2006/relationships/image" Target="media/image363.png"/><Relationship Id="rId395" Type="http://schemas.openxmlformats.org/officeDocument/2006/relationships/image" Target="media/image364.png"/><Relationship Id="rId396" Type="http://schemas.openxmlformats.org/officeDocument/2006/relationships/image" Target="media/image365.png"/><Relationship Id="rId397" Type="http://schemas.openxmlformats.org/officeDocument/2006/relationships/image" Target="media/image366.png"/><Relationship Id="rId398" Type="http://schemas.openxmlformats.org/officeDocument/2006/relationships/image" Target="media/image367.png"/><Relationship Id="rId399" Type="http://schemas.openxmlformats.org/officeDocument/2006/relationships/image" Target="media/image368.png"/><Relationship Id="rId400" Type="http://schemas.openxmlformats.org/officeDocument/2006/relationships/image" Target="media/image369.png"/><Relationship Id="rId401" Type="http://schemas.openxmlformats.org/officeDocument/2006/relationships/image" Target="media/image370.png"/><Relationship Id="rId402" Type="http://schemas.openxmlformats.org/officeDocument/2006/relationships/image" Target="media/image371.png"/><Relationship Id="rId403" Type="http://schemas.openxmlformats.org/officeDocument/2006/relationships/image" Target="media/image372.png"/><Relationship Id="rId404" Type="http://schemas.openxmlformats.org/officeDocument/2006/relationships/image" Target="media/image373.png"/><Relationship Id="rId405" Type="http://schemas.openxmlformats.org/officeDocument/2006/relationships/image" Target="media/image374.png"/><Relationship Id="rId406" Type="http://schemas.openxmlformats.org/officeDocument/2006/relationships/image" Target="media/image375.png"/><Relationship Id="rId407" Type="http://schemas.openxmlformats.org/officeDocument/2006/relationships/image" Target="media/image376.png"/><Relationship Id="rId408" Type="http://schemas.openxmlformats.org/officeDocument/2006/relationships/image" Target="media/image377.png"/><Relationship Id="rId409" Type="http://schemas.openxmlformats.org/officeDocument/2006/relationships/image" Target="media/image378.png"/><Relationship Id="rId410" Type="http://schemas.openxmlformats.org/officeDocument/2006/relationships/image" Target="media/image379.png"/><Relationship Id="rId411" Type="http://schemas.openxmlformats.org/officeDocument/2006/relationships/image" Target="media/image380.png"/><Relationship Id="rId412" Type="http://schemas.openxmlformats.org/officeDocument/2006/relationships/image" Target="media/image381.png"/><Relationship Id="rId413" Type="http://schemas.openxmlformats.org/officeDocument/2006/relationships/image" Target="media/image382.png"/><Relationship Id="rId414" Type="http://schemas.openxmlformats.org/officeDocument/2006/relationships/image" Target="media/image383.png"/><Relationship Id="rId415" Type="http://schemas.openxmlformats.org/officeDocument/2006/relationships/image" Target="media/image384.png"/><Relationship Id="rId416" Type="http://schemas.openxmlformats.org/officeDocument/2006/relationships/image" Target="media/image385.png"/><Relationship Id="rId417" Type="http://schemas.openxmlformats.org/officeDocument/2006/relationships/image" Target="media/image386.png"/><Relationship Id="rId418" Type="http://schemas.openxmlformats.org/officeDocument/2006/relationships/image" Target="media/image387.png"/><Relationship Id="rId419" Type="http://schemas.openxmlformats.org/officeDocument/2006/relationships/image" Target="media/image388.png"/><Relationship Id="rId420" Type="http://schemas.openxmlformats.org/officeDocument/2006/relationships/image" Target="media/image389.png"/><Relationship Id="rId421" Type="http://schemas.openxmlformats.org/officeDocument/2006/relationships/image" Target="media/image390.png"/><Relationship Id="rId422" Type="http://schemas.openxmlformats.org/officeDocument/2006/relationships/image" Target="media/image391.png"/><Relationship Id="rId423" Type="http://schemas.openxmlformats.org/officeDocument/2006/relationships/image" Target="media/image392.png"/><Relationship Id="rId424" Type="http://schemas.openxmlformats.org/officeDocument/2006/relationships/image" Target="media/image393.png"/><Relationship Id="rId425" Type="http://schemas.openxmlformats.org/officeDocument/2006/relationships/image" Target="media/image394.png"/><Relationship Id="rId426" Type="http://schemas.openxmlformats.org/officeDocument/2006/relationships/image" Target="media/image395.png"/><Relationship Id="rId427" Type="http://schemas.openxmlformats.org/officeDocument/2006/relationships/image" Target="media/image396.png"/><Relationship Id="rId428" Type="http://schemas.openxmlformats.org/officeDocument/2006/relationships/image" Target="media/image397.png"/><Relationship Id="rId429" Type="http://schemas.openxmlformats.org/officeDocument/2006/relationships/image" Target="media/image398.png"/><Relationship Id="rId430" Type="http://schemas.openxmlformats.org/officeDocument/2006/relationships/image" Target="media/image399.png"/><Relationship Id="rId431" Type="http://schemas.openxmlformats.org/officeDocument/2006/relationships/image" Target="media/image400.png"/><Relationship Id="rId432" Type="http://schemas.openxmlformats.org/officeDocument/2006/relationships/image" Target="media/image401.png"/><Relationship Id="rId433" Type="http://schemas.openxmlformats.org/officeDocument/2006/relationships/image" Target="media/image402.png"/><Relationship Id="rId434" Type="http://schemas.openxmlformats.org/officeDocument/2006/relationships/image" Target="media/image403.png"/><Relationship Id="rId435" Type="http://schemas.openxmlformats.org/officeDocument/2006/relationships/image" Target="media/image404.png"/><Relationship Id="rId436" Type="http://schemas.openxmlformats.org/officeDocument/2006/relationships/image" Target="media/image405.png"/><Relationship Id="rId437" Type="http://schemas.openxmlformats.org/officeDocument/2006/relationships/image" Target="media/image406.png"/><Relationship Id="rId438" Type="http://schemas.openxmlformats.org/officeDocument/2006/relationships/image" Target="media/image407.png"/><Relationship Id="rId439" Type="http://schemas.openxmlformats.org/officeDocument/2006/relationships/image" Target="media/image408.png"/><Relationship Id="rId440" Type="http://schemas.openxmlformats.org/officeDocument/2006/relationships/image" Target="media/image409.png"/><Relationship Id="rId441" Type="http://schemas.openxmlformats.org/officeDocument/2006/relationships/image" Target="media/image410.png"/><Relationship Id="rId442" Type="http://schemas.openxmlformats.org/officeDocument/2006/relationships/image" Target="media/image411.png"/><Relationship Id="rId443" Type="http://schemas.openxmlformats.org/officeDocument/2006/relationships/image" Target="media/image412.png"/><Relationship Id="rId444" Type="http://schemas.openxmlformats.org/officeDocument/2006/relationships/image" Target="media/image413.png"/><Relationship Id="rId445" Type="http://schemas.openxmlformats.org/officeDocument/2006/relationships/image" Target="media/image414.png"/><Relationship Id="rId446" Type="http://schemas.openxmlformats.org/officeDocument/2006/relationships/image" Target="media/image415.png"/><Relationship Id="rId447" Type="http://schemas.openxmlformats.org/officeDocument/2006/relationships/image" Target="media/image416.png"/><Relationship Id="rId448" Type="http://schemas.openxmlformats.org/officeDocument/2006/relationships/image" Target="media/image417.png"/><Relationship Id="rId449" Type="http://schemas.openxmlformats.org/officeDocument/2006/relationships/image" Target="media/image418.png"/><Relationship Id="rId450" Type="http://schemas.openxmlformats.org/officeDocument/2006/relationships/image" Target="media/image419.png"/><Relationship Id="rId451" Type="http://schemas.openxmlformats.org/officeDocument/2006/relationships/image" Target="media/image420.png"/><Relationship Id="rId452" Type="http://schemas.openxmlformats.org/officeDocument/2006/relationships/image" Target="media/image421.png"/><Relationship Id="rId453" Type="http://schemas.openxmlformats.org/officeDocument/2006/relationships/image" Target="media/image422.png"/><Relationship Id="rId454" Type="http://schemas.openxmlformats.org/officeDocument/2006/relationships/image" Target="media/image423.png"/><Relationship Id="rId455" Type="http://schemas.openxmlformats.org/officeDocument/2006/relationships/image" Target="media/image424.png"/><Relationship Id="rId456" Type="http://schemas.openxmlformats.org/officeDocument/2006/relationships/image" Target="media/image425.png"/><Relationship Id="rId457" Type="http://schemas.openxmlformats.org/officeDocument/2006/relationships/image" Target="media/image426.png"/><Relationship Id="rId458" Type="http://schemas.openxmlformats.org/officeDocument/2006/relationships/image" Target="media/image427.png"/><Relationship Id="rId459" Type="http://schemas.openxmlformats.org/officeDocument/2006/relationships/image" Target="media/image428.png"/><Relationship Id="rId460" Type="http://schemas.openxmlformats.org/officeDocument/2006/relationships/image" Target="media/image429.png"/><Relationship Id="rId461" Type="http://schemas.openxmlformats.org/officeDocument/2006/relationships/image" Target="media/image430.png"/><Relationship Id="rId462" Type="http://schemas.openxmlformats.org/officeDocument/2006/relationships/image" Target="media/image431.png"/><Relationship Id="rId463" Type="http://schemas.openxmlformats.org/officeDocument/2006/relationships/image" Target="media/image432.png"/><Relationship Id="rId464" Type="http://schemas.openxmlformats.org/officeDocument/2006/relationships/image" Target="media/image433.png"/><Relationship Id="rId465" Type="http://schemas.openxmlformats.org/officeDocument/2006/relationships/image" Target="media/image434.png"/><Relationship Id="rId466" Type="http://schemas.openxmlformats.org/officeDocument/2006/relationships/image" Target="media/image435.png"/><Relationship Id="rId467" Type="http://schemas.openxmlformats.org/officeDocument/2006/relationships/image" Target="media/image436.png"/><Relationship Id="rId468" Type="http://schemas.openxmlformats.org/officeDocument/2006/relationships/image" Target="media/image437.png"/><Relationship Id="rId469" Type="http://schemas.openxmlformats.org/officeDocument/2006/relationships/image" Target="media/image438.png"/><Relationship Id="rId470" Type="http://schemas.openxmlformats.org/officeDocument/2006/relationships/image" Target="media/image439.png"/><Relationship Id="rId471" Type="http://schemas.openxmlformats.org/officeDocument/2006/relationships/image" Target="media/image440.png"/><Relationship Id="rId472" Type="http://schemas.openxmlformats.org/officeDocument/2006/relationships/image" Target="media/image441.png"/><Relationship Id="rId473" Type="http://schemas.openxmlformats.org/officeDocument/2006/relationships/image" Target="media/image442.png"/><Relationship Id="rId474" Type="http://schemas.openxmlformats.org/officeDocument/2006/relationships/image" Target="media/image443.png"/><Relationship Id="rId475" Type="http://schemas.openxmlformats.org/officeDocument/2006/relationships/image" Target="media/image444.png"/><Relationship Id="rId476" Type="http://schemas.openxmlformats.org/officeDocument/2006/relationships/image" Target="media/image445.png"/><Relationship Id="rId477" Type="http://schemas.openxmlformats.org/officeDocument/2006/relationships/image" Target="media/image446.png"/><Relationship Id="rId478" Type="http://schemas.openxmlformats.org/officeDocument/2006/relationships/image" Target="media/image447.png"/><Relationship Id="rId479" Type="http://schemas.openxmlformats.org/officeDocument/2006/relationships/image" Target="media/image448.png"/><Relationship Id="rId480" Type="http://schemas.openxmlformats.org/officeDocument/2006/relationships/image" Target="media/image449.png"/><Relationship Id="rId481" Type="http://schemas.openxmlformats.org/officeDocument/2006/relationships/image" Target="media/image450.png"/><Relationship Id="rId482" Type="http://schemas.openxmlformats.org/officeDocument/2006/relationships/image" Target="media/image451.png"/><Relationship Id="rId483" Type="http://schemas.openxmlformats.org/officeDocument/2006/relationships/image" Target="media/image452.png"/><Relationship Id="rId484" Type="http://schemas.openxmlformats.org/officeDocument/2006/relationships/image" Target="media/image453.png"/><Relationship Id="rId485" Type="http://schemas.openxmlformats.org/officeDocument/2006/relationships/image" Target="media/image454.png"/><Relationship Id="rId486" Type="http://schemas.openxmlformats.org/officeDocument/2006/relationships/image" Target="media/image455.png"/><Relationship Id="rId487" Type="http://schemas.openxmlformats.org/officeDocument/2006/relationships/image" Target="media/image456.png"/><Relationship Id="rId488" Type="http://schemas.openxmlformats.org/officeDocument/2006/relationships/image" Target="media/image457.png"/><Relationship Id="rId489" Type="http://schemas.openxmlformats.org/officeDocument/2006/relationships/image" Target="media/image458.png"/><Relationship Id="rId490" Type="http://schemas.openxmlformats.org/officeDocument/2006/relationships/image" Target="media/image459.png"/><Relationship Id="rId491" Type="http://schemas.openxmlformats.org/officeDocument/2006/relationships/image" Target="media/image460.png"/><Relationship Id="rId492" Type="http://schemas.openxmlformats.org/officeDocument/2006/relationships/image" Target="media/image461.png"/><Relationship Id="rId493" Type="http://schemas.openxmlformats.org/officeDocument/2006/relationships/image" Target="media/image462.png"/><Relationship Id="rId494" Type="http://schemas.openxmlformats.org/officeDocument/2006/relationships/image" Target="media/image463.png"/><Relationship Id="rId495" Type="http://schemas.openxmlformats.org/officeDocument/2006/relationships/image" Target="media/image464.png"/><Relationship Id="rId496" Type="http://schemas.openxmlformats.org/officeDocument/2006/relationships/image" Target="media/image465.png"/><Relationship Id="rId497" Type="http://schemas.openxmlformats.org/officeDocument/2006/relationships/image" Target="media/image466.png"/><Relationship Id="rId498" Type="http://schemas.openxmlformats.org/officeDocument/2006/relationships/image" Target="media/image467.png"/><Relationship Id="rId499" Type="http://schemas.openxmlformats.org/officeDocument/2006/relationships/image" Target="media/image468.png"/><Relationship Id="rId500" Type="http://schemas.openxmlformats.org/officeDocument/2006/relationships/image" Target="media/image469.png"/><Relationship Id="rId501" Type="http://schemas.openxmlformats.org/officeDocument/2006/relationships/image" Target="media/image470.png"/><Relationship Id="rId502" Type="http://schemas.openxmlformats.org/officeDocument/2006/relationships/image" Target="media/image471.png"/><Relationship Id="rId503" Type="http://schemas.openxmlformats.org/officeDocument/2006/relationships/image" Target="media/image472.png"/><Relationship Id="rId504" Type="http://schemas.openxmlformats.org/officeDocument/2006/relationships/image" Target="media/image473.png"/><Relationship Id="rId505" Type="http://schemas.openxmlformats.org/officeDocument/2006/relationships/image" Target="media/image474.png"/><Relationship Id="rId506" Type="http://schemas.openxmlformats.org/officeDocument/2006/relationships/image" Target="media/image475.png"/><Relationship Id="rId507" Type="http://schemas.openxmlformats.org/officeDocument/2006/relationships/image" Target="media/image476.png"/><Relationship Id="rId508" Type="http://schemas.openxmlformats.org/officeDocument/2006/relationships/image" Target="media/image477.png"/><Relationship Id="rId509" Type="http://schemas.openxmlformats.org/officeDocument/2006/relationships/image" Target="media/image478.png"/><Relationship Id="rId510" Type="http://schemas.openxmlformats.org/officeDocument/2006/relationships/image" Target="media/image479.png"/><Relationship Id="rId511" Type="http://schemas.openxmlformats.org/officeDocument/2006/relationships/image" Target="media/image480.png"/><Relationship Id="rId512" Type="http://schemas.openxmlformats.org/officeDocument/2006/relationships/image" Target="media/image481.png"/><Relationship Id="rId513" Type="http://schemas.openxmlformats.org/officeDocument/2006/relationships/image" Target="media/image482.png"/><Relationship Id="rId514" Type="http://schemas.openxmlformats.org/officeDocument/2006/relationships/image" Target="media/image483.png"/><Relationship Id="rId515" Type="http://schemas.openxmlformats.org/officeDocument/2006/relationships/image" Target="media/image484.png"/><Relationship Id="rId516" Type="http://schemas.openxmlformats.org/officeDocument/2006/relationships/image" Target="media/image485.png"/><Relationship Id="rId517" Type="http://schemas.openxmlformats.org/officeDocument/2006/relationships/image" Target="media/image486.png"/><Relationship Id="rId518" Type="http://schemas.openxmlformats.org/officeDocument/2006/relationships/image" Target="media/image487.png"/><Relationship Id="rId519" Type="http://schemas.openxmlformats.org/officeDocument/2006/relationships/image" Target="media/image488.png"/><Relationship Id="rId520" Type="http://schemas.openxmlformats.org/officeDocument/2006/relationships/image" Target="media/image489.png"/><Relationship Id="rId521" Type="http://schemas.openxmlformats.org/officeDocument/2006/relationships/image" Target="media/image490.png"/><Relationship Id="rId522" Type="http://schemas.openxmlformats.org/officeDocument/2006/relationships/image" Target="media/image491.png"/><Relationship Id="rId523" Type="http://schemas.openxmlformats.org/officeDocument/2006/relationships/image" Target="media/image492.png"/><Relationship Id="rId524" Type="http://schemas.openxmlformats.org/officeDocument/2006/relationships/image" Target="media/image493.png"/><Relationship Id="rId525" Type="http://schemas.openxmlformats.org/officeDocument/2006/relationships/image" Target="media/image494.png"/><Relationship Id="rId526" Type="http://schemas.openxmlformats.org/officeDocument/2006/relationships/image" Target="media/image495.png"/><Relationship Id="rId527" Type="http://schemas.openxmlformats.org/officeDocument/2006/relationships/image" Target="media/image496.png"/><Relationship Id="rId528" Type="http://schemas.openxmlformats.org/officeDocument/2006/relationships/image" Target="media/image497.png"/><Relationship Id="rId529" Type="http://schemas.openxmlformats.org/officeDocument/2006/relationships/image" Target="media/image498.png"/><Relationship Id="rId530" Type="http://schemas.openxmlformats.org/officeDocument/2006/relationships/image" Target="media/image499.png"/><Relationship Id="rId531" Type="http://schemas.openxmlformats.org/officeDocument/2006/relationships/image" Target="media/image500.png"/><Relationship Id="rId532" Type="http://schemas.openxmlformats.org/officeDocument/2006/relationships/image" Target="media/image501.png"/><Relationship Id="rId533" Type="http://schemas.openxmlformats.org/officeDocument/2006/relationships/image" Target="media/image502.png"/><Relationship Id="rId534" Type="http://schemas.openxmlformats.org/officeDocument/2006/relationships/image" Target="media/image503.png"/><Relationship Id="rId535" Type="http://schemas.openxmlformats.org/officeDocument/2006/relationships/image" Target="media/image504.png"/><Relationship Id="rId536" Type="http://schemas.openxmlformats.org/officeDocument/2006/relationships/image" Target="media/image505.png"/><Relationship Id="rId537" Type="http://schemas.openxmlformats.org/officeDocument/2006/relationships/image" Target="media/image506.png"/><Relationship Id="rId538" Type="http://schemas.openxmlformats.org/officeDocument/2006/relationships/image" Target="media/image507.png"/><Relationship Id="rId539" Type="http://schemas.openxmlformats.org/officeDocument/2006/relationships/image" Target="media/image508.png"/><Relationship Id="rId540" Type="http://schemas.openxmlformats.org/officeDocument/2006/relationships/image" Target="media/image509.png"/><Relationship Id="rId541" Type="http://schemas.openxmlformats.org/officeDocument/2006/relationships/image" Target="media/image510.png"/><Relationship Id="rId542" Type="http://schemas.openxmlformats.org/officeDocument/2006/relationships/image" Target="media/image511.png"/><Relationship Id="rId543" Type="http://schemas.openxmlformats.org/officeDocument/2006/relationships/image" Target="media/image512.png"/><Relationship Id="rId544" Type="http://schemas.openxmlformats.org/officeDocument/2006/relationships/image" Target="media/image513.png"/><Relationship Id="rId545" Type="http://schemas.openxmlformats.org/officeDocument/2006/relationships/image" Target="media/image514.png"/><Relationship Id="rId546" Type="http://schemas.openxmlformats.org/officeDocument/2006/relationships/image" Target="media/image515.png"/><Relationship Id="rId547" Type="http://schemas.openxmlformats.org/officeDocument/2006/relationships/image" Target="media/image516.png"/><Relationship Id="rId548" Type="http://schemas.openxmlformats.org/officeDocument/2006/relationships/image" Target="media/image517.png"/><Relationship Id="rId549" Type="http://schemas.openxmlformats.org/officeDocument/2006/relationships/image" Target="media/image518.png"/><Relationship Id="rId550" Type="http://schemas.openxmlformats.org/officeDocument/2006/relationships/image" Target="media/image519.png"/><Relationship Id="rId551" Type="http://schemas.openxmlformats.org/officeDocument/2006/relationships/image" Target="media/image520.png"/><Relationship Id="rId552" Type="http://schemas.openxmlformats.org/officeDocument/2006/relationships/image" Target="media/image521.png"/><Relationship Id="rId553" Type="http://schemas.openxmlformats.org/officeDocument/2006/relationships/image" Target="media/image522.png"/><Relationship Id="rId554" Type="http://schemas.openxmlformats.org/officeDocument/2006/relationships/image" Target="media/image523.png"/><Relationship Id="rId555" Type="http://schemas.openxmlformats.org/officeDocument/2006/relationships/image" Target="media/image524.png"/><Relationship Id="rId556" Type="http://schemas.openxmlformats.org/officeDocument/2006/relationships/image" Target="media/image525.png"/><Relationship Id="rId557" Type="http://schemas.openxmlformats.org/officeDocument/2006/relationships/image" Target="media/image526.png"/><Relationship Id="rId558" Type="http://schemas.openxmlformats.org/officeDocument/2006/relationships/image" Target="media/image527.png"/><Relationship Id="rId559" Type="http://schemas.openxmlformats.org/officeDocument/2006/relationships/image" Target="media/image528.png"/><Relationship Id="rId560" Type="http://schemas.openxmlformats.org/officeDocument/2006/relationships/image" Target="media/image529.png"/><Relationship Id="rId561" Type="http://schemas.openxmlformats.org/officeDocument/2006/relationships/image" Target="media/image530.png"/><Relationship Id="rId562" Type="http://schemas.openxmlformats.org/officeDocument/2006/relationships/image" Target="media/image531.png"/><Relationship Id="rId563" Type="http://schemas.openxmlformats.org/officeDocument/2006/relationships/image" Target="media/image532.png"/><Relationship Id="rId564" Type="http://schemas.openxmlformats.org/officeDocument/2006/relationships/image" Target="media/image533.png"/><Relationship Id="rId565" Type="http://schemas.openxmlformats.org/officeDocument/2006/relationships/image" Target="media/image534.png"/><Relationship Id="rId566" Type="http://schemas.openxmlformats.org/officeDocument/2006/relationships/image" Target="media/image535.png"/><Relationship Id="rId567" Type="http://schemas.openxmlformats.org/officeDocument/2006/relationships/image" Target="media/image536.png"/><Relationship Id="rId568" Type="http://schemas.openxmlformats.org/officeDocument/2006/relationships/image" Target="media/image537.png"/><Relationship Id="rId569" Type="http://schemas.openxmlformats.org/officeDocument/2006/relationships/image" Target="media/image538.png"/><Relationship Id="rId570" Type="http://schemas.openxmlformats.org/officeDocument/2006/relationships/image" Target="media/image539.png"/><Relationship Id="rId571" Type="http://schemas.openxmlformats.org/officeDocument/2006/relationships/image" Target="media/image540.png"/><Relationship Id="rId572" Type="http://schemas.openxmlformats.org/officeDocument/2006/relationships/image" Target="media/image541.png"/><Relationship Id="rId573" Type="http://schemas.openxmlformats.org/officeDocument/2006/relationships/image" Target="media/image542.png"/><Relationship Id="rId574" Type="http://schemas.openxmlformats.org/officeDocument/2006/relationships/image" Target="media/image543.png"/><Relationship Id="rId575" Type="http://schemas.openxmlformats.org/officeDocument/2006/relationships/image" Target="media/image544.png"/><Relationship Id="rId576" Type="http://schemas.openxmlformats.org/officeDocument/2006/relationships/image" Target="media/image545.png"/><Relationship Id="rId577" Type="http://schemas.openxmlformats.org/officeDocument/2006/relationships/image" Target="media/image546.png"/><Relationship Id="rId578" Type="http://schemas.openxmlformats.org/officeDocument/2006/relationships/image" Target="media/image547.png"/><Relationship Id="rId579" Type="http://schemas.openxmlformats.org/officeDocument/2006/relationships/image" Target="media/image548.png"/><Relationship Id="rId580" Type="http://schemas.openxmlformats.org/officeDocument/2006/relationships/image" Target="media/image549.png"/><Relationship Id="rId581" Type="http://schemas.openxmlformats.org/officeDocument/2006/relationships/image" Target="media/image550.png"/><Relationship Id="rId582" Type="http://schemas.openxmlformats.org/officeDocument/2006/relationships/image" Target="media/image551.png"/><Relationship Id="rId583" Type="http://schemas.openxmlformats.org/officeDocument/2006/relationships/image" Target="media/image552.png"/><Relationship Id="rId584" Type="http://schemas.openxmlformats.org/officeDocument/2006/relationships/image" Target="media/image553.png"/><Relationship Id="rId585" Type="http://schemas.openxmlformats.org/officeDocument/2006/relationships/image" Target="media/image554.png"/><Relationship Id="rId586" Type="http://schemas.openxmlformats.org/officeDocument/2006/relationships/image" Target="media/image555.png"/><Relationship Id="rId587" Type="http://schemas.openxmlformats.org/officeDocument/2006/relationships/image" Target="media/image556.png"/><Relationship Id="rId588" Type="http://schemas.openxmlformats.org/officeDocument/2006/relationships/image" Target="media/image557.png"/><Relationship Id="rId589" Type="http://schemas.openxmlformats.org/officeDocument/2006/relationships/image" Target="media/image558.png"/><Relationship Id="rId590" Type="http://schemas.openxmlformats.org/officeDocument/2006/relationships/image" Target="media/image559.png"/><Relationship Id="rId591" Type="http://schemas.openxmlformats.org/officeDocument/2006/relationships/image" Target="media/image560.png"/><Relationship Id="rId592" Type="http://schemas.openxmlformats.org/officeDocument/2006/relationships/image" Target="media/image561.png"/><Relationship Id="rId593" Type="http://schemas.openxmlformats.org/officeDocument/2006/relationships/image" Target="media/image562.png"/><Relationship Id="rId594" Type="http://schemas.openxmlformats.org/officeDocument/2006/relationships/image" Target="media/image563.png"/><Relationship Id="rId595" Type="http://schemas.openxmlformats.org/officeDocument/2006/relationships/image" Target="media/image564.png"/><Relationship Id="rId596" Type="http://schemas.openxmlformats.org/officeDocument/2006/relationships/image" Target="media/image565.png"/><Relationship Id="rId597" Type="http://schemas.openxmlformats.org/officeDocument/2006/relationships/image" Target="media/image566.png"/><Relationship Id="rId598" Type="http://schemas.openxmlformats.org/officeDocument/2006/relationships/image" Target="media/image567.png"/><Relationship Id="rId599" Type="http://schemas.openxmlformats.org/officeDocument/2006/relationships/image" Target="media/image568.png"/><Relationship Id="rId600" Type="http://schemas.openxmlformats.org/officeDocument/2006/relationships/image" Target="media/image569.png"/><Relationship Id="rId365" Type="http://schemas.openxmlformats.org/officeDocument/2006/relationships/hyperlink" Target="https://www.sec.gov/Archives/edgar/data/1484565/000119312516803934/d282262dex21.htm" TargetMode="External"/><Relationship Id="rId366" Type="http://schemas.openxmlformats.org/officeDocument/2006/relationships/hyperlink" Target="https://www.sec.gov/Archives/edgar/data/1484565/000119312514300848/d711637dex32.htm" TargetMode="External"/><Relationship Id="rId367" Type="http://schemas.openxmlformats.org/officeDocument/2006/relationships/hyperlink" Target="https://www.sec.gov/Archives/edgar/data/1484565/000119312514256995/d711637dex34.htm" TargetMode="External"/><Relationship Id="rId368" Type="http://schemas.openxmlformats.org/officeDocument/2006/relationships/hyperlink" Target="https://www.sec.gov/Archives/edgar/data/1484565/000162828017005427/exhibit31.htm" TargetMode="External"/><Relationship Id="rId369" Type="http://schemas.openxmlformats.org/officeDocument/2006/relationships/hyperlink" Target="https://www.sec.gov/Archives/edgar/data/1484565/000162828017009761/soleno-certificateofamendm.htm" TargetMode="External"/><Relationship Id="rId370" Type="http://schemas.openxmlformats.org/officeDocument/2006/relationships/hyperlink" Target="https://www.sec.gov/Archives/edgar/data/1484565/000119312522228929/d394864dex31.htm" TargetMode="External"/><Relationship Id="rId371" Type="http://schemas.openxmlformats.org/officeDocument/2006/relationships/hyperlink" Target="https://www.sec.gov/Archives/edgar/data/1484565/000119312514293949/d711637dex41.htm" TargetMode="External"/><Relationship Id="rId372" Type="http://schemas.openxmlformats.org/officeDocument/2006/relationships/hyperlink" Target="https://www.sec.gov/Archives/edgar/data/1484565/000156459020008705/slno-ex429_382.htm" TargetMode="External"/><Relationship Id="rId373" Type="http://schemas.openxmlformats.org/officeDocument/2006/relationships/hyperlink" Target="https://www.sec.gov/Archives/edgar/data/1484565/000119312522090063/d334959dex42.htm" TargetMode="External"/><Relationship Id="rId374" Type="http://schemas.openxmlformats.org/officeDocument/2006/relationships/hyperlink" Target="https://www.sec.gov/Archives/edgar/data/1484565/000119312522308395/d393394dex103.htm" TargetMode="External"/><Relationship Id="rId375" Type="http://schemas.openxmlformats.org/officeDocument/2006/relationships/hyperlink" Target="https://www.sec.gov/ix?doc=/Archives/edgar/data/1484565/000119312523247533/d331815d8k.htm" TargetMode="External"/><Relationship Id="rId376" Type="http://schemas.openxmlformats.org/officeDocument/2006/relationships/hyperlink" Target="https://www.sec.gov/Archives/edgar/data/1484565/000119312514231812/d711637dex101.htm" TargetMode="External"/><Relationship Id="rId377" Type="http://schemas.openxmlformats.org/officeDocument/2006/relationships/hyperlink" Target="https://www.sec.gov/Archives/edgar/data/1484565/000119312514231812/d711637dex102.htm" TargetMode="External"/><Relationship Id="rId378" Type="http://schemas.openxmlformats.org/officeDocument/2006/relationships/hyperlink" Target="https://www.sec.gov/Archives/edgar/data/1484565/000119312514231812/d711637dex103.htm" TargetMode="External"/><Relationship Id="rId379" Type="http://schemas.openxmlformats.org/officeDocument/2006/relationships/hyperlink" Target="https://www.sec.gov/Archives/edgar/data/1484565/000119312514256995/d711637dex104.htm" TargetMode="External"/><Relationship Id="rId382" Type="http://schemas.openxmlformats.org/officeDocument/2006/relationships/hyperlink" Target="https://www.sec.gov/Archives/edgar/data/1484565/000119312514256995/d711637dex105.htm" TargetMode="External"/><Relationship Id="rId383" Type="http://schemas.openxmlformats.org/officeDocument/2006/relationships/hyperlink" Target="https://www.sec.gov/Archives/edgar/data/1484565/000119312524019500/d721921dex101.htm" TargetMode="External"/><Relationship Id="rId384" Type="http://schemas.openxmlformats.org/officeDocument/2006/relationships/hyperlink" Target="https://www.sec.gov/Archives/edgar/data/1484565/000119312514231812/d711637dex107.htm" TargetMode="External"/><Relationship Id="rId385" Type="http://schemas.openxmlformats.org/officeDocument/2006/relationships/hyperlink" Target="https://www.sec.gov/Archives/edgar/data/1484565/000119312520292974/d937820dex101.htm" TargetMode="External"/><Relationship Id="rId386" Type="http://schemas.openxmlformats.org/officeDocument/2006/relationships/hyperlink" Target="https://www.sec.gov/Archives/edgar/data/1484565/000119312521008129/d15884dex101.htm" TargetMode="External"/><Relationship Id="rId387" Type="http://schemas.openxmlformats.org/officeDocument/2006/relationships/hyperlink" Target="https://www.sec.gov/Archives/edgar/data/1484565/000119312521008129/d15884dex103.htm" TargetMode="External"/><Relationship Id="rId388" Type="http://schemas.openxmlformats.org/officeDocument/2006/relationships/hyperlink" Target="https://www.sec.gov/ix?doc=/Archives/edgar/data/1484565/000095017024027500/slno-20231231.htm" TargetMode="External"/><Relationship Id="rId389" Type="http://schemas.openxmlformats.org/officeDocument/2006/relationships/hyperlink" Target="https://www.sec.gov/Archives/edgar/data/1484565/000095017024092713/slno-ex10_1.htm" TargetMode="External"/><Relationship Id="rId390" Type="http://schemas.openxmlformats.org/officeDocument/2006/relationships/hyperlink" Target="https://www.sec.gov/Archives/edgar/data/1484565/000119312524181717/d817873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2025-02-28T08:37:50Z</dcterms:created>
  <dcterms:modified xsi:type="dcterms:W3CDTF">2025-02-28T08:37:50Z</dcterms:modified>
</cp:coreProperties>
</file>