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620" w:right="24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20" w:right="24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001-36593</w:t>
      </w:r>
    </w:p>
    <w:p>
      <w:pPr>
        <w:spacing w:after="0" w:line="5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SOLENO THERAPEUTICS, INC.</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Capnia,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153"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2060" w:type="dxa"/>
            <w:vAlign w:val="bottom"/>
          </w:tcPr>
          <w:p>
            <w:pPr>
              <w:jc w:val="center"/>
              <w:ind w:right="122"/>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center"/>
              <w:ind w:left="4039"/>
              <w:spacing w:after="0"/>
              <w:rPr>
                <w:sz w:val="20"/>
                <w:szCs w:val="20"/>
                <w:color w:val="auto"/>
              </w:rPr>
            </w:pPr>
            <w:r>
              <w:rPr>
                <w:rFonts w:ascii="Arial" w:cs="Arial" w:eastAsia="Arial" w:hAnsi="Arial"/>
                <w:sz w:val="18"/>
                <w:szCs w:val="18"/>
                <w:b w:val="1"/>
                <w:bCs w:val="1"/>
                <w:color w:val="auto"/>
                <w:w w:val="89"/>
              </w:rPr>
              <w:t>77-0523891</w:t>
            </w:r>
          </w:p>
        </w:tc>
      </w:tr>
      <w:tr>
        <w:trPr>
          <w:trHeight w:val="180"/>
        </w:trPr>
        <w:tc>
          <w:tcPr>
            <w:tcW w:w="2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5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39"/>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2060" w:type="dxa"/>
            <w:vAlign w:val="bottom"/>
          </w:tcPr>
          <w:p>
            <w:pPr>
              <w:spacing w:after="0"/>
              <w:rPr>
                <w:sz w:val="18"/>
                <w:szCs w:val="18"/>
                <w:color w:val="auto"/>
              </w:rPr>
            </w:pPr>
          </w:p>
        </w:tc>
        <w:tc>
          <w:tcPr>
            <w:tcW w:w="5260" w:type="dxa"/>
            <w:vAlign w:val="bottom"/>
          </w:tcPr>
          <w:p>
            <w:pPr>
              <w:jc w:val="center"/>
              <w:ind w:right="1519"/>
              <w:spacing w:after="0"/>
              <w:rPr>
                <w:sz w:val="20"/>
                <w:szCs w:val="20"/>
                <w:color w:val="auto"/>
              </w:rPr>
            </w:pPr>
            <w:r>
              <w:rPr>
                <w:rFonts w:ascii="Arial" w:cs="Arial" w:eastAsia="Arial" w:hAnsi="Arial"/>
                <w:sz w:val="18"/>
                <w:szCs w:val="18"/>
                <w:b w:val="1"/>
                <w:bCs w:val="1"/>
                <w:color w:val="auto"/>
                <w:w w:val="89"/>
              </w:rPr>
              <w:t>1235 Radio Road, Suite 110,</w:t>
            </w:r>
          </w:p>
        </w:tc>
      </w:tr>
      <w:tr>
        <w:trPr>
          <w:trHeight w:val="212"/>
        </w:trPr>
        <w:tc>
          <w:tcPr>
            <w:tcW w:w="2060" w:type="dxa"/>
            <w:vAlign w:val="bottom"/>
          </w:tcPr>
          <w:p>
            <w:pPr>
              <w:spacing w:after="0"/>
              <w:rPr>
                <w:sz w:val="18"/>
                <w:szCs w:val="18"/>
                <w:color w:val="auto"/>
              </w:rPr>
            </w:pPr>
          </w:p>
        </w:tc>
        <w:tc>
          <w:tcPr>
            <w:tcW w:w="526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Redwood City, California</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00"/>
        </w:trPr>
        <w:tc>
          <w:tcPr>
            <w:tcW w:w="2060" w:type="dxa"/>
            <w:vAlign w:val="bottom"/>
          </w:tcPr>
          <w:p>
            <w:pPr>
              <w:spacing w:after="0"/>
              <w:rPr>
                <w:sz w:val="24"/>
                <w:szCs w:val="24"/>
                <w:color w:val="auto"/>
              </w:rPr>
            </w:pPr>
          </w:p>
        </w:tc>
        <w:tc>
          <w:tcPr>
            <w:tcW w:w="5260" w:type="dxa"/>
            <w:vAlign w:val="bottom"/>
          </w:tcPr>
          <w:p>
            <w:pPr>
              <w:jc w:val="right"/>
              <w:ind w:right="3119"/>
              <w:spacing w:after="0"/>
              <w:rPr>
                <w:sz w:val="20"/>
                <w:szCs w:val="20"/>
                <w:color w:val="auto"/>
              </w:rPr>
            </w:pPr>
            <w:r>
              <w:rPr>
                <w:rFonts w:ascii="Arial" w:cs="Arial" w:eastAsia="Arial" w:hAnsi="Arial"/>
                <w:sz w:val="18"/>
                <w:szCs w:val="18"/>
                <w:b w:val="1"/>
                <w:bCs w:val="1"/>
                <w:color w:val="auto"/>
              </w:rPr>
              <w:t>94065</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060" w:type="dxa"/>
            <w:vAlign w:val="bottom"/>
          </w:tcPr>
          <w:p>
            <w:pPr>
              <w:spacing w:after="0"/>
              <w:rPr>
                <w:sz w:val="24"/>
                <w:szCs w:val="24"/>
                <w:color w:val="auto"/>
              </w:rPr>
            </w:pPr>
          </w:p>
        </w:tc>
        <w:tc>
          <w:tcPr>
            <w:tcW w:w="5260" w:type="dxa"/>
            <w:vAlign w:val="bottom"/>
          </w:tcPr>
          <w:p>
            <w:pPr>
              <w:jc w:val="right"/>
              <w:ind w:right="2779"/>
              <w:spacing w:after="0"/>
              <w:rPr>
                <w:sz w:val="20"/>
                <w:szCs w:val="20"/>
                <w:color w:val="auto"/>
              </w:rPr>
            </w:pPr>
            <w:r>
              <w:rPr>
                <w:rFonts w:ascii="Arial" w:cs="Arial" w:eastAsia="Arial" w:hAnsi="Arial"/>
                <w:sz w:val="18"/>
                <w:szCs w:val="18"/>
                <w:b w:val="1"/>
                <w:bCs w:val="1"/>
                <w:color w:val="auto"/>
              </w:rPr>
              <w:t>(650) 213-8444</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209"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1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11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r>
      <w:tr>
        <w:trPr>
          <w:trHeight w:val="250"/>
        </w:trPr>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r>
    </w:tbl>
    <w:p>
      <w:pPr>
        <w:spacing w:after="0" w:line="161" w:lineRule="exact"/>
        <w:rPr>
          <w:sz w:val="24"/>
          <w:szCs w:val="24"/>
          <w:color w:val="auto"/>
        </w:rPr>
      </w:pPr>
    </w:p>
    <w:p>
      <w:pPr>
        <w:ind w:left="40" w:right="6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ectPr>
          <w:pgSz w:w="11900" w:h="16838" w:orient="portrait"/>
          <w:cols w:equalWidth="0" w:num="1">
            <w:col w:w="11360"/>
          </w:cols>
          <w:pgMar w:left="240" w:top="679" w:right="29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8, 2017 there were 47,922,838 shares of the registrant’s Common Stock, par value $0.001 per share, outstanding.</w:t>
      </w:r>
    </w:p>
    <w:p>
      <w:pPr>
        <w:sectPr>
          <w:pgSz w:w="11900" w:h="16838" w:orient="portrait"/>
          <w:cols w:equalWidth="0" w:num="1">
            <w:col w:w="9779"/>
          </w:cols>
          <w:pgMar w:left="680" w:top="800" w:right="1440" w:bottom="1440" w:gutter="0" w:footer="0" w:header="0"/>
        </w:sectPr>
      </w:pPr>
    </w:p>
    <w:bookmarkStart w:id="2" w:name="page3"/>
    <w:bookmarkEnd w:id="2"/>
    <w:p>
      <w:pPr>
        <w:ind w:left="4340"/>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31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6040" w:type="dxa"/>
            <w:vAlign w:val="bottom"/>
            <w:gridSpan w:val="8"/>
          </w:tcPr>
          <w:p>
            <w:pPr>
              <w:spacing w:after="0"/>
              <w:rPr>
                <w:sz w:val="18"/>
                <w:szCs w:val="18"/>
                <w:color w:val="auto"/>
              </w:rPr>
            </w:pPr>
          </w:p>
        </w:tc>
        <w:tc>
          <w:tcPr>
            <w:tcW w:w="2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2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1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w:t>
              </w:r>
            </w:hyperlink>
          </w:p>
        </w:tc>
        <w:tc>
          <w:tcPr>
            <w:tcW w:w="3940" w:type="dxa"/>
            <w:vAlign w:val="bottom"/>
            <w:gridSpan w:val="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660" w:type="dxa"/>
            <w:vAlign w:val="bottom"/>
            <w:gridSpan w:val="2"/>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16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r>
      <w:tr>
        <w:trPr>
          <w:trHeight w:val="250"/>
        </w:trPr>
        <w:tc>
          <w:tcPr>
            <w:tcW w:w="340" w:type="dxa"/>
            <w:vAlign w:val="bottom"/>
          </w:tcPr>
          <w:p>
            <w:pPr>
              <w:spacing w:after="0"/>
              <w:rPr>
                <w:sz w:val="21"/>
                <w:szCs w:val="21"/>
                <w:color w:val="auto"/>
              </w:rPr>
            </w:pPr>
          </w:p>
        </w:tc>
        <w:tc>
          <w:tcPr>
            <w:tcW w:w="7020" w:type="dxa"/>
            <w:vAlign w:val="bottom"/>
            <w:tcBorders>
              <w:top w:val="single" w:sz="8" w:color="0000EE"/>
            </w:tcBorders>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1840" w:type="dxa"/>
            <w:vAlign w:val="bottom"/>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340" w:type="dxa"/>
            <w:vAlign w:val="bottom"/>
          </w:tcPr>
          <w:p>
            <w:pPr>
              <w:spacing w:after="0"/>
              <w:rPr>
                <w:sz w:val="21"/>
                <w:szCs w:val="21"/>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 Controls and Procedures</w:t>
              </w:r>
            </w:hyperlink>
          </w:p>
        </w:tc>
        <w:tc>
          <w:tcPr>
            <w:tcW w:w="2560" w:type="dxa"/>
            <w:vAlign w:val="bottom"/>
            <w:tcBorders>
              <w:top w:val="single" w:sz="8" w:color="0000EE"/>
            </w:tcBorders>
            <w:gridSpan w:val="7"/>
          </w:tcPr>
          <w:p>
            <w:pPr>
              <w:spacing w:after="0"/>
              <w:rPr>
                <w:sz w:val="21"/>
                <w:szCs w:val="21"/>
                <w:color w:val="auto"/>
              </w:rPr>
            </w:pPr>
          </w:p>
        </w:tc>
        <w:tc>
          <w:tcPr>
            <w:tcW w:w="3940" w:type="dxa"/>
            <w:vAlign w:val="bottom"/>
            <w:gridSpan w:val="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50"/>
        </w:trPr>
        <w:tc>
          <w:tcPr>
            <w:tcW w:w="28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II—OTHER INFORMATION</w:t>
              </w:r>
            </w:hyperlink>
          </w:p>
        </w:tc>
        <w:tc>
          <w:tcPr>
            <w:tcW w:w="6340" w:type="dxa"/>
            <w:vAlign w:val="bottom"/>
            <w:gridSpan w:val="9"/>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50"/>
        </w:trPr>
        <w:tc>
          <w:tcPr>
            <w:tcW w:w="340" w:type="dxa"/>
            <w:vAlign w:val="bottom"/>
          </w:tcPr>
          <w:p>
            <w:pPr>
              <w:spacing w:after="0"/>
              <w:rPr>
                <w:sz w:val="21"/>
                <w:szCs w:val="21"/>
                <w:color w:val="auto"/>
              </w:rPr>
            </w:pPr>
          </w:p>
        </w:tc>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 Legal Proceedings</w:t>
              </w:r>
            </w:hyperlink>
          </w:p>
        </w:tc>
        <w:tc>
          <w:tcPr>
            <w:tcW w:w="6960" w:type="dxa"/>
            <w:vAlign w:val="bottom"/>
            <w:gridSpan w:val="1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250"/>
        </w:trPr>
        <w:tc>
          <w:tcPr>
            <w:tcW w:w="340" w:type="dxa"/>
            <w:vAlign w:val="bottom"/>
          </w:tcPr>
          <w:p>
            <w:pPr>
              <w:spacing w:after="0"/>
              <w:rPr>
                <w:sz w:val="21"/>
                <w:szCs w:val="21"/>
                <w:color w:val="auto"/>
              </w:rPr>
            </w:pPr>
          </w:p>
        </w:tc>
        <w:tc>
          <w:tcPr>
            <w:tcW w:w="1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Item 1A. Risk Factors</w:t>
            </w:r>
          </w:p>
        </w:tc>
        <w:tc>
          <w:tcPr>
            <w:tcW w:w="7260" w:type="dxa"/>
            <w:vAlign w:val="bottom"/>
            <w:gridSpan w:val="15"/>
          </w:tcPr>
          <w:p>
            <w:pPr>
              <w:spacing w:after="0"/>
              <w:rPr>
                <w:sz w:val="21"/>
                <w:szCs w:val="21"/>
                <w:color w:val="auto"/>
              </w:rPr>
            </w:pPr>
          </w:p>
        </w:tc>
        <w:tc>
          <w:tcPr>
            <w:tcW w:w="216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1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50"/>
        </w:trPr>
        <w:tc>
          <w:tcPr>
            <w:tcW w:w="340" w:type="dxa"/>
            <w:vAlign w:val="bottom"/>
          </w:tcPr>
          <w:p>
            <w:pPr>
              <w:spacing w:after="0"/>
              <w:rPr>
                <w:sz w:val="21"/>
                <w:szCs w:val="21"/>
                <w:color w:val="auto"/>
              </w:rPr>
            </w:pPr>
          </w:p>
        </w:tc>
        <w:tc>
          <w:tcPr>
            <w:tcW w:w="4900" w:type="dxa"/>
            <w:vAlign w:val="bottom"/>
            <w:tcBorders>
              <w:top w:val="single" w:sz="8" w:color="0000EE"/>
            </w:tcBorders>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3960" w:type="dxa"/>
            <w:vAlign w:val="bottom"/>
            <w:gridSpan w:val="4"/>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21"/>
                <w:szCs w:val="21"/>
                <w:color w:val="auto"/>
              </w:rPr>
            </w:pPr>
          </w:p>
        </w:tc>
        <w:tc>
          <w:tcPr>
            <w:tcW w:w="5980" w:type="dxa"/>
            <w:vAlign w:val="bottom"/>
            <w:gridSpan w:val="7"/>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50"/>
        </w:trPr>
        <w:tc>
          <w:tcPr>
            <w:tcW w:w="340" w:type="dxa"/>
            <w:vAlign w:val="bottom"/>
          </w:tcPr>
          <w:p>
            <w:pPr>
              <w:spacing w:after="0"/>
              <w:rPr>
                <w:sz w:val="21"/>
                <w:szCs w:val="21"/>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5. Other Information</w:t>
              </w:r>
            </w:hyperlink>
          </w:p>
        </w:tc>
        <w:tc>
          <w:tcPr>
            <w:tcW w:w="6980" w:type="dxa"/>
            <w:vAlign w:val="bottom"/>
            <w:gridSpan w:val="14"/>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6. Exhibits</w:t>
              </w:r>
            </w:hyperlink>
          </w:p>
        </w:tc>
        <w:tc>
          <w:tcPr>
            <w:tcW w:w="21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71">
              <w:r>
                <w:rPr>
                  <w:rFonts w:ascii="Arial" w:cs="Arial" w:eastAsia="Arial" w:hAnsi="Arial"/>
                  <w:sz w:val="18"/>
                  <w:szCs w:val="18"/>
                  <w:b w:val="1"/>
                  <w:bCs w:val="1"/>
                  <w:color w:val="0000EE"/>
                  <w:w w:val="96"/>
                </w:rPr>
                <w:t>SIGNATURES</w:t>
              </w:r>
            </w:hyperlink>
          </w:p>
        </w:tc>
        <w:tc>
          <w:tcPr>
            <w:tcW w:w="8040" w:type="dxa"/>
            <w:vAlign w:val="bottom"/>
            <w:gridSpan w:val="18"/>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69</w:t>
              </w:r>
            </w:hyperlink>
          </w:p>
        </w:tc>
      </w:tr>
      <w:tr>
        <w:trPr>
          <w:trHeight w:val="250"/>
        </w:trPr>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EXHIBIT INDEX</w:t>
              </w:r>
            </w:hyperlink>
          </w:p>
        </w:tc>
        <w:tc>
          <w:tcPr>
            <w:tcW w:w="7800" w:type="dxa"/>
            <w:vAlign w:val="bottom"/>
            <w:gridSpan w:val="17"/>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70</w:t>
              </w:r>
            </w:hyperlink>
          </w:p>
        </w:tc>
      </w:tr>
    </w:tbl>
    <w:p>
      <w:pPr>
        <w:sectPr>
          <w:pgSz w:w="11900" w:h="16838" w:orient="portrait"/>
          <w:cols w:equalWidth="0" w:num="1">
            <w:col w:w="11360"/>
          </w:cols>
          <w:pgMar w:left="280" w:top="580"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840" w:type="dxa"/>
            <w:vAlign w:val="bottom"/>
          </w:tcPr>
          <w:p>
            <w:pPr>
              <w:jc w:val="center"/>
              <w:ind w:left="227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19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4"/>
                <w:szCs w:val="24"/>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Soleno Therapeutics, Inc.</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40" w:type="dxa"/>
            <w:vAlign w:val="bottom"/>
          </w:tcPr>
          <w:p>
            <w:pPr>
              <w:jc w:val="center"/>
              <w:ind w:left="2270"/>
              <w:spacing w:after="0"/>
              <w:rPr>
                <w:sz w:val="20"/>
                <w:szCs w:val="20"/>
                <w:color w:val="auto"/>
              </w:rPr>
            </w:pPr>
            <w:r>
              <w:rPr>
                <w:rFonts w:ascii="Arial" w:cs="Arial" w:eastAsia="Arial" w:hAnsi="Arial"/>
                <w:sz w:val="18"/>
                <w:szCs w:val="18"/>
                <w:b w:val="1"/>
                <w:bCs w:val="1"/>
                <w:color w:val="auto"/>
                <w:w w:val="92"/>
              </w:rPr>
              <w:t>(formerly known as Capnia, Inc.)</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6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24"/>
                <w:szCs w:val="2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94"/>
              </w:rPr>
              <w:t>Assets</w:t>
            </w:r>
          </w:p>
        </w:tc>
        <w:tc>
          <w:tcPr>
            <w:tcW w:w="7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assets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30,381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Series A warrant liability</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Series C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liabilities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78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w w:val="94"/>
              </w:rPr>
              <w:t>Series B convertible preferred stock, 13,780 are designated at June 30, 2017 and December 31, 2016;</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w w:val="89"/>
              </w:rPr>
              <w:t>12,179 and 12,780 shares issued and outstanding at June 30, 2017 and at December 31, 2016, respectively.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Liquidation value of zero.</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Common stock, $0.001 par value, 100,000,000 shares authorized, 47,587,647 and 16,786,952 shares issued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2017 and December 31, 2016,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131,807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101,730</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37"/>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Soleno Therapuetics,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Change in fair value of warrants liabilities income (expense)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Cease-use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 from continuing operations, basic and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w w:val="98"/>
              </w:rPr>
              <w:t>Net loss per common share from discontinued operations,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89"/>
              </w:rPr>
              <w:t>Weighted-average common shares outstanding used to calculate basic and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53,060,868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15,528,922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w w:val="99"/>
              </w:rPr>
              <w:t>40,029,547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15,162,520</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common share</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disposition of property &amp;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Board fees paid with common stock</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common stock warrants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Non-cash expense of issuing shares to Aspire Capital</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37"/>
        </w:trPr>
        <w:tc>
          <w:tcPr>
            <w:tcW w:w="8800" w:type="dxa"/>
            <w:vAlign w:val="bottom"/>
          </w:tcPr>
          <w:p>
            <w:pPr>
              <w:ind w:left="114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Essentialis acquisition 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800" w:type="dxa"/>
            <w:vAlign w:val="bottom"/>
          </w:tcPr>
          <w:p>
            <w:pPr>
              <w:ind w:left="1140"/>
              <w:spacing w:after="0"/>
              <w:rPr>
                <w:sz w:val="20"/>
                <w:szCs w:val="20"/>
                <w:color w:val="auto"/>
              </w:rPr>
            </w:pPr>
            <w:r>
              <w:rPr>
                <w:rFonts w:ascii="Arial" w:cs="Arial" w:eastAsia="Arial" w:hAnsi="Arial"/>
                <w:sz w:val="18"/>
                <w:szCs w:val="18"/>
                <w:b w:val="1"/>
                <w:bCs w:val="1"/>
                <w:color w:val="auto"/>
              </w:rPr>
              <w:t>Net cash used in discontinued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88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sale of Series A preferred convertible stock</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convertible stock transaction costs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continuing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43"/>
        </w:trPr>
        <w:tc>
          <w:tcPr>
            <w:tcW w:w="8800" w:type="dxa"/>
            <w:vAlign w:val="bottom"/>
          </w:tcPr>
          <w:p>
            <w:pPr>
              <w:ind w:left="114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169"/>
        </w:trPr>
        <w:tc>
          <w:tcPr>
            <w:tcW w:w="88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1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of Series A preferred to 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 of common stock in Essentialis acquisition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Essentialis acquisition included in 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 of Essentialis acquisition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De-recognition of Series B warrant liability (cashless exercise)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580"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25"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Soleno Therapeutics, Inc. (formerly known as Capnia, Inc.) (the “Company”) was incorporated in the State of Delaware on August 25, 1999, and is located in Redwood City, California. On May 8, 2017, the Company received stockholder approval to amend the Amended and Restate Certificate of Incorporation of the Company, to change the name of the Company to Soleno Therapeutics, Inc.</w:t>
      </w:r>
    </w:p>
    <w:p>
      <w:pPr>
        <w:spacing w:after="0" w:line="181"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(see Note 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2, 2017, the Company established Capnia, Inc. ("Capnia"), a wholly owned subsidiary of the Company.</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7, 2017, the Company completed the merger with Essentialis, Inc., a Delaware corporation, or Essentialis.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has tested Diazoxide Choline Controlled Release, or DCCR, tablets as a treatment for Prader-Willi syndrome, or PWS, a complex metabolic/neurobehavioral disorder.</w:t>
      </w:r>
    </w:p>
    <w:p>
      <w:pPr>
        <w:spacing w:after="0" w:line="27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May of 2017 the Company had a scientific advice meeting with the FDA . The FDA supported change in hyperphagia score (without a change in weight) compared to placebo as the primary endpoint for the planned Phase III study. The dosing paradigm proposed for the Phase III study was acceptable. The FDA proposed and the Company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64"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through its wholly owned subsidiary Capnia, continues to sell the CoSense</w:t>
      </w:r>
      <w:r>
        <w:rPr>
          <w:rFonts w:ascii="Arial" w:cs="Arial" w:eastAsia="Arial" w:hAnsi="Arial"/>
          <w:sz w:val="16"/>
          <w:szCs w:val="16"/>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Following the merger, the Company initiated a comprehensive review of strategic alternatives for the legacy products and product candidates, CoSense® ETCO Monitor, and its portfolio of innovative pulmonary resuscitation solutions for the neonatal market. The Company may also license elements of its Sensalyze Technology Platform to other companies that have complementary development or commercial capabilities (see Note 5).</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Liquidity, Going Concern and Management’s Plans</w:t>
      </w:r>
    </w:p>
    <w:p>
      <w:pPr>
        <w:spacing w:after="0" w:line="12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had a net loss of approximately $6.9 million for the six months ended June 30, 2017 and has an accumulated deficit of approximately $105.2 at June 30, 2017 from having incurred losses since its inception. The Company has approximately $6.7 million of working capital at June 30, 2017 and used approximately $3.5 million of cash in its operating activities during the six months ended June 30, 2017. The Company has financed its operations principally through issuances of debt and equity securities.</w:t>
      </w:r>
    </w:p>
    <w:p>
      <w:pPr>
        <w:spacing w:after="0" w:line="7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708,333 shares of Common Stock as commitment shares under the 2017 Aspire Purchase Agreement.</w:t>
      </w:r>
    </w:p>
    <w:p>
      <w:pPr>
        <w:spacing w:after="0" w:line="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18, 2017, the Company sold NFI, its wholly owned subsidiary, for $720,000 (see Note 14).</w:t>
      </w:r>
    </w:p>
    <w:p>
      <w:pPr>
        <w:spacing w:after="0" w:line="11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 Company expects to continue incurring losses for the foreseeable future and may be required to raise additional capital to pursue its therapeutic product development initiatives. These conditions raise substantial doubt about the Company's ability to continue as a going concern.</w:t>
      </w:r>
    </w:p>
    <w:p>
      <w:pPr>
        <w:spacing w:after="0" w:line="3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Company has been successful over the last 12 months in raising additional capital including the completed closings pursuant to the 2016 Sabby Purchase Agreement, the 2017 Aspire Purchase Agreement and the concurrent financing associated with the merger of Essentialis. Management believes that the Company will continue to have access to capital resources through possible public or private equity offerings, debt financings, corporate collaborations or other means; however, other than the 2017 Aspire Purchase Agreement, the Company has not secured any commitment for future financing at this time, nor can it provide any assurance that new financing will be available on commercially acceptable terms, if at all. If the Company is unable to secure additional capital, it may be required to curtail its development of its therapeutic product development initiative and take additional measures to reduce costs in order to conserve its cash in amounts sufficient to sustain operations and meet its obligations. These measures could cause significant delays in the Company's efforts complete its therapeutic development program, which is critical to the realization of its business plan and the future operations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six months ended June 30, 2017 as compared to the significant accounting policies described in Note 3 of the “Notes to Consolidated Financial Statements” in the Company’s Annual Report on Form 10-K for the year ended December 31, 2016. Below are those policies with current period updates: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GAAP for complete financial statements. The condensed consolidated balance sheet at December 31, 2016 has been derived from the audited consolidated financial statements at that date, but does not include all disclosures, including notes, required by GAAP for complete financial statements.</w:t>
      </w:r>
    </w:p>
    <w:p>
      <w:pPr>
        <w:spacing w:after="0" w:line="8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June 30, 2017 and results of its operations for the three and six months ended June 30, 2017 and 2016 and cash flows for the six months ended June 30, 2017 and 2016.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of loss per share.</w:t>
      </w:r>
    </w:p>
    <w:p>
      <w:pPr>
        <w:spacing w:after="0" w:line="8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300" w:firstLine="486"/>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ind w:right="20"/>
        <w:spacing w:after="0" w:line="290" w:lineRule="auto"/>
        <w:rPr>
          <w:sz w:val="20"/>
          <w:szCs w:val="20"/>
          <w:color w:val="auto"/>
        </w:rPr>
      </w:pPr>
      <w:r>
        <w:rPr>
          <w:rFonts w:ascii="Arial" w:cs="Arial" w:eastAsia="Arial" w:hAnsi="Arial"/>
          <w:sz w:val="17"/>
          <w:szCs w:val="17"/>
          <w:color w:val="auto"/>
        </w:rPr>
        <w:t>estimates. Key estimates included in the financial statements include the valuation of: deferred income tax assets, liability and equity instruments, stock-based compensation, acquired intangibles, contingent earn-out consideration, and allowances for accounts receivable and inventory.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June 30, 2017 and December 31, 2016, the Company’s inventory from continuing operations was comprised of the following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inventory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Inventory is stated at the lower of cost or market under the first-in, first-out (FIFO) method. The Company recorded a lower of cost or net realizable value to inventory of $40 thousand from the continuing operations during the six months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These standards require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and Series C Warrants to purchase Common Stock, do not satisfy the criteria for classification as equity instruments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due to the existence of certain cash settlement features that are not within the sole control of the Company or variable settlement provision that cause them to not be indexed to the Company’s own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In July 2017, FASB issued ASU No. 2017-11, Earnings per Share (Topic 260), Distinguishing Liabilities from Equity (Topic 480), Derivatives and Hedging (Topic 815). ASU 2017-11 consists of two parts. The amendments in Part I of this Update change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(in Subtopic 470-20, Debt-Debt with Conversion and Other Options), including related EPS guidance (in Topic 260).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If an entity early adopts the amendments in an interim period, any adjustments should be reflected as of the beginning of the fiscal year that includes that interim period. The amendments in Part II of this Update do not require any transition guidance because those amendments do not have an accounting effect. The Company is in the process of evaluating this ASU and adoption of this ASU is not expected to have a material impact on the Company’s consolidated financial position and results of operations.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which clarifies which changes to the terms or conditions of a share-based payment award require an entity to apply modification accounting. The standard is effective beginning after December 15, 2017; early adoption is permitted. The Company is currently evaluating the effect that ASU 2017-09 will have on the Company’s consolidated financial position and results of operations.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removes Step 2 from the goodwill impairment test. It is effective for annual and interim periods beginning after December 15, 2019. Early adoption is permitted for interim or annual goodwill impairment test performed with a measurement date after January 1, 2017. The Company is currently evaluating the effect that ASU 2017-04 will have on the Company’s consolidated financial position and results of operations.</w:t>
      </w:r>
    </w:p>
    <w:p>
      <w:pPr>
        <w:spacing w:after="0" w:line="388"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2017-01 are allowed for transactions for which the acquisition date is before the effective date of the amendments, but only when the transactions have not been reported in the financial statements that have been issued. The Company early adopted ASU 2017-01 for the acquisition of Essentialis, Inc. (see Note 11).</w:t>
      </w:r>
    </w:p>
    <w:p>
      <w:pPr>
        <w:spacing w:after="0" w:line="113"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Besides the accounting pronouncement above, there have been no other new accounting pronouncements or changes to accounting pronouncements during the six months ended June 30, 2017 as compared to the recent accounting pronouncements described in the Company’s Annual Report on Form 10-K for the year ended December 31, 2016 that are of significance or potential significance to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660" w:right="120" w:firstLine="432"/>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62" w:lineRule="exact"/>
        <w:rPr>
          <w:sz w:val="20"/>
          <w:szCs w:val="20"/>
          <w:color w:val="auto"/>
        </w:rPr>
      </w:pPr>
    </w:p>
    <w:p>
      <w:pPr>
        <w:ind w:left="660" w:firstLine="432"/>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347" w:lineRule="exact"/>
        <w:rPr>
          <w:sz w:val="20"/>
          <w:szCs w:val="20"/>
          <w:color w:val="auto"/>
        </w:rPr>
      </w:pPr>
    </w:p>
    <w:p>
      <w:pPr>
        <w:ind w:left="1300" w:hanging="33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225" w:lineRule="exact"/>
        <w:rPr>
          <w:rFonts w:ascii="Arial" w:cs="Arial" w:eastAsia="Arial" w:hAnsi="Arial"/>
          <w:sz w:val="18"/>
          <w:szCs w:val="18"/>
          <w:color w:val="auto"/>
        </w:rPr>
      </w:pPr>
    </w:p>
    <w:p>
      <w:pPr>
        <w:ind w:left="1300" w:right="100" w:hanging="333"/>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81" w:lineRule="exact"/>
        <w:rPr>
          <w:rFonts w:ascii="Arial" w:cs="Arial" w:eastAsia="Arial" w:hAnsi="Arial"/>
          <w:sz w:val="18"/>
          <w:szCs w:val="18"/>
          <w:color w:val="auto"/>
        </w:rPr>
      </w:pPr>
    </w:p>
    <w:p>
      <w:pPr>
        <w:ind w:left="1300" w:hanging="333"/>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00" w:lineRule="exact"/>
        <w:rPr>
          <w:sz w:val="20"/>
          <w:szCs w:val="20"/>
          <w:color w:val="auto"/>
        </w:rPr>
      </w:pPr>
    </w:p>
    <w:p>
      <w:pPr>
        <w:spacing w:after="0" w:line="241" w:lineRule="exact"/>
        <w:rPr>
          <w:sz w:val="20"/>
          <w:szCs w:val="20"/>
          <w:color w:val="auto"/>
        </w:rPr>
      </w:pPr>
    </w:p>
    <w:p>
      <w:pPr>
        <w:ind w:left="660" w:right="160" w:firstLine="405"/>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left="660" w:right="180" w:firstLine="405"/>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9"/>
          </w:tcPr>
          <w:p>
            <w:pPr>
              <w:jc w:val="right"/>
              <w:ind w:right="130"/>
              <w:spacing w:after="0"/>
              <w:rPr>
                <w:sz w:val="20"/>
                <w:szCs w:val="20"/>
                <w:color w:val="auto"/>
              </w:rPr>
            </w:pPr>
            <w:r>
              <w:rPr>
                <w:rFonts w:ascii="Arial" w:cs="Arial" w:eastAsia="Arial" w:hAnsi="Arial"/>
                <w:sz w:val="18"/>
                <w:szCs w:val="18"/>
                <w:color w:val="auto"/>
                <w:w w:val="88"/>
              </w:rPr>
              <w:t>Fair Value Measurements at June 30, 2017</w:t>
            </w:r>
          </w:p>
        </w:tc>
        <w:tc>
          <w:tcPr>
            <w:tcW w:w="9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Level 3</w:t>
            </w: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Series A warrant liability</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415</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C warrant liability</w:t>
            </w:r>
          </w:p>
        </w:tc>
        <w:tc>
          <w:tcPr>
            <w:tcW w:w="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24</w:t>
            </w:r>
          </w:p>
        </w:tc>
      </w:tr>
      <w:tr>
        <w:trPr>
          <w:trHeight w:val="297"/>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439</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24</w:t>
            </w:r>
          </w:p>
        </w:tc>
      </w:tr>
      <w:tr>
        <w:trPr>
          <w:trHeight w:val="311"/>
        </w:trPr>
        <w:tc>
          <w:tcPr>
            <w:tcW w:w="606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gridSpan w:val="10"/>
          </w:tcPr>
          <w:p>
            <w:pPr>
              <w:jc w:val="right"/>
              <w:spacing w:after="0"/>
              <w:rPr>
                <w:sz w:val="20"/>
                <w:szCs w:val="20"/>
                <w:color w:val="auto"/>
              </w:rPr>
            </w:pPr>
            <w:r>
              <w:rPr>
                <w:rFonts w:ascii="Arial" w:cs="Arial" w:eastAsia="Arial" w:hAnsi="Arial"/>
                <w:sz w:val="18"/>
                <w:szCs w:val="18"/>
                <w:color w:val="auto"/>
                <w:w w:val="90"/>
              </w:rPr>
              <w:t>Fair Value Measurements at December 31, 2016</w:t>
            </w:r>
          </w:p>
        </w:tc>
        <w:tc>
          <w:tcPr>
            <w:tcW w:w="92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Level 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 liability</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194</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Series C warrant liability</w:t>
            </w: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86</w:t>
            </w: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common stock warrant liability</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80" w:firstLine="405"/>
        <w:spacing w:after="0" w:line="271" w:lineRule="auto"/>
        <w:rPr>
          <w:sz w:val="20"/>
          <w:szCs w:val="20"/>
          <w:color w:val="auto"/>
        </w:rPr>
      </w:pPr>
      <w:r>
        <w:rPr>
          <w:rFonts w:ascii="Arial" w:cs="Arial" w:eastAsia="Arial" w:hAnsi="Arial"/>
          <w:sz w:val="17"/>
          <w:szCs w:val="17"/>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6). The Company’s estimated fair value of the Series C Warrant liability is calculated using the Black-Scholes valuation model. Key assumptions include the volatility of the Company’s stock, the expected warrant term, expected dividend yield and risk-free interest rates (see Note 6). The Level 3 estimates are based, in part, on subjective assumptions.</w:t>
      </w:r>
    </w:p>
    <w:p>
      <w:pPr>
        <w:spacing w:after="0" w:line="179" w:lineRule="exact"/>
        <w:rPr>
          <w:sz w:val="20"/>
          <w:szCs w:val="20"/>
          <w:color w:val="auto"/>
        </w:rPr>
      </w:pPr>
    </w:p>
    <w:p>
      <w:pPr>
        <w:ind w:left="660" w:right="40" w:firstLine="432"/>
        <w:spacing w:after="0" w:line="257" w:lineRule="auto"/>
        <w:rPr>
          <w:sz w:val="20"/>
          <w:szCs w:val="20"/>
          <w:color w:val="auto"/>
        </w:rPr>
      </w:pPr>
      <w:r>
        <w:rPr>
          <w:rFonts w:ascii="Arial" w:cs="Arial" w:eastAsia="Arial" w:hAnsi="Arial"/>
          <w:sz w:val="18"/>
          <w:szCs w:val="18"/>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$140 thousand as of June 30,</w:t>
      </w:r>
    </w:p>
    <w:p>
      <w:pPr>
        <w:sectPr>
          <w:pgSz w:w="11900" w:h="16838" w:orient="portrait"/>
          <w:cols w:equalWidth="0" w:num="1">
            <w:col w:w="11420"/>
          </w:cols>
          <w:pgMar w:left="240" w:top="90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904" w:right="239" w:bottom="1440" w:gutter="0" w:footer="0" w:header="0"/>
          <w:type w:val="continuous"/>
        </w:sectPr>
      </w:pPr>
    </w:p>
    <w:bookmarkStart w:id="12" w:name="page13"/>
    <w:bookmarkEnd w:id="12"/>
    <w:p>
      <w:pPr>
        <w:ind w:left="660" w:right="300"/>
        <w:spacing w:after="0" w:line="279" w:lineRule="auto"/>
        <w:rPr>
          <w:sz w:val="20"/>
          <w:szCs w:val="20"/>
          <w:color w:val="auto"/>
        </w:rPr>
      </w:pPr>
      <w:r>
        <w:rPr>
          <w:rFonts w:ascii="Arial" w:cs="Arial" w:eastAsia="Arial" w:hAnsi="Arial"/>
          <w:sz w:val="17"/>
          <w:szCs w:val="17"/>
          <w:color w:val="auto"/>
        </w:rPr>
        <w:t>2017.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 The contingent consideration was classified as liabilities held for sale as of June 30, 2017 (see Note 5).</w:t>
      </w:r>
    </w:p>
    <w:p>
      <w:pPr>
        <w:spacing w:after="0" w:line="171" w:lineRule="exact"/>
        <w:rPr>
          <w:sz w:val="20"/>
          <w:szCs w:val="20"/>
          <w:color w:val="auto"/>
        </w:rPr>
      </w:pPr>
    </w:p>
    <w:p>
      <w:pPr>
        <w:ind w:left="660" w:firstLine="486"/>
        <w:spacing w:after="0" w:line="270" w:lineRule="auto"/>
        <w:rPr>
          <w:sz w:val="20"/>
          <w:szCs w:val="20"/>
          <w:color w:val="auto"/>
        </w:rPr>
      </w:pPr>
      <w:r>
        <w:rPr>
          <w:rFonts w:ascii="Arial" w:cs="Arial" w:eastAsia="Arial" w:hAnsi="Arial"/>
          <w:sz w:val="17"/>
          <w:szCs w:val="17"/>
          <w:color w:val="auto"/>
        </w:rPr>
        <w:t>The agreement to pay the commercial milestones in the Essentials acquisition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There was no change to the fair value of the contingent consideration as of June 30, 2017. The fair value of the contingent consideration was determined by a 15.3% probability of achieving each milestone. Additionally, the Company made an assessment that the commercial milestones of $100 million and $200 million in applicable revenue could be reached in 2023 and 2025, respectively. These inputs are considered Level 3 inputs under the fair value measurements and disclosure guidance.</w:t>
      </w:r>
    </w:p>
    <w:p>
      <w:pPr>
        <w:spacing w:after="0" w:line="182" w:lineRule="exact"/>
        <w:rPr>
          <w:sz w:val="20"/>
          <w:szCs w:val="20"/>
          <w:color w:val="auto"/>
        </w:rPr>
      </w:pPr>
    </w:p>
    <w:p>
      <w:pPr>
        <w:ind w:left="660" w:firstLine="432"/>
        <w:spacing w:after="0" w:line="257" w:lineRule="auto"/>
        <w:rPr>
          <w:sz w:val="20"/>
          <w:szCs w:val="20"/>
          <w:color w:val="auto"/>
        </w:rPr>
      </w:pPr>
      <w:r>
        <w:rPr>
          <w:rFonts w:ascii="Arial" w:cs="Arial" w:eastAsia="Arial" w:hAnsi="Arial"/>
          <w:sz w:val="18"/>
          <w:szCs w:val="18"/>
          <w:color w:val="auto"/>
        </w:rPr>
        <w:t>On January 13, 2016 the Company entered into an agreement to sublease its excess space located in Redwood City. By the end of February the Company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pacing w:after="0" w:line="188" w:lineRule="exact"/>
        <w:rPr>
          <w:sz w:val="20"/>
          <w:szCs w:val="20"/>
          <w:color w:val="auto"/>
        </w:rPr>
      </w:pPr>
    </w:p>
    <w:p>
      <w:pPr>
        <w:jc w:val="both"/>
        <w:ind w:left="660" w:right="360" w:firstLine="432"/>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June 30, 2017 and December 31, 2016, the Company had $7.3 million and $2.6 million in money market funds.</w:t>
      </w:r>
    </w:p>
    <w:p>
      <w:pPr>
        <w:spacing w:after="0" w:line="225" w:lineRule="exact"/>
        <w:rPr>
          <w:sz w:val="20"/>
          <w:szCs w:val="20"/>
          <w:color w:val="auto"/>
        </w:rPr>
      </w:pPr>
    </w:p>
    <w:p>
      <w:pPr>
        <w:ind w:left="660" w:right="100" w:firstLine="432"/>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80" w:type="dxa"/>
            <w:vAlign w:val="bottom"/>
            <w:gridSpan w:val="5"/>
          </w:tcPr>
          <w:p>
            <w:pPr>
              <w:ind w:left="740"/>
              <w:spacing w:after="0"/>
              <w:rPr>
                <w:sz w:val="20"/>
                <w:szCs w:val="20"/>
                <w:color w:val="auto"/>
              </w:rPr>
            </w:pPr>
            <w:r>
              <w:rPr>
                <w:rFonts w:ascii="Arial" w:cs="Arial" w:eastAsia="Arial" w:hAnsi="Arial"/>
                <w:sz w:val="18"/>
                <w:szCs w:val="18"/>
                <w:color w:val="auto"/>
              </w:rPr>
              <w:t>Series A Warrant</w:t>
            </w: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88"/>
              </w:rPr>
              <w:t>Series C Warrant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Liability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2,425,605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Change in value of Series A Warrants</w:t>
            </w:r>
          </w:p>
        </w:tc>
        <w:tc>
          <w:tcPr>
            <w:tcW w:w="16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value of Series C Warrants</w:t>
            </w:r>
          </w:p>
        </w:tc>
        <w:tc>
          <w:tcPr>
            <w:tcW w:w="16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Balance at June 30, 2017</w:t>
            </w:r>
          </w:p>
        </w:tc>
        <w:tc>
          <w:tcPr>
            <w:tcW w:w="164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2,425,605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Discontinued Operations and Assets Held for Sale</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explored opportunities during the second quarter of 2017 to sell the separate business representing: 1) CoSense</w:t>
      </w:r>
      <w:r>
        <w:rPr>
          <w:rFonts w:ascii="Arial" w:cs="Arial" w:eastAsia="Arial" w:hAnsi="Arial"/>
          <w:sz w:val="16"/>
          <w:szCs w:val="16"/>
          <w:color w:val="auto"/>
        </w:rPr>
        <w:t>®</w:t>
      </w:r>
      <w:r>
        <w:rPr>
          <w:rFonts w:ascii="Arial" w:cs="Arial" w:eastAsia="Arial" w:hAnsi="Arial"/>
          <w:sz w:val="18"/>
          <w:szCs w:val="18"/>
          <w:color w:val="auto"/>
        </w:rPr>
        <w:t xml:space="preserve"> End-Tidal Carbon Monoxide (ETCO) Monitor, or CoSense, which measures ETCO and 2) NFI, a wholly owned subsidiary that sells innovative pulmonary resuscitation solutions for the inpatient and ambulatory neonatal markets. NFI’s primary product is the NeoPip T-piece resuscitator and related consumable, which delivers consistent pre-set inspiratory pressure and positive end-expiratory pressures. Other NFI products include temperature probes, scales, surgical tables and patient surfaces.</w:t>
      </w:r>
    </w:p>
    <w:p>
      <w:pPr>
        <w:spacing w:after="0" w:line="188"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w:t>
      </w:r>
    </w:p>
    <w:p>
      <w:pPr>
        <w:spacing w:after="0" w:line="100"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For income statements, the current and prior periods should report the results of operations of the component in discontinued operations when comparative income statements are presented.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2017</w:t>
            </w: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Property &amp; equipment, net</w:t>
            </w:r>
          </w:p>
        </w:tc>
        <w:tc>
          <w:tcPr>
            <w:tcW w:w="15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w:t>
            </w:r>
          </w:p>
        </w:tc>
        <w:tc>
          <w:tcPr>
            <w:tcW w:w="15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assets held for sale</w:t>
            </w:r>
          </w:p>
        </w:tc>
        <w:tc>
          <w:tcPr>
            <w:tcW w:w="150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2,323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r>
      <w:tr>
        <w:trPr>
          <w:trHeight w:val="318"/>
        </w:trPr>
        <w:tc>
          <w:tcPr>
            <w:tcW w:w="72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Property &amp; equipment, net</w:t>
            </w: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w:t>
            </w:r>
          </w:p>
        </w:tc>
        <w:tc>
          <w:tcPr>
            <w:tcW w:w="150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7"/>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assets held for sale</w:t>
            </w:r>
          </w:p>
        </w:tc>
        <w:tc>
          <w:tcPr>
            <w:tcW w:w="1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w:t>
            </w:r>
          </w:p>
        </w:tc>
      </w:tr>
      <w:tr>
        <w:trPr>
          <w:trHeight w:val="318"/>
        </w:trPr>
        <w:tc>
          <w:tcPr>
            <w:tcW w:w="72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other 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15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 for sale</w:t>
            </w:r>
          </w:p>
        </w:tc>
        <w:tc>
          <w:tcPr>
            <w:tcW w:w="150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318"/>
        </w:trPr>
        <w:tc>
          <w:tcPr>
            <w:tcW w:w="720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7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liabilities held for sale</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0"/>
        </w:trPr>
        <w:tc>
          <w:tcPr>
            <w:tcW w:w="7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90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components of the income statement accounts presented as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820</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Gross profit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w:t>
            </w: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752</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37"/>
        </w:trPr>
        <w:tc>
          <w:tcPr>
            <w:tcW w:w="458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2,404</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jc w:val="right"/>
              <w:ind w:right="310"/>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Series A Warrants and Series C Warrants (the “Warrants”).</w:t>
      </w:r>
    </w:p>
    <w:p>
      <w:pPr>
        <w:spacing w:after="0" w:line="225"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Company's cash or cash equivalents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classified the Warrants as liabilities at their fair value and will re-measure the warrants at each balance sheet date until they are exercised or expire. Any change in the fair value is recognized as other income (expense) in the Company’s statement of operations.</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issued 2,449,605 Series A Warrants to purchase shares of its Common Stock at an exercise price of $6.50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jc w:val="both"/>
        <w:ind w:right="660" w:firstLine="432"/>
        <w:spacing w:after="0" w:line="286"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CAPNW, and now under the symbol SLNOW as the result of the The Company name change to Soleno Therapeutics, Inc. in May 2017. As the Series A Warrants are publicly traded, the Company uses the closing price on the measurement date to determine the fair value of these the Series A Warrants.</w:t>
      </w:r>
    </w:p>
    <w:p>
      <w:pPr>
        <w:spacing w:after="0" w:line="166"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Since their issuance, a total of 24,000 Series A Warrants have been exercised. As of June 30, 2017, the fair value of the 2,425,605 outstanding Series A Warrants was approximately $415 thousand, and the increase of $123 thousand and $220 thousand in fair value during the three and six months ended June 30, 2017 was recorded as other expense in the statement of operations. As of June 30, 2016, the fair value of the outstanding Series A warrants was approximately $631 thousand, and the increase of $73 thousand during the three months ended June 30, 2016 and the decrease of $582 thousand in fair value during the six months ended June 30, 2016 was recorded as other income in the statement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589,510 shares of the Company’s Common Stock at an exercise price of $6.50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4" w:right="2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number of shares of the Company’s Common Stock underlying the Series B Warrants that were exercised. Each Series C Warrant is exercisable at $6.25 per share and will expire on March 5, 2020.</w:t>
      </w:r>
    </w:p>
    <w:p>
      <w:pPr>
        <w:spacing w:after="0" w:line="17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$6.25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905 shares of the Company's Common Stock, the issuance of 905 Series C Warrants and proceeds to the Company of $5,882.</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Series C Warrants are exercisable into 590,415 shares of the Company’s Common Stock. As of June 30, 2017, the fair value of the Series C Warrants was determined to be $24 thousand. The decline in the fair value of the Series C Warrants of $34 thousand during the three months ended June 30, 2017 and $62 thousand in the six months ended June 30, 2017 was recorded as other income in the consolidated statement of operations. As of June 30, 2016, the fair value of the Series C Warrants was determined to be $193 thousand. The decline in the fair value of the warrants of $25 thousand during the three months ended June 30, 2016 and $269 thousand in the six months ended June 30, 2016 was recorded as other income in the consolidated statement of operations.</w:t>
      </w:r>
    </w:p>
    <w:p>
      <w:pPr>
        <w:spacing w:after="0" w:line="220" w:lineRule="exact"/>
        <w:rPr>
          <w:sz w:val="20"/>
          <w:szCs w:val="20"/>
          <w:color w:val="auto"/>
        </w:rPr>
      </w:pPr>
    </w:p>
    <w:p>
      <w:pPr>
        <w:ind w:right="100" w:firstLine="432"/>
        <w:spacing w:after="0" w:line="340"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requires the input of highly subjective assumptions including the expected stock price volatility. The Company used the following inputs: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6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6060" w:type="dxa"/>
            <w:vAlign w:val="bottom"/>
            <w:gridSpan w:val="2"/>
          </w:tcPr>
          <w:p>
            <w:pPr>
              <w:jc w:val="right"/>
              <w:ind w:right="99"/>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3.17</w:t>
            </w:r>
          </w:p>
        </w:tc>
      </w:tr>
      <w:tr>
        <w:trPr>
          <w:trHeight w:val="27"/>
        </w:trPr>
        <w:tc>
          <w:tcPr>
            <w:tcW w:w="3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486"/>
        </w:trPr>
        <w:tc>
          <w:tcPr>
            <w:tcW w:w="3700" w:type="dxa"/>
            <w:vAlign w:val="bottom"/>
          </w:tcPr>
          <w:p>
            <w:pPr>
              <w:spacing w:after="0"/>
              <w:rPr>
                <w:sz w:val="24"/>
                <w:szCs w:val="24"/>
                <w:color w:val="auto"/>
              </w:rPr>
            </w:pPr>
          </w:p>
        </w:tc>
        <w:tc>
          <w:tcPr>
            <w:tcW w:w="4740" w:type="dxa"/>
            <w:vAlign w:val="bottom"/>
          </w:tcPr>
          <w:p>
            <w:pPr>
              <w:jc w:val="right"/>
              <w:ind w:right="2550"/>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Common Stock Purchase Agreement</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2017 Aspire Purchase Agreement. The Company issued Aspire Capital 708,333 shares of Common Stock as commitment shares under the 2017 Aspire Purchase Agreement. Further, on March 7, 2017, the closing of the financing, as described in the Agreement and Plan of Merger dated December 22, 2016 (the "Merger Agreement"), the Company sold to Aspire Capital, and Aspire Capital purchased from the Company, 2,083,333 of the Company's common stock at $0.96 per share for an aggregate of $2.0 million.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90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signed an amendment to its lease agreement, extending the lease through June 2018. The amendment provides for monthly lease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beginning in June 2015, with increases in the following two years. The Company subleased this facility in January 2016 and ceased use of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March 2016 (See Note 4).</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also leases approximately 2,100 square feet of office space for its operations in Ivyland, Pennsylvania under a month-to-month lease.</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was $343 thousand and $325 thousand during the six months ended June 30,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was recognized at the closing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$140 thousand at June 30, 2017. The long-term portion of the royalty obligation, $29 thousand, is classified as part of other long-term liabilities while the remaining current portion is included in accrued compensation and other current liabilities. The contingent consideration was classified as liabilities held for sale as of June 30, 2017 (see Note 5).</w:t>
      </w:r>
    </w:p>
    <w:p>
      <w:pPr>
        <w:spacing w:after="0" w:line="17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In connection with the merger with Essentialis, the Company agreed to pay Essentialis stockholders earnout payments up to a maximum of $30 million upon the achievement of certain commercial milestones associated with the sale of Essentialis’ product. The agreement to pay the commercial milestones resulted in the recognition of a contingent consideration, which was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There was no change to the fair value of the contingent consideration as of June 30, 2017. The entire $1.1 million was classified as a long-term liability.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$2.46 to $1.75 per share on the effective date of the 2016 Sabby Purchase Agreement.</w:t>
      </w:r>
    </w:p>
    <w:p>
      <w:pPr>
        <w:spacing w:after="0" w:line="2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During the six months ended June 30, 2017, Sabby converted 601 Series B Convertible Preferred stock into 601,000 shares of Common Stock. As of June 30, 2017, there were 12,179 Series B Convertible Preferred Stock outstanding.</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w:t>
      </w:r>
    </w:p>
    <w:p>
      <w:pPr>
        <w:spacing w:after="0" w:line="7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The Company also issued 8,333,333 shares of common stock at $0.96 per share for an investment of $8 million from the completion of the concurrent financing and issued 2,083,333 shares of common stock at $0.96 per share for an investment of $2 million from Aspire Capital.</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7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5 years for ISOs for which the grantee owns greater than 10% of the voting power of all classes of stock and no longer than ten years for all other options.</w:t>
      </w:r>
    </w:p>
    <w:p>
      <w:pPr>
        <w:spacing w:after="0" w:line="187"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 compensation expense is allocated on a departmental basis, based on the classification of the option holder. No income tax benefits have been recognized in the statements of operations for stock-based compensation arrangements as of June 30, 2017 and June 30, 2016.</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compensation expense (in thousands) was allocated between departments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Borders>
              <w:bottom w:val="single" w:sz="8" w:color="auto"/>
            </w:tcBorders>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114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3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20"/>
                <w:szCs w:val="20"/>
                <w:color w:val="auto"/>
              </w:rPr>
            </w:pP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354</w:t>
            </w:r>
          </w:p>
        </w:tc>
      </w:tr>
      <w:tr>
        <w:trPr>
          <w:trHeight w:val="27"/>
        </w:trPr>
        <w:tc>
          <w:tcPr>
            <w:tcW w:w="3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ind w:right="180" w:firstLine="432"/>
        <w:spacing w:after="0" w:line="340" w:lineRule="auto"/>
        <w:rPr>
          <w:sz w:val="20"/>
          <w:szCs w:val="20"/>
          <w:color w:val="auto"/>
        </w:rPr>
      </w:pPr>
      <w:r>
        <w:rPr>
          <w:rFonts w:ascii="Arial" w:cs="Arial" w:eastAsia="Arial" w:hAnsi="Arial"/>
          <w:sz w:val="18"/>
          <w:szCs w:val="18"/>
          <w:color w:val="auto"/>
        </w:rPr>
        <w:t>The fair value of each award granted was estimated on the date of grant using the Black-Scholes option pricing model with the following assumptions for the three and six months ended June 30,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3840" w:type="dxa"/>
            <w:vAlign w:val="bottom"/>
            <w:gridSpan w:val="2"/>
          </w:tcPr>
          <w:p>
            <w:pPr>
              <w:jc w:val="right"/>
              <w:ind w:right="934"/>
              <w:spacing w:after="0"/>
              <w:rPr>
                <w:sz w:val="20"/>
                <w:szCs w:val="20"/>
                <w:color w:val="auto"/>
              </w:rPr>
            </w:pPr>
            <w:r>
              <w:rPr>
                <w:rFonts w:ascii="Arial" w:cs="Arial" w:eastAsia="Arial" w:hAnsi="Arial"/>
                <w:sz w:val="14"/>
                <w:szCs w:val="14"/>
                <w:b w:val="1"/>
                <w:bCs w:val="1"/>
                <w:color w:val="auto"/>
              </w:rPr>
              <w:t>Three Months Ended June 30,</w:t>
            </w:r>
          </w:p>
        </w:tc>
        <w:tc>
          <w:tcPr>
            <w:tcW w:w="3920" w:type="dxa"/>
            <w:vAlign w:val="bottom"/>
            <w:gridSpan w:val="2"/>
          </w:tcPr>
          <w:p>
            <w:pPr>
              <w:jc w:val="right"/>
              <w:ind w:right="994"/>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366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9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190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rPr>
              <w:t>5.78-6.08</w:t>
            </w:r>
          </w:p>
        </w:tc>
        <w:tc>
          <w:tcPr>
            <w:tcW w:w="194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5.5-10</w:t>
            </w:r>
          </w:p>
        </w:tc>
        <w:tc>
          <w:tcPr>
            <w:tcW w:w="19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rPr>
              <w:t>5.5-6.08</w:t>
            </w:r>
          </w:p>
        </w:tc>
        <w:tc>
          <w:tcPr>
            <w:tcW w:w="194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rPr>
              <w:t>5.5-6.08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1.9%-2.1%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1.3%-1.7%</w:t>
            </w:r>
          </w:p>
        </w:tc>
        <w:tc>
          <w:tcPr>
            <w:tcW w:w="1980" w:type="dxa"/>
            <w:vAlign w:val="bottom"/>
          </w:tcPr>
          <w:p>
            <w:pPr>
              <w:jc w:val="center"/>
              <w:spacing w:after="0"/>
              <w:rPr>
                <w:sz w:val="20"/>
                <w:szCs w:val="20"/>
                <w:color w:val="auto"/>
              </w:rPr>
            </w:pPr>
            <w:r>
              <w:rPr>
                <w:rFonts w:ascii="Arial" w:cs="Arial" w:eastAsia="Arial" w:hAnsi="Arial"/>
                <w:sz w:val="18"/>
                <w:szCs w:val="18"/>
                <w:color w:val="auto"/>
                <w:w w:val="93"/>
              </w:rPr>
              <w:t>1.9%-2.2%</w:t>
            </w:r>
          </w:p>
        </w:tc>
        <w:tc>
          <w:tcPr>
            <w:tcW w:w="1940" w:type="dxa"/>
            <w:vAlign w:val="bottom"/>
          </w:tcPr>
          <w:p>
            <w:pPr>
              <w:jc w:val="center"/>
              <w:ind w:left="34"/>
              <w:spacing w:after="0"/>
              <w:rPr>
                <w:sz w:val="20"/>
                <w:szCs w:val="20"/>
                <w:color w:val="auto"/>
              </w:rPr>
            </w:pPr>
            <w:r>
              <w:rPr>
                <w:rFonts w:ascii="Arial" w:cs="Arial" w:eastAsia="Arial" w:hAnsi="Arial"/>
                <w:sz w:val="18"/>
                <w:szCs w:val="18"/>
                <w:color w:val="auto"/>
                <w:w w:val="93"/>
              </w:rPr>
              <w:t>1.3%-1.8%</w:t>
            </w:r>
          </w:p>
        </w:tc>
      </w:tr>
      <w:tr>
        <w:trPr>
          <w:trHeight w:val="27"/>
        </w:trPr>
        <w:tc>
          <w:tcPr>
            <w:tcW w:w="3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69%</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65% - 73%</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61%-69%</w:t>
            </w:r>
          </w:p>
        </w:tc>
        <w:tc>
          <w:tcPr>
            <w:tcW w:w="19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3"/>
              </w:rPr>
              <w:t>65% - 76%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4"/>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1300" w:right="5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116" w:lineRule="exact"/>
        <w:rPr>
          <w:rFonts w:ascii="Arial" w:cs="Arial" w:eastAsia="Arial" w:hAnsi="Arial"/>
          <w:sz w:val="18"/>
          <w:szCs w:val="18"/>
          <w:color w:val="auto"/>
        </w:rPr>
      </w:pPr>
    </w:p>
    <w:p>
      <w:pPr>
        <w:ind w:left="1300" w:right="8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 transactions for the six months ended June 30, 2017 as issued under the Plans: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49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52"/>
        </w:trPr>
        <w:tc>
          <w:tcPr>
            <w:tcW w:w="4920" w:type="dxa"/>
            <w:vAlign w:val="bottom"/>
          </w:tcPr>
          <w:p>
            <w:pPr>
              <w:spacing w:after="0"/>
              <w:rPr>
                <w:sz w:val="21"/>
                <w:szCs w:val="21"/>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Available for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21"/>
                <w:szCs w:val="21"/>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 Price per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492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Grant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r>
      <w:tr>
        <w:trPr>
          <w:trHeight w:val="365"/>
        </w:trPr>
        <w:tc>
          <w:tcPr>
            <w:tcW w:w="4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958,856</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2,908,430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671,478</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Amendment to plan to authorize additional shares</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8,929,188</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(3,113,777)</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3,113,777</w:t>
            </w:r>
          </w:p>
        </w:tc>
        <w:tc>
          <w:tcPr>
            <w:tcW w:w="2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0.61</w:t>
            </w:r>
          </w:p>
        </w:tc>
        <w:tc>
          <w:tcPr>
            <w:tcW w:w="17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Options canceled/forfeited</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108,191</w:t>
            </w:r>
          </w:p>
        </w:tc>
        <w:tc>
          <w:tcPr>
            <w:tcW w:w="1480" w:type="dxa"/>
            <w:vAlign w:val="bottom"/>
          </w:tcPr>
          <w:p>
            <w:pPr>
              <w:jc w:val="right"/>
              <w:spacing w:after="0"/>
              <w:rPr>
                <w:sz w:val="20"/>
                <w:szCs w:val="20"/>
                <w:color w:val="auto"/>
              </w:rPr>
            </w:pPr>
            <w:r>
              <w:rPr>
                <w:rFonts w:ascii="Arial" w:cs="Arial" w:eastAsia="Arial" w:hAnsi="Arial"/>
                <w:sz w:val="18"/>
                <w:szCs w:val="18"/>
                <w:color w:val="auto"/>
              </w:rPr>
              <w:t>(108,191)</w:t>
            </w:r>
          </w:p>
        </w:tc>
        <w:tc>
          <w:tcPr>
            <w:tcW w:w="2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3.49</w:t>
            </w:r>
          </w:p>
        </w:tc>
        <w:tc>
          <w:tcPr>
            <w:tcW w:w="17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7,553,936</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5,914,016</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324"/>
        </w:trPr>
        <w:tc>
          <w:tcPr>
            <w:tcW w:w="4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at June 30, 2017</w:t>
            </w:r>
          </w:p>
        </w:tc>
        <w:tc>
          <w:tcPr>
            <w:tcW w:w="1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2,503,001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4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Options vested and expected to vest at June 30, 2017</w:t>
            </w:r>
          </w:p>
        </w:tc>
        <w:tc>
          <w:tcPr>
            <w:tcW w:w="1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5,914,016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r>
      <w:tr>
        <w:trPr>
          <w:trHeight w:val="20"/>
        </w:trPr>
        <w:tc>
          <w:tcPr>
            <w:tcW w:w="4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weighted-average grant date fair value of employee options granted was $0.61 and $0.81 per share for the six months ended June 30, 2017 and year ended December 31, 2016, respectively. At June 30, 2017 total unrecognized employee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27" w:right="239" w:bottom="144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color w:val="auto"/>
        </w:rPr>
        <w:t>stock-based compensation was $2.0 million, which is expected to be recognized over the weighted-average remaining vesting period of 3.0 years. As of June 30, 2017, the outstanding stock options had an intrinsic value of zero.</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139,839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76"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279,680 shares; or</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there were no purchases by employees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As part of the 2015 Sabby Purchase Agreement, the Company previously issued 2,810,812 Series D Warrants, with an exercise price of $2.46. The exercise price of 2,702,704 Series D Warrants issued to Sabby were subsequently amended to $1.75 per share and a term of five years expiring on October 15, 2020 pursuant to the 2016 Sabby Purchase Agreement. The exercise price of the remaining 108,108 Series D Warrants issued to Maxim LLC, as placement agent, was $2.46, and are exercisable beginning on April 15, 2016 and through and including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therein. The Company evaluated the registration payment arrangement stipulated in the terms of the 2015 Sabby Purchase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7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part of the 2016 Sabby Purchase Agreement, the Company issued to Maxim LLC, as its placement agent, 120,000 Series D Warrants, with an exercise price of $1.75 and a term of five years expiring in July and September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As of June 30, 2017, the Company had 510,350 Common Stock warrants outstanding originally issued in conjunction with the 2010/2012 convertible notes, with an exercise price of $4.87 and a term of 10 years expiring in November 2024. The Company also has outstanding 9,259 Common Stock warrants issued in 2009, with an exercise price of $21.60 and a term of 10 years, expiring in January 2019 and 82,500 Common Stock warrants issued to the underwriter in our IPO, with an exercise price of 7.14 and a term of 10 years, expiring in November 2024.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including contingent shares to be issued to Essentialis stockholders of 913,379 shares of common stock to be issued on the 1 year anniversary of the closing of the merger and 4,566,948 shares of common stock to be issued upon the achievement of a development milestone. Diluted net loss per share is computed by dividing net loss by the weighted-average number of Common Stock outstanding and dilutive potential Common Stock that would be issued upon the exercise of Common Stock warrants and options. For the three and six months ended June 30, 2017 and 2016 the effect of issuing the potential Common Stock is anti-dilutive due to the net losses in those periods and the number of shares used to compute basic and diluted earnings per share are the same in each of those periods.</w:t>
      </w:r>
    </w:p>
    <w:p>
      <w:pPr>
        <w:spacing w:after="0" w:line="18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8"/>
              </w:rPr>
              <w:t>As of June 30</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Convertible preferred stock</w:t>
            </w:r>
          </w:p>
        </w:tc>
        <w:tc>
          <w:tcPr>
            <w:tcW w:w="20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4,505,405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Convertible preferred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12,179,000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510,350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5,914,016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3,036,979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82,500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2,425,605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2,425,605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590,415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590,415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2,930,812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2,810,812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24,641,957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13,971,325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Essentialis, Inc. Acquisition</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Essentialis,with Essentialis surviving the merger as a wholly owned subsidiary of the Company.</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consideration, the Company issued 18,916,940 shares of common stock to stockholders of Essentialis. The Company held back 913,379 shares of common stock as partial recourse to satisfy indemnification claims, and such shares will be issued to Essentialis stockholders on the 1 year anniversary of the closing of the merger. The Company is also obligated to issue an additional 4,566,948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9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Since the acquisition was determined to be an asset acquisition, the total value of the purchase consideration will be allocated to the asset acquired. The value of the shares issued on the completion of the merger and the shares to be issued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Capnia’s shares are actively traded and provide a reliable indication of value. On March 7, 2017, the date of the transaction close, the Company's stock was trading at $0.77 per common share. Additionally, the average closing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4" w:right="239" w:bottom="1440" w:gutter="0" w:footer="0" w:header="0"/>
        </w:sectPr>
      </w:pPr>
    </w:p>
    <w:bookmarkStart w:id="23" w:name="page24"/>
    <w:bookmarkEnd w:id="23"/>
    <w:p>
      <w:pPr>
        <w:ind w:right="300"/>
        <w:spacing w:after="0" w:line="277" w:lineRule="auto"/>
        <w:rPr>
          <w:sz w:val="20"/>
          <w:szCs w:val="20"/>
          <w:color w:val="auto"/>
        </w:rPr>
      </w:pPr>
      <w:r>
        <w:rPr>
          <w:rFonts w:ascii="Arial" w:cs="Arial" w:eastAsia="Arial" w:hAnsi="Arial"/>
          <w:sz w:val="18"/>
          <w:szCs w:val="18"/>
          <w:color w:val="auto"/>
        </w:rPr>
        <w:t>price of the stock in the 30 calendar days leading up to the close was also approximately $0.77. Accordingly, the identifiable intangible assets acquired are recorded at fair value based on this stock price.</w:t>
      </w:r>
    </w:p>
    <w:p>
      <w:pPr>
        <w:spacing w:after="0" w:line="17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agreement to pay the commercial milestones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15.3% probability of achieving each milestone was determined to be reasonable. Additionally, the Company anticipates that it could reach the commercial milestones of $100 million and $200 million in applicable revenue in 2023 and 2025, respectively.</w:t>
      </w:r>
    </w:p>
    <w:p>
      <w:pPr>
        <w:spacing w:after="0" w:line="167"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probability weighted milestone payments were discounted to determine the present value of future payments. The analysis utilized the weighted average cost of capital (WACC) discount rate. The WACC used for the first and second milestones were 30% and 21%,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stock consideration</w:t>
            </w:r>
          </w:p>
        </w:tc>
        <w:tc>
          <w:tcPr>
            <w:tcW w:w="10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18,785,926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10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fair value of the asset acquired is as follows:</w:t>
            </w: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19,876,051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As an asset acquisition, the Company also capitalized $573 thousand of total costs of acquiring the assets. These included legal fees of $469 thousand, printing fees of $75 thousand and accounting and other fees of $29 thousand. The total intangible asset of $20.4 million was recorded on the balance sheet and amortized over the life of the patents through June 30, 2028.</w:t>
      </w:r>
    </w:p>
    <w:p>
      <w:pPr>
        <w:spacing w:after="0" w:line="18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The following table presents the unaudited pro forma results of Soleno Therapeutics, Inc. (including the operations of Essentialis) for the three and six months ended June 30, 2016 and June 30, 2017 (in thousands, except per share amounts). The unaudited pro forma financial information combines the results of operations of Soleno and Essentialis as though the companies had been combined as of the beginning of each of the fiscal periods presented. The unaudited pro forma financial information is presented for informational purposes only and is not indicative of the results of operations that would have been achieved if the acquisition had taken place at the beginning of fiscal 2016 or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7"/>
                <w:szCs w:val="17"/>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(4,422)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(7,964)</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Proforma weighted-average shares - basic and diluted</w:t>
            </w:r>
          </w:p>
        </w:tc>
        <w:tc>
          <w:tcPr>
            <w:tcW w:w="3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53,855,669</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35,070,296</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69,363,153</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w w:val="99"/>
              </w:rPr>
              <w:t>44,496,176</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jc w:val="both"/>
        <w:ind w:right="360" w:firstLine="567"/>
        <w:spacing w:after="0" w:line="286" w:lineRule="auto"/>
        <w:rPr>
          <w:sz w:val="20"/>
          <w:szCs w:val="20"/>
          <w:color w:val="auto"/>
        </w:rPr>
      </w:pPr>
      <w:r>
        <w:rPr>
          <w:rFonts w:ascii="Arial" w:cs="Arial" w:eastAsia="Arial" w:hAnsi="Arial"/>
          <w:sz w:val="17"/>
          <w:szCs w:val="17"/>
          <w:color w:val="auto"/>
        </w:rPr>
        <w:t>The Compensation Committee of the Board of Directors of the Company recommended and the Board approved a new compensation plan for the payment of quarterly Board fees. Starting in the first quarter of 2017, all board fees have been paid in Common Stock of the Company. In the six months ended June 30, 2017, the Company issued 157,756 shares of Common Stock to its Board members.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Shareholder Lawsuit</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the plaintiff’s agreement to voluntarily dismiss plaintiff's claims in the Lawsuit. The Company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On July 18, 2017, the Company completed the sale of stock of its 100% wholly-owned subsidiary, NFI, primarily related to the Company’s portfolio of neonatology resuscitation business pursuant to a Stock Purchase Agreement (the “Purchase Agreement”), dated as of July 18, 2017, with NeoForce Holdings, Inc. ("Holdings"), a 100% owned subsidiary of Flexicare Medical Limited, a privately held United Kingdom company, for $720,000 and adjustments for inventory and the current cash balances held at NFI. The Company will also receive the total outstanding accounts receivable and inventory held by NFI at the date of sale, as it is collected or sold, respectively. The transactions contemplated by the Purchase Agreement are a continuation of a process previously disclosed by the Company of evaluating strategic alternatives and focusing on the Company’s rare disease therapeutic business. The Purchase Agreement includes customary terms and conditions, including an adjustment to the purchase price based on inventory and accounts receivables, and provisions that require the Company to indemnify Holdings for certain losses that it incurs as a result of a breach by the Company of its representations and warranties in the Purchase Agreement and certain other matters. Proceeds from the sale are payable to the Company as follows: (1) a $720,000 payment to the Company in cash on July 18, 2017, (2) the value of outstanding accounts receivable as it is collected by NFI following July 18, 2017, payable on a monthly basis, and (3) the value of inventory as it is sold following July 18, 2017, payable on a monthly basis. The Purchase Agreement contains customary representations and warranties of each of the parties.</w:t>
      </w:r>
    </w:p>
    <w:p>
      <w:pPr>
        <w:spacing w:after="0" w:line="7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On July 20th and 25th, 2017, the two funds managed by Sabby converted an aggregate of 200 shares of their Series B Convertible Stock into 200,000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90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the Company’s Form 10-K for the year ended December 31, 2016.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After the Merger with Essentialis, our primary focus is on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Essentialis has been developing Diazoxide Choline Controlled Release, or DCCR, tablets as a treatment for Prader Willi Syndrome, or PWS, a complex metabolic/neurobehavioral disorder.</w:t>
      </w:r>
    </w:p>
    <w:p>
      <w:pPr>
        <w:spacing w:after="0" w:line="15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continue to commercialize innovative medical devices to address unmet medical needs, although they are no longer our primary focus and will likely be monetized in the future. We sell CoSense, which measures end-tidal carbon monoxide, or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(see Note 5).</w:t>
      </w:r>
    </w:p>
    <w:p>
      <w:pPr>
        <w:spacing w:after="0" w:line="154"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Following our Merger with Essentialis, we initiated a comprehensive review of strategic alternatives for our legacy products and product candidates, including the CoSense ETCO Monitor, and our portfolio of innovative pulmonary resuscitation solutions for the neonatal market (see Note 14).</w:t>
      </w:r>
    </w:p>
    <w:p>
      <w:pPr>
        <w:spacing w:after="0" w:line="12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70" w:lineRule="exact"/>
        <w:rPr>
          <w:sz w:val="20"/>
          <w:szCs w:val="20"/>
          <w:color w:val="auto"/>
        </w:rPr>
      </w:pPr>
    </w:p>
    <w:p>
      <w:pPr>
        <w:ind w:right="20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channels (K</w:t>
      </w:r>
      <w:r>
        <w:rPr>
          <w:rFonts w:ascii="Arial" w:cs="Arial" w:eastAsia="Arial" w:hAnsi="Arial"/>
          <w:sz w:val="12"/>
          <w:szCs w:val="12"/>
          <w:color w:val="auto"/>
        </w:rPr>
        <w:t>ATP</w:t>
      </w:r>
      <w:r>
        <w:rPr>
          <w:rFonts w:ascii="Arial" w:cs="Arial" w:eastAsia="Arial" w:hAnsi="Arial"/>
          <w:sz w:val="17"/>
          <w:szCs w:val="17"/>
          <w:color w:val="auto"/>
        </w:rPr>
        <w:t>).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CHI, and in adults with insulinoma, which is a tumor of the pancreas that produces excessive amounts of insulin. Insulinoma patients tend to be older, with 50% of them over 70 years old. The average duration of use of Proglycem in CHI and insulinoma patients is 5 years and 7 years, respectively.</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w:t>
      </w:r>
    </w:p>
    <w:p>
      <w:pPr>
        <w:spacing w:after="0" w:line="166" w:lineRule="exact"/>
        <w:rPr>
          <w:sz w:val="20"/>
          <w:szCs w:val="20"/>
          <w:color w:val="auto"/>
        </w:rPr>
      </w:pPr>
    </w:p>
    <w:p>
      <w:pPr>
        <w:ind w:right="740" w:firstLine="324"/>
        <w:spacing w:after="0" w:line="223" w:lineRule="exact"/>
        <w:rPr>
          <w:sz w:val="20"/>
          <w:szCs w:val="20"/>
          <w:color w:val="auto"/>
        </w:rPr>
      </w:pPr>
      <w:r>
        <w:rPr>
          <w:rFonts w:ascii="Arial" w:cs="Arial" w:eastAsia="Arial" w:hAnsi="Arial"/>
          <w:sz w:val="18"/>
          <w:szCs w:val="18"/>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8"/>
          <w:szCs w:val="18"/>
          <w:color w:val="auto"/>
        </w:rPr>
        <w:t>‑</w:t>
      </w:r>
      <w:r>
        <w:rPr>
          <w:rFonts w:ascii="Arial" w:cs="Arial" w:eastAsia="Arial" w:hAnsi="Arial"/>
          <w:sz w:val="18"/>
          <w:szCs w:val="18"/>
          <w:color w:val="auto"/>
        </w:rPr>
        <w:t>75% of the cases due to</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04" w:right="259" w:bottom="1440" w:gutter="0" w:footer="0" w:header="0"/>
        </w:sectPr>
      </w:pPr>
    </w:p>
    <w:bookmarkStart w:id="26" w:name="page27"/>
    <w:bookmarkEnd w:id="26"/>
    <w:p>
      <w:pPr>
        <w:ind w:right="40"/>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188" w:lineRule="exact"/>
        <w:rPr>
          <w:sz w:val="20"/>
          <w:szCs w:val="20"/>
          <w:color w:val="auto"/>
        </w:rPr>
      </w:pPr>
    </w:p>
    <w:p>
      <w:pPr>
        <w:jc w:val="both"/>
        <w:ind w:right="500" w:firstLine="324"/>
        <w:spacing w:after="0" w:line="302" w:lineRule="auto"/>
        <w:rPr>
          <w:sz w:val="20"/>
          <w:szCs w:val="20"/>
          <w:color w:val="auto"/>
        </w:rPr>
      </w:pPr>
      <w:r>
        <w:rPr>
          <w:rFonts w:ascii="Arial" w:cs="Arial" w:eastAsia="Arial" w:hAnsi="Arial"/>
          <w:sz w:val="16"/>
          <w:szCs w:val="16"/>
          <w:color w:val="auto"/>
        </w:rPr>
        <w:t>In addition to hyperphagia, which is an abnormally increased appetite for food,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5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Other complications in PWS patients include greater risk for autistic symptomatology, psychosis, sleep disorders, skin-picking, distress, mood lability,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May of 2017 we had a scientific advice meeting with the FDA . The FDA supported change in hyperphagia score (without a change in weight) compared to placebo as the primary endpoint for the planned Phase III study. The dosing paradigm proposed for the Phase III study was acceptable. The FDA proposed and we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Phase III Proposed Study Design consists of:</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C601: Multi-center, randomized, double-blind, placebo-controlled, parallel arm study in patients with PWS (Phase III).</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study will consist of approximately 100 patients at 10-12 sites in the US, with a duration of 3-4 months.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Patients will be randomized in a 2:1 ratio to DCCR or placebo.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Study start expected in the fourth quarter of 2017.</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Primary endpoint is expected to be change in hyperphagia compared to placebo.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C602: Open label safety extension study. All patients completing C601 are eligible to enroll in C602.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22, 2016, we entered into an Agreement and Plan of Merger, or the Merger Agreement, with Essentialis.</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38" w:right="27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such shares of Common Stock issuable, or cash earnout payments payable, to Essentialis’ management carve-out plan participants and other service providers of Essentialis, in each case, in accordance with the terms of the Merger Agreement.</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we issued 8,333,333 shares of CommonStock for an investment of $8 million from the completion of the concurrent financing and issued 2,083,333 shares of Common Stock for an investment of $2 million from Aspire Capital.</w:t>
      </w:r>
    </w:p>
    <w:p>
      <w:pPr>
        <w:spacing w:after="0" w:line="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year ended December 31, 2016 and the six months ended June 30, 2017, we received $0.1 million and zero, respectively, from the exercise of stock options.</w:t>
      </w:r>
    </w:p>
    <w:p>
      <w:pPr>
        <w:spacing w:after="0" w:line="6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June 30, 2017, we had an accumulated deficit of $105.2 million, primarily as a result of research and development and general and administrative expenses. While we may in the future generate revenue from a variety of sources, potentially including sales of our therapeutic products, license fees, milestone payments, and research and development payments in connection with potential future strategic partnerships, we have, to date, generated revenue only from the 2013 license agreement pertaining to Serenz, $2.2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18, 2017, the Company sold NFI, its wholly owned subsidiary, for $720,000 (see Note 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that we have sufficient capital resources to sustain operations through at least the next twelve months.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accompanying unaudited consolidated condensed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6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4"/>
                <w:szCs w:val="14"/>
                <w:b w:val="1"/>
                <w:bCs w:val="1"/>
                <w:color w:val="auto"/>
                <w:w w:val="92"/>
              </w:rPr>
              <w:t>Six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Increase (decrease)</w:t>
            </w:r>
          </w:p>
        </w:tc>
      </w:tr>
      <w:tr>
        <w:trPr>
          <w:trHeight w:val="264"/>
        </w:trPr>
        <w:tc>
          <w:tcPr>
            <w:tcW w:w="5960" w:type="dxa"/>
            <w:vAlign w:val="bottom"/>
            <w:gridSpan w:val="2"/>
          </w:tcPr>
          <w:p>
            <w:pPr>
              <w:ind w:left="5660"/>
              <w:spacing w:after="0"/>
              <w:rPr>
                <w:sz w:val="20"/>
                <w:szCs w:val="20"/>
                <w:color w:val="auto"/>
              </w:rPr>
            </w:pPr>
            <w:r>
              <w:rPr>
                <w:rFonts w:ascii="Arial" w:cs="Arial" w:eastAsia="Arial" w:hAnsi="Arial"/>
                <w:sz w:val="14"/>
                <w:szCs w:val="14"/>
                <w:b w:val="1"/>
                <w:bCs w:val="1"/>
                <w:color w:val="auto"/>
                <w:w w:val="89"/>
              </w:rPr>
              <w:t>2017</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71"/>
              <w:spacing w:after="0"/>
              <w:rPr>
                <w:sz w:val="20"/>
                <w:szCs w:val="20"/>
                <w:color w:val="auto"/>
              </w:rPr>
            </w:pPr>
            <w:r>
              <w:rPr>
                <w:rFonts w:ascii="Arial" w:cs="Arial" w:eastAsia="Arial" w:hAnsi="Arial"/>
                <w:sz w:val="14"/>
                <w:szCs w:val="14"/>
                <w:b w:val="1"/>
                <w:bCs w:val="1"/>
                <w:color w:val="auto"/>
              </w:rPr>
              <w:t>Percentage</w:t>
            </w:r>
          </w:p>
        </w:tc>
      </w:tr>
      <w:tr>
        <w:trPr>
          <w:trHeight w:val="270"/>
        </w:trPr>
        <w:tc>
          <w:tcPr>
            <w:tcW w:w="50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58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bottom w:val="single" w:sz="8" w:color="auto"/>
            </w:tcBorders>
            <w:shd w:val="clear" w:color="auto" w:fill="CCEEFF"/>
          </w:tcPr>
          <w:p>
            <w:pPr>
              <w:spacing w:after="0"/>
              <w:rPr>
                <w:sz w:val="23"/>
                <w:szCs w:val="23"/>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88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Gross loss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(4,785)</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(5,323)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fair value of warrants</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Cease-use expense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3,244 %</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 from continuing operations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(5,486)</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(4,340)</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(1,370)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(2,362)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(6,856)</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(6,702)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Total revenue in the six months ended June 30, 2017 increased 100% as compared to the six months ended June 30, 2016. It was primarily due the increase of $2 thousand of product revenue from the sales of Serenz.</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Total cost of product revenue represented costs associated with manufacture, shipping costs and labor associated with reworking the packaging of Serenz. On a per unit basis, given the low number of units sold, the cost of product revenue was greater than the sales price per unit in both the six months ended June 30, 2017 and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Research and development expense in the six months ended June 30, 2017 decreased $117 thousand as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The decrease was primarily due to reduction in headcount.</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904"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Sales and marketing expense, which consisted primarily of costs incurred in the United Kingdom, in the six months ended June 30, 2017 decreased $333 thousand over the six months ended June 30, 2016 primarily due to the cessation of sales of Serenz in the United Kingdom.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and administrative expense in the six months ended June 30, 2017 decreased $59 thousand as compared to the six months ended June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a decrease in headcount.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Interest and other expense, net in the six months ended June 30, 2017 increased $1.7 million as compared to the six months ended June 30, 2016. The change in the fair value of the warrants decreased from an other income of $1.1 million in the six months ended June 30, 2016 to $0.1 million in other expense in the six months ended June 30, 2017. The value of commitment shares issued to Aspire Capital was approximately $0.6 million during the six months ended June 30, 2017 (see Note 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2"/>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Increase (decrease)</w:t>
            </w:r>
          </w:p>
        </w:tc>
      </w:tr>
      <w:tr>
        <w:trPr>
          <w:trHeight w:val="264"/>
        </w:trPr>
        <w:tc>
          <w:tcPr>
            <w:tcW w:w="5960" w:type="dxa"/>
            <w:vAlign w:val="bottom"/>
            <w:gridSpan w:val="2"/>
          </w:tcPr>
          <w:p>
            <w:pPr>
              <w:ind w:left="5660"/>
              <w:spacing w:after="0"/>
              <w:rPr>
                <w:sz w:val="20"/>
                <w:szCs w:val="20"/>
                <w:color w:val="auto"/>
              </w:rPr>
            </w:pPr>
            <w:r>
              <w:rPr>
                <w:rFonts w:ascii="Arial" w:cs="Arial" w:eastAsia="Arial" w:hAnsi="Arial"/>
                <w:sz w:val="14"/>
                <w:szCs w:val="14"/>
                <w:b w:val="1"/>
                <w:bCs w:val="1"/>
                <w:color w:val="auto"/>
                <w:w w:val="89"/>
              </w:rPr>
              <w:t>2017</w:t>
            </w: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71"/>
              <w:spacing w:after="0"/>
              <w:rPr>
                <w:sz w:val="20"/>
                <w:szCs w:val="20"/>
                <w:color w:val="auto"/>
              </w:rPr>
            </w:pPr>
            <w:r>
              <w:rPr>
                <w:rFonts w:ascii="Arial" w:cs="Arial" w:eastAsia="Arial" w:hAnsi="Arial"/>
                <w:sz w:val="14"/>
                <w:szCs w:val="14"/>
                <w:b w:val="1"/>
                <w:bCs w:val="1"/>
                <w:color w:val="auto"/>
              </w:rPr>
              <w:t>Percentage</w:t>
            </w:r>
          </w:p>
        </w:tc>
      </w:tr>
      <w:tr>
        <w:trPr>
          <w:trHeight w:val="270"/>
        </w:trPr>
        <w:tc>
          <w:tcPr>
            <w:tcW w:w="508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0" w:type="dxa"/>
            <w:vAlign w:val="bottom"/>
            <w:tcBorders>
              <w:top w:val="single" w:sz="8" w:color="auto"/>
              <w:bottom w:val="single" w:sz="8" w:color="auto"/>
            </w:tcBorders>
            <w:shd w:val="clear" w:color="auto" w:fill="CCEEFF"/>
          </w:tcPr>
          <w:p>
            <w:pPr>
              <w:spacing w:after="0"/>
              <w:rPr>
                <w:sz w:val="23"/>
                <w:szCs w:val="23"/>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88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Gross loss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5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96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(3,210)</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(2,295)</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fair value of warrants</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58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(3,239)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(2,367)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 from discontinued operations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(1,146)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(3,966)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Total revenue in the three months ended June 30, 2017 decreased 100% as compared to the three months ended June 30, 2016 which was primarily due to the decrease of the sales of Serenz.</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Total cost of product revenue represented costs associated with manufacture, shipping costs and labor associated with reworking the packaging of Serenz. On a per unit basis, given the low number of units sold, the cost of product revenue was greater than the sales price per unit in both the three months ended June 30, 2017 and the three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Research and development expense in the three months ended June 30, 2017 increased $316 thousand as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The increase was primarily due to an increase of $180 thousand related to advancing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DCCR clinical activities from the completed merger with Essentialis in March 2017 and $130 thousand in the continued commercialization of Serenz during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Sales and marketing expense, which consisted primarily of costs incurred in the United Kingdom, in the three months ended June 30, 2017 decreased $165 thousand over the three months ended June 30, 2016 primarily due to the cessation of sales of Serenz in the United Kingdom.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and administrative expense in the three months ended June 30, 2017 increased $772 thousand as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The increase was primarily due to $465 thousand of amortization from the acquisition of intangibles from the completed Essentialis merger in March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and an increase of $250 thousand in stock compensation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160" w:firstLine="432"/>
        <w:spacing w:after="0" w:line="258" w:lineRule="auto"/>
        <w:rPr>
          <w:sz w:val="20"/>
          <w:szCs w:val="20"/>
          <w:color w:val="auto"/>
        </w:rPr>
      </w:pPr>
      <w:r>
        <w:rPr>
          <w:rFonts w:ascii="Arial" w:cs="Arial" w:eastAsia="Arial" w:hAnsi="Arial"/>
          <w:sz w:val="18"/>
          <w:szCs w:val="18"/>
          <w:color w:val="auto"/>
        </w:rPr>
        <w:t>Interest and other expense, net in the three months ended June 30, 2017 decreased $48 thousand as compared to the three months ended June 30, 2016 which was primarily due to the change in the fair value of the warrants.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bottom w:val="single" w:sz="8" w:color="auto"/>
            </w:tcBorders>
            <w:gridSpan w:val="4"/>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356"/>
              <w:spacing w:after="0"/>
              <w:rPr>
                <w:sz w:val="20"/>
                <w:szCs w:val="20"/>
                <w:color w:val="auto"/>
              </w:rPr>
            </w:pPr>
            <w:r>
              <w:rPr>
                <w:rFonts w:ascii="Arial" w:cs="Arial" w:eastAsia="Arial" w:hAnsi="Arial"/>
                <w:sz w:val="18"/>
                <w:szCs w:val="18"/>
                <w:color w:val="auto"/>
                <w:w w:val="99"/>
              </w:rPr>
              <w:t>(in thousands)</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continuing 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(3,519)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(5,953)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discontinued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(1,428)</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(2,070)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(4,947)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(8,023)</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continuing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discontinued investing activities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continuing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discontinued financing activities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Continuing operations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(1,433)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(2,026)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(2,993)</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six months ended June 30, 2017, net cash used in operating activities was $3.5 million, which was primarily due to the use of funds for operations, and adjustments for non-cash items including the $0.6 million in non-cash expense in issuing shares to Aspire Capital, $0.6 million in depreciation and amortization, $0.6 million of stock based compensation expense, $0.2 million change in fair value of warrants and an increase of $0.2 million in inventory.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2016, net cash used in operating activities was $6.0 million, which was primarily due to the use of funds for operations, including costs incurred to launch Serenz in the E.U., as well as adjustments for non-</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92" w:right="239" w:bottom="1440" w:gutter="0" w:footer="0" w:header="0"/>
          <w:type w:val="continuous"/>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cash items including the $1.1 million change in fair value of warrants and $0.4 million of stock based compensation expense, offset by increases in accounts payable and accrued liabilities of $0.4 million and an increase in inventory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During the six months ended June 30, 2017, we used $227 thousand in investing activities. Cash used in investing activities in the six months ended June 30, 2017 consisted primarily of the costs paiinvestment in capital equipment.</w:t>
      </w:r>
    </w:p>
    <w:p>
      <w:pPr>
        <w:spacing w:after="0" w:line="170"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During the six months ended June 30, 2016, we used $20 thousand in investing activities. Cash used in investing activities in the six months ended June 30, 2016 consisted primarily of costs paid related to Essentialis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During the six months ended June 30, 2017 cash provided by financing activities was $10 million as a result of the completion of the concurrent financing associated with the Essentialis merger.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six months ended June 30, 2016 cash provided by financing activities was $5.1 million as a result of the second close under the 2015 Sabby Purchase Agreement.</w:t>
      </w:r>
    </w:p>
    <w:p>
      <w:pPr>
        <w:spacing w:after="0" w:line="6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8,333,333 shares of common stock for an investment of $8 million from the completion of the concurrent financing and issued 2,083,333 shares of common stock for an investment of $2 million from Aspire Capital.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we had cash and cash equivalents of approximately $7.5 million.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do not believe that we have sufficient capital resources to sustain operations through at least the next twelve months from the date of this filing.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for the six months ended June 30, 2017 totaled $1.5 million compared to $2.1 million for the six months ended June 30, 2016 representing a decrease of $0.6 million. The decrease was primarily due to the less operating activities for the discontinued operations which resulted in lower cash requirements during the first half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provided by investing activities for the six months ended June 30, 2017 totaled $5 thousand compared to net cash used of $19 thousand for the six months ended June 30, 2016 representing a decrease of $14 thousand. The decrease was primarily due to the less capital expenditure for the discontinued operations which resulted in lower cash requirements during the first half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related to discontinued operations during either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84" w:right="319" w:bottom="1440" w:gutter="0" w:footer="0" w:header="0"/>
        </w:sectPr>
      </w:pPr>
    </w:p>
    <w:bookmarkStart w:id="32" w:name="page33"/>
    <w:bookmarkEnd w:id="32"/>
    <w:p>
      <w:pPr>
        <w:spacing w:after="0"/>
        <w:tabs>
          <w:tab w:leader="none" w:pos="25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six month period ended June 30, 2017.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904" w:right="419" w:bottom="1440" w:gutter="0" w:footer="0" w:header="0"/>
        </w:sectPr>
      </w:pPr>
    </w:p>
    <w:bookmarkStart w:id="33" w:name="page34"/>
    <w:bookmarkEnd w:id="33"/>
    <w:p>
      <w:pPr>
        <w:spacing w:after="0"/>
        <w:tabs>
          <w:tab w:leader="none" w:pos="25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62"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04"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9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6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second fiscal quarter ended June 30, 2017 that have materially affected, or are reasonably likely to materially affect, our internal control over financial reporting.</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904" w:right="259" w:bottom="1440" w:gutter="0" w:footer="0" w:header="0"/>
        </w:sectPr>
      </w:pPr>
    </w:p>
    <w:bookmarkStart w:id="34" w:name="page35"/>
    <w:bookmarkEnd w:id="34"/>
    <w:p>
      <w:pPr>
        <w:spacing w:after="0"/>
        <w:tabs>
          <w:tab w:leader="none" w:pos="25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On February 28, 2017, we settled the Lawsuit by making certain supplemental disclosures in a Current Report on Form 8-K filed with the SEC on February 28, 2017 in connection with the plaintiff’s agreement to voluntarily dismiss plaintiff's claims in the Lawsuit. We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904" w:right="25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together with all the of the other information in this Annual Report on Form 10-K,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We have a limited commercialization history and have incurred significant losses since our inception, and we anticipate that we will continue to incur substantial losses for the foreseeable future. We have generated limited commercial sales to date, which, together with our limited operating history, makes it difficult to evaluate our business and assess our future viability.</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 developer of therapeutics and medical devices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medical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June 30, 2017, we had an accumulated deficit of $105.2 million.</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launching, selling and supporting our products.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find suitable global and U.S. distribution partners to help us market, sell and distribute our commercial products in other markets;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3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796" w:right="299" w:bottom="1440" w:gutter="0" w:footer="0" w:header="0"/>
        </w:sectPr>
      </w:pPr>
    </w:p>
    <w:bookmarkStart w:id="36" w:name="page37"/>
    <w:bookmarkEnd w:id="36"/>
    <w:p>
      <w:pPr>
        <w:jc w:val="both"/>
        <w:ind w:right="220"/>
        <w:spacing w:after="0" w:line="264" w:lineRule="auto"/>
        <w:rPr>
          <w:sz w:val="20"/>
          <w:szCs w:val="20"/>
          <w:color w:val="auto"/>
        </w:rPr>
      </w:pPr>
      <w:r>
        <w:rPr>
          <w:rFonts w:ascii="Arial" w:cs="Arial" w:eastAsia="Arial" w:hAnsi="Arial"/>
          <w:sz w:val="18"/>
          <w:szCs w:val="18"/>
          <w:color w:val="auto"/>
        </w:rPr>
        <w:t>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if applicable, globally, of any of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33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800" w:right="29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As of June 30, 2017, we have incurred significant operating losses since inception and continue to generate losses from operations and has an accumulated deficit of $105.2 million. These matters raise substantial doubt about our ability to continue as a going concern.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Commercial results have been limited and we have not generated significant revenues. We cannot assure our stockholders that our revenues will be sufficient to fund its operations. If adequate funds are not available, we may be required to curtail our operations significantly or to obtain funds through entering into arrangements with collaborative partners or others that may require us to relinquish rights to certain of our technologies or products that we would not otherwise relinquish.</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June 30, 2017, our cash balance was $7.5 million. We intend to raise additional capital, either through debt or equity financings to achieve its business plan objectives.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7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extent to which we utilize the 2017 Aspire Purchase Agreement with Aspire Capital as a source of funding will depend on a number of factors, including the prevailing market price of our common stock, the volume of trading in our common stock and the extent to which we are able to secure funds from other sources. The number of shares that we may sell to Aspire Capital under the 2017 Aspire Purchase Agreement on any given day and during the term of the agreement is limited. Additionally, we and Aspire Capital may not effect any sales of shares of our common stock under the 2017 Aspire Purchase Agreement during the continuance of an event of default or on any trading day that the closing sale price of our common stock is less than $0.25 per share. Even if we are able to access the full $17.0 million under the 2017 Aspire Purchase Agreement, we will still need additional capital to fully implement our business, operating and development plans.</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ind w:right="200" w:firstLine="324"/>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356"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81"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the Merger with Essentialis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Completion of the Merger and concurrent financing transactions, which happened on March 7, 2017, resulted in the issuance of a significant amount of additional common stock, which could depress the trading price of our common stock.</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Merger and concurrent financing resulted in the issuance of a significant amount of our common stock. The common stock issued in the Merger and concurrent financing represents an increase in the outstanding our common stock as of the date of the completion of the Merger of up to approximately 172% of the common stock currently outstanding. The issuance of such a significant amount of our common stock could depress the trading price of our common stock and you may lose all or a part of your investment.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00" w:right="259" w:bottom="1440" w:gutter="0" w:footer="0" w:header="0"/>
        </w:sectPr>
      </w:pPr>
    </w:p>
    <w:bookmarkStart w:id="39" w:name="page40"/>
    <w:bookmarkEnd w:id="39"/>
    <w:p>
      <w:pPr>
        <w:ind w:right="74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will maintain the ability to control or significantly influence all matters submitted to stockholders for approval and under certain circumstances may have control over key decision making.</w:t>
      </w:r>
    </w:p>
    <w:p>
      <w:pPr>
        <w:spacing w:after="0" w:line="14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executive officers, directors and principal stockholders own a majority of our outstanding common stock. Entities associated with Vivo Ventures, Forward Ventures, Technology Partners and our Chairman, Ernest Mario, as of June 30, 2017, own approximately 58.9%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key employees could diminish the benefits of the Merger and concurrent financing transactions.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Continued success will depend in part on the retention of key personnel at Essentialis, including senior management. There can be no assurances that we will be able to retain Essentialis’s key personnel. In addition, no assurance can be given that after the transactions, that we will be able to attract or retain key management personnel and other key employees to the same extent that we or Essentialis had been previously able to attract or retain their own employees.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now be primarily a clinical-stage company with no approved products, which makes assessment of our future viability difficult.</w:t>
      </w:r>
    </w:p>
    <w:p>
      <w:pPr>
        <w:spacing w:after="0" w:line="23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will now be primarily a clinical-stage company, with a relatively limited operating history upon and with no approved therapeutic products or revenues from the sale of therapeutic products. Essentialis’s operations prior to the Merger had been limited to organizing, staffing and financing, applying for patent rights, undertaking clinical trials of its primary product candidate, DCCR, and engaging in research and development. Prior to the Merger, Essentialis had not yet demonstrated an ability to obtain regulatory approval, manufacture commercial-scale products, or conduct the sales and marketing activities necessary for successful product commercialization. As a result, there is limited information about Essentialis for investors to use when assessing our future viability as a combined company and our potential to successfully develop product candidates, conduct clinical trials, manufacture our products on a commercial scale, obtain regulatory approval and profitably commercialize any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now be significantly dependent upon the success of DCCR, our sole therapeutic product candidate.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Prior to the Merger, Essentialis had invested, and following the Merger, we expect to continue to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for DCCR in the E.U. and U.S.;</w:t>
      </w:r>
    </w:p>
    <w:p>
      <w:pPr>
        <w:spacing w:after="0" w:line="117" w:lineRule="exact"/>
        <w:rPr>
          <w:rFonts w:ascii="Arial" w:cs="Arial" w:eastAsia="Arial" w:hAnsi="Arial"/>
          <w:sz w:val="18"/>
          <w:szCs w:val="18"/>
          <w:color w:val="auto"/>
        </w:rPr>
      </w:pPr>
    </w:p>
    <w:p>
      <w:pPr>
        <w:ind w:left="1300" w:right="7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 party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00" w:right="259" w:bottom="1440" w:gutter="0" w:footer="0" w:header="0"/>
        </w:sectPr>
      </w:pPr>
    </w:p>
    <w:bookmarkStart w:id="40" w:name="page41"/>
    <w:bookmarkEnd w:id="40"/>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33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and demonstrating efficacy with statistical significance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manufacturing processes or facilities are insufficient to support approval. As such, we may need to conduct more clinical trials than we currently anticipate and upgrade our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92"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0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1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34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ind w:right="240" w:firstLine="324"/>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78"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0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7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preclinical, toxicology, or other in vivo or in vitro data to support the initiation or continuation of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or return for post-treatment follow-up;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appropriate for use in clinical trials;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800" w:right="299" w:bottom="1440" w:gutter="0" w:footer="0" w:header="0"/>
        </w:sectPr>
      </w:pPr>
    </w:p>
    <w:bookmarkStart w:id="42" w:name="page43"/>
    <w:bookmarkEnd w:id="42"/>
    <w:p>
      <w:pPr>
        <w:ind w:firstLine="324"/>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DCCR or other potential product candidates following the merger. The denial or delay of any such approval would delay commercialization and have a material adverse effect on our potential to generate revenue, our business and our results of operations.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5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2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43" w:name="page44"/>
    <w:bookmarkEnd w:id="43"/>
    <w:p>
      <w:pPr>
        <w:ind w:right="180"/>
        <w:spacing w:after="0" w:line="277" w:lineRule="auto"/>
        <w:rPr>
          <w:sz w:val="20"/>
          <w:szCs w:val="20"/>
          <w:color w:val="auto"/>
        </w:rPr>
      </w:pPr>
      <w:r>
        <w:rPr>
          <w:rFonts w:ascii="Arial" w:cs="Arial" w:eastAsia="Arial" w:hAnsi="Arial"/>
          <w:sz w:val="18"/>
          <w:szCs w:val="18"/>
          <w:b w:val="1"/>
          <w:bCs w:val="1"/>
          <w:i w:val="1"/>
          <w:iCs w:val="1"/>
          <w:color w:val="auto"/>
        </w:rPr>
        <w:t>Even if DCCR receives marketing approval, it may fail to achieve the degree of market acceptance by physicians, patients, third party payors and others in the medical community necessary for commercial success.</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If DCCR receives marketing approval, it may nonetheless fail to gain sufficient market acceptance by physicians, patients, third party payors and others in the medical community. If DCCR does not achieve an adequate level of acceptance, we may not generate significant product revenues or any profits from operations. The degree of market acceptance of our product candidates, if approved for commercial sale, will depend on a number of factors, including:</w:t>
      </w:r>
    </w:p>
    <w:p>
      <w:pPr>
        <w:spacing w:after="0" w:line="3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offer our product candidates for sale at competitive prices;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sufficient third party coverage or reimbursement.</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ability to negotiate, secure and maintain third party coverage and reimbursement may be affected by political, economic and regulatory developments in the U.S., E.U., and other jurisdictions. Governments continue to impose cost containment measures, and third party payors are increasingly challenging prices charged for medicines and examining their cost effectiveness, in addition to their safety and efficacy. These and other similar developments could significantly limit the degree of market acceptance of DCCR or any of our other potential product candidates that receive marketing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 following the completion of the Merger.</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success depends heavily on the successful commercialization of our CoSense device to aid in diagnosis of neonatal hemolysis. If we are unable to sell sufficient numbers of our products, our revenues may be insufficient to achieve profitability.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will derive substantially all of our revenues from sales of CoSense devices and consumables globally for the foreseeable future. If we cannot generate sufficient revenues from sales, we may be unable to finance our continuing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efforts to launch CoSense into the neonatology marketplace and Serenz are subject to a variety of risks, any of which may prevent or limit sales of CoSense. Furthermore, commercialization of products into the medical marketplace is subject to a variety of regulations regarding the manner in which potential customers may be engaged, the manner in which products may be lawfully advertised, and the claims that can be made for the benefits of the product, among other things. Our lack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1" w:right="259" w:bottom="1440" w:gutter="0" w:footer="0" w:header="0"/>
        </w:sectPr>
      </w:pPr>
    </w:p>
    <w:bookmarkStart w:id="44" w:name="page45"/>
    <w:bookmarkEnd w:id="44"/>
    <w:p>
      <w:pPr>
        <w:ind w:right="200"/>
        <w:spacing w:after="0" w:line="277" w:lineRule="auto"/>
        <w:rPr>
          <w:sz w:val="20"/>
          <w:szCs w:val="20"/>
          <w:color w:val="auto"/>
        </w:rPr>
      </w:pPr>
      <w:r>
        <w:rPr>
          <w:rFonts w:ascii="Arial" w:cs="Arial" w:eastAsia="Arial" w:hAnsi="Arial"/>
          <w:sz w:val="18"/>
          <w:szCs w:val="18"/>
          <w:color w:val="auto"/>
        </w:rPr>
        <w:t>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70" w:lineRule="exact"/>
        <w:rPr>
          <w:sz w:val="20"/>
          <w:szCs w:val="20"/>
          <w:color w:val="auto"/>
        </w:rPr>
      </w:pPr>
    </w:p>
    <w:p>
      <w:pPr>
        <w:ind w:left="1300" w:right="3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 patient care and treatment decisions; and</w:t>
      </w:r>
    </w:p>
    <w:p>
      <w:pPr>
        <w:spacing w:after="0" w:line="62"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payors will cover and pay for such tests and, if so, whether they will adequately reimburse us.</w:t>
      </w:r>
    </w:p>
    <w:p>
      <w:pPr>
        <w:spacing w:after="0" w:line="27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2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CoSense justifies payment for the device and consumables at adequate pricing levels. We need to hire additional commercial, scientific, technical and other personnel to support this process.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although treatment guidelines recommend ETCO testing, physicians are free to practice in accordance with their own judgment, and may not adopt ETCO testing to the extent recommended by the guidelines, or at all. While the current AAP guidelines recommend ETCO measurement be performed to assess the presence of hemolysis in neonates requiring phototherapy, neonates unresponsive to phototherapy or readmitted for phototherapy, and neonates with bilirubin levels approaching exchange transfusion levels. AAP guidelines are updated approximately every ten years, and since the current guidelines were published in 2004, these guidelines may change in the near term.</w:t>
      </w:r>
    </w:p>
    <w:p>
      <w:pPr>
        <w:spacing w:after="0" w:line="173"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If we cannot convince medical practitioners to order and pay for our current test and our planned tests, and if we cannot convince institutions to pay for our current test and our planned tests, we will likely be unable to create demand in sufficient volume for us to achieve sustained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800" w:right="29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reputation and the clinical usefulness of such tests. Reduced sales might result, and we may also be subject to legal claims arising from any defects or errors.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compete successfully with other testing modalities, we may be unable to increase or sustain our revenues or achieve and sustain profitability.</w:t>
      </w:r>
    </w:p>
    <w:p>
      <w:pPr>
        <w:spacing w:after="0" w:line="260"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principal competition for CoSense comes from mainstream methods, used by physicians for many years, which focus on invasive blood tests such as the Coombs test, blood counts and serum bilirubin. In addition, transcutaneous monitors of bilirubin also create a competitive threat. It may be difficult to change the methods or behavior of neonatologists and pediatricians to incorporate CoSense in their practices in conjunction with, or instead of, blood tests.</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several larger companies could potentially compete with our current and planned products. These include General Electric Healthcare, Fischer &amp; Paykel, Philips, Draeger, Covidien, Masimo, Natus Medical, and CAS Medical. Some of our present and potential competitors have widespread brand recognition and substantially greater financial and technical resources and development, production and marketing capabilities than we do. Others may develop lower-priced tests that payors and physicians could view as functionally equivalent to our current or planned tests, which could force us to lower the list price of our tests. This would impact our operating margins and our ability to achieve and maintain profitability. If we cannot compete successfully against current or future competitors, we may be unable to increase or create market acceptance and sales of our current or planned tests, which could prevent us from increasing or sustaining our revenues or achieving or sustaining profitability.</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300" w:right="5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300" w:right="80" w:hanging="644"/>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300" w:right="24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300" w:right="9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6" w:name="page47"/>
    <w:bookmarkEnd w:id="46"/>
    <w:p>
      <w:pPr>
        <w:ind w:right="140" w:firstLine="324"/>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3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currently have limited sales and distribution personnel, and limited marketing capabilities. If we are unable to develop a sales and marketing and distribution capability on our own or through collaborations or other marketing partners, we will not be successful in commercializing our products, or other planned products.</w:t>
      </w:r>
    </w:p>
    <w:p>
      <w:pPr>
        <w:spacing w:after="0" w:line="181"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achieve commercial success for any approved product, we must either develop a sales and marketing infrastructure or outsource these functions to third parties. We also may not be successful entering into arrangements with third parties to sell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800" w:right="27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01" w:right="27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260"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There are several large pharmaceutical and biotechnology companies that currently market and sell AR therapies to our target patient group. These companies may reduce prices for their competing drugs in an effort to gain or retain market share, and undermine the value our products might otherwise be able to offer to payors.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the U.S., while we expect payments for CoSense to be part of a diagnosis-related group, or DRG (also known as a bundled payment), we may have to obtain reimbursement for it from payors directly. There may be significant delays in obtaining reimbursement for CoSense,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U.S. Third-party payors often rely upon Medicare coverage policy and payment limitations in setting their own reimbursement policies.</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inability to promptly obtain coverage and profitable payment rates from both government funded and private payors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800" w:right="259" w:bottom="1440" w:gutter="0" w:footer="0" w:header="0"/>
        </w:sectPr>
      </w:pPr>
    </w:p>
    <w:bookmarkStart w:id="49" w:name="page50"/>
    <w:bookmarkEnd w:id="49"/>
    <w:p>
      <w:pPr>
        <w:ind w:right="20"/>
        <w:spacing w:after="0" w:line="259" w:lineRule="auto"/>
        <w:rPr>
          <w:sz w:val="20"/>
          <w:szCs w:val="20"/>
          <w:color w:val="auto"/>
        </w:rPr>
      </w:pPr>
      <w:r>
        <w:rPr>
          <w:rFonts w:ascii="Arial" w:cs="Arial" w:eastAsia="Arial" w:hAnsi="Arial"/>
          <w:sz w:val="18"/>
          <w:szCs w:val="18"/>
          <w:color w:val="auto"/>
        </w:rPr>
        <w:t>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CoSense, if any, is unavailable or limited in scope or amount or if pricing is set at unsatisfactory levels.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4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6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33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David D. O’Toole, our Senior Vice President, Chief Financial Officer, Neil Cowen, our Senior Vice President of Drug Development, Anthony Wondka, our Senior Vice President of Research and Development and Kristen Yen, our Vice President of Clinical.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Chief Executive Officer, Chief Financial Officer, Vice President of Clinical &amp; Regulatory, Senior Vice President of Drug Development and Senior Vice President of Research and Development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6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50" w:name="page51"/>
    <w:bookmarkEnd w:id="50"/>
    <w:p>
      <w:pPr>
        <w:ind w:right="40" w:firstLine="324"/>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and medical device businesses, we may not succeed in attracting or retaining the personnel we require to continue and grow our operations.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Serenz devices, CoSense monitors and consumables, as well as our planned products. Any problems experienced by these suppliers could result in a delay or interruption of their supply to us, and as a result, we may face delays in the commercialization of our current products or the development and commercialization of planned products.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perform final assembly of CoSense monitors and consumables at our facility in Redwood City, CA. We believe that we currently have adequate manufacturing capacity. If demand for our current products and our planned products increases significantly, we will need to either expand our manufacturing capabilities or outsource to other manufacturers. We currently have limited experience in commercial-scale manufacturing of our planned products, and we currently rely upon third-party contract manufacturing organizations to manufacture and supply components for our products.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instruments or consumables while finding another acceptable supplier, which could impact our results of operations. The changes could also result in increased costs associated with qualifying the new materials or reagents and in increased operating costs. Further, any prolonged disruption in a supplier’s operations could have a significant negative impact on our ability to manufacture and deliver products in a timely manner. Some of the components used in our products are currently sole-sourced, and substitutes for these components might not be able to be obtained easily or may require substantial design or manufacturing modifications. Any significant problem experienced by one of our sole source suppliers may result in a delay or interruption in the supply of components to us because the number of third-party manufacturers with the necessary manufacturing and regulatory expertise and facilities is limited. Any delay or interruption would likely lead to a delay or interruption in our manufacturing operations. The inclusion of substitute components must meet our product specifications and could require us to qualify the new supplier with the appropriate government regulatory authorities. It could be expensive and take a significant amount of time to arrange for alternative suppliers, which could have a material adverse effect on our business. New manufacturers of any planned product would be required to qualify under applicable regulatory requirements and would need to have sufficient rights under applicable intellectual property laws to the method of manufacturing the product. Obtaining the necessary FDA approvals or other qualifications under applicable regulatory requirements and ensuring non-infringement of third-party intellectual property rights could result in a significant interruption of supply and could require the new manufacturer to bear significant additional costs that may be passed on to us.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part of our business strategy, we may pursue acquisitions or licenses of assets or acquisitions of businesses, including the Merger with Essentialis pursuant to the Merger Agreement. We completed the Merger with Essentialis on March 7, 2017, and concurrently with the closing of the Merger, completed financing transaction with total aggregate proceeds of approximately $10 million from current stockholders and new investors.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1" w:name="page52"/>
    <w:bookmarkEnd w:id="51"/>
    <w:p>
      <w:pPr>
        <w:ind w:right="440"/>
        <w:spacing w:after="0" w:line="277" w:lineRule="auto"/>
        <w:rPr>
          <w:sz w:val="20"/>
          <w:szCs w:val="20"/>
          <w:color w:val="auto"/>
        </w:rPr>
      </w:pPr>
      <w:r>
        <w:rPr>
          <w:rFonts w:ascii="Arial" w:cs="Arial" w:eastAsia="Arial" w:hAnsi="Arial"/>
          <w:sz w:val="18"/>
          <w:szCs w:val="18"/>
          <w:color w:val="auto"/>
        </w:rPr>
        <w:t>our existing business. We may experience losses related to investments in other companies, which could have a material negative effect on our results of operations.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have distribution partners for CoSense in China, India, Qatar and Saudi Arabia. Our business strategy contemplates international expansion, including partnering with medical device distributors, and introducing our current products and other planned products outside the U.S. Doing business internationally involves a number of risks, including:</w:t>
      </w:r>
    </w:p>
    <w:p>
      <w:pPr>
        <w:spacing w:after="0" w:line="73" w:lineRule="exact"/>
        <w:rPr>
          <w:sz w:val="20"/>
          <w:szCs w:val="20"/>
          <w:color w:val="auto"/>
        </w:rPr>
      </w:pPr>
    </w:p>
    <w:p>
      <w:pPr>
        <w:ind w:left="1300" w:right="4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self-pay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6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accuracy of CoSense depends, in part, on the function of software run by the microprocessors embedded in the device. This software is proprietary to us. While we have made efforts to test the software extensively, it is potentially subject to malfunction. It may be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CoSense monitor also stores test results, a feature which assists medical professionals in interfacing the device with electronic medical records systems. There are a number of state, federal and international laws protecting the privacy and security of health information and personal data. As part of the American Recovery and Reinvestment Act 2009, or ARRA, Congress amended the privacy and security provisions of the Health Insurance Portability and Accountability Act of 1996, or HIPAA. HIPAA imposes limitations on the use and disclosure of an individual’s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t>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may enter into additional distribution or commercialization agreements with third parties with respect to our products. Our likely collaborators for any distribution, marketing, licensing or other collaboration arrangements include large and mid-size medical device and diagnostic companies, regional and national medical device and diagnostic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300" w:right="10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57" w:lineRule="exact"/>
        <w:rPr>
          <w:rFonts w:ascii="Arial" w:cs="Arial" w:eastAsia="Arial" w:hAnsi="Arial"/>
          <w:sz w:val="17"/>
          <w:szCs w:val="17"/>
          <w:color w:val="auto"/>
        </w:rPr>
      </w:pPr>
    </w:p>
    <w:p>
      <w:pPr>
        <w:ind w:left="1300" w:right="12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iterations of a product for clinical testing;</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300" w:right="56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300" w:right="8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38" w:lineRule="exact"/>
        <w:rPr>
          <w:rFonts w:ascii="Arial" w:cs="Arial" w:eastAsia="Arial" w:hAnsi="Arial"/>
          <w:sz w:val="17"/>
          <w:szCs w:val="17"/>
          <w:color w:val="auto"/>
        </w:rPr>
      </w:pPr>
    </w:p>
    <w:p>
      <w:pPr>
        <w:ind w:left="1300" w:right="8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00" w:right="259" w:bottom="1440" w:gutter="0" w:footer="0" w:header="0"/>
        </w:sectPr>
      </w:pPr>
    </w:p>
    <w:bookmarkStart w:id="53" w:name="page54"/>
    <w:bookmarkEnd w:id="53"/>
    <w:p>
      <w:pPr>
        <w:ind w:right="240" w:firstLine="324"/>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June 30, 2017, we had 20 employees and 3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33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device approvals in foreign countries;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7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rely on third parties, such as contract research organizations, or CROs, clinical data management organizations, medical institutions and clinical investigators,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w:t>
      </w:r>
    </w:p>
    <w:p>
      <w:pPr>
        <w:sectPr>
          <w:pgSz w:w="11900" w:h="16838" w:orient="portrait"/>
          <w:cols w:equalWidth="0" w:num="1">
            <w:col w:w="11400"/>
          </w:cols>
          <w:pgMar w:left="240" w:top="800"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800" w:right="259" w:bottom="1440" w:gutter="0" w:footer="0" w:header="0"/>
          <w:type w:val="continuous"/>
        </w:sectPr>
      </w:pPr>
    </w:p>
    <w:bookmarkStart w:id="54" w:name="page55"/>
    <w:bookmarkEnd w:id="54"/>
    <w:p>
      <w:pPr>
        <w:ind w:right="20"/>
        <w:spacing w:after="0" w:line="293" w:lineRule="auto"/>
        <w:rPr>
          <w:sz w:val="20"/>
          <w:szCs w:val="20"/>
          <w:color w:val="auto"/>
        </w:rPr>
      </w:pPr>
      <w:r>
        <w:rPr>
          <w:rFonts w:ascii="Arial" w:cs="Arial" w:eastAsia="Arial" w:hAnsi="Arial"/>
          <w:sz w:val="16"/>
          <w:szCs w:val="16"/>
          <w:color w:val="auto"/>
        </w:rPr>
        <w:t>plan and protocols for the study. Moreover, the FDA requires us to comply with regulations and with standards, commonly referred to as good clinical practices, for conducting, recording and reporting the results of clinical studies to assure that data and reported results are credible and accurate and that the rights, integrity and confidentiality of patients in clinical studies are protected.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where our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Patent litigation is prevalent in the medical device and diagnostic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5" w:name="page56"/>
    <w:bookmarkEnd w:id="55"/>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170"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12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patent position of medical device and diagnostic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800" w:right="259" w:bottom="1440" w:gutter="0" w:footer="0" w:header="0"/>
        </w:sectPr>
      </w:pPr>
    </w:p>
    <w:bookmarkStart w:id="56" w:name="page57"/>
    <w:bookmarkEnd w:id="56"/>
    <w:p>
      <w:pPr>
        <w:ind w:right="20"/>
        <w:spacing w:after="0" w:line="291" w:lineRule="auto"/>
        <w:rPr>
          <w:sz w:val="20"/>
          <w:szCs w:val="20"/>
          <w:color w:val="auto"/>
        </w:rPr>
      </w:pPr>
      <w:r>
        <w:rPr>
          <w:rFonts w:ascii="Arial" w:cs="Arial" w:eastAsia="Arial" w:hAnsi="Arial"/>
          <w:sz w:val="16"/>
          <w:szCs w:val="16"/>
          <w:color w:val="auto"/>
        </w:rPr>
        <w:t>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6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57" w:name="page58"/>
    <w:bookmarkEnd w:id="57"/>
    <w:p>
      <w:pPr>
        <w:ind w:left="1300" w:hanging="644"/>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40"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300" w:right="56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19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58" w:name="page59"/>
    <w:bookmarkEnd w:id="58"/>
    <w:p>
      <w:pPr>
        <w:ind w:right="160" w:firstLine="324"/>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26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medical devices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PMA or 510(k) clearance for a medical device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33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3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800" w:right="259" w:bottom="1440" w:gutter="0" w:footer="0" w:header="0"/>
        </w:sectPr>
      </w:pPr>
    </w:p>
    <w:bookmarkStart w:id="59" w:name="page60"/>
    <w:bookmarkEnd w:id="59"/>
    <w:p>
      <w:pPr>
        <w:spacing w:after="0" w:line="342" w:lineRule="auto"/>
        <w:rPr>
          <w:sz w:val="20"/>
          <w:szCs w:val="20"/>
          <w:color w:val="auto"/>
        </w:rPr>
      </w:pPr>
      <w:r>
        <w:rPr>
          <w:rFonts w:ascii="Arial" w:cs="Arial" w:eastAsia="Arial" w:hAnsi="Arial"/>
          <w:sz w:val="16"/>
          <w:szCs w:val="16"/>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Once marketing approval has been obtained, the approved product and its manufacturer are subject to continual review by the FDA or non-U.S. regulatory authorities. The current clearance for CoSense, as well as any additional regulatory approval that we receive for any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 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intend to seek distribution and marketing partners for our current products outside the U.S. and may market planned products in international markets. We have obtained a CE Mark certification for CoSense and Serenz and they are therefore authorized for sale in the E.U.; however, in order to market these products in Asia, Latin America and other foreign jurisdictions, we must obtain separate regulatory approvals.</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00" w:right="259" w:bottom="1440" w:gutter="0" w:footer="0" w:header="0"/>
        </w:sectPr>
      </w:pPr>
    </w:p>
    <w:bookmarkStart w:id="60" w:name="page61"/>
    <w:bookmarkEnd w:id="60"/>
    <w:p>
      <w:pPr>
        <w:ind w:right="80" w:firstLine="324"/>
        <w:spacing w:after="0" w:line="255" w:lineRule="auto"/>
        <w:rPr>
          <w:sz w:val="20"/>
          <w:szCs w:val="20"/>
          <w:color w:val="auto"/>
        </w:rPr>
      </w:pPr>
      <w:r>
        <w:rPr>
          <w:rFonts w:ascii="Arial" w:cs="Arial" w:eastAsia="Arial" w:hAnsi="Arial"/>
          <w:sz w:val="18"/>
          <w:szCs w:val="18"/>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CoSense devices and may be applicable to CoSense consumables and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spacing w:after="0" w:line="39"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3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jc w:val="both"/>
        <w:ind w:right="320" w:firstLine="324"/>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63" w:lineRule="exact"/>
        <w:rPr>
          <w:sz w:val="20"/>
          <w:szCs w:val="20"/>
          <w:color w:val="auto"/>
        </w:rPr>
      </w:pPr>
    </w:p>
    <w:p>
      <w:pPr>
        <w:ind w:left="1300" w:right="46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800" w:right="279" w:bottom="1440" w:gutter="0" w:footer="0" w:header="0"/>
        </w:sectPr>
      </w:pPr>
    </w:p>
    <w:bookmarkStart w:id="61" w:name="page62"/>
    <w:bookmarkEnd w:id="61"/>
    <w:p>
      <w:pPr>
        <w:ind w:left="1300"/>
        <w:spacing w:after="0" w:line="324" w:lineRule="auto"/>
        <w:rPr>
          <w:sz w:val="20"/>
          <w:szCs w:val="20"/>
          <w:color w:val="auto"/>
        </w:rPr>
      </w:pPr>
      <w:r>
        <w:rPr>
          <w:rFonts w:ascii="Arial" w:cs="Arial" w:eastAsia="Arial" w:hAnsi="Arial"/>
          <w:sz w:val="18"/>
          <w:szCs w:val="18"/>
          <w:color w:val="auto"/>
        </w:rPr>
        <w:t>exchange for or to induce either the referral of an individual for, or the purchase, order or recommendation of, any good or service for which payment may be made under federal healthcare programs, such as the Medicare and Medicaid programs;</w:t>
      </w:r>
    </w:p>
    <w:p>
      <w:pPr>
        <w:spacing w:after="0" w:line="35" w:lineRule="exact"/>
        <w:rPr>
          <w:sz w:val="20"/>
          <w:szCs w:val="20"/>
          <w:color w:val="auto"/>
        </w:rPr>
      </w:pPr>
    </w:p>
    <w:p>
      <w:pPr>
        <w:ind w:left="1300" w:right="18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jc w:val="both"/>
        <w:ind w:left="1300" w:right="48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300" w:right="300" w:hanging="644"/>
        <w:spacing w:after="0" w:line="308"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300" w:right="2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27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June 30, 2016 through June 30, 2017, the reported high and low prices of our common stock ranged from $1.18 to $0.50.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11" w:right="239" w:bottom="1440" w:gutter="0" w:footer="0" w:header="0"/>
        </w:sectPr>
      </w:pPr>
    </w:p>
    <w:bookmarkStart w:id="62" w:name="page63"/>
    <w:bookmarkEnd w:id="62"/>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28"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issued 13,780 shares of Series B Convertible Preferred Stock, which are convertible into 13,780,000 shares of our common stock, based on a fixed conversion price of $1.00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sale and issuance of Series B Convertible Preferred Stock to Sabby pursuant to the 2016 Sabby Purchase Agreement, we also amended the Series D Common Stock Purchase Warrants that were issued to Sabby under the 2015 Sabby Purchase Agreement. The per share exercise price of the common stock underlying the Series D Common Stock Purchase Warrants was reduced from $2.46 per share to $1.75 per share, which, if exercised, may result in sales of substantial amounts of the underlying common stock in the public market, or the perception that these sales may occur, and which could materially and adversely affect the price of our common stock and could impair our ability to raise capital through the sale of additional equity securities.</w:t>
      </w:r>
    </w:p>
    <w:p>
      <w:pPr>
        <w:spacing w:after="0" w:line="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on March 7, 2017,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 Purchase Agreement. Aspire Capital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ind w:right="180"/>
        <w:spacing w:after="0" w:line="312" w:lineRule="auto"/>
        <w:rPr>
          <w:sz w:val="20"/>
          <w:szCs w:val="20"/>
          <w:color w:val="auto"/>
        </w:rPr>
      </w:pPr>
      <w:r>
        <w:rPr>
          <w:rFonts w:ascii="Arial" w:cs="Arial" w:eastAsia="Arial" w:hAnsi="Arial"/>
          <w:sz w:val="16"/>
          <w:szCs w:val="16"/>
          <w:color w:val="auto"/>
        </w:rPr>
        <w:t>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which was enacted in April 2012. For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 as we continue to be an emerging growth company, we may take advantage of exemptions from various reporting requirements that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that are not emerging growth companies, including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of 2002, or the Sarbanes-Oxley Act, reduced disclosure obligations regarding executive compensation in our periodic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and proxy statements and exemptions from the requirements of holding a nonbinding advisory vote on executive compensation and stockholder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any golden parachute payments not previously approved. We could be an emerging growth company for up to five years, although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cause us to lose that status earlier. We will remain an emerging growth company until the earlier of (1) the last day of the fiscal year following the fifth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completion of our initial public offering, or IPO, (2) the last day of the fiscal year in which we have total annual gross revenue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(3) the date on which we are deemed to be a large accelerated filer, which means the market value of our common stock that is held by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exceeds $700.0 million as of the prior June 30th, and (4) the date on which we have issued more than $1.0 billion in non-convertible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prior three-year period. We cannot predict if investors will find our common stock less attractive because we may rely on these exemptions.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some investors find our common stock less attractive as a result, there may be a less active trading market for our common stock and our stock price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suffer or be more volatile.</w:t>
      </w:r>
    </w:p>
    <w:p>
      <w:pPr>
        <w:spacing w:after="0" w:line="2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executive officers, directors and stockholders own a majority of our outstanding common stock. Entities associated with Vivo Ventures, Forward Ventures, Technology Partners and our Chairman, Ernest Mario, as of June 30, 2017, own approximately 58.9%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right="20" w:firstLine="324"/>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which will limit our ability to utilize our existing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eligible for sale and as a result, any such sales could depress the market price of our common stock.</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of June 30, 2017, we had Series A Warrants outstanding exercisable for an aggregate of 2,425,605 shares of common stock, Series C Warrants outstanding exercisable for an aggregate of 590,415 shares of common stock, Series D Warrants outstanding exercisable for an aggregate of 2,930,812 shares of common stock and other warrants exercisable for an aggregate of 571,906 shares of common stock. As of December 31, 2016, we had 12,780 shares of Series B Convertible Preferred Stock outstanding exercisable for an aggregate of 12,780,000 shares of common stock. As of March 31, 2017, 2,934,847 options to purchase shares of our common stock were issued and outstanding with a weighted average exercise price of $3.35 per share. The sale or even the possibility of sale of the shares of common stock, or the exercise of options or warrants to purchase shares of our common stock and subsequent sale thereof could substantially reduce the market price for our common stock or our ability to obtain future financing.</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connection with the sale and issuance of Series B Convertible Preferred Stock to Sabby pursuant to the 2016 Sabby Purchase Agreement, we also amended the 2,702,704 Series D Common Stock Purchase Warrants issued to Sabby under the 2015 Sabby Purchase Agreement. The per share exercise price of the common stock underlying the Series D common stock Warrants was reduced from $2.46 per share to $1.75 per share. The sale or even the possibility of sale of the common stock or the underlying shares of common stock issuable upon the conversion of the Series A Convertible Preferred Stock or the Series B Convertible Preferred Stock, or upon exercise of the amended Series D Common Stock Purchase Warrants could substantially reduce the market price for our common stock or our ability to obtain future financing.</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on March 7, 2017, we issued 8,333,333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2,083,333 shares of common stock for an investment of $2 million from Aspire Capital pursuant to the 2017 Aspire Purchase Agreement. Aspire Capital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5" w:name="page66"/>
    <w:bookmarkEnd w:id="65"/>
    <w:p>
      <w:pPr>
        <w:ind w:right="180"/>
        <w:spacing w:after="0" w:line="312" w:lineRule="auto"/>
        <w:rPr>
          <w:sz w:val="20"/>
          <w:szCs w:val="20"/>
          <w:color w:val="auto"/>
        </w:rPr>
      </w:pPr>
      <w:r>
        <w:rPr>
          <w:rFonts w:ascii="Arial" w:cs="Arial" w:eastAsia="Arial" w:hAnsi="Arial"/>
          <w:sz w:val="16"/>
          <w:szCs w:val="16"/>
          <w:color w:val="auto"/>
        </w:rPr>
        <w:t>ultimately purchase all, some or none of the $17.0 million worth of common stock, of which $2 million was sold on March 7, 2017, issuable under the 2017 Aspire Purchase Agreement, including the 708,333 commitment shares. All the shares issued under the 2017 Aspire Purchase Agreement are eligible for future resale under a registration statement on Form S-1 on February 1, 2017 that was declared effective by the SEC on February 15,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Warrants and Series C Warrants in cash.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at any time while the Series A Warrants and Series C Warrants are outstanding, we enter into a “Fundamental Transaction” (as defined in the Series A Warrant and Series C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Series A Warrants and Series C Warrants as at any time prior to the consummation of the Fundamental Transaction, may elect and require us to purchase the Series A and Series C Warrants held by such person immediately prior to the consummation of such Fundamental Transaction by making a cash payment in an amount equal to the Black Scholes Value of the remaining unexercised portion of such registered holder’s Series A Warrants and Series C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On October 24, 2016,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The letter also indicated that we will be provided with a compliance period of 180 calendar days, or until April 24, 2017, in which to regain compliance pursuant to NASDAQ Listing Rule 5810(c)(3)(A). In addition,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8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On April 24, 2017, we received a letter from Nasdaq indicating that we were eligible for an additional 180-day period, or until October 23, 2017, to regain compliance with the minimum bid requirement.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ind w:left="500"/>
        <w:spacing w:after="0"/>
        <w:rPr>
          <w:sz w:val="20"/>
          <w:szCs w:val="20"/>
          <w:color w:val="auto"/>
        </w:rPr>
      </w:pPr>
      <w:r>
        <w:rPr>
          <w:rFonts w:ascii="Arial" w:cs="Arial" w:eastAsia="Arial" w:hAnsi="Arial"/>
          <w:sz w:val="16"/>
          <w:szCs w:val="16"/>
          <w:color w:val="auto"/>
        </w:rPr>
        <w:t>On May 8, 2017, we received stockholder approval for a reverse stock split of our common stock at a ratio between one-for-two (1:2) and one-for-ten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(1:10), or the Reverse Split, to be determined by our Board of Directors and to be effected at the sole discretion of the Board at any time time within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pursuant to the proxy statement filed with the SEC on March 29, 2017. If the Board implements the stock split within the next 6 months, we expect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market price of the common stock will be in excess of the $1.00 minimum closing bid price as required by the Nasdaq Marketplace Rules.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24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$6.50 per share prior to the expiration of the five-year term on November 12, 2019, after which date any unexercised Series A Warrants will expire and have no further value. Holders of Series C Warrants may exercise their right to acquire common stock and pay an exercise price of $6.25 per share prior to the expiration of the five-year term on March 4, 2020. Following amendment of the Series D Common Stock Purchase Warrants, the holders may exercise their right to acquire common stock and pay an amended exercise price of $1.75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00" w:firstLine="324"/>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300" w:right="9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300" w:hanging="644"/>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4" w:right="259" w:bottom="1440" w:gutter="0" w:footer="0" w:header="0"/>
        </w:sectPr>
      </w:pPr>
    </w:p>
    <w:bookmarkStart w:id="67" w:name="page68"/>
    <w:bookmarkEnd w:id="67"/>
    <w:p>
      <w:pPr>
        <w:ind w:left="1300" w:right="20" w:hanging="644"/>
        <w:spacing w:after="0" w:line="259"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7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2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Certain of our executive officers are parties to employment agreements that contain change in control and severance provisions providing for aggregate cash payments of up to approximately $1.4 million for severance and other benefits and acceleration of vesting of stock options with a value of approximately $1.1 million,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Aspire Capital and Sabby may cause substantial dilution to our existing stockholders and the sale of common stock by Aspire Capital and Sabby could cause the price of our common stock to decline.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registered for sale 9,291,667 shares of common stock that we may sell to Aspire Capital under the 2017 Aspire Purchase Agreement plus 708,333 shares of common stock that were commitment shares that we issued to Aspire Capital. Depending upon market liquidity at the time, sales of shares of our common stock under the 2017 Aspire Purchase Agreement, which we have previously registered for resale, may cause the trading price of our common stock to decline. Aspire Capital may sell all, some or none of our shares that it holds or comes to hold under the 2017 Aspire Purchase Agreement, including the 708,333 commitment shares issued to it under the 2017 Aspire Purchase Agreement. Sales by Aspire Capital or any of the purchasers of our common stock in the concurrent financing may result in dilution to the interests of other holders of our common stock. The sale of a substantial number of shares of our common stock by Aspire Capital, or anticipation of such sales, could make it more difficult for us to sell equity or equity-related securities in the future at a time and at a price that we might otherwise wish to effect sales. However, we have the right to control the timing and amount of sales of our shares to Aspire Capital, and the 2017 Aspire Purchase Agreement may be terminated by us at any time at our discretion without any penalty or cost to us.</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 a time and at a price that we might otherwise wish to effect sales. The 2016 Sabby Purchase Agreement also provides Sabby a right to participate in any future sale of our equity securities.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8" w:name="page69"/>
    <w:bookmarkEnd w:id="68"/>
    <w:p>
      <w:pPr>
        <w:ind w:right="140" w:firstLine="324"/>
        <w:spacing w:after="0" w:line="277" w:lineRule="auto"/>
        <w:rPr>
          <w:sz w:val="20"/>
          <w:szCs w:val="20"/>
          <w:color w:val="auto"/>
        </w:rPr>
      </w:pPr>
      <w:r>
        <w:rPr>
          <w:rFonts w:ascii="Arial" w:cs="Arial" w:eastAsia="Arial" w:hAnsi="Arial"/>
          <w:sz w:val="18"/>
          <w:szCs w:val="18"/>
          <w:color w:val="auto"/>
        </w:rPr>
        <w:t>In addition, on March 7, 2017, as contemplated by the Merger Agreement, we issued 8,333,333 shares of common stock for an investment of $8 million from the completion of the concurrent financing, which shares are being registered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a proposed Reverse Stock Split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May 8, 2017, we received stockholder approval for a reverse stock split of our common stock at a ratio between one-for-two (1:2) and one-for-ten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 or the Reverse Split, pursuant to the proxy statement filed with the SEC on March 29, 2017. The Reverse Split could result in a significant devaluation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market capitalization and trading price of the common stock. Our board of directors expects that the Reverse Split of the outstanding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increase the market price of the common stock. However, we cannot be certain whether the Reverse Split would lead to a sustained increase in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or the trading market for our common stock. The history of similar stock split combinations for companies in like circumstances is varied. There is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assurance that:</w:t>
      </w:r>
    </w:p>
    <w:p>
      <w:pPr>
        <w:spacing w:after="0" w:line="211" w:lineRule="exact"/>
        <w:rPr>
          <w:sz w:val="20"/>
          <w:szCs w:val="20"/>
          <w:color w:val="auto"/>
        </w:rPr>
      </w:pPr>
    </w:p>
    <w:p>
      <w:pPr>
        <w:ind w:left="1300" w:right="36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per share of the common stock after the Reverse Split will rise in proportion to the reduction in the number of pre-split shares of common stock outstanding before the Reverse Split;</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Reverse Split will result in a per share price that will attract brokers and investors, including institutional investors, who do not trade in lower priced stocks;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Reverse Split will result in a per share price that will increase our ability to attract and retain employees and other service providers;</w:t>
      </w:r>
    </w:p>
    <w:p>
      <w:pPr>
        <w:spacing w:after="0" w:line="140"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per share post Revise Split will remain in excess of the $1.00 minimum closing bid price as required by the Nasdaq Marketplace Rules or that we would otherwise meet the requirements of Nasdaq for continued inclusion for trading on The Nasdaq Global Select Market or The Nasdaq Capital Market; and</w:t>
      </w:r>
    </w:p>
    <w:p>
      <w:pPr>
        <w:spacing w:after="0" w:line="73"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Reverse Split will increase the trading market for our common stock, particularly if the stock price does not increase as a result of the reduction in the number of shares of common stock available in the public market.</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market price of the common stock will also be based on our performance and other factors, some of which are unrelated to the number of shares outstanding. If the Reverse Split is consummated and the trading price of our common stock declines, the percentage decline as an absolute number and as a percentage of our overall market capitalization may be greater than would occur in the absence of the Reverse Split. Furthermore, the liquidity of the common stock could be adversely affected by the reduced number of shares that would be outstanding after the Reverse Split and this could have an adverse effect on the market price of the common stock. If the market price of the common stock declines subsequent to the effectiveness of the Reverse Split, this will detrimentally impact our market capitalization and the market value of our public float. The Reverse Split may result in some stockholders owning “odd lots” that may be more difficult to sell or require greater transaction costs per share to sell. The Reverse Split may result in some stockholders owning “odd lots” of less than 100 shares of common stock on a post-split basis. These odd lots may be more difficult to sell, or require greater transaction costs per share to sell, than shares in “round lots” of even multiples of 100 shares. Depending on the Reverse Split ratio, certain stockholders may no longer have any equity interest in us. Based on the Reverse Split of all of the outstanding shares of our common stock at a ratio between one-for-two (1:2) and one-for-ten (1:10), certain stockholders might be fully cashed out in the Reverse Split and thus, after the Reverse Split takes effect, such stockholders would no longer have any equity interest in us and therefore would not participate in our future earnings or growth, if any. The Reverse Split may not help generate additional investor interest .There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9" w:name="page70"/>
    <w:bookmarkEnd w:id="69"/>
    <w:p>
      <w:pPr>
        <w:spacing w:after="0"/>
        <w:tabs>
          <w:tab w:leader="none" w:pos="25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7, 2017, we completed the Merger with Essentialis and issued 18,916,940 shares of common stock to stockholders of Essentialis. We held back 913,379 shares of common stock as partial recourse to satisfy indemnification claims, and such shares will be issued to Essentialis stockholders on the 1 year anniversary of the closing of the Merger. We are also obligated to issue an additional 4,566,948 shares of common stock to Essentialis stockholders upon the achievement of a development milestone. Assuming that we issue all of the shares of our common stock held back and the development milestone is achieved, we would issue a total of 24,397,267 shares of common stock to Essentialis stockholders. These shares were registered on a Registration Statement on Form S-1 filed with the SEC on April 21, 2017, and declared effective on August 10, 2017.</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we issued 8,333,333 shares of common stock for an investment of $8 million from the completion of the concurrent financing and issued 2,083,333 shares of common stock for an investment of $2 million from Aspire Capital. These shares were registered on a Registration Statement on Form S-1 filed with the SEC on February 1, 2017, and declared effective on February 14, 2017.</w:t>
      </w:r>
    </w:p>
    <w:p>
      <w:pPr>
        <w:sectPr>
          <w:pgSz w:w="11900" w:h="16838" w:orient="portrait"/>
          <w:cols w:equalWidth="0" w:num="1">
            <w:col w:w="11380"/>
          </w:cols>
          <w:pgMar w:left="240" w:top="904" w:right="27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144" w:lineRule="exact"/>
        <w:rPr>
          <w:sz w:val="20"/>
          <w:szCs w:val="20"/>
          <w:color w:val="auto"/>
        </w:rPr>
      </w:pPr>
    </w:p>
    <w:p>
      <w:pPr>
        <w:sectPr>
          <w:pgSz w:w="11900" w:h="16838" w:orient="portrait"/>
          <w:cols w:equalWidth="0" w:num="2">
            <w:col w:w="1880" w:space="720"/>
            <w:col w:w="8780"/>
          </w:cols>
          <w:pgMar w:left="240" w:top="904" w:right="2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4.Mine Safety Disclosures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904" w:right="27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33" w:lineRule="exact"/>
        <w:rPr>
          <w:sz w:val="20"/>
          <w:szCs w:val="20"/>
          <w:color w:val="auto"/>
        </w:rPr>
      </w:pPr>
    </w:p>
    <w:p>
      <w:pPr>
        <w:sectPr>
          <w:pgSz w:w="11900" w:h="16838" w:orient="portrait"/>
          <w:cols w:equalWidth="0" w:num="2">
            <w:col w:w="1880" w:space="720"/>
            <w:col w:w="8780"/>
          </w:cols>
          <w:pgMar w:left="240" w:top="904" w:right="2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80"/>
          </w:cols>
          <w:pgMar w:left="240" w:top="904" w:right="27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144" w:lineRule="exact"/>
        <w:rPr>
          <w:sz w:val="20"/>
          <w:szCs w:val="20"/>
          <w:color w:val="auto"/>
        </w:rPr>
      </w:pPr>
    </w:p>
    <w:p>
      <w:pPr>
        <w:sectPr>
          <w:pgSz w:w="11900" w:h="16838" w:orient="portrait"/>
          <w:cols w:equalWidth="0" w:num="2">
            <w:col w:w="1880" w:space="720"/>
            <w:col w:w="8780"/>
          </w:cols>
          <w:pgMar w:left="240" w:top="904" w:right="279" w:bottom="1440" w:gutter="0" w:footer="0" w:header="0"/>
          <w:type w:val="continuous"/>
        </w:sectPr>
      </w:pPr>
    </w:p>
    <w:p>
      <w:pPr>
        <w:ind w:right="200" w:firstLine="432"/>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904" w:right="27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  August 11, 2017</w:t>
            </w:r>
          </w:p>
        </w:tc>
        <w:tc>
          <w:tcPr>
            <w:tcW w:w="7700" w:type="dxa"/>
            <w:vAlign w:val="bottom"/>
            <w:gridSpan w:val="2"/>
          </w:tcPr>
          <w:p>
            <w:pPr>
              <w:ind w:left="2720"/>
              <w:spacing w:after="0"/>
              <w:rPr>
                <w:sz w:val="20"/>
                <w:szCs w:val="20"/>
                <w:color w:val="auto"/>
              </w:rPr>
            </w:pPr>
            <w:r>
              <w:rPr>
                <w:rFonts w:ascii="Arial" w:cs="Arial" w:eastAsia="Arial" w:hAnsi="Arial"/>
                <w:sz w:val="18"/>
                <w:szCs w:val="18"/>
                <w:b w:val="1"/>
                <w:bCs w:val="1"/>
                <w:color w:val="auto"/>
              </w:rPr>
              <w:t>SOLENO THERAPEUTICS, INC.</w:t>
            </w:r>
          </w:p>
        </w:tc>
      </w:tr>
      <w:tr>
        <w:trPr>
          <w:trHeight w:val="594"/>
        </w:trPr>
        <w:tc>
          <w:tcPr>
            <w:tcW w:w="3680" w:type="dxa"/>
            <w:vAlign w:val="bottom"/>
          </w:tcPr>
          <w:p>
            <w:pPr>
              <w:spacing w:after="0"/>
              <w:rPr>
                <w:sz w:val="24"/>
                <w:szCs w:val="24"/>
                <w:color w:val="auto"/>
              </w:rPr>
            </w:pPr>
          </w:p>
        </w:tc>
        <w:tc>
          <w:tcPr>
            <w:tcW w:w="7700" w:type="dxa"/>
            <w:vAlign w:val="bottom"/>
            <w:gridSpan w:val="2"/>
          </w:tcPr>
          <w:p>
            <w:pPr>
              <w:ind w:left="2720"/>
              <w:spacing w:after="0"/>
              <w:rPr>
                <w:sz w:val="20"/>
                <w:szCs w:val="20"/>
                <w:color w:val="auto"/>
              </w:rPr>
            </w:pPr>
            <w:r>
              <w:rPr>
                <w:rFonts w:ascii="Arial" w:cs="Arial" w:eastAsia="Arial" w:hAnsi="Arial"/>
                <w:sz w:val="18"/>
                <w:szCs w:val="18"/>
                <w:color w:val="auto"/>
              </w:rPr>
              <w:t>By:    /s/ David D. O’Toole</w:t>
            </w:r>
          </w:p>
        </w:tc>
      </w:tr>
      <w:tr>
        <w:trPr>
          <w:trHeight w:val="27"/>
        </w:trPr>
        <w:tc>
          <w:tcPr>
            <w:tcW w:w="3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David D. O’Toole</w:t>
            </w:r>
          </w:p>
        </w:tc>
      </w:tr>
      <w:tr>
        <w:trPr>
          <w:trHeight w:val="252"/>
        </w:trPr>
        <w:tc>
          <w:tcPr>
            <w:tcW w:w="36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34"/>
        </w:trPr>
        <w:tc>
          <w:tcPr>
            <w:tcW w:w="3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48"/>
        </w:trPr>
        <w:tc>
          <w:tcPr>
            <w:tcW w:w="3680" w:type="dxa"/>
            <w:vAlign w:val="bottom"/>
          </w:tcPr>
          <w:p>
            <w:pPr>
              <w:spacing w:after="0"/>
              <w:rPr>
                <w:sz w:val="24"/>
                <w:szCs w:val="24"/>
                <w:color w:val="auto"/>
              </w:rPr>
            </w:pPr>
          </w:p>
        </w:tc>
        <w:tc>
          <w:tcPr>
            <w:tcW w:w="3260" w:type="dxa"/>
            <w:vAlign w:val="bottom"/>
          </w:tcPr>
          <w:p>
            <w:pPr>
              <w:jc w:val="right"/>
              <w:ind w:right="1090"/>
              <w:spacing w:after="0"/>
              <w:rPr>
                <w:sz w:val="20"/>
                <w:szCs w:val="20"/>
                <w:color w:val="auto"/>
              </w:rPr>
            </w:pPr>
            <w:r>
              <w:rPr>
                <w:rFonts w:ascii="Arial" w:cs="Arial" w:eastAsia="Arial" w:hAnsi="Arial"/>
                <w:sz w:val="18"/>
                <w:szCs w:val="18"/>
                <w:color w:val="auto"/>
              </w:rPr>
              <w:t>69</w:t>
            </w:r>
          </w:p>
        </w:tc>
        <w:tc>
          <w:tcPr>
            <w:tcW w:w="4440" w:type="dxa"/>
            <w:vAlign w:val="bottom"/>
          </w:tcPr>
          <w:p>
            <w:pPr>
              <w:spacing w:after="0"/>
              <w:rPr>
                <w:sz w:val="24"/>
                <w:szCs w:val="24"/>
                <w:color w:val="auto"/>
              </w:rPr>
            </w:pPr>
          </w:p>
        </w:tc>
      </w:tr>
    </w:tbl>
    <w:p>
      <w:pPr>
        <w:sectPr>
          <w:pgSz w:w="11900" w:h="16838" w:orient="portrait"/>
          <w:cols w:equalWidth="0" w:num="1">
            <w:col w:w="11420"/>
          </w:cols>
          <w:pgMar w:left="240" w:top="1013"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84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Registrant’s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40" w:type="dxa"/>
            <w:vAlign w:val="bottom"/>
          </w:tcPr>
          <w:p>
            <w:pPr>
              <w:ind w:left="216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Form</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ind w:left="1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of Capnia,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7,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Amended and Restated Bylaws of Capnia,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6"/>
              </w:rPr>
              <w:t>Certificate of Designation of Preferences, Rights and Limitations of Series A</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the Common Stock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1"/>
              </w:rPr>
              <w:t>Amended And Restated Investors’ Rights Agreement, dated March 20, 2008, by</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3"/>
              </w:rPr>
              <w:t>and among Capnia, Inc. and certain holders of the Capnia, Inc.’s capital stock</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named therein.</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A Warrant Agreement.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7,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the Series A Warrant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Underwriters’ Compensation Warrant.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2"/>
              </w:rPr>
              <w:t>Form of Convertible Promissory Note issued in February 2010 and March 2010</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in 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2"/>
              </w:rPr>
              <w:t>Form of Warrant to Purchase Shares issued in February 2010 and March 2010</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in connection 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4"/>
              </w:rPr>
              <w:t>Form of Convertible Promissory Note issued in November 2010 in connection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4"/>
              </w:rPr>
              <w:t>Form of Warrant to Purchase Shares issued in November 2010 in connection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with the 2010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4.10</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7"/>
              </w:rPr>
              <w:t>Form of Convertible Promissory Note issued in January 2012 in connection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4.11</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1"/>
              </w:rPr>
              <w:t>Form of Warrant to Purchase Shares issued in January 2012 in connection with</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Capnia, Inc.’s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4"/>
              </w:rPr>
              <w:t>Form of Convertible Promissory Note issued in July 2012 and August 2012 in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connection 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4"/>
              </w:rPr>
              <w:t>Form of Warrant to Purchase Shares issued in July 2012 and August 2012 in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connection with the 2012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4.14</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2"/>
              </w:rPr>
              <w:t>Form of Convertible Promissory Note issued in April, August and October 2014</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in connection with the 2014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140"/>
              <w:spacing w:after="0"/>
              <w:rPr>
                <w:sz w:val="20"/>
                <w:szCs w:val="20"/>
                <w:color w:val="auto"/>
              </w:rPr>
            </w:pPr>
            <w:r>
              <w:rPr>
                <w:rFonts w:ascii="Arial" w:cs="Arial" w:eastAsia="Arial" w:hAnsi="Arial"/>
                <w:sz w:val="18"/>
                <w:szCs w:val="18"/>
                <w:color w:val="auto"/>
                <w:w w:val="85"/>
              </w:rPr>
              <w:t>4.15</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2"/>
              </w:rPr>
              <w:t>Form of Warrant to Purchase Shares issued in April, August and October 2014</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in connection with the 2014 convertible note financing.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unit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4.17</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B Warrant Agreement.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7,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4.18</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the Series B Warrant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the Series C Warrant Agreement.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4.20</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the Series C Warrant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ind w:left="140"/>
              <w:spacing w:after="0"/>
              <w:rPr>
                <w:sz w:val="20"/>
                <w:szCs w:val="20"/>
                <w:color w:val="auto"/>
              </w:rPr>
            </w:pPr>
            <w:r>
              <w:rPr>
                <w:rFonts w:ascii="Arial" w:cs="Arial" w:eastAsia="Arial" w:hAnsi="Arial"/>
                <w:sz w:val="18"/>
                <w:szCs w:val="18"/>
                <w:color w:val="auto"/>
                <w:w w:val="85"/>
              </w:rPr>
              <w:t>4.21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D Common Stock Purchase Warrant.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tcPr>
          <w:p>
            <w:pPr>
              <w:ind w:left="4720"/>
              <w:spacing w:after="0"/>
              <w:rPr>
                <w:sz w:val="20"/>
                <w:szCs w:val="20"/>
                <w:color w:val="auto"/>
              </w:rPr>
            </w:pPr>
            <w:r>
              <w:rPr>
                <w:rFonts w:ascii="Arial" w:cs="Arial" w:eastAsia="Arial" w:hAnsi="Arial"/>
                <w:sz w:val="18"/>
                <w:szCs w:val="18"/>
                <w:color w:val="auto"/>
              </w:rPr>
              <w:t>70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Exhibit</w:t>
            </w:r>
          </w:p>
        </w:tc>
        <w:tc>
          <w:tcPr>
            <w:tcW w:w="584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Registrant’s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40" w:type="dxa"/>
            <w:vAlign w:val="bottom"/>
          </w:tcPr>
          <w:p>
            <w:pPr>
              <w:ind w:left="216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Form</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Placement Agent Warrant.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D Common Stock Warrant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A Convertible Preferred Stock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Placement Agent Warrant.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Series B Convertible Preferred Stock Certificate.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Voting Agreement.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Form of Voting Agreement.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w w:val="97"/>
              </w:rPr>
              <w:t>Form of Indemnification Agreement between the Registrant and each of its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auto"/>
              </w:rPr>
              <w:t>directors and executive officers.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80"/>
          </w:cols>
          <w:pgMar w:left="280" w:top="738" w:right="239" w:bottom="1440" w:gutter="0" w:footer="0" w:header="0"/>
        </w:sectPr>
      </w:pPr>
    </w:p>
    <w:p>
      <w:pPr>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1999 Incentive Stock Plan and forms of agreements thereunder.</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2010 Equity Incentive Plan and forms of agreements thereunder.</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2014 Equity Incentive Plan and forms of agreements thereunder.</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2014 Employee Stock Purchase Plan and forms of agreements thereunder.</w:t>
      </w:r>
    </w:p>
    <w:p>
      <w:pPr>
        <w:spacing w:after="0" w:line="63" w:lineRule="exact"/>
        <w:rPr>
          <w:sz w:val="20"/>
          <w:szCs w:val="20"/>
          <w:color w:val="auto"/>
        </w:rPr>
      </w:pPr>
    </w:p>
    <w:p>
      <w:pPr>
        <w:ind w:left="880" w:right="60" w:hanging="890"/>
        <w:spacing w:after="0" w:line="277" w:lineRule="auto"/>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Offer Letter, dated June 22, 2007, by and between Capnia, Inc. and Ernest Mario, Ph.D.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55" w:lineRule="exact"/>
        <w:rPr>
          <w:sz w:val="20"/>
          <w:szCs w:val="20"/>
          <w:color w:val="auto"/>
        </w:rPr>
      </w:pPr>
    </w:p>
    <w:p>
      <w:pPr>
        <w:sectPr>
          <w:pgSz w:w="11900" w:h="16838" w:orient="portrait"/>
          <w:cols w:equalWidth="0" w:num="2">
            <w:col w:w="6280" w:space="720"/>
            <w:col w:w="4380"/>
          </w:cols>
          <w:pgMar w:left="28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6200" w:type="dxa"/>
            <w:vAlign w:val="bottom"/>
          </w:tcPr>
          <w:p>
            <w:pPr>
              <w:ind w:left="240"/>
              <w:spacing w:after="0"/>
              <w:rPr>
                <w:sz w:val="20"/>
                <w:szCs w:val="20"/>
                <w:color w:val="auto"/>
              </w:rPr>
            </w:pPr>
            <w:r>
              <w:rPr>
                <w:rFonts w:ascii="Arial" w:cs="Arial" w:eastAsia="Arial" w:hAnsi="Arial"/>
                <w:sz w:val="18"/>
                <w:szCs w:val="18"/>
                <w:color w:val="auto"/>
                <w:w w:val="94"/>
              </w:rPr>
              <w:t>Employment Agreement, dated April 6, 2010, by and between Capnia, Inc. and</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Anish Bhatnagar.</w:t>
            </w: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6200" w:type="dxa"/>
            <w:vAlign w:val="bottom"/>
          </w:tcPr>
          <w:p>
            <w:pPr>
              <w:ind w:left="240"/>
              <w:spacing w:after="0"/>
              <w:rPr>
                <w:sz w:val="20"/>
                <w:szCs w:val="20"/>
                <w:color w:val="auto"/>
              </w:rPr>
            </w:pPr>
            <w:r>
              <w:rPr>
                <w:rFonts w:ascii="Arial" w:cs="Arial" w:eastAsia="Arial" w:hAnsi="Arial"/>
                <w:sz w:val="18"/>
                <w:szCs w:val="18"/>
                <w:color w:val="auto"/>
                <w:w w:val="95"/>
              </w:rPr>
              <w:t>Offer Letter, dated May 29, 2013, between Capnia, Inc. and Anthony Wondka.</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6200" w:type="dxa"/>
            <w:vAlign w:val="bottom"/>
          </w:tcPr>
          <w:p>
            <w:pPr>
              <w:ind w:left="240"/>
              <w:spacing w:after="0"/>
              <w:rPr>
                <w:sz w:val="20"/>
                <w:szCs w:val="20"/>
                <w:color w:val="auto"/>
              </w:rPr>
            </w:pPr>
            <w:r>
              <w:rPr>
                <w:rFonts w:ascii="Arial" w:cs="Arial" w:eastAsia="Arial" w:hAnsi="Arial"/>
                <w:sz w:val="18"/>
                <w:szCs w:val="18"/>
                <w:color w:val="auto"/>
                <w:w w:val="99"/>
              </w:rPr>
              <w:t>Offer Letter, dated April 17, 2014, by and between Capnia, Inc. and Antoun</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Nabhan.</w:t>
            </w: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6200" w:type="dxa"/>
            <w:vAlign w:val="bottom"/>
          </w:tcPr>
          <w:p>
            <w:pPr>
              <w:ind w:left="240"/>
              <w:spacing w:after="0"/>
              <w:rPr>
                <w:sz w:val="20"/>
                <w:szCs w:val="20"/>
                <w:color w:val="auto"/>
              </w:rPr>
            </w:pPr>
            <w:r>
              <w:rPr>
                <w:rFonts w:ascii="Arial" w:cs="Arial" w:eastAsia="Arial" w:hAnsi="Arial"/>
                <w:sz w:val="18"/>
                <w:szCs w:val="18"/>
                <w:color w:val="auto"/>
                <w:w w:val="95"/>
              </w:rPr>
              <w:t>Asset Purchase Agreement dated May 11, 2010, by and between Capnia, Inc.</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and BioMedical Drug Development Inc.</w:t>
            </w: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6200" w:type="dxa"/>
            <w:vAlign w:val="bottom"/>
          </w:tcPr>
          <w:p>
            <w:pPr>
              <w:ind w:left="240"/>
              <w:spacing w:after="0"/>
              <w:rPr>
                <w:sz w:val="20"/>
                <w:szCs w:val="20"/>
                <w:color w:val="auto"/>
              </w:rPr>
            </w:pPr>
            <w:r>
              <w:rPr>
                <w:rFonts w:ascii="Arial" w:cs="Arial" w:eastAsia="Arial" w:hAnsi="Arial"/>
                <w:sz w:val="18"/>
                <w:szCs w:val="18"/>
                <w:color w:val="auto"/>
                <w:w w:val="95"/>
              </w:rPr>
              <w:t>Convertible Note and Warrant Purchase Agreement, dated February 10, 2010,</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by and among Capnia, Inc. and the investors named therein.</w:t>
            </w: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6200" w:type="dxa"/>
            <w:vAlign w:val="bottom"/>
          </w:tcPr>
          <w:p>
            <w:pPr>
              <w:ind w:left="240"/>
              <w:spacing w:after="0"/>
              <w:rPr>
                <w:sz w:val="20"/>
                <w:szCs w:val="20"/>
                <w:color w:val="auto"/>
              </w:rPr>
            </w:pPr>
            <w:r>
              <w:rPr>
                <w:rFonts w:ascii="Arial" w:cs="Arial" w:eastAsia="Arial" w:hAnsi="Arial"/>
                <w:sz w:val="18"/>
                <w:szCs w:val="18"/>
                <w:color w:val="auto"/>
              </w:rPr>
              <w:t>Amendment No. 1 to Convertible Note and Warrant Purchase Agreement,</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16"/>
        </w:trPr>
        <w:tc>
          <w:tcPr>
            <w:tcW w:w="64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Convertible Promissory Notes and Warrants to Purchase Shares, dated</w:t>
            </w: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November 10, 2010, by and among Capnia, Inc. and the investors named</w:t>
            </w:r>
          </w:p>
        </w:tc>
        <w:tc>
          <w:tcPr>
            <w:tcW w:w="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therein.</w:t>
            </w: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380"/>
          </w:cols>
          <w:pgMar w:left="280" w:top="738" w:right="239" w:bottom="1440" w:gutter="0" w:footer="0" w:header="0"/>
          <w:type w:val="continuous"/>
        </w:sectPr>
      </w:pPr>
    </w:p>
    <w:p>
      <w:pPr>
        <w:spacing w:after="0"/>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2010 Equity Incentive Plan and forms of agreements thereunder.</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2014 Equity Incentive Plan and forms of agreements thereunder.</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2014 Employee Stock Purchase Plan and forms of agreements thereunder.</w:t>
      </w:r>
    </w:p>
    <w:p>
      <w:pPr>
        <w:spacing w:after="0" w:line="63" w:lineRule="exact"/>
        <w:rPr>
          <w:sz w:val="20"/>
          <w:szCs w:val="20"/>
          <w:color w:val="auto"/>
        </w:rPr>
      </w:pPr>
    </w:p>
    <w:p>
      <w:pPr>
        <w:ind w:left="880" w:right="60" w:hanging="890"/>
        <w:spacing w:after="0" w:line="277" w:lineRule="auto"/>
        <w:tabs>
          <w:tab w:leader="none" w:pos="8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Offer Letter, dated June 22, 2007, by and between Capnia, Inc. and Ernest Mario, Ph.D.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55" w:lineRule="exact"/>
        <w:rPr>
          <w:sz w:val="20"/>
          <w:szCs w:val="20"/>
          <w:color w:val="auto"/>
        </w:rPr>
      </w:pPr>
    </w:p>
    <w:p>
      <w:pPr>
        <w:sectPr>
          <w:pgSz w:w="11900" w:h="16838" w:orient="portrait"/>
          <w:cols w:equalWidth="0" w:num="2">
            <w:col w:w="6280" w:space="720"/>
            <w:col w:w="4380"/>
          </w:cols>
          <w:pgMar w:left="28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10.17</w:t>
            </w:r>
          </w:p>
        </w:tc>
        <w:tc>
          <w:tcPr>
            <w:tcW w:w="6200" w:type="dxa"/>
            <w:vAlign w:val="bottom"/>
          </w:tcPr>
          <w:p>
            <w:pPr>
              <w:ind w:left="240"/>
              <w:spacing w:after="0"/>
              <w:rPr>
                <w:sz w:val="20"/>
                <w:szCs w:val="20"/>
                <w:color w:val="auto"/>
              </w:rPr>
            </w:pPr>
            <w:r>
              <w:rPr>
                <w:rFonts w:ascii="Arial" w:cs="Arial" w:eastAsia="Arial" w:hAnsi="Arial"/>
                <w:sz w:val="18"/>
                <w:szCs w:val="18"/>
                <w:color w:val="auto"/>
                <w:w w:val="94"/>
              </w:rPr>
              <w:t>Employment Agreement, dated April 6, 2010, by and between Capnia, Inc. and</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6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40" w:type="dxa"/>
            <w:vAlign w:val="bottom"/>
          </w:tcPr>
          <w:p>
            <w:pPr>
              <w:spacing w:after="0"/>
              <w:rPr>
                <w:sz w:val="20"/>
                <w:szCs w:val="20"/>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Anish Bhatnagar.</w:t>
            </w: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10.18</w:t>
            </w:r>
          </w:p>
        </w:tc>
        <w:tc>
          <w:tcPr>
            <w:tcW w:w="6200" w:type="dxa"/>
            <w:vAlign w:val="bottom"/>
          </w:tcPr>
          <w:p>
            <w:pPr>
              <w:ind w:left="240"/>
              <w:spacing w:after="0"/>
              <w:rPr>
                <w:sz w:val="20"/>
                <w:szCs w:val="20"/>
                <w:color w:val="auto"/>
              </w:rPr>
            </w:pPr>
            <w:r>
              <w:rPr>
                <w:rFonts w:ascii="Arial" w:cs="Arial" w:eastAsia="Arial" w:hAnsi="Arial"/>
                <w:sz w:val="18"/>
                <w:szCs w:val="18"/>
                <w:color w:val="auto"/>
                <w:w w:val="95"/>
              </w:rPr>
              <w:t>Offer Letter, dated May 29, 2013, between Capnia, Inc. and Anthony Wondka.</w:t>
            </w: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6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86"/>
        </w:trPr>
        <w:tc>
          <w:tcPr>
            <w:tcW w:w="640" w:type="dxa"/>
            <w:vAlign w:val="bottom"/>
          </w:tcPr>
          <w:p>
            <w:pPr>
              <w:spacing w:after="0"/>
              <w:rPr>
                <w:sz w:val="24"/>
                <w:szCs w:val="24"/>
                <w:color w:val="auto"/>
              </w:rPr>
            </w:pPr>
          </w:p>
        </w:tc>
        <w:tc>
          <w:tcPr>
            <w:tcW w:w="6200" w:type="dxa"/>
            <w:vAlign w:val="bottom"/>
          </w:tcPr>
          <w:p>
            <w:pPr>
              <w:jc w:val="right"/>
              <w:ind w:right="99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80"/>
          </w:cols>
          <w:pgMar w:left="280" w:top="738" w:right="239" w:bottom="1440" w:gutter="0" w:footer="0" w:header="0"/>
          <w:type w:val="continuous"/>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r>
      <w:tr>
        <w:trPr>
          <w:trHeight w:val="162"/>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Registrant’s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700" w:type="dxa"/>
            <w:vAlign w:val="bottom"/>
          </w:tcPr>
          <w:p>
            <w:pPr>
              <w:ind w:left="208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Form</w:t>
            </w:r>
          </w:p>
        </w:tc>
        <w:tc>
          <w:tcPr>
            <w:tcW w:w="16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380"/>
          </w:cols>
          <w:pgMar w:left="280" w:top="738" w:right="239" w:bottom="1440" w:gutter="0" w:footer="0" w:header="0"/>
        </w:sectPr>
      </w:pPr>
    </w:p>
    <w:p>
      <w:pPr>
        <w:ind w:left="880" w:right="140" w:hanging="877"/>
        <w:spacing w:after="0" w:line="277"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Offer Letter, dated April 17, 2014, by and between Capnia, Inc. and Antoun Nabhan.</w:t>
      </w:r>
    </w:p>
    <w:p>
      <w:pPr>
        <w:spacing w:after="0" w:line="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Asset Purchase Agreement dated May 11, 2010, by and between Capnia,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and BioMedical Drug Development Inc.</w:t>
      </w:r>
    </w:p>
    <w:p>
      <w:pPr>
        <w:spacing w:after="0" w:line="49" w:lineRule="exact"/>
        <w:rPr>
          <w:sz w:val="20"/>
          <w:szCs w:val="20"/>
          <w:color w:val="auto"/>
        </w:rPr>
      </w:pPr>
    </w:p>
    <w:p>
      <w:pPr>
        <w:ind w:left="880" w:hanging="877"/>
        <w:spacing w:after="0" w:line="298"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Convertible Note and Warrant Purchase Agreement, dated February 10, 2010, by and among Capnia, Inc. and the investors named therein.</w:t>
      </w:r>
    </w:p>
    <w:p>
      <w:pPr>
        <w:spacing w:after="0" w:line="1" w:lineRule="exact"/>
        <w:rPr>
          <w:sz w:val="20"/>
          <w:szCs w:val="20"/>
          <w:color w:val="auto"/>
        </w:rPr>
      </w:pPr>
    </w:p>
    <w:p>
      <w:pPr>
        <w:ind w:left="880" w:right="280" w:hanging="877"/>
        <w:spacing w:after="0" w:line="259" w:lineRule="auto"/>
        <w:tabs>
          <w:tab w:leader="none" w:pos="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1 to Convertible Note and Warrant Purchase Agreement, Convertible Promissory Notes and Warrants to Purchase Shares, dated November 10, 2010, by and among Capnia, Inc. and the investors named therein.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r>
    </w:tbl>
    <w:p>
      <w:pPr>
        <w:spacing w:after="0" w:line="688" w:lineRule="exact"/>
        <w:rPr>
          <w:sz w:val="20"/>
          <w:szCs w:val="20"/>
          <w:color w:val="auto"/>
        </w:rPr>
      </w:pPr>
    </w:p>
    <w:p>
      <w:pPr>
        <w:sectPr>
          <w:pgSz w:w="11900" w:h="16838" w:orient="portrait"/>
          <w:cols w:equalWidth="0" w:num="2">
            <w:col w:w="6480" w:space="440"/>
            <w:col w:w="4460"/>
          </w:cols>
          <w:pgMar w:left="28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10.23</w:t>
            </w:r>
          </w:p>
        </w:tc>
        <w:tc>
          <w:tcPr>
            <w:tcW w:w="6020" w:type="dxa"/>
            <w:vAlign w:val="bottom"/>
          </w:tcPr>
          <w:p>
            <w:pPr>
              <w:ind w:left="240"/>
              <w:spacing w:after="0"/>
              <w:rPr>
                <w:sz w:val="20"/>
                <w:szCs w:val="20"/>
                <w:color w:val="auto"/>
              </w:rPr>
            </w:pPr>
            <w:r>
              <w:rPr>
                <w:rFonts w:ascii="Arial" w:cs="Arial" w:eastAsia="Arial" w:hAnsi="Arial"/>
                <w:sz w:val="18"/>
                <w:szCs w:val="18"/>
                <w:color w:val="auto"/>
                <w:w w:val="98"/>
              </w:rPr>
              <w:t>Amendment No. 2 to Convertible Note and Warrant Purchase Agreement,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16"/>
        </w:trPr>
        <w:tc>
          <w:tcPr>
            <w:tcW w:w="64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Convertible Promissory Notes and Warrants to Purchase Shares, dated</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1"/>
              </w:rPr>
              <w:t>January 17, 2012, by and among Capnia, Inc.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10.24</w:t>
            </w:r>
          </w:p>
        </w:tc>
        <w:tc>
          <w:tcPr>
            <w:tcW w:w="6020" w:type="dxa"/>
            <w:vAlign w:val="bottom"/>
          </w:tcPr>
          <w:p>
            <w:pPr>
              <w:ind w:left="240"/>
              <w:spacing w:after="0"/>
              <w:rPr>
                <w:sz w:val="20"/>
                <w:szCs w:val="20"/>
                <w:color w:val="auto"/>
              </w:rPr>
            </w:pPr>
            <w:r>
              <w:rPr>
                <w:rFonts w:ascii="Arial" w:cs="Arial" w:eastAsia="Arial" w:hAnsi="Arial"/>
                <w:sz w:val="18"/>
                <w:szCs w:val="18"/>
                <w:color w:val="auto"/>
                <w:w w:val="93"/>
              </w:rPr>
              <w:t>Convertible Note and Warrant Purchase Agreement, dated January 16,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by and among Capnia, Inc.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10.25</w:t>
            </w:r>
          </w:p>
        </w:tc>
        <w:tc>
          <w:tcPr>
            <w:tcW w:w="6020" w:type="dxa"/>
            <w:vAlign w:val="bottom"/>
          </w:tcPr>
          <w:p>
            <w:pPr>
              <w:ind w:left="240"/>
              <w:spacing w:after="0"/>
              <w:rPr>
                <w:sz w:val="20"/>
                <w:szCs w:val="20"/>
                <w:color w:val="auto"/>
              </w:rPr>
            </w:pPr>
            <w:r>
              <w:rPr>
                <w:rFonts w:ascii="Arial" w:cs="Arial" w:eastAsia="Arial" w:hAnsi="Arial"/>
                <w:sz w:val="18"/>
                <w:szCs w:val="18"/>
                <w:color w:val="auto"/>
                <w:w w:val="93"/>
              </w:rPr>
              <w:t>Omnibus Amendment to Convertible Note and Warrant Purchase Agreement,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64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5"/>
              </w:rPr>
              <w:t>Convertible Promissory Notes and Warrants to Purchase Shares, dated July</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31, 2012, by and among Capnia, Inc.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10.26</w:t>
            </w:r>
          </w:p>
        </w:tc>
        <w:tc>
          <w:tcPr>
            <w:tcW w:w="6020" w:type="dxa"/>
            <w:vAlign w:val="bottom"/>
          </w:tcPr>
          <w:p>
            <w:pPr>
              <w:ind w:left="240"/>
              <w:spacing w:after="0"/>
              <w:rPr>
                <w:sz w:val="20"/>
                <w:szCs w:val="20"/>
                <w:color w:val="auto"/>
              </w:rPr>
            </w:pPr>
            <w:r>
              <w:rPr>
                <w:rFonts w:ascii="Arial" w:cs="Arial" w:eastAsia="Arial" w:hAnsi="Arial"/>
                <w:sz w:val="18"/>
                <w:szCs w:val="18"/>
                <w:color w:val="auto"/>
              </w:rPr>
              <w:t>Omnibus Amendment to Convertible Promissory Notes and Warrants to</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64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6"/>
              </w:rPr>
              <w:t>Purchase Shares, dated April 28, 2014, by and among Capnia, Inc. and the</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10.27</w:t>
            </w:r>
          </w:p>
        </w:tc>
        <w:tc>
          <w:tcPr>
            <w:tcW w:w="6020" w:type="dxa"/>
            <w:vAlign w:val="bottom"/>
          </w:tcPr>
          <w:p>
            <w:pPr>
              <w:ind w:left="240"/>
              <w:spacing w:after="0"/>
              <w:rPr>
                <w:sz w:val="20"/>
                <w:szCs w:val="20"/>
                <w:color w:val="auto"/>
              </w:rPr>
            </w:pPr>
            <w:r>
              <w:rPr>
                <w:rFonts w:ascii="Arial" w:cs="Arial" w:eastAsia="Arial" w:hAnsi="Arial"/>
                <w:sz w:val="18"/>
                <w:szCs w:val="18"/>
                <w:color w:val="auto"/>
                <w:w w:val="94"/>
              </w:rPr>
              <w:t>Convertible Note and Warrant Purchase Agreement, dated April 28, 2014, by</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and among Capnia, Inc.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10.28</w:t>
            </w:r>
          </w:p>
        </w:tc>
        <w:tc>
          <w:tcPr>
            <w:tcW w:w="6020" w:type="dxa"/>
            <w:vAlign w:val="bottom"/>
          </w:tcPr>
          <w:p>
            <w:pPr>
              <w:ind w:left="240"/>
              <w:spacing w:after="0"/>
              <w:rPr>
                <w:sz w:val="20"/>
                <w:szCs w:val="20"/>
                <w:color w:val="auto"/>
              </w:rPr>
            </w:pPr>
            <w:r>
              <w:rPr>
                <w:rFonts w:ascii="Arial" w:cs="Arial" w:eastAsia="Arial" w:hAnsi="Arial"/>
                <w:sz w:val="18"/>
                <w:szCs w:val="18"/>
                <w:color w:val="auto"/>
                <w:w w:val="93"/>
              </w:rPr>
              <w:t>Omnibus Amendment to Convertible Note and Warrant Purchase Agreement,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June 10,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16"/>
        </w:trPr>
        <w:tc>
          <w:tcPr>
            <w:tcW w:w="64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w w:val="91"/>
              </w:rPr>
              <w:t>Convertible Promissory Notes and Warrants to Purchase Shares, dated May 5,</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2014, by and among Capnia, Inc. and the investors named therein.</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10.29</w:t>
            </w:r>
          </w:p>
        </w:tc>
        <w:tc>
          <w:tcPr>
            <w:tcW w:w="6020" w:type="dxa"/>
            <w:vAlign w:val="bottom"/>
          </w:tcPr>
          <w:p>
            <w:pPr>
              <w:ind w:left="240"/>
              <w:spacing w:after="0"/>
              <w:rPr>
                <w:sz w:val="20"/>
                <w:szCs w:val="20"/>
                <w:color w:val="auto"/>
              </w:rPr>
            </w:pPr>
            <w:r>
              <w:rPr>
                <w:rFonts w:ascii="Arial" w:cs="Arial" w:eastAsia="Arial" w:hAnsi="Arial"/>
                <w:sz w:val="18"/>
                <w:szCs w:val="18"/>
                <w:color w:val="auto"/>
                <w:w w:val="93"/>
              </w:rPr>
              <w:t>Sublease, dated May 20, 2014, by and among Capnia, Inc. and Silicon Valley</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1,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Finance Group.</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10.30</w:t>
            </w:r>
          </w:p>
        </w:tc>
        <w:tc>
          <w:tcPr>
            <w:tcW w:w="6020" w:type="dxa"/>
            <w:vAlign w:val="bottom"/>
          </w:tcPr>
          <w:p>
            <w:pPr>
              <w:ind w:left="240"/>
              <w:spacing w:after="0"/>
              <w:rPr>
                <w:sz w:val="20"/>
                <w:szCs w:val="20"/>
                <w:color w:val="auto"/>
              </w:rPr>
            </w:pPr>
            <w:r>
              <w:rPr>
                <w:rFonts w:ascii="Arial" w:cs="Arial" w:eastAsia="Arial" w:hAnsi="Arial"/>
                <w:sz w:val="18"/>
                <w:szCs w:val="18"/>
                <w:color w:val="auto"/>
                <w:w w:val="94"/>
              </w:rPr>
              <w:t>Offer Letter, dated June 24, 2014, by and between Capnia, Inc. and David D.</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22,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O’Toole.</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10.31</w:t>
            </w:r>
          </w:p>
        </w:tc>
        <w:tc>
          <w:tcPr>
            <w:tcW w:w="6020" w:type="dxa"/>
            <w:vAlign w:val="bottom"/>
          </w:tcPr>
          <w:p>
            <w:pPr>
              <w:ind w:left="240"/>
              <w:spacing w:after="0"/>
              <w:rPr>
                <w:sz w:val="20"/>
                <w:szCs w:val="20"/>
                <w:color w:val="auto"/>
              </w:rPr>
            </w:pPr>
            <w:r>
              <w:rPr>
                <w:rFonts w:ascii="Arial" w:cs="Arial" w:eastAsia="Arial" w:hAnsi="Arial"/>
                <w:sz w:val="18"/>
                <w:szCs w:val="18"/>
                <w:color w:val="auto"/>
              </w:rPr>
              <w:t>Loan Agreement by and between Capnia, Inc. and the investors named</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September 29,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therein, dated September 29, 2014.</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10.32</w:t>
            </w:r>
          </w:p>
        </w:tc>
        <w:tc>
          <w:tcPr>
            <w:tcW w:w="6020" w:type="dxa"/>
            <w:vAlign w:val="bottom"/>
          </w:tcPr>
          <w:p>
            <w:pPr>
              <w:ind w:left="240"/>
              <w:spacing w:after="0"/>
              <w:rPr>
                <w:sz w:val="20"/>
                <w:szCs w:val="20"/>
                <w:color w:val="auto"/>
              </w:rPr>
            </w:pPr>
            <w:r>
              <w:rPr>
                <w:rFonts w:ascii="Arial" w:cs="Arial" w:eastAsia="Arial" w:hAnsi="Arial"/>
                <w:sz w:val="18"/>
                <w:szCs w:val="18"/>
                <w:color w:val="auto"/>
                <w:w w:val="92"/>
              </w:rPr>
              <w:t>Revised Second Tranche Closing Notice and Letter Amendment dated August</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November 4,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18, 2014 relating to the August 2014 Notes.</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10.33</w:t>
            </w:r>
          </w:p>
        </w:tc>
        <w:tc>
          <w:tcPr>
            <w:tcW w:w="6020" w:type="dxa"/>
            <w:vAlign w:val="bottom"/>
          </w:tcPr>
          <w:p>
            <w:pPr>
              <w:ind w:left="240"/>
              <w:spacing w:after="0"/>
              <w:rPr>
                <w:sz w:val="20"/>
                <w:szCs w:val="20"/>
                <w:color w:val="auto"/>
              </w:rPr>
            </w:pPr>
            <w:r>
              <w:rPr>
                <w:rFonts w:ascii="Arial" w:cs="Arial" w:eastAsia="Arial" w:hAnsi="Arial"/>
                <w:sz w:val="18"/>
                <w:szCs w:val="18"/>
                <w:color w:val="auto"/>
                <w:w w:val="97"/>
              </w:rPr>
              <w:t>Second Tranche Subsequent Closing Notice and Letter Amendment dated</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November 4,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October 22, 2014 relating to the October 2014 Notes.</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10.34</w:t>
            </w:r>
          </w:p>
        </w:tc>
        <w:tc>
          <w:tcPr>
            <w:tcW w:w="6020" w:type="dxa"/>
            <w:vAlign w:val="bottom"/>
          </w:tcPr>
          <w:p>
            <w:pPr>
              <w:ind w:left="240"/>
              <w:spacing w:after="0"/>
              <w:rPr>
                <w:sz w:val="20"/>
                <w:szCs w:val="20"/>
                <w:color w:val="auto"/>
              </w:rPr>
            </w:pPr>
            <w:r>
              <w:rPr>
                <w:rFonts w:ascii="Arial" w:cs="Arial" w:eastAsia="Arial" w:hAnsi="Arial"/>
                <w:sz w:val="18"/>
                <w:szCs w:val="18"/>
                <w:color w:val="auto"/>
              </w:rPr>
              <w:t>Form of Warrant Exercise Agreement.</w:t>
            </w:r>
          </w:p>
        </w:tc>
        <w:tc>
          <w:tcPr>
            <w:tcW w:w="820" w:type="dxa"/>
            <w:vAlign w:val="bottom"/>
          </w:tcPr>
          <w:p>
            <w:pPr>
              <w:jc w:val="center"/>
              <w:spacing w:after="0"/>
              <w:rPr>
                <w:sz w:val="20"/>
                <w:szCs w:val="20"/>
                <w:color w:val="auto"/>
              </w:rPr>
            </w:pPr>
            <w:r>
              <w:rPr>
                <w:rFonts w:ascii="Arial" w:cs="Arial" w:eastAsia="Arial" w:hAnsi="Arial"/>
                <w:sz w:val="18"/>
                <w:szCs w:val="18"/>
                <w:color w:val="auto"/>
              </w:rPr>
              <w:t>8-K/A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2"/>
              </w:rPr>
              <w:t>March 6,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10.35</w:t>
            </w:r>
          </w:p>
        </w:tc>
        <w:tc>
          <w:tcPr>
            <w:tcW w:w="6020" w:type="dxa"/>
            <w:vAlign w:val="bottom"/>
          </w:tcPr>
          <w:p>
            <w:pPr>
              <w:ind w:left="240"/>
              <w:spacing w:after="0"/>
              <w:rPr>
                <w:sz w:val="20"/>
                <w:szCs w:val="20"/>
                <w:color w:val="auto"/>
              </w:rPr>
            </w:pPr>
            <w:r>
              <w:rPr>
                <w:rFonts w:ascii="Arial" w:cs="Arial" w:eastAsia="Arial" w:hAnsi="Arial"/>
                <w:sz w:val="18"/>
                <w:szCs w:val="18"/>
                <w:color w:val="auto"/>
                <w:w w:val="98"/>
              </w:rPr>
              <w:t>Advisory Agreement by and between Capnia, Inc. and Maxim Group LLC,</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April 1,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dated March 4, 2015.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10.36</w:t>
            </w:r>
          </w:p>
        </w:tc>
        <w:tc>
          <w:tcPr>
            <w:tcW w:w="6020" w:type="dxa"/>
            <w:vAlign w:val="bottom"/>
          </w:tcPr>
          <w:p>
            <w:pPr>
              <w:ind w:left="240"/>
              <w:spacing w:after="0"/>
              <w:rPr>
                <w:sz w:val="20"/>
                <w:szCs w:val="20"/>
                <w:color w:val="auto"/>
              </w:rPr>
            </w:pPr>
            <w:r>
              <w:rPr>
                <w:rFonts w:ascii="Arial" w:cs="Arial" w:eastAsia="Arial" w:hAnsi="Arial"/>
                <w:sz w:val="18"/>
                <w:szCs w:val="18"/>
                <w:color w:val="auto"/>
                <w:w w:val="94"/>
              </w:rPr>
              <w:t>Agreement and First Amendment to Asset Purchase Agreement between the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Company, BDDI and affiliate of BDDI, dated June 30, 2015.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10.37</w:t>
            </w:r>
          </w:p>
        </w:tc>
        <w:tc>
          <w:tcPr>
            <w:tcW w:w="6020" w:type="dxa"/>
            <w:vAlign w:val="bottom"/>
          </w:tcPr>
          <w:p>
            <w:pPr>
              <w:ind w:left="240"/>
              <w:spacing w:after="0"/>
              <w:rPr>
                <w:sz w:val="20"/>
                <w:szCs w:val="20"/>
                <w:color w:val="auto"/>
              </w:rPr>
            </w:pPr>
            <w:r>
              <w:rPr>
                <w:rFonts w:ascii="Arial" w:cs="Arial" w:eastAsia="Arial" w:hAnsi="Arial"/>
                <w:sz w:val="18"/>
                <w:szCs w:val="18"/>
                <w:color w:val="auto"/>
                <w:w w:val="92"/>
              </w:rPr>
              <w:t>Common Stock Purchase Agreement between the Company and an affiliate of</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BDDI, dated June 30, 2015.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10.38</w:t>
            </w:r>
          </w:p>
        </w:tc>
        <w:tc>
          <w:tcPr>
            <w:tcW w:w="6020" w:type="dxa"/>
            <w:vAlign w:val="bottom"/>
          </w:tcPr>
          <w:p>
            <w:pPr>
              <w:ind w:left="240"/>
              <w:spacing w:after="0"/>
              <w:rPr>
                <w:sz w:val="20"/>
                <w:szCs w:val="20"/>
                <w:color w:val="auto"/>
              </w:rPr>
            </w:pPr>
            <w:r>
              <w:rPr>
                <w:rFonts w:ascii="Arial" w:cs="Arial" w:eastAsia="Arial" w:hAnsi="Arial"/>
                <w:sz w:val="18"/>
                <w:szCs w:val="18"/>
                <w:color w:val="auto"/>
                <w:w w:val="98"/>
              </w:rPr>
              <w:t>Registration Rights Agreement between the Company and Aspire Capital</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27, 2015</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Fund, LLC, dated July 24, 2015.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10.39</w:t>
            </w:r>
          </w:p>
        </w:tc>
        <w:tc>
          <w:tcPr>
            <w:tcW w:w="6020" w:type="dxa"/>
            <w:vAlign w:val="bottom"/>
          </w:tcPr>
          <w:p>
            <w:pPr>
              <w:ind w:left="240"/>
              <w:spacing w:after="0"/>
              <w:rPr>
                <w:sz w:val="20"/>
                <w:szCs w:val="20"/>
                <w:color w:val="auto"/>
              </w:rPr>
            </w:pPr>
            <w:r>
              <w:rPr>
                <w:rFonts w:ascii="Arial" w:cs="Arial" w:eastAsia="Arial" w:hAnsi="Arial"/>
                <w:sz w:val="18"/>
                <w:szCs w:val="18"/>
                <w:color w:val="auto"/>
              </w:rPr>
              <w:t>Common Stock Purchase Agreement between the Company and Aspire</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Capital Fund, LLC, dated July 24, 2015.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56"/>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10.40</w:t>
            </w:r>
          </w:p>
        </w:tc>
        <w:tc>
          <w:tcPr>
            <w:tcW w:w="6020" w:type="dxa"/>
            <w:vAlign w:val="bottom"/>
          </w:tcPr>
          <w:p>
            <w:pPr>
              <w:ind w:left="240"/>
              <w:spacing w:after="0"/>
              <w:rPr>
                <w:sz w:val="20"/>
                <w:szCs w:val="20"/>
                <w:color w:val="auto"/>
              </w:rPr>
            </w:pPr>
            <w:r>
              <w:rPr>
                <w:rFonts w:ascii="Arial" w:cs="Arial" w:eastAsia="Arial" w:hAnsi="Arial"/>
                <w:sz w:val="18"/>
                <w:szCs w:val="18"/>
                <w:color w:val="auto"/>
                <w:w w:val="98"/>
              </w:rPr>
              <w:t>Engagement Letter dated September 17, 2015, between Capnia, Inc. and</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October 15, 2015</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0" w:type="dxa"/>
            <w:vAlign w:val="bottom"/>
          </w:tcPr>
          <w:p>
            <w:pPr>
              <w:spacing w:after="0"/>
              <w:rPr>
                <w:sz w:val="20"/>
                <w:szCs w:val="20"/>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Maxim Group, LLC.</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640" w:type="dxa"/>
            <w:vAlign w:val="bottom"/>
          </w:tcPr>
          <w:p>
            <w:pPr>
              <w:jc w:val="right"/>
              <w:ind w:right="150"/>
              <w:spacing w:after="0"/>
              <w:rPr>
                <w:sz w:val="20"/>
                <w:szCs w:val="20"/>
                <w:color w:val="auto"/>
              </w:rPr>
            </w:pPr>
            <w:r>
              <w:rPr>
                <w:rFonts w:ascii="Arial" w:cs="Arial" w:eastAsia="Arial" w:hAnsi="Arial"/>
                <w:sz w:val="18"/>
                <w:szCs w:val="18"/>
                <w:color w:val="auto"/>
                <w:w w:val="84"/>
              </w:rPr>
              <w:t>10.41</w:t>
            </w:r>
          </w:p>
        </w:tc>
        <w:tc>
          <w:tcPr>
            <w:tcW w:w="6020" w:type="dxa"/>
            <w:vAlign w:val="bottom"/>
          </w:tcPr>
          <w:p>
            <w:pPr>
              <w:ind w:left="240"/>
              <w:spacing w:after="0"/>
              <w:rPr>
                <w:sz w:val="20"/>
                <w:szCs w:val="20"/>
                <w:color w:val="auto"/>
              </w:rPr>
            </w:pPr>
            <w:r>
              <w:rPr>
                <w:rFonts w:ascii="Arial" w:cs="Arial" w:eastAsia="Arial" w:hAnsi="Arial"/>
                <w:sz w:val="18"/>
                <w:szCs w:val="18"/>
                <w:color w:val="auto"/>
              </w:rPr>
              <w:t>Securities Purchase Agreement dated October 12, 2015.</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October 15,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ectPr>
          <w:pgSz w:w="11900" w:h="16838" w:orient="portrait"/>
          <w:cols w:equalWidth="0" w:num="1">
            <w:col w:w="11380"/>
          </w:cols>
          <w:pgMar w:left="280" w:top="738" w:right="239" w:bottom="1440" w:gutter="0" w:footer="0" w:header="0"/>
          <w:type w:val="continuous"/>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80"/>
          </w:cols>
          <w:pgMar w:left="280" w:top="738" w:right="239" w:bottom="1440" w:gutter="0" w:footer="0" w:header="0"/>
          <w:type w:val="continuous"/>
        </w:sectPr>
      </w:pPr>
    </w:p>
    <w:bookmarkStart w:id="74" w:name="page75"/>
    <w:bookmarkEnd w:id="74"/>
    <w:tbl>
      <w:tblPr>
        <w:tblLayout w:type="fixed"/>
        <w:tblInd w:w="5"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7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Registrant’s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Date Filed</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720" w:type="dxa"/>
            <w:vAlign w:val="bottom"/>
          </w:tcPr>
          <w:p>
            <w:pPr>
              <w:ind w:left="210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Form</w:t>
            </w:r>
          </w:p>
        </w:tc>
        <w:tc>
          <w:tcPr>
            <w:tcW w:w="14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Number</w:t>
            </w:r>
          </w:p>
        </w:tc>
        <w:tc>
          <w:tcPr>
            <w:tcW w:w="102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rPr>
                <w:sz w:val="20"/>
                <w:szCs w:val="20"/>
                <w:color w:val="auto"/>
              </w:rPr>
            </w:pPr>
            <w:r>
              <w:rPr>
                <w:rFonts w:ascii="Arial" w:cs="Arial" w:eastAsia="Arial" w:hAnsi="Arial"/>
                <w:sz w:val="18"/>
                <w:szCs w:val="18"/>
                <w:color w:val="auto"/>
                <w:w w:val="97"/>
              </w:rPr>
              <w:t>10.42</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Form of Registration Rights Agreement.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w w:val="97"/>
              </w:rPr>
              <w:t>10.43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Form of Lock-Up Agreement.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10.44</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1"/>
              </w:rPr>
              <w:t>Amendment No. 1 to Securities Purchase Agreement dated October 29, 2015.</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22,</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10.45</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2"/>
              </w:rPr>
              <w:t>Transfer and Distribution Agreement: United States: by and between Capnia,</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28,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Inc. and Bemes, Inc. signed January 26, 2016.</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10.46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5"/>
              </w:rPr>
              <w:t>Engagement Letter dated June 26, 2016, between Capnia, Inc. and Maxim</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Group, LLC.</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w w:val="97"/>
              </w:rPr>
              <w:t>10.47</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Securities Purchase Agreement dated June 29, 2016.</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w w:val="97"/>
              </w:rPr>
              <w:t>10.48</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Form of Registration Rights Agreement dated June 29, 2016.</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10.49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5"/>
              </w:rPr>
              <w:t>Amendment No. 1 to Securities Purchase Agreement dated September 20,</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23,</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10.50</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0"/>
              </w:rPr>
              <w:t>Agreement and Plan of Merger and Reorganization, dated as of December 22,</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27,</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2"/>
              </w:rPr>
              <w:t>2016, by and among Capnia, Inc., a Delaware corporation, Essentialis, Inc., a</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3"/>
              </w:rPr>
              <w:t>Delaware corporation, Company E Merger Sub, Inc., a Delaware corporation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and a wholly-owned subsidiary of Capnia, and Neil Cowen as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stockholders’ representative.</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10.51</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7"/>
              </w:rPr>
              <w:t>Registration Rights Agreement between the Company and Aspire Capital</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February 1, 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Fund, LLC, dated January 27, 2017.</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10.52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9"/>
              </w:rPr>
              <w:t>Common Stock Purchase Agreement between the Company and Aspire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February 1, 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Capital Fund, LLC, dated January 27, 2017.</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10.53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89"/>
              </w:rPr>
              <w:t>Stock Purchase Agreement made by and between the Company and NeoForce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July 24, 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Holdings, Inc. a Delaware corporation dated July 18, 2017</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6"/>
              </w:rPr>
              <w:t>Certification of Principal Executive Officer Required Under Rule 13a-14(a)</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and 15d-14(a) of the Securities Exchange Act of 1934, as amended.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7"/>
              </w:rPr>
              <w:t>Certification of Principal Financial Officer Required Under Rule 13a-14(a)</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and 15d-14(a) of the Securities Exchange Act of 1934, as amended.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8"/>
              </w:rPr>
              <w:t>Certification of Principal Executive Officer and Principal Financial Officer</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w w:val="95"/>
              </w:rPr>
              <w:t>Required Under Rule 13a-14(b) of the Securities Exchange Act of 1934, as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amended, and 18 U.S.C. §1350.</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7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7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7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7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7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7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885" w:right="160" w:hanging="885"/>
        <w:spacing w:after="0" w:line="259" w:lineRule="auto"/>
        <w:tabs>
          <w:tab w:leader="none" w:pos="8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Capnia,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5"/>
          </w:cols>
          <w:pgMar w:left="275" w:top="73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40" w:hanging="4"/>
        <w:spacing w:after="0" w:line="342" w:lineRule="auto"/>
        <w:tabs>
          <w:tab w:leader="none" w:pos="9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80" w:hanging="4"/>
        <w:spacing w:after="0" w:line="264" w:lineRule="auto"/>
        <w:tabs>
          <w:tab w:leader="none" w:pos="9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80" w:hanging="4"/>
        <w:spacing w:after="0" w:line="277" w:lineRule="auto"/>
        <w:tabs>
          <w:tab w:leader="none" w:pos="9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OToole,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40" w:hanging="4"/>
        <w:spacing w:after="0" w:line="342" w:lineRule="auto"/>
        <w:tabs>
          <w:tab w:leader="none" w:pos="90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80" w:hanging="4"/>
        <w:spacing w:after="0" w:line="264" w:lineRule="auto"/>
        <w:tabs>
          <w:tab w:leader="none" w:pos="9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80" w:hanging="4"/>
        <w:spacing w:after="0" w:line="277" w:lineRule="auto"/>
        <w:tabs>
          <w:tab w:leader="none" w:pos="91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D. O’Toole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Soleno Therapetics, Inc. (formerly known as Capnia, Inc.) (the “Company”) on Form 10-Q for the fiscal quarter ended June 30, 2017, as filed with the Securities and Exchange Commission (the “Report”), Anish Bhatnagar, President, Chief Executive Officer of the Company, and David D. O’Toole, Chief Financial Officer of the Company, respectively, do each hereby certify, pursuant to 18 U.S.C. Section 1350, as adopted pursuant to Section 906 of the Sarbanes-Oxley Act of 2002, that:</w:t>
      </w:r>
    </w:p>
    <w:p>
      <w:pPr>
        <w:spacing w:after="0" w:line="25" w:lineRule="exact"/>
        <w:rPr>
          <w:sz w:val="20"/>
          <w:szCs w:val="20"/>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1960" w:right="540" w:hanging="655"/>
        <w:spacing w:after="0" w:line="277"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610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David D. O’Toole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2019-12-29T05:06:17Z</dcterms:created>
  <dcterms:modified xsi:type="dcterms:W3CDTF">2019-12-29T05:06:17Z</dcterms:modified>
</cp:coreProperties>
</file>