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00" w:right="260" w:hanging="492"/>
        <w:spacing w:after="0" w:line="237"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2020</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00" w:right="24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980" w:type="dxa"/>
            <w:vAlign w:val="bottom"/>
          </w:tcPr>
          <w:p>
            <w:pPr>
              <w:jc w:val="center"/>
              <w:ind w:left="158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7"/>
                <w:szCs w:val="17"/>
                <w:b w:val="1"/>
                <w:bCs w:val="1"/>
                <w:color w:val="auto"/>
                <w:w w:val="99"/>
              </w:rPr>
              <w:t>77-0523891</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80" w:type="dxa"/>
            <w:vAlign w:val="bottom"/>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203 Redwood Shores Parkway, Suite 500</w:t>
            </w: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w w:val="99"/>
              </w:rPr>
              <w:t>Redwood City, California</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2560" w:type="dxa"/>
            <w:vAlign w:val="bottom"/>
            <w:gridSpan w:val="3"/>
          </w:tcPr>
          <w:p>
            <w:pPr>
              <w:jc w:val="right"/>
              <w:ind w:right="625"/>
              <w:spacing w:after="0"/>
              <w:rPr>
                <w:sz w:val="20"/>
                <w:szCs w:val="20"/>
                <w:color w:val="auto"/>
              </w:rPr>
            </w:pPr>
            <w:r>
              <w:rPr>
                <w:rFonts w:ascii="Times New Roman" w:cs="Times New Roman" w:eastAsia="Times New Roman" w:hAnsi="Times New Roman"/>
                <w:sz w:val="17"/>
                <w:szCs w:val="17"/>
                <w:b w:val="1"/>
                <w:bCs w:val="1"/>
                <w:color w:val="auto"/>
              </w:rPr>
              <w:t>94065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1"/>
                <w:szCs w:val="21"/>
                <w:color w:val="auto"/>
              </w:rPr>
            </w:pPr>
          </w:p>
        </w:tc>
        <w:tc>
          <w:tcPr>
            <w:tcW w:w="2560" w:type="dxa"/>
            <w:vAlign w:val="bottom"/>
            <w:gridSpan w:val="3"/>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98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5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6"/>
        </w:trPr>
        <w:tc>
          <w:tcPr>
            <w:tcW w:w="3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jc w:val="center"/>
              <w:ind w:right="74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9"/>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t>
            </w:r>
          </w:p>
        </w:tc>
        <w:tc>
          <w:tcPr>
            <w:tcW w:w="820" w:type="dxa"/>
            <w:vAlign w:val="bottom"/>
            <w:tcBorders>
              <w:bottom w:val="single" w:sz="8" w:color="auto"/>
            </w:tcBorders>
            <w:gridSpan w:val="2"/>
          </w:tcPr>
          <w:p>
            <w:pPr>
              <w:spacing w:after="0"/>
              <w:rPr>
                <w:sz w:val="18"/>
                <w:szCs w:val="18"/>
                <w:color w:val="auto"/>
              </w:rPr>
            </w:pPr>
          </w:p>
        </w:tc>
        <w:tc>
          <w:tcPr>
            <w:tcW w:w="390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w w:val="99"/>
              </w:rPr>
              <w:t>NASDAQ</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140" w:firstLine="51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ind w:right="360" w:firstLine="51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right="480" w:firstLine="51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0" w:lineRule="exact"/>
        <w:rPr>
          <w:sz w:val="24"/>
          <w:szCs w:val="24"/>
          <w:color w:val="auto"/>
        </w:rPr>
      </w:pPr>
    </w:p>
    <w:p>
      <w:pPr>
        <w:ind w:right="120" w:firstLine="51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520" w:right="312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8, 2020, there were </w:t>
      </w:r>
      <w:r>
        <w:rPr>
          <w:rFonts w:ascii="Times New Roman" w:cs="Times New Roman" w:eastAsia="Times New Roman" w:hAnsi="Times New Roman"/>
          <w:sz w:val="14"/>
          <w:szCs w:val="14"/>
          <w:u w:val="single" w:color="auto"/>
          <w:color w:val="auto"/>
        </w:rPr>
        <w:t>44,710,790</w:t>
      </w:r>
      <w:r>
        <w:rPr>
          <w:rFonts w:ascii="Times New Roman" w:cs="Times New Roman" w:eastAsia="Times New Roman" w:hAnsi="Times New Roman"/>
          <w:sz w:val="14"/>
          <w:szCs w:val="14"/>
          <w:color w:val="auto"/>
        </w:rPr>
        <w:t xml:space="preserve"> shares of the registrant’s Common Stock, par value $0.001 per share, outstanding</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62" w:right="3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I—FINANCIAL INFORMATION</w:t>
              </w:r>
            </w:hyperlink>
          </w:p>
        </w:tc>
        <w:tc>
          <w:tcPr>
            <w:tcW w:w="21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9140" w:type="dxa"/>
            <w:vAlign w:val="bottom"/>
            <w:vMerge w:val="continue"/>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140" w:type="dxa"/>
            <w:vAlign w:val="bottom"/>
          </w:tcPr>
          <w:p>
            <w:pPr>
              <w:ind w:left="8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140" w:type="dxa"/>
            <w:vAlign w:val="bottom"/>
          </w:tcPr>
          <w:p>
            <w:pPr>
              <w:ind w:left="8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 (unaudited)</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140" w:type="dxa"/>
            <w:vAlign w:val="bottom"/>
          </w:tcPr>
          <w:p>
            <w:pPr>
              <w:ind w:left="8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Stockholders’ Equity (unaudited)</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140" w:type="dxa"/>
            <w:vAlign w:val="bottom"/>
          </w:tcPr>
          <w:p>
            <w:pPr>
              <w:ind w:left="8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Cash Flows (unaudited)</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140" w:type="dxa"/>
            <w:vAlign w:val="bottom"/>
          </w:tcPr>
          <w:p>
            <w:pPr>
              <w:ind w:left="8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2"/>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4. Controls and Procedures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0"/>
        </w:trPr>
        <w:tc>
          <w:tcPr>
            <w:tcW w:w="91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1">
              <w:r>
                <w:rPr>
                  <w:rFonts w:ascii="Times New Roman" w:cs="Times New Roman" w:eastAsia="Times New Roman" w:hAnsi="Times New Roman"/>
                  <w:sz w:val="18"/>
                  <w:szCs w:val="18"/>
                  <w:b w:val="1"/>
                  <w:bCs w:val="1"/>
                  <w:u w:val="single" w:color="auto"/>
                  <w:color w:val="0000EE"/>
                </w:rPr>
                <w:t>PART II—OTHER INFORMATION</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1. Legal Proceedings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1A. Risk Factors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3. Defaults Upon Senior Securities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4. Mine Safety Disclosures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5. Other Information</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2"/>
        </w:trPr>
        <w:tc>
          <w:tcPr>
            <w:tcW w:w="9140" w:type="dxa"/>
            <w:vAlign w:val="bottom"/>
          </w:tcPr>
          <w:p>
            <w:pPr>
              <w:ind w:left="4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Item 6. Exhibits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1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3">
              <w:r>
                <w:rPr>
                  <w:rFonts w:ascii="Times New Roman" w:cs="Times New Roman" w:eastAsia="Times New Roman" w:hAnsi="Times New Roman"/>
                  <w:sz w:val="18"/>
                  <w:szCs w:val="18"/>
                  <w:b w:val="1"/>
                  <w:bCs w:val="1"/>
                  <w:u w:val="single" w:color="auto"/>
                  <w:color w:val="0000EE"/>
                </w:rPr>
                <w:t>EXHIBIT INDEX</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8"/>
        </w:trPr>
        <w:tc>
          <w:tcPr>
            <w:tcW w:w="91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SIGNATURES</w:t>
              </w:r>
            </w:hyperlink>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763"/>
        </w:trPr>
        <w:tc>
          <w:tcPr>
            <w:tcW w:w="9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08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2"/>
        </w:trPr>
        <w:tc>
          <w:tcPr>
            <w:tcW w:w="640" w:type="dxa"/>
            <w:vAlign w:val="bottom"/>
          </w:tcPr>
          <w:p>
            <w:pPr>
              <w:spacing w:after="0"/>
              <w:rPr>
                <w:sz w:val="24"/>
                <w:szCs w:val="24"/>
                <w:color w:val="auto"/>
              </w:rPr>
            </w:pPr>
          </w:p>
        </w:tc>
        <w:tc>
          <w:tcPr>
            <w:tcW w:w="708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Soleno Therapeutics, Inc.</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640" w:type="dxa"/>
            <w:vAlign w:val="bottom"/>
          </w:tcPr>
          <w:p>
            <w:pPr>
              <w:spacing w:after="0"/>
              <w:rPr>
                <w:sz w:val="18"/>
                <w:szCs w:val="18"/>
                <w:color w:val="auto"/>
              </w:rPr>
            </w:pPr>
          </w:p>
        </w:tc>
        <w:tc>
          <w:tcPr>
            <w:tcW w:w="70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640" w:type="dxa"/>
            <w:vAlign w:val="bottom"/>
          </w:tcPr>
          <w:p>
            <w:pPr>
              <w:spacing w:after="0"/>
              <w:rPr>
                <w:sz w:val="20"/>
                <w:szCs w:val="20"/>
                <w:color w:val="auto"/>
              </w:rPr>
            </w:pPr>
          </w:p>
        </w:tc>
        <w:tc>
          <w:tcPr>
            <w:tcW w:w="7080" w:type="dxa"/>
            <w:vAlign w:val="bottom"/>
          </w:tcPr>
          <w:p>
            <w:pPr>
              <w:jc w:val="center"/>
              <w:ind w:left="279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9"/>
        </w:trPr>
        <w:tc>
          <w:tcPr>
            <w:tcW w:w="64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0" w:type="dxa"/>
            <w:vAlign w:val="bottom"/>
            <w:tcBorders>
              <w:bottom w:val="single" w:sz="8" w:color="CFF0FC"/>
            </w:tcBorders>
          </w:tcPr>
          <w:p>
            <w:pPr>
              <w:spacing w:after="0"/>
              <w:rPr>
                <w:sz w:val="15"/>
                <w:szCs w:val="15"/>
                <w:color w:val="auto"/>
              </w:rPr>
            </w:pPr>
          </w:p>
        </w:tc>
        <w:tc>
          <w:tcPr>
            <w:tcW w:w="70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FF0FC"/>
            </w:tcBorders>
          </w:tcPr>
          <w:p>
            <w:pPr>
              <w:spacing w:after="0"/>
              <w:rPr>
                <w:sz w:val="19"/>
                <w:szCs w:val="19"/>
                <w:color w:val="auto"/>
              </w:rPr>
            </w:pPr>
          </w:p>
        </w:tc>
      </w:tr>
      <w:tr>
        <w:trPr>
          <w:trHeight w:val="223"/>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r>
      <w:tr>
        <w:trPr>
          <w:trHeight w:val="263"/>
        </w:trPr>
        <w:tc>
          <w:tcPr>
            <w:tcW w:w="640" w:type="dxa"/>
            <w:vAlign w:val="bottom"/>
            <w:tcBorders>
              <w:bottom w:val="single" w:sz="8" w:color="CFF0FC"/>
            </w:tcBorders>
          </w:tcPr>
          <w:p>
            <w:pPr>
              <w:spacing w:after="0"/>
              <w:rPr>
                <w:sz w:val="22"/>
                <w:szCs w:val="22"/>
                <w:color w:val="auto"/>
              </w:rPr>
            </w:pPr>
          </w:p>
        </w:tc>
        <w:tc>
          <w:tcPr>
            <w:tcW w:w="70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32,113</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FF0FC"/>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FF0FC"/>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FF0FC"/>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2017 PIPE Warrant liability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tcPr>
          <w:p>
            <w:pPr>
              <w:spacing w:after="0"/>
              <w:rPr>
                <w:sz w:val="19"/>
                <w:szCs w:val="19"/>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tcPr>
          <w:p>
            <w:pPr>
              <w:spacing w:after="0"/>
              <w:rPr>
                <w:sz w:val="19"/>
                <w:szCs w:val="19"/>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44,686,811 and 44,658,054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2020 and December 31, 2019,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(163,664)</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(157,806)</w:t>
            </w:r>
          </w:p>
        </w:tc>
      </w:tr>
      <w:tr>
        <w:trPr>
          <w:trHeight w:val="223"/>
        </w:trPr>
        <w:tc>
          <w:tcPr>
            <w:tcW w:w="77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minority interest investment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44,679,858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31,756,120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000" w:type="dxa"/>
            <w:vAlign w:val="bottom"/>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3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January 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44,658,054</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172,708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(157,806</w:t>
            </w:r>
          </w:p>
        </w:tc>
        <w:tc>
          <w:tcPr>
            <w:tcW w:w="220" w:type="dxa"/>
            <w:vAlign w:val="bottom"/>
            <w:tcBorders>
              <w:top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 plans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(5,858)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44,686,811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(163,664</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Balances at January 1, 2019</w:t>
            </w:r>
          </w:p>
        </w:tc>
        <w:tc>
          <w:tcPr>
            <w:tcW w:w="1000" w:type="dxa"/>
            <w:vAlign w:val="bottom"/>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3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vMerge w:val="continue"/>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31,755,169</w:t>
            </w:r>
          </w:p>
        </w:tc>
        <w:tc>
          <w:tcPr>
            <w:tcW w:w="22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157,413</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(127,032</w:t>
            </w:r>
          </w:p>
        </w:tc>
        <w:tc>
          <w:tcPr>
            <w:tcW w:w="220" w:type="dxa"/>
            <w:vAlign w:val="bottom"/>
            <w:tcBorders>
              <w:bottom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units under equity incentive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(7,030)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31,776,584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157,661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(5,858)</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stock warrants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(3,413)</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loss on minority interest investment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Due from related party</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paid on finance lease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March 31, 2020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Soleno Therapeutics, Inc. (the “Company” or “Soleno”) was incorporated in the State of Delaware on August 25, 1999, and is located in Redwood City, California. The Company initially established its operations as Capnia, a diversified healthcare company that developed and commercialized innovative diagnostics, devices and therapeutics addressing unmet medical needs. During 2017, Soleno received stockholder approval to amend its Amended and Restated Certificate of Incorporation to change its name from “Capnia, Inc.” to “Soleno Therapeutics, Inc.” and merged with Essentialis, Inc. After the merger, the Company’s primary focus has been the development and commercialization of novel therapeutics for the treatment of rare diseases and the Company divested itself of its prior business efforts.</w:t>
      </w:r>
    </w:p>
    <w:p>
      <w:pPr>
        <w:spacing w:after="0" w:line="79"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The Company’s lead candidate is Diazoxide Choline Controlled Release tablets, or DCCR, once-daily oral tablets for the treatment of Prader-Willi Syndrome, or PWS. DCCR is currently being evaluated in a Phase III clinical development program. The Phase III study (C601 or DESTINY PWS), a 3-month randomized, double-blind placebo-controlled study, completed enrollment in January 2020 with 127 patients at 29 sites in the US and UK. Patients who complete treatment in DESTINY PWS are eligible to receive DCCR for up to 36 months in C602, an open-label extension study. Top line results from DESTINY PWS are expected in 1H2020. DCCR has orphan designation for the treatment of PWS in the United States, or U.S., as well as in the European Union, or E.U.</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 and Management’s Plans</w:t>
      </w:r>
    </w:p>
    <w:p>
      <w:pPr>
        <w:spacing w:after="0" w:line="121" w:lineRule="exact"/>
        <w:rPr>
          <w:sz w:val="20"/>
          <w:szCs w:val="20"/>
          <w:color w:val="auto"/>
        </w:rPr>
      </w:pPr>
    </w:p>
    <w:p>
      <w:pPr>
        <w:ind w:right="40" w:firstLine="510"/>
        <w:spacing w:after="0" w:line="271" w:lineRule="auto"/>
        <w:rPr>
          <w:sz w:val="20"/>
          <w:szCs w:val="20"/>
          <w:color w:val="auto"/>
        </w:rPr>
      </w:pPr>
      <w:r>
        <w:rPr>
          <w:rFonts w:ascii="Times New Roman" w:cs="Times New Roman" w:eastAsia="Times New Roman" w:hAnsi="Times New Roman"/>
          <w:sz w:val="18"/>
          <w:szCs w:val="18"/>
          <w:color w:val="auto"/>
        </w:rPr>
        <w:t>The Company had a net loss of $5.9 million during the three months ended March 31, 2020 and has an accumulated deficit of $163.7 million at March 31, 2020 resulting from having incurred losses since its inception. The Company had $15.1 million of cash on hand at March 31, 2020 and used $5.7 million of cash in its operating activities during the three months ended March 31, 2020. The Company has financed its operations principally through issuances of equity securities.</w:t>
      </w:r>
    </w:p>
    <w:p>
      <w:pPr>
        <w:spacing w:after="0" w:line="17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80" w:lineRule="exact"/>
        <w:rPr>
          <w:sz w:val="20"/>
          <w:szCs w:val="20"/>
          <w:color w:val="auto"/>
        </w:rPr>
      </w:pPr>
    </w:p>
    <w:p>
      <w:pPr>
        <w:ind w:right="200" w:firstLine="510"/>
        <w:spacing w:after="0" w:line="254" w:lineRule="auto"/>
        <w:rPr>
          <w:sz w:val="20"/>
          <w:szCs w:val="20"/>
          <w:color w:val="auto"/>
        </w:rPr>
      </w:pPr>
      <w:r>
        <w:rPr>
          <w:rFonts w:ascii="Times New Roman" w:cs="Times New Roman" w:eastAsia="Times New Roman" w:hAnsi="Times New Roman"/>
          <w:sz w:val="18"/>
          <w:szCs w:val="18"/>
          <w:color w:val="auto"/>
        </w:rPr>
        <w:t>The Company expects to continue incurring losses for the foreseeable future and will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8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during the three months ended March 31, 2020 as compared to the significant accounting policies described in Note 3 of the “Notes to Consolidated Financial Statements” in the Company’s Annual Report on Form 10-K for the year ended December 31, 2019. Below are those policies with current period updates.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2020, are not necessarily indicative of the results that may be expected for any other interim period or for the fiscal year ending December 31, 2020. For further information, refer to the financial statements and footnotes included in the Company’s annual financial statements for the fiscal year ended December 31, 2019, which are included in the Company’s annual report on Form 10-K filed with the SEC on March 4, 2020.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the valuation of contingent liabilities. The contingent liability represents the fair value of the contingent consideration arising from the Company’s acquisition of Essentialis in 2017. As part of the purchase price, the Company is obligated to make cash earn out payments to Essentialis stockholders up to a maximum of $30 million upon the achievement of certain commercial milestones.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The ASU modifies the disclosure requirements for fair value measurements by removing, modifying,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certain disclosures. The Company has adopted this ASU at the beginning of 2020. The adoption did not have a material impact on the Company’s condensed consolidated financial statements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The amendments in this Update are effective for public business entities for fiscal years, and interim periods within those fiscal years, beginning after December 15, 2020. The Company has not yet assessed the potential impact of adopting ASU 2019-12 on its condensed consolidated financial statements.</w:t>
      </w:r>
    </w:p>
    <w:p>
      <w:pPr>
        <w:spacing w:after="0" w:line="185" w:lineRule="exact"/>
        <w:rPr>
          <w:sz w:val="20"/>
          <w:szCs w:val="20"/>
          <w:color w:val="auto"/>
        </w:rPr>
      </w:pPr>
    </w:p>
    <w:p>
      <w:pPr>
        <w:ind w:right="600" w:firstLine="510"/>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2020, other than ASU 2019-12, there have been no new, or existing recently issued, accounting pronouncements that are of significance, or potential significance, that impact the Company’s condensed consolidated interim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cash, cash equivalents and accounts payable, approximate fair value due to the short-term nature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07"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8" w:name="page9"/>
    <w:bookmarkEnd w:id="8"/>
    <w:p>
      <w:pPr>
        <w:ind w:right="340"/>
        <w:spacing w:after="0" w:line="282" w:lineRule="auto"/>
        <w:rPr>
          <w:sz w:val="20"/>
          <w:szCs w:val="20"/>
          <w:color w:val="auto"/>
        </w:rPr>
      </w:pPr>
      <w:r>
        <w:rPr>
          <w:rFonts w:ascii="Times New Roman" w:cs="Times New Roman" w:eastAsia="Times New Roman" w:hAnsi="Times New Roman"/>
          <w:sz w:val="18"/>
          <w:szCs w:val="18"/>
          <w:color w:val="auto"/>
        </w:rPr>
        <w:t>measurement date. Valuation techniques used to measure fair value must maximize the use of observable inputs and minimize the use of unobservable inputs.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880" w:right="20" w:hanging="373"/>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62"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9"/>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3"/>
                <w:szCs w:val="13"/>
                <w:color w:val="auto"/>
              </w:rPr>
            </w:pPr>
          </w:p>
        </w:tc>
        <w:tc>
          <w:tcPr>
            <w:tcW w:w="84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2017 PIPE warrant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4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warrant and contingent</w:t>
            </w: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consideration liability</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2019</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3"/>
                <w:szCs w:val="13"/>
                <w:color w:val="auto"/>
              </w:rPr>
            </w:pPr>
          </w:p>
        </w:tc>
        <w:tc>
          <w:tcPr>
            <w:tcW w:w="780" w:type="dxa"/>
            <w:vAlign w:val="bottom"/>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3"/>
                <w:szCs w:val="13"/>
                <w:color w:val="auto"/>
              </w:rPr>
            </w:pPr>
          </w:p>
        </w:tc>
        <w:tc>
          <w:tcPr>
            <w:tcW w:w="84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PIPE warrant liability</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warrant and contingent</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consideration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Company’s estimated fair value of the 2017 PIPE Warrants and the 2018 PIPE Warrants was calculated using a Monte Carlo simulation of a geometric Brownian motion model. The Monte Carlo simulation-pricing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w:t>
      </w:r>
    </w:p>
    <w:p>
      <w:pPr>
        <w:spacing w:after="0" w:line="183"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has not changed the manner in which it values liabilities that are measured at fair value using Level 3 inputs. There were no transfers between levels within the hierarchy during the periods presented.</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liabilities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Series C Warrants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 PIPE Warrants</w:t>
            </w:r>
          </w:p>
        </w:tc>
        <w:tc>
          <w:tcPr>
            <w:tcW w:w="22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0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940" w:type="dxa"/>
            <w:vAlign w:val="bottom"/>
          </w:tcPr>
          <w:p>
            <w:pPr>
              <w:jc w:val="right"/>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Series C Warrants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(118,083)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 of 2017 PIPE Warrants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(3,166)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Warrant Liabilities</w:t>
      </w:r>
    </w:p>
    <w:p>
      <w:pPr>
        <w:spacing w:after="0" w:line="121" w:lineRule="exact"/>
        <w:rPr>
          <w:sz w:val="20"/>
          <w:szCs w:val="20"/>
          <w:color w:val="auto"/>
        </w:rPr>
      </w:pPr>
    </w:p>
    <w:p>
      <w:pPr>
        <w:ind w:right="86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issued multiple warrant series, of which the 2017 PIPE Warrants and the 2018 PIPE Warrants (the “Warrants”) remain outstanding at March 31, 2020 and are considered liabilities pursuant to the guidance established by </w:t>
      </w:r>
      <w:r>
        <w:rPr>
          <w:rFonts w:ascii="Times New Roman" w:cs="Times New Roman" w:eastAsia="Times New Roman" w:hAnsi="Times New Roman"/>
          <w:sz w:val="18"/>
          <w:szCs w:val="18"/>
          <w:i w:val="1"/>
          <w:iCs w:val="1"/>
          <w:color w:val="auto"/>
        </w:rPr>
        <w:t>ASC 815 Derivatives and Hedging.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19"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in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As indicated below, the Company may be obligated to settle Warrants in cash. The Company classified the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Warrants</w:t>
      </w:r>
    </w:p>
    <w:p>
      <w:pPr>
        <w:spacing w:after="0" w:line="229"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As of March 31, 2020, the fair value of the Series C Warrants was zero as the warrants had expired. This balance is consistent with the balance as of December 31, 2019.</w:t>
      </w:r>
    </w:p>
    <w:p>
      <w:pPr>
        <w:spacing w:after="0" w:line="162" w:lineRule="exact"/>
        <w:rPr>
          <w:sz w:val="20"/>
          <w:szCs w:val="20"/>
          <w:color w:val="auto"/>
        </w:rPr>
      </w:pPr>
    </w:p>
    <w:p>
      <w:pPr>
        <w:ind w:right="140" w:firstLine="510"/>
        <w:spacing w:after="0" w:line="312" w:lineRule="auto"/>
        <w:rPr>
          <w:sz w:val="20"/>
          <w:szCs w:val="20"/>
          <w:color w:val="auto"/>
        </w:rPr>
      </w:pPr>
      <w:r>
        <w:rPr>
          <w:rFonts w:ascii="Times New Roman" w:cs="Times New Roman" w:eastAsia="Times New Roman" w:hAnsi="Times New Roman"/>
          <w:sz w:val="17"/>
          <w:szCs w:val="17"/>
          <w:color w:val="auto"/>
        </w:rPr>
        <w:t>The Company calculated the fair value of the Series C Warrants as of December 31, 2019 using a Black-Scholes pricing model. The Black-Scholes pricing model requires the input of highly subjective assumptions including the expected stock price volatility. The Company used the following inputs.</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2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2017 PIPE Offering</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2017 PIPE Warrants were issued on December 15, 2017 in the 2017 PIPE Offering, pursuant to a Warrant Agreement with each of the investors in the 2017 PIPE Offering, and entitle the holder of each of the 8,141,116 units to purchase 0.74 shares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the DCCR tablet in PWS.</w:t>
      </w:r>
    </w:p>
    <w:p>
      <w:pPr>
        <w:spacing w:after="0" w:line="180"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2017 PIPE Warrants may be adjusted in certain circumstances, including the event of a stock split, stock dividend, extraordinary dividend, or recapitalization, reorganization, merger or consolidation. However, the exercise price of the 2017 PIPE Warrants will not be reduced below $1.72.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right="100" w:firstLine="510"/>
        <w:spacing w:after="0" w:line="312" w:lineRule="auto"/>
        <w:rPr>
          <w:sz w:val="20"/>
          <w:szCs w:val="20"/>
          <w:color w:val="auto"/>
        </w:rPr>
      </w:pPr>
      <w:r>
        <w:rPr>
          <w:rFonts w:ascii="Times New Roman" w:cs="Times New Roman" w:eastAsia="Times New Roman" w:hAnsi="Times New Roman"/>
          <w:sz w:val="17"/>
          <w:szCs w:val="17"/>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40"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As of March 31, 2020, the fair value of the 2017 PIPE Warrants was estimated at $7.7 million. The decrease in the fair value of the liability for the 2017 PIPE Warrants of approximately $3.2 million during the three months ended March 31, 2020 was recorded as other income (expense) in the condensed consolidated statements of operations.</w:t>
      </w:r>
    </w:p>
    <w:p>
      <w:pPr>
        <w:spacing w:after="0" w:line="176"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6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2018 PIPE Offering</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80"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76" w:lineRule="exact"/>
        <w:rPr>
          <w:sz w:val="20"/>
          <w:szCs w:val="20"/>
          <w:color w:val="auto"/>
        </w:rPr>
      </w:pPr>
    </w:p>
    <w:p>
      <w:pPr>
        <w:ind w:right="100" w:firstLine="510"/>
        <w:spacing w:after="0" w:line="312" w:lineRule="auto"/>
        <w:rPr>
          <w:sz w:val="20"/>
          <w:szCs w:val="20"/>
          <w:color w:val="auto"/>
        </w:rPr>
      </w:pPr>
      <w:r>
        <w:rPr>
          <w:rFonts w:ascii="Times New Roman" w:cs="Times New Roman" w:eastAsia="Times New Roman" w:hAnsi="Times New Roman"/>
          <w:sz w:val="17"/>
          <w:szCs w:val="17"/>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40"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As of March 31, 2020, the fair value of the 2018 PIPE Warrants was estimated at $1.1 million. The approximate $247,000 decrease in the fair value of the liability for the 2018 PIPE Warrants during the three months ended March 31, 2020 was recorded as other income (expense) in the condensed consolidated statements of operations.</w:t>
      </w:r>
    </w:p>
    <w:p>
      <w:pPr>
        <w:spacing w:after="0" w:line="176"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 has calculated the fair value of the 2018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6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bl>
    <w:p>
      <w:pPr>
        <w:spacing w:after="0" w:line="233"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Monte Carlo simulation of a geometric Brownian motion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880" w:right="460" w:hanging="373"/>
        <w:spacing w:after="0" w:line="284"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Company calculates the estimated volatility rate based on the volatilities of common stock of comparable companies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w:t>
      </w:r>
    </w:p>
    <w:p>
      <w:pPr>
        <w:spacing w:after="0" w:line="5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Contractual term: </w:t>
      </w:r>
      <w:r>
        <w:rPr>
          <w:rFonts w:ascii="Times New Roman" w:cs="Times New Roman" w:eastAsia="Times New Roman" w:hAnsi="Times New Roman"/>
          <w:sz w:val="18"/>
          <w:szCs w:val="18"/>
          <w:color w:val="auto"/>
        </w:rPr>
        <w:t>The expected life of the warrants, which is based on the contractual term of the warrants.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left="880" w:right="100" w:hanging="373"/>
        <w:spacing w:after="0" w:line="28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never declared or paid any cash dividends and does not currently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U.S. Treasury rate for similar periods as those of expected volatility.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Company’s previous operating lease for its headquarters facility office space in Redwood City, California, terminated in August 2019, along with the related subleases. One of the subleases was with Capnia, of which the Company was a joint owner until September 2019. Sublease income received from Capnia during the three months ended March 31, 2019 was approximately $25,000.</w:t>
      </w:r>
    </w:p>
    <w:p>
      <w:pPr>
        <w:spacing w:after="0" w:line="6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July 2019, the Company executed a non-cancellable lease agreement for 6,368 square feet of new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new lease as an operating lease for the office space and a finance lease for the office furniture, based on their relative standalone prices.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during the three months ended March 31, 2019 and 2018 were as follows (in thousands):</w:t>
      </w:r>
    </w:p>
    <w:p>
      <w:pPr>
        <w:spacing w:after="0" w:line="34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260" w:type="dxa"/>
            <w:vAlign w:val="bottom"/>
            <w:tcBorders>
              <w:bottom w:val="single" w:sz="8" w:color="CFF0FC"/>
            </w:tcBorders>
          </w:tcPr>
          <w:p>
            <w:pPr>
              <w:spacing w:after="0"/>
              <w:rPr>
                <w:sz w:val="13"/>
                <w:szCs w:val="13"/>
                <w:color w:val="auto"/>
              </w:rPr>
            </w:pPr>
          </w:p>
        </w:tc>
        <w:tc>
          <w:tcPr>
            <w:tcW w:w="24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cost</w:t>
            </w:r>
          </w:p>
        </w:tc>
        <w:tc>
          <w:tcPr>
            <w:tcW w:w="3560" w:type="dxa"/>
            <w:vAlign w:val="bottom"/>
            <w:gridSpan w:val="2"/>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Pr>
          <w:p>
            <w:pPr>
              <w:spacing w:after="0"/>
              <w:rPr>
                <w:sz w:val="19"/>
                <w:szCs w:val="19"/>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Sublease income</w:t>
            </w:r>
          </w:p>
        </w:tc>
        <w:tc>
          <w:tcPr>
            <w:tcW w:w="2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4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560" w:type="dxa"/>
            <w:vAlign w:val="bottom"/>
            <w:gridSpan w:val="2"/>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24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CoSense Joint Venture Agreement and Discontinued Operations</w:t>
      </w:r>
    </w:p>
    <w:p>
      <w:pPr>
        <w:spacing w:after="0" w:line="229"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In December 2017, the Company entered into a joint venture with OptAsia Healthcare Limited, or OAHL, with respect to its CoSense product by agreeing to sell shares of Capnia, its then wholly-owned subsidiary, to OAHL. CoSense was Soleno’s first Sensalyze Technology Platform product to receive 510(k) clearances from the FDA and CE Mark certification. The Company’s entry into the joint venture resulted from a comprehensive review of strategic alternatives for its legacy products and product candidates following its transition to a primarily therapeutic drug product company. The terms of the Joint Venture Agreement provided that OAHL would invest up to a total of $2.2 million in Capnia’s common shares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88" w:lineRule="exact"/>
        <w:rPr>
          <w:sz w:val="20"/>
          <w:szCs w:val="20"/>
          <w:color w:val="auto"/>
        </w:rPr>
      </w:pPr>
    </w:p>
    <w:p>
      <w:pPr>
        <w:ind w:right="500" w:firstLine="510"/>
        <w:spacing w:after="0" w:line="266" w:lineRule="auto"/>
        <w:rPr>
          <w:sz w:val="20"/>
          <w:szCs w:val="20"/>
          <w:color w:val="auto"/>
        </w:rPr>
      </w:pPr>
      <w:r>
        <w:rPr>
          <w:rFonts w:ascii="Times New Roman" w:cs="Times New Roman" w:eastAsia="Times New Roman" w:hAnsi="Times New Roman"/>
          <w:sz w:val="18"/>
          <w:szCs w:val="18"/>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2" w:name="page13"/>
    <w:bookmarkEnd w:id="12"/>
    <w:p>
      <w:pPr>
        <w:ind w:right="60"/>
        <w:spacing w:after="0" w:line="256" w:lineRule="auto"/>
        <w:rPr>
          <w:sz w:val="20"/>
          <w:szCs w:val="20"/>
          <w:color w:val="auto"/>
        </w:rPr>
      </w:pPr>
      <w:r>
        <w:rPr>
          <w:rFonts w:ascii="Times New Roman" w:cs="Times New Roman" w:eastAsia="Times New Roman" w:hAnsi="Times New Roman"/>
          <w:sz w:val="18"/>
          <w:szCs w:val="18"/>
          <w:color w:val="auto"/>
        </w:rPr>
        <w:t>held a controlling interest in Capnia and resulted in the deconsolidation of Capnia’s financial statements from those of the Company. The remaining 47% investment in Capnia was classified as an equity method investment and was presented as a Minority interest investment in former subsidiary in the condensed consolidated balance sheet. The Company’s share of Capnia’s net losses during the three months ended March 31, 2019 are recorded in the condensed consolidated statements of operations in the line titled “Loss from minority interest investment”. During September 2019, the Company sold its remaining 47% investment in Capnia. Following the transaction, the Company has no interest remaining in Capnia and the previous joint venture agreement with OAHL has been terminated.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has adopted the 2014 Equity Incentive Plan, or the Plan. Under the Plan the Company may grant stock options, stock appreciation rights, restricted stock, restricted stock units, performance units or performance shares to employees, directors, advisors, and consultants. Options granted under the Plan may be incentive stock options (“ISOs”) or nonqualified stock options (“NSOs”). ISOs may be granted only to Company employees, including officers and directors.</w:t>
      </w:r>
    </w:p>
    <w:p>
      <w:pPr>
        <w:spacing w:after="0" w:line="18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March 31, 2020, a total of 190,601 shares are available for future grant under the Plan.</w:t>
      </w:r>
    </w:p>
    <w:p>
      <w:pPr>
        <w:spacing w:after="0" w:line="187"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statements of operations for stock-based compensation arrangements during any of the periods presented.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recognized in the condensed consolidated statements of operations as follows (in thousands).</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366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19"/>
                <w:szCs w:val="19"/>
                <w:color w:val="auto"/>
              </w:rPr>
            </w:pPr>
          </w:p>
        </w:tc>
      </w:tr>
      <w:tr>
        <w:trPr>
          <w:trHeight w:val="229"/>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FF0FC"/>
            </w:tcBorders>
          </w:tcPr>
          <w:p>
            <w:pPr>
              <w:spacing w:after="0"/>
              <w:rPr>
                <w:sz w:val="19"/>
                <w:szCs w:val="19"/>
                <w:color w:val="auto"/>
              </w:rPr>
            </w:pPr>
          </w:p>
        </w:tc>
      </w:tr>
      <w:tr>
        <w:trPr>
          <w:trHeight w:val="223"/>
        </w:trPr>
        <w:tc>
          <w:tcPr>
            <w:tcW w:w="3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Company granted options to purchase 464,000 of the Company’s common stock during the three months ended March 31, 2019. There were no options granted during the three months ended March 31, 2020. The fair value of each award granted during the three months ended March 31, 2019 was estimated on the date of grant using the Black-Scholes option pricing model with the following assumptions.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640" w:type="dxa"/>
            <w:vAlign w:val="bottom"/>
            <w:shd w:val="clear" w:color="auto" w:fill="CFF0FC"/>
          </w:tcPr>
          <w:p>
            <w:pPr>
              <w:jc w:val="center"/>
              <w:ind w:left="2070"/>
              <w:spacing w:after="0"/>
              <w:rPr>
                <w:sz w:val="20"/>
                <w:szCs w:val="20"/>
                <w:color w:val="auto"/>
              </w:rPr>
            </w:pPr>
            <w:r>
              <w:rPr>
                <w:rFonts w:ascii="Times New Roman" w:cs="Times New Roman" w:eastAsia="Times New Roman" w:hAnsi="Times New Roman"/>
                <w:sz w:val="18"/>
                <w:szCs w:val="18"/>
                <w:color w:val="auto"/>
              </w:rPr>
              <w:t>6.0-6.1</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3640" w:type="dxa"/>
            <w:vAlign w:val="bottom"/>
            <w:shd w:val="clear" w:color="auto" w:fill="CFF0FC"/>
          </w:tcPr>
          <w:p>
            <w:pPr>
              <w:jc w:val="center"/>
              <w:ind w:left="2070"/>
              <w:spacing w:after="0"/>
              <w:rPr>
                <w:sz w:val="20"/>
                <w:szCs w:val="20"/>
                <w:color w:val="auto"/>
              </w:rPr>
            </w:pPr>
            <w:r>
              <w:rPr>
                <w:rFonts w:ascii="Times New Roman" w:cs="Times New Roman" w:eastAsia="Times New Roman" w:hAnsi="Times New Roman"/>
                <w:sz w:val="18"/>
                <w:szCs w:val="18"/>
                <w:color w:val="auto"/>
                <w:w w:val="96"/>
              </w:rPr>
              <w:t>71%</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6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880" w:right="20" w:hanging="373"/>
        <w:spacing w:after="0" w:line="267"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average of the contractual term of the options and the weighted-average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as permitted under the simplified method. The Company does not believe it is able to rely on historical exercise and post-vesting termination activity to provide accurate data for estimating the expected term for use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3" w:name="page14"/>
    <w:bookmarkEnd w:id="13"/>
    <w:p>
      <w:pPr>
        <w:ind w:left="880" w:right="480"/>
        <w:spacing w:after="0" w:line="282" w:lineRule="auto"/>
        <w:rPr>
          <w:sz w:val="20"/>
          <w:szCs w:val="20"/>
          <w:color w:val="auto"/>
        </w:rPr>
      </w:pPr>
      <w:r>
        <w:rPr>
          <w:rFonts w:ascii="Times New Roman" w:cs="Times New Roman" w:eastAsia="Times New Roman" w:hAnsi="Times New Roman"/>
          <w:sz w:val="18"/>
          <w:szCs w:val="18"/>
          <w:color w:val="auto"/>
        </w:rPr>
        <w:t>in estimating the fair value-based measurement of stock options. Therefore, it has opted to use the “simplified method” for estimating the expected term of options.</w:t>
      </w:r>
    </w:p>
    <w:p>
      <w:pPr>
        <w:spacing w:after="0" w:line="52" w:lineRule="exact"/>
        <w:rPr>
          <w:sz w:val="20"/>
          <w:szCs w:val="20"/>
          <w:color w:val="auto"/>
        </w:rPr>
      </w:pPr>
    </w:p>
    <w:p>
      <w:pPr>
        <w:ind w:left="880" w:right="160" w:hanging="373"/>
        <w:spacing w:after="0" w:line="284"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liquidity.</w:t>
      </w:r>
    </w:p>
    <w:p>
      <w:pPr>
        <w:spacing w:after="0" w:line="5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based on the volatilities of common stock of comparable companies in the Company’s industry.</w:t>
      </w:r>
    </w:p>
    <w:p>
      <w:pPr>
        <w:spacing w:after="0" w:line="117" w:lineRule="exact"/>
        <w:rPr>
          <w:rFonts w:ascii="Times New Roman" w:cs="Times New Roman" w:eastAsia="Times New Roman" w:hAnsi="Times New Roman"/>
          <w:sz w:val="18"/>
          <w:szCs w:val="18"/>
          <w:color w:val="auto"/>
        </w:rPr>
      </w:pPr>
    </w:p>
    <w:p>
      <w:pPr>
        <w:ind w:left="880" w:right="820" w:hanging="373"/>
        <w:spacing w:after="0" w:line="284"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three months ended March 31, 2020 as issued under the 2014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00" w:type="dxa"/>
            <w:vAlign w:val="bottom"/>
          </w:tcPr>
          <w:p>
            <w:pPr>
              <w:jc w:val="cente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2,123,117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4.62</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(38,359)</w:t>
            </w:r>
          </w:p>
        </w:tc>
        <w:tc>
          <w:tcPr>
            <w:tcW w:w="10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2,084,758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at March 31, 2020</w:t>
            </w: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FF0FC"/>
            </w:tcBorders>
            <w:vMerge w:val="continue"/>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1,220,423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6.65</w:t>
            </w:r>
          </w:p>
        </w:tc>
        <w:tc>
          <w:tcPr>
            <w:tcW w:w="240" w:type="dxa"/>
            <w:vAlign w:val="bottom"/>
            <w:tcBorders>
              <w:bottom w:val="single" w:sz="8" w:color="CFF0FC"/>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2,084,758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4.66</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and $1.08 per share for the three months ended March 31, 2019. At March 31, 2020 total unrecognized employee stock-based compensation related to stock options was approximately $919,000, which is expected to be recognized over the weighted-average remaining vesting period of 2.2 years. As of March 31, 2020, the outstanding stock options had an intrinsic value of approximately $883,000.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There were 687,257 and 21,415 restricted stock units granted by the Company during the three months ended March 31, 2020 and March 31, 2019,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three months ended March 31, 2020 as issued under the Plan: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86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687,257</w:t>
            </w:r>
          </w:p>
        </w:tc>
        <w:tc>
          <w:tcPr>
            <w:tcW w:w="300" w:type="dxa"/>
            <w:vAlign w:val="bottom"/>
          </w:tcPr>
          <w:p>
            <w:pPr>
              <w:spacing w:after="0"/>
              <w:rPr>
                <w:sz w:val="19"/>
                <w:szCs w:val="19"/>
                <w:color w:val="auto"/>
              </w:rPr>
            </w:pP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(28,757)</w:t>
            </w:r>
          </w:p>
        </w:tc>
        <w:tc>
          <w:tcPr>
            <w:tcW w:w="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658,500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during the three months ended March 31, 2020 and March 31, 2019 was $3.83 and $2.18, respectively. The fair value of all restricted stock units vested during the three months ended March 31, 2020 and March 31, 2019 was approximately $96,000 and approximately $46,000, respectively. At March 31, 2020 total unrecognized employee stock-based compensation related to restricted stock units was $2.4 million, which is expected to be recognized over the weighted-average remaining vesting period of 3.7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or the ESPP. The ESPP has become effective, and the board of directors will implement commencement of offers thereunder in its discretion. A total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line="266" w:lineRule="auto"/>
        <w:rPr>
          <w:sz w:val="20"/>
          <w:szCs w:val="20"/>
          <w:color w:val="auto"/>
        </w:rPr>
      </w:pPr>
      <w:r>
        <w:rPr>
          <w:rFonts w:ascii="Times New Roman" w:cs="Times New Roman" w:eastAsia="Times New Roman" w:hAnsi="Times New Roman"/>
          <w:sz w:val="18"/>
          <w:szCs w:val="18"/>
          <w:color w:val="auto"/>
        </w:rPr>
        <w:t>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68" w:lineRule="exact"/>
        <w:rPr>
          <w:sz w:val="20"/>
          <w:szCs w:val="20"/>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55,936 shares; or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2020, there were no purchases by employees under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Warrants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issued 270,270 Series D Warrants in October 2015, which are exercisable into 540,540 shares of the Company’s common stock, with an exercise price of $8.75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19" w:lineRule="exact"/>
        <w:rPr>
          <w:sz w:val="20"/>
          <w:szCs w:val="20"/>
          <w:color w:val="auto"/>
        </w:rPr>
      </w:pPr>
    </w:p>
    <w:p>
      <w:pPr>
        <w:jc w:val="both"/>
        <w:ind w:right="220" w:firstLine="51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Series D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Common Stock Warrants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As of March 31, 2020,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months ended March 31, 2020 and 2019, the effect of issuing the potential common stock is anti-dilutive due to the net losses in those periods and the number of shares used to compute basic and diluted earnings per share are the same in each of those periods.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5" w:name="page16"/>
    <w:bookmarkEnd w:id="15"/>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4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56"/>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05"/>
        </w:trPr>
        <w:tc>
          <w:tcPr>
            <w:tcW w:w="54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Warrants issued to 2010/2012 convertible note</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102,070</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102,070</w:t>
            </w:r>
          </w:p>
        </w:tc>
        <w:tc>
          <w:tcPr>
            <w:tcW w:w="80" w:type="dxa"/>
            <w:vAlign w:val="bottom"/>
            <w:shd w:val="clear" w:color="auto" w:fill="CFF0FC"/>
          </w:tcPr>
          <w:p>
            <w:pPr>
              <w:spacing w:after="0"/>
              <w:rPr>
                <w:sz w:val="20"/>
                <w:szCs w:val="20"/>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2,084,758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2,116,107</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658,500</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warrants to purchase common stock</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485,121</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 to purchase common stock</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118,083</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 warrants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540,540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540,540</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2017 PIPE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9,940,410</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9,916,463</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ind w:firstLine="578"/>
        <w:spacing w:after="0" w:line="266" w:lineRule="auto"/>
        <w:rPr>
          <w:sz w:val="20"/>
          <w:szCs w:val="20"/>
          <w:color w:val="auto"/>
        </w:rPr>
      </w:pPr>
      <w:r>
        <w:rPr>
          <w:rFonts w:ascii="Times New Roman" w:cs="Times New Roman" w:eastAsia="Times New Roman" w:hAnsi="Times New Roman"/>
          <w:sz w:val="18"/>
          <w:szCs w:val="18"/>
          <w:color w:val="auto"/>
        </w:rPr>
        <w:t>The Company has evaluated its subsequent events from March 31, 2020 through the date these condensed consolidated financial statements were issued and has determined that there are no subsequent events requiring disclosure in these condensed consolidated financial statements other than the item noted below.</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PPP Term Note</w:t>
      </w:r>
    </w:p>
    <w:p>
      <w:pPr>
        <w:spacing w:after="0" w:line="12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On April 22, 2020, the Company entered into a $350,000 loan with Silicon Valley Bank (“SVB”) pursuant to the Small Business Administration’s (“SBA”) Paycheck Protection Program ("the PPP"). The loan proceeds were intended to be used for payroll, rent and utilities over the eight- week period following the date of the loan. At the time the Company applied for the PPP loan, it believed in good faith that it met all of the certification requirements for a PPP loan. However, on April 23, 2020, the SBA issued additional guidance with respect to PPP loans. The Company evaluated this new guidance and concluded that currently it may not be able to meet all of the certification requirements. As such, the Company decided to return all of the funds received under the PPP loan (including interest accrued on such funds) to the SBA and on May 6, 2020 the Company instructed SVB to make repayment.</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6" w:name="page17"/>
    <w:bookmarkEnd w:id="1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interim consolidated financial statements included in this Quarterly Report on Form 10-Q and this Management’s Discussion and Analysis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Results of Operations should be read in conjunction with the financial statements and notes thereto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31, 2019, and the related Management’s Discussion and Analysis of Financial Condition and Results of Operations, contained in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10-K for the year ended December 31, 2019. In addition to historical information, this discussion and analysis contains forward-looking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within the meaning of Section 27A of the Securities Act of 1933, as amended (the “Securities Act”), and Section 21E of the Securities Exchange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1934, as amended (the “Exchange Act”). These forward-looking statements are subject to risks and uncertainties, including those set forth in Part II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 Item 1A. Risk Factors below and elsewhere in this report that could cause actual results to differ materially from historical results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anticipated results.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Delaware on August 25, 1999, and are located in Redwood City, California. We initially established our operations as Capnia, a diversified healthcare company that developed and commercialized innovative diagnostics, devices and therapeutics addressing unmet medical needs. During 2017, we received stockholder approval to amend our Amended and Restated Certificate of Incorporation to change our name from “Capnia, Inc.” to “Soleno Therapeutics, Inc.” and merge with Essentialis, Inc. After the merger, our primary focus has been the development and commercialization of novel therapeutics for the treatment of rare diseases and we divested our self of our prior business efforts.</w:t>
      </w:r>
    </w:p>
    <w:p>
      <w:pPr>
        <w:spacing w:after="0" w:line="183"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Our lead candidate is Diazoxide Choline Controlled Release tablets, or DCCR, once-daily oral tablets for the treatment of Prader-Willi Syndrome, or PWS. DCCR is currently being evaluated in a Phase III clinical development program. The Phase III study (C601 or DESTINY PWS), a 3-month randomized, double-blind placebo-controlled study, completed enrollment in January 2020 with 127 patients at 29 sites in the US and UK. Patients who complete treatment in DESTINY PWS are eligible to receive DCCR for up to 36 months in C602, an open-label extension study. Top line results from DESTINY PWS are expected in 1H2020. DCCR has orphan designation for the treatment of PWS in the United States, or U.S., as well as in the European Union, or E.U.</w:t>
      </w:r>
    </w:p>
    <w:p>
      <w:pPr>
        <w:spacing w:after="0" w:line="168"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spread of the COVID-19 virus during the first quarter of 2020 has caused an economic downturn on a global scale, as well as significant volatility in the financial markets. In March 2020, the World Health Organization declared the spread of the COVID-19 virus a pandemic. Due to stay at home orders both in the United States and United Kingdom, we have instituted a work from home policy for all of our employees and other service providers to protect their health and well-being. We have ensured that all of our employees have essential materials to work comfortably and efficiently from home during this time.</w:t>
      </w:r>
    </w:p>
    <w:p>
      <w:pPr>
        <w:spacing w:after="0" w:line="183"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We have not experienced a significant financial impact directly related to the pandemic. As of March 31, 2020, we have cash and cash equivalents of $15.1 million, however 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We have not experienced a significant operational impact on our primary development program, DCCR for the treatment of PWS, and our ongoing clinical trial DESTINY PWS, although we cannot rule out future delays as authorities fight the spread of the virus. As of March 31, 2020, we had an accumulated deficit of $163.7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2020 and 2019</w:t>
      </w:r>
    </w:p>
    <w:p>
      <w:pPr>
        <w:sectPr>
          <w:pgSz w:w="11900" w:h="16838" w:orient="portrait"/>
          <w:cols w:equalWidth="0" w:num="1">
            <w:col w:w="11240"/>
          </w:cols>
          <w:pgMar w:left="320" w:top="657" w:right="339" w:bottom="1440" w:gutter="0" w:footer="0" w:header="0"/>
        </w:sectPr>
      </w:pPr>
    </w:p>
    <w:p>
      <w:pPr>
        <w:spacing w:after="0" w:line="31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7620</wp:posOffset>
            </wp:positionV>
            <wp:extent cx="15944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7" w:lineRule="exact"/>
        <w:rPr>
          <w:sz w:val="20"/>
          <w:szCs w:val="20"/>
          <w:color w:val="auto"/>
        </w:rPr>
      </w:pPr>
    </w:p>
    <w:p>
      <w:pPr>
        <w:ind w:left="6220"/>
        <w:spacing w:after="0"/>
        <w:tabs>
          <w:tab w:leader="none" w:pos="75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7620</wp:posOffset>
            </wp:positionV>
            <wp:extent cx="15944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3"/>
          <w:szCs w:val="13"/>
          <w:b w:val="1"/>
          <w:bCs w:val="1"/>
          <w:color w:val="auto"/>
        </w:rPr>
        <w:t>Amount</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10" w:lineRule="exact"/>
        <w:rPr>
          <w:sz w:val="20"/>
          <w:szCs w:val="20"/>
          <w:color w:val="auto"/>
        </w:rPr>
      </w:pPr>
    </w:p>
    <w:p>
      <w:pPr>
        <w:sectPr>
          <w:pgSz w:w="11900" w:h="16838" w:orient="portrait"/>
          <w:cols w:equalWidth="0" w:num="2">
            <w:col w:w="8140" w:space="720"/>
            <w:col w:w="238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ind w:right="9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40" w:type="dxa"/>
            <w:vAlign w:val="bottom"/>
          </w:tcPr>
          <w:p>
            <w:pPr>
              <w:spacing w:after="0"/>
              <w:rPr>
                <w:sz w:val="19"/>
                <w:szCs w:val="19"/>
                <w:color w:val="auto"/>
              </w:rPr>
            </w:pPr>
          </w:p>
        </w:tc>
        <w:tc>
          <w:tcPr>
            <w:tcW w:w="56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40" w:type="dxa"/>
            <w:vAlign w:val="bottom"/>
          </w:tcPr>
          <w:p>
            <w:pPr>
              <w:spacing w:after="0"/>
              <w:rPr>
                <w:sz w:val="19"/>
                <w:szCs w:val="19"/>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minority interest investment</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We have yet not commenced commercialization of DCCR, our current sole product, and accordingly, through March 31, 2020, have generated no revenue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of $6.7 million for the three months ended March 31, 2020 increased by $3.9 million over the three months ended March 31, 2019. In January 2020 we announced the completion of target enrollment in DESTINY III trial. As of March 31, 2020, we had 29 clinical trial sites initiated compared to 15 as of March 31, 2019. As a result, we have incurred increased clinical site costs, consulting costs and lab costs. In addition, we are increasing our investment in clinical manufacturing costs to supply DCCR to the patients in the trial and to prepare for the next phase in the regulatory approval process.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of $2.0 million for the three months ended March 31, 2020 was generally consistent with the expense during the three months ended March 31, 2019.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$30 million to Essentialis stockholders upon the achievement of certain future commercial milestones associated with the sale of Essentialis’ product in accordance with the terms of the Essentialis merger agreement. The fair value of the liability for the contingent consideration payable by us achieving the commercial sales milestones of $100 million and $200 million was estimated to be $6.5 million as of March 31, 2020, an approximate $584,000 increase from the estimate as of December 31, 2019. During the three months ended March 31, 2019 the estimate increased approximately $206,000 from the liability of $5.6 million estimated at December 31, 2018.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had other income of $3.4 million in the three months ended March 31, 2020, compared to other expense of $1.9 million during the three months ended March 31, 2019. The change of $5.5 million was primarily due to a $3.4 million decrease in the fair value of our outstanding warrants during the three months ended March 31, 2020 compared to an increase of $1.9 million during the three months ended March 31, 2019. In addition, during the three months ended March 31, 2019 we recorded an approximate $190,000 loss from our minority interest investment in Capnia, our former subsidiary. These increases were slightly offset by approximately $46,000 less of interest income recorded during the three months ended March 31, 2020 compared to March 31, 2019.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We had a net loss of $5.9 million during the three months ended March 31, 2020 and an accumulated deficit of $163.7 million at March 31, 2020 as a result of having incurred losses since our inception. We had $8.4 million of working capital at March 31, 2020 and used $5.7 million of cash in operating activities during the three months ended March 31, 2020. We have financed our operations principally through issuances of equity securities.</w:t>
      </w:r>
    </w:p>
    <w:p>
      <w:pPr>
        <w:spacing w:after="0" w:line="17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19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7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40" w:type="dxa"/>
            <w:vAlign w:val="bottom"/>
            <w:gridSpan w:val="3"/>
          </w:tcPr>
          <w:p>
            <w:pPr>
              <w:jc w:val="right"/>
              <w:ind w:right="65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(3,687)</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2020, operating activities used net cash of $5.7 million, which was primarily due to the net loss of $5.9 million, adding back the non-cash credit of $2.8 million for the decrease in the fair value of stock warrants and contingent consideration, less other non-cash expenses of approximately $489,000 for depreciation and amortization, approximately $392,000 of expenses paid with equity awards, and approximately $68,000 for non-cash lease expense. Additionally, the usage of cash during the three months ended March 31, 2020 was reduced by $2.1 million due to changes in operating assets and liabilities.</w:t>
      </w:r>
    </w:p>
    <w:p>
      <w:pPr>
        <w:spacing w:after="0" w:line="7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operating activities used net cash of $3.7 million, which was primarily due to the loss from continuing operations of $7.0 million, adjusted for non-cash expenses of approximately $489,000 for depreciation and amortization, approximately $248,000 of expenses paid with equity awards, approximately $110,000 for non-cash lease expense, $2.1 million for the change in fair value of stock warrants and contingent consideration, and an approximate $190,000 operating loss on minority interest investment. Additionally, the usage of cash during the three months ended March 31, 2019 was reduced by approximately $181,000 due to changes in operating assets and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Minimal cash was used for investing activities in the three months ended March 31, 2019 for the costs of acquiring property and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Minimal cash was used for financing activities in the three months ended March 31, 2020 which were related to payments made on our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As of March 31, 2020, we had cash and cash equivalents of $15.1 million.</w:t>
      </w:r>
    </w:p>
    <w:p>
      <w:pPr>
        <w:spacing w:after="0" w:line="22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believe that we do not have sufficient capital resources to sustain operations through at least the next twelve months from the date of this filing. We expect to continue incurring losses for the foreseeable future and will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There have not been any material changes to our exposure to market risk during the three months ended March 31, 2020. For additional information regarding market risk, refer to the </w:t>
      </w:r>
      <w:r>
        <w:rPr>
          <w:rFonts w:ascii="Times New Roman" w:cs="Times New Roman" w:eastAsia="Times New Roman" w:hAnsi="Times New Roman"/>
          <w:sz w:val="18"/>
          <w:szCs w:val="18"/>
          <w:i w:val="1"/>
          <w:iCs w:val="1"/>
          <w:color w:val="auto"/>
        </w:rPr>
        <w:t>Qualitative and Quantitative Disclosures About Market Risk</w:t>
      </w:r>
      <w:r>
        <w:rPr>
          <w:rFonts w:ascii="Times New Roman" w:cs="Times New Roman" w:eastAsia="Times New Roman" w:hAnsi="Times New Roman"/>
          <w:sz w:val="18"/>
          <w:szCs w:val="18"/>
          <w:color w:val="auto"/>
        </w:rPr>
        <w:t xml:space="preserve"> section of the Form 10-K.</w:t>
      </w: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40" w:firstLine="510"/>
        <w:spacing w:after="0" w:line="277"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8"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first fiscal quarter ended March 31, 2020, that have materially affected, or are reasonably likely to materially affect, our internal control over financial reporting.</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2019 Annual Report on Form 10-K and is incorporated herein by reference. Other than as noted below, there have been no material changes to the risk factor disclosure since our 2019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health epidemics, pandemics or outbreaks, including the recent novel coronavirus pandemic (COVID-19), could adversely affect our business.</w:t>
      </w:r>
    </w:p>
    <w:p>
      <w:pPr>
        <w:spacing w:after="0" w:line="9" w:lineRule="exact"/>
        <w:rPr>
          <w:sz w:val="20"/>
          <w:szCs w:val="20"/>
          <w:color w:val="auto"/>
        </w:rPr>
      </w:pPr>
    </w:p>
    <w:p>
      <w:pPr>
        <w:ind w:firstLine="562"/>
        <w:spacing w:after="0" w:line="265" w:lineRule="auto"/>
        <w:rPr>
          <w:sz w:val="20"/>
          <w:szCs w:val="20"/>
          <w:color w:val="auto"/>
        </w:rPr>
      </w:pPr>
      <w:r>
        <w:rPr>
          <w:rFonts w:ascii="Times New Roman" w:cs="Times New Roman" w:eastAsia="Times New Roman" w:hAnsi="Times New Roman"/>
          <w:sz w:val="17"/>
          <w:szCs w:val="17"/>
          <w:color w:val="auto"/>
        </w:rPr>
        <w:t>In December 2019, the novel coronavirus (“COVID-19”) was identified in Wuhan, China. The virus continues to spread globally, has been declared a pandemic by the World Health Organization and has spread to over 100 countries, including the United States. The COVID-19 outbreak is significantly affecting our employees, patients, communities and business operations, as well as the U.S. economy and financial markets. The full extent to which the COVID-19 outbreak will impact our business, results of operations, financial condition and cash flows will depend on future developments that are highly uncertain and cannot be accurately predicted, including new information that may emerge concerning COVID-19 and the actions to contain it or treat its impact and the economic impact on local, regional, national and international markets. As the COVID-19 pandemic continues, our results of operations, financial condition and cash flows are likely to be materially adversely affected, particularly if the pandemic persists for a significant amount of time.</w:t>
      </w:r>
    </w:p>
    <w:p>
      <w:pPr>
        <w:spacing w:after="0" w:line="1" w:lineRule="exact"/>
        <w:rPr>
          <w:sz w:val="20"/>
          <w:szCs w:val="20"/>
          <w:color w:val="auto"/>
        </w:rPr>
      </w:pPr>
    </w:p>
    <w:p>
      <w:pPr>
        <w:jc w:val="both"/>
        <w:ind w:right="60" w:firstLine="562"/>
        <w:spacing w:after="0" w:line="250" w:lineRule="auto"/>
        <w:rPr>
          <w:sz w:val="20"/>
          <w:szCs w:val="20"/>
          <w:color w:val="auto"/>
        </w:rPr>
      </w:pPr>
      <w:r>
        <w:rPr>
          <w:rFonts w:ascii="Times New Roman" w:cs="Times New Roman" w:eastAsia="Times New Roman" w:hAnsi="Times New Roman"/>
          <w:sz w:val="18"/>
          <w:szCs w:val="18"/>
          <w:color w:val="auto"/>
        </w:rPr>
        <w:t>COVID-19 or other public health epidemics, pandemics or outbreaks, and the resulting business or economic disruptions resulting therefrom, may adversely impact our business as well as our ability to raise capital.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2" w:lineRule="exact"/>
        <w:rPr>
          <w:sz w:val="20"/>
          <w:szCs w:val="20"/>
          <w:color w:val="auto"/>
        </w:rPr>
      </w:pPr>
    </w:p>
    <w:p>
      <w:pPr>
        <w:ind w:right="40" w:firstLine="562"/>
        <w:spacing w:after="0" w:line="250" w:lineRule="auto"/>
        <w:rPr>
          <w:sz w:val="20"/>
          <w:szCs w:val="20"/>
          <w:color w:val="auto"/>
        </w:rPr>
      </w:pPr>
      <w:r>
        <w:rPr>
          <w:rFonts w:ascii="Times New Roman" w:cs="Times New Roman" w:eastAsia="Times New Roman" w:hAnsi="Times New Roman"/>
          <w:sz w:val="18"/>
          <w:szCs w:val="18"/>
          <w:color w:val="auto"/>
        </w:rPr>
        <w:t>While we cannot presently predict the scope and severity of any potential business shutdowns or disruptions, if we or any of our business partners, clinical trial sites, manufacturing sites and other third parties with whom we conduct business, were to experience shutdowns or other business disruptions, our ability to conduct our business in the manner and on the timelines presently planned could be materially and negatively impacted. For example, if our Phase III clinical trial of DCCR for the treatment of PWS were to be delayed, it may have a material adverse effect on our business, results of operations, and financial condition. While there has been no meaningful impact on the timelines for top line data for the Phase III program, there have been certain changes in the conduct of our clinical trials depending on institution-, state- and country-specific restrictions such as stay at home requirements. The changes are consistent with the FDA’s and MHRA’s guidance regarding the conduct of clinical trials during the COVID-19 public health emergency. However, the changes in the way the trial is being conducted may impact the quality of the overall data being collected which may have implications for our future plans.</w:t>
      </w:r>
    </w:p>
    <w:p>
      <w:pPr>
        <w:spacing w:after="0" w:line="4" w:lineRule="exact"/>
        <w:rPr>
          <w:sz w:val="20"/>
          <w:szCs w:val="20"/>
          <w:color w:val="auto"/>
        </w:rPr>
      </w:pPr>
    </w:p>
    <w:p>
      <w:pPr>
        <w:ind w:right="100" w:firstLine="562"/>
        <w:spacing w:after="0" w:line="251" w:lineRule="auto"/>
        <w:rPr>
          <w:sz w:val="20"/>
          <w:szCs w:val="20"/>
          <w:color w:val="auto"/>
        </w:rPr>
      </w:pPr>
      <w:r>
        <w:rPr>
          <w:rFonts w:ascii="Times New Roman" w:cs="Times New Roman" w:eastAsia="Times New Roman" w:hAnsi="Times New Roman"/>
          <w:sz w:val="18"/>
          <w:szCs w:val="18"/>
          <w:color w:val="auto"/>
        </w:rPr>
        <w:t>Several measures are currently being implemented by the United States and other governments to address the current COVID-19 pandemic and its economic impacts. At this time, it is impossible to predict the success of these measures and whether or not they will have unforeseen negative consequences for our business. In addition, our results of operations, financial position and cash flows may be adversely affected by federal or state laws, regulations, orders, or other governmental or regulatory actions addressing the current COVID-19 pandemic or the U.S. healthcare system, which, if adopted, could result in direct or indirect restrictions to our business, results of operations, financial condition and cash flow. For example, the State of California issued Executive Order N-33-20 on March 4, 2020 (the “Executive Order”), which proclaimed a State of Emergency to exist in California as a result of the threat of COVID-19. The Executive Order mandated that all our employees work from home and not come into our corporate offices in Redwood City, California. We currently do not know when and how such regulations may be eased.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1" w:name="page22"/>
    <w:bookmarkEnd w:id="21"/>
    <w:p>
      <w:pPr>
        <w:ind w:firstLine="562"/>
        <w:spacing w:after="0" w:line="266" w:lineRule="auto"/>
        <w:rPr>
          <w:sz w:val="20"/>
          <w:szCs w:val="20"/>
          <w:color w:val="auto"/>
        </w:rPr>
      </w:pPr>
      <w:r>
        <w:rPr>
          <w:rFonts w:ascii="Times New Roman" w:cs="Times New Roman" w:eastAsia="Times New Roman" w:hAnsi="Times New Roman"/>
          <w:sz w:val="18"/>
          <w:szCs w:val="18"/>
          <w:color w:val="auto"/>
        </w:rPr>
        <w:t>The foregoing and other continued disruptions to our business as a result of COVID-19 could result in a material adverse effect on our business, results of operations, financial condition and cash flows. Furthermore, the COVID-19 pandemic could heighten the risks in certain of the other risk factors described herein.</w:t>
      </w:r>
    </w:p>
    <w:p>
      <w:pPr>
        <w:spacing w:after="0" w:line="28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3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800" w:type="dxa"/>
            <w:vAlign w:val="bottom"/>
            <w:gridSpan w:val="2"/>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Certification of Principal Executive Officer</w:t>
              </w:r>
            </w:hyperlink>
          </w:p>
        </w:tc>
        <w:tc>
          <w:tcPr>
            <w:tcW w:w="720" w:type="dxa"/>
            <w:vAlign w:val="bottom"/>
            <w:tcBorders>
              <w:bottom w:val="single" w:sz="8" w:color="0000EE"/>
            </w:tcBorders>
            <w:gridSpan w:val="4"/>
          </w:tcPr>
          <w:p>
            <w:pPr>
              <w:ind w:left="40"/>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Required</w:t>
              </w:r>
            </w:hyperlink>
          </w:p>
        </w:tc>
        <w:tc>
          <w:tcPr>
            <w:tcW w:w="1640" w:type="dxa"/>
            <w:vAlign w:val="bottom"/>
            <w:gridSpan w:val="7"/>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4"/>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Under Rule 13a-14(a) and 15d-14(a) of the Securities and</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Exchange Act of 1934, as amended</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Certification of Principal Financial and Accounting</w:t>
              </w:r>
            </w:hyperlink>
          </w:p>
        </w:tc>
        <w:tc>
          <w:tcPr>
            <w:tcW w:w="1820" w:type="dxa"/>
            <w:vAlign w:val="bottom"/>
            <w:gridSpan w:val="10"/>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Officer Required Under Rule 13a-14(a) and 15d-14(a) of</w:t>
              </w:r>
            </w:hyperlink>
          </w:p>
        </w:tc>
        <w:tc>
          <w:tcPr>
            <w:tcW w:w="1420" w:type="dxa"/>
            <w:vAlign w:val="bottom"/>
            <w:gridSpan w:val="4"/>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4"/>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the Securities and Exchange Act of 1934, as amended</w:t>
              </w:r>
            </w:hyperlink>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Certification of Principal Executive Officer Required</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Under Rule 13a-14(b) of the Securities and Exchange</w:t>
              </w:r>
            </w:hyperlink>
          </w:p>
        </w:tc>
        <w:tc>
          <w:tcPr>
            <w:tcW w:w="1660" w:type="dxa"/>
            <w:vAlign w:val="bottom"/>
            <w:gridSpan w:val="8"/>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4"/>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Act of 1934, as amended, and 18 U.S.C. §1350</w:t>
              </w:r>
            </w:hyperlink>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Certification of Principal Financial and Accounting</w:t>
              </w:r>
            </w:hyperlink>
          </w:p>
        </w:tc>
        <w:tc>
          <w:tcPr>
            <w:tcW w:w="1820" w:type="dxa"/>
            <w:vAlign w:val="bottom"/>
            <w:gridSpan w:val="10"/>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4"/>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Officer Required Under Rule 13a-14(b) of the Securities</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and Exchange Act of 1934, as amended, and 18 U.S.C.</w:t>
              </w:r>
            </w:hyperlink>
          </w:p>
        </w:tc>
        <w:tc>
          <w:tcPr>
            <w:tcW w:w="100" w:type="dxa"/>
            <w:vAlign w:val="bottom"/>
            <w:tcBorders>
              <w:top w:val="single" w:sz="8" w:color="0000EE"/>
            </w:tcBorders>
          </w:tcPr>
          <w:p>
            <w:pPr>
              <w:spacing w:after="0"/>
              <w:rPr>
                <w:sz w:val="17"/>
                <w:szCs w:val="17"/>
                <w:color w:val="auto"/>
              </w:rPr>
            </w:pPr>
          </w:p>
        </w:tc>
        <w:tc>
          <w:tcPr>
            <w:tcW w:w="146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120"/>
              <w:spacing w:after="0" w:line="196" w:lineRule="exact"/>
              <w:rPr>
                <w:rFonts w:ascii="Times New Roman" w:cs="Times New Roman" w:eastAsia="Times New Roman" w:hAnsi="Times New Roman"/>
                <w:sz w:val="18"/>
                <w:szCs w:val="18"/>
                <w:color w:val="0000EE"/>
                <w:w w:val="93"/>
              </w:rPr>
            </w:pPr>
            <w:hyperlink w:anchor="page28">
              <w:r>
                <w:rPr>
                  <w:rFonts w:ascii="Times New Roman" w:cs="Times New Roman" w:eastAsia="Times New Roman" w:hAnsi="Times New Roman"/>
                  <w:sz w:val="18"/>
                  <w:szCs w:val="18"/>
                  <w:color w:val="0000EE"/>
                  <w:w w:val="93"/>
                </w:rPr>
                <w:t>§1350</w:t>
              </w:r>
            </w:hyperlink>
          </w:p>
        </w:tc>
        <w:tc>
          <w:tcPr>
            <w:tcW w:w="2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3" w:name="page24"/>
    <w:bookmarkEnd w:id="2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 May 12, 2020</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00"/>
          </w:cols>
          <w:pgMar w:left="320" w:top="347" w:right="7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60" w:hanging="2"/>
        <w:spacing w:after="0" w:line="266" w:lineRule="auto"/>
        <w:tabs>
          <w:tab w:leader="none" w:pos="7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2"/>
        <w:spacing w:after="0" w:line="266" w:lineRule="auto"/>
        <w:tabs>
          <w:tab w:leader="none" w:pos="7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80" w:hanging="2"/>
        <w:spacing w:after="0" w:line="312" w:lineRule="auto"/>
        <w:tabs>
          <w:tab w:leader="none" w:pos="76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220" w:hanging="2"/>
        <w:spacing w:after="0" w:line="266" w:lineRule="auto"/>
        <w:tabs>
          <w:tab w:leader="none" w:pos="7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80" w:hanging="2"/>
        <w:spacing w:after="0" w:line="282" w:lineRule="auto"/>
        <w:tabs>
          <w:tab w:leader="none" w:pos="7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hanging="2"/>
        <w:spacing w:after="0" w:line="282" w:lineRule="auto"/>
        <w:tabs>
          <w:tab w:leader="none" w:pos="7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60" w:hanging="2"/>
        <w:spacing w:after="0" w:line="266" w:lineRule="auto"/>
        <w:tabs>
          <w:tab w:leader="none" w:pos="7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2"/>
        <w:spacing w:after="0" w:line="266"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80" w:hanging="2"/>
        <w:spacing w:after="0" w:line="312" w:lineRule="auto"/>
        <w:tabs>
          <w:tab w:leader="none" w:pos="76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220" w:hanging="2"/>
        <w:spacing w:after="0" w:line="266"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80" w:hanging="2"/>
        <w:spacing w:after="0" w:line="282" w:lineRule="auto"/>
        <w:tabs>
          <w:tab w:leader="none" w:pos="7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hanging="2"/>
        <w:spacing w:after="0" w:line="282" w:lineRule="auto"/>
        <w:tabs>
          <w:tab w:leader="none" w:pos="7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March 31, 2020,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March 31, 2020,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2020-05-12T15:11:21Z</dcterms:created>
  <dcterms:modified xsi:type="dcterms:W3CDTF">2020-05-12T15:11:21Z</dcterms:modified>
</cp:coreProperties>
</file>