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6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4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980" w:type="dxa"/>
            <w:vAlign w:val="bottom"/>
          </w:tcPr>
          <w:p>
            <w:pPr>
              <w:jc w:val="center"/>
              <w:ind w:left="1584"/>
              <w:spacing w:after="0"/>
              <w:rPr>
                <w:sz w:val="20"/>
                <w:szCs w:val="20"/>
                <w:color w:val="auto"/>
              </w:rPr>
            </w:pPr>
            <w:r>
              <w:rPr>
                <w:rFonts w:ascii="Arial" w:cs="Arial" w:eastAsia="Arial" w:hAnsi="Arial"/>
                <w:sz w:val="17"/>
                <w:szCs w:val="17"/>
                <w:b w:val="1"/>
                <w:bCs w:val="1"/>
                <w:color w:val="auto"/>
                <w:w w:val="91"/>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7"/>
        </w:trPr>
        <w:tc>
          <w:tcPr>
            <w:tcW w:w="3980" w:type="dxa"/>
            <w:vAlign w:val="bottom"/>
          </w:tcPr>
          <w:p>
            <w:pPr>
              <w:spacing w:after="0"/>
              <w:rPr>
                <w:sz w:val="21"/>
                <w:szCs w:val="21"/>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Arial" w:cs="Arial" w:eastAsia="Arial" w:hAnsi="Arial"/>
                <w:sz w:val="17"/>
                <w:szCs w:val="17"/>
                <w:b w:val="1"/>
                <w:bCs w:val="1"/>
                <w:color w:val="auto"/>
                <w:w w:val="92"/>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2560" w:type="dxa"/>
            <w:vAlign w:val="bottom"/>
            <w:gridSpan w:val="3"/>
          </w:tcPr>
          <w:p>
            <w:pPr>
              <w:jc w:val="right"/>
              <w:ind w:right="625"/>
              <w:spacing w:after="0"/>
              <w:rPr>
                <w:sz w:val="20"/>
                <w:szCs w:val="20"/>
                <w:color w:val="auto"/>
              </w:rPr>
            </w:pPr>
            <w:r>
              <w:rPr>
                <w:rFonts w:ascii="Arial" w:cs="Arial" w:eastAsia="Arial" w:hAnsi="Arial"/>
                <w:sz w:val="17"/>
                <w:szCs w:val="17"/>
                <w:b w:val="1"/>
                <w:bCs w:val="1"/>
                <w:color w:val="auto"/>
              </w:rPr>
              <w:t>94065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5"/>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80" w:type="dxa"/>
            <w:vAlign w:val="bottom"/>
          </w:tcPr>
          <w:p>
            <w:pPr>
              <w:spacing w:after="0"/>
              <w:rPr>
                <w:sz w:val="21"/>
                <w:szCs w:val="21"/>
                <w:color w:val="auto"/>
              </w:rPr>
            </w:pPr>
          </w:p>
        </w:tc>
        <w:tc>
          <w:tcPr>
            <w:tcW w:w="256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vMerge w:val="restart"/>
          </w:tcPr>
          <w:p>
            <w:pPr>
              <w:ind w:left="440"/>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b w:val="1"/>
                <w:bCs w:val="1"/>
                <w:color w:val="auto"/>
                <w:w w:val="88"/>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color w:val="auto"/>
                <w:w w:val="92"/>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w w:val="97"/>
              </w:rPr>
              <w:t>NASDAQ</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40" w:firstLine="51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right="36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480" w:firstLine="510"/>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120"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right="312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23, 2021, there were </w:t>
      </w:r>
      <w:r>
        <w:rPr>
          <w:rFonts w:ascii="Arial" w:cs="Arial" w:eastAsia="Arial" w:hAnsi="Arial"/>
          <w:sz w:val="13"/>
          <w:szCs w:val="13"/>
          <w:u w:val="single" w:color="auto"/>
          <w:color w:val="auto"/>
        </w:rPr>
        <w:t>79,759,225</w:t>
      </w:r>
      <w:r>
        <w:rPr>
          <w:rFonts w:ascii="Arial" w:cs="Arial" w:eastAsia="Arial" w:hAnsi="Arial"/>
          <w:sz w:val="13"/>
          <w:szCs w:val="13"/>
          <w:color w:val="auto"/>
        </w:rPr>
        <w:t xml:space="preserve"> shares of the registrant’s Common Stock, par value $0.001 per share, outstanding</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00" w:type="dxa"/>
            <w:vAlign w:val="bottom"/>
            <w:gridSpan w:val="22"/>
            <w:vMerge w:val="continue"/>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40" w:type="dxa"/>
            <w:vAlign w:val="bottom"/>
            <w:gridSpan w:val="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w:t>
              </w:r>
            </w:hyperlink>
          </w:p>
        </w:tc>
        <w:tc>
          <w:tcPr>
            <w:tcW w:w="306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w:t>
              </w:r>
            </w:hyperlink>
          </w:p>
        </w:tc>
        <w:tc>
          <w:tcPr>
            <w:tcW w:w="374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46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Item 2. Management’s Discussion and Analysis of Financial Condition and Results of Operations</w:t>
              </w:r>
            </w:hyperlink>
          </w:p>
        </w:tc>
        <w:tc>
          <w:tcPr>
            <w:tcW w:w="17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Item 3. Quantitative and Qualitative Disclosures About Market Risk</w:t>
              </w:r>
            </w:hyperlink>
          </w:p>
        </w:tc>
        <w:tc>
          <w:tcPr>
            <w:tcW w:w="380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6420" w:type="dxa"/>
            <w:vAlign w:val="bottom"/>
            <w:gridSpan w:val="11"/>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II—OTHER INFORMATION</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 Legal Proceedings</w:t>
              </w:r>
            </w:hyperlink>
          </w:p>
        </w:tc>
        <w:tc>
          <w:tcPr>
            <w:tcW w:w="6340" w:type="dxa"/>
            <w:vAlign w:val="bottom"/>
            <w:gridSpan w:val="10"/>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6880" w:type="dxa"/>
            <w:vAlign w:val="bottom"/>
            <w:gridSpan w:val="1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Unregistered Sales of Equity Securities and Use of Proceeds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6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4. Mine Safety Disclosures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5. Other Information</w:t>
              </w:r>
            </w:hyperlink>
          </w:p>
        </w:tc>
        <w:tc>
          <w:tcPr>
            <w:tcW w:w="6440" w:type="dxa"/>
            <w:vAlign w:val="bottom"/>
            <w:gridSpan w:val="1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0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EXHIBIT INDEX</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780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b w:val="1"/>
                <w:bCs w:val="1"/>
                <w:color w:val="auto"/>
                <w:w w:val="89"/>
              </w:rPr>
              <w:t>Soleno Therapeutics, Inc.</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7080" w:type="dxa"/>
            <w:vAlign w:val="bottom"/>
          </w:tcPr>
          <w:p>
            <w:pPr>
              <w:jc w:val="center"/>
              <w:ind w:left="28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 w:type="dxa"/>
            <w:vAlign w:val="bottom"/>
            <w:tcBorders>
              <w:bottom w:val="single" w:sz="8" w:color="CFF0FC"/>
            </w:tcBorders>
          </w:tcPr>
          <w:p>
            <w:pPr>
              <w:spacing w:after="0"/>
              <w:rPr>
                <w:sz w:val="14"/>
                <w:szCs w:val="14"/>
                <w:color w:val="auto"/>
              </w:rPr>
            </w:pPr>
          </w:p>
        </w:tc>
        <w:tc>
          <w:tcPr>
            <w:tcW w:w="70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11"/>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0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3,348</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Accrued clinical trial site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 net of current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$0.001 par value, 250,000,000 shares authorized,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79,759,225 and 79,615,692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June 30, 2021 and December 31, 2020,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229,744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(202,387)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(182,445)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27,437</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6,103</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12,751</w:t>
            </w:r>
          </w:p>
        </w:tc>
        <w:tc>
          <w:tcPr>
            <w:tcW w:w="1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5,443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2,047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20,241</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4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2"/>
              </w:rPr>
              <w:t>Weighted-average common shares outstanding used to calculate basic and</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79,747,506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46,236,209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79,721,290</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45,458,034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0" w:type="dxa"/>
            <w:vAlign w:val="bottom"/>
            <w:gridSpan w:val="4"/>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56"/>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79,615,692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Tax withholding payments for net share-settled equity awards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(59,072)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(8,954)</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79,723,680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(191,399)</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35,545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(10,988)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June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79,759,225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(202,387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5200" w:type="dxa"/>
            <w:vAlign w:val="bottom"/>
          </w:tcPr>
          <w:p>
            <w:pPr>
              <w:spacing w:after="0"/>
              <w:rPr>
                <w:sz w:val="24"/>
                <w:szCs w:val="24"/>
                <w:color w:val="auto"/>
              </w:rPr>
            </w:pPr>
          </w:p>
        </w:tc>
        <w:tc>
          <w:tcPr>
            <w:tcW w:w="2000" w:type="dxa"/>
            <w:vAlign w:val="bottom"/>
            <w:gridSpan w:val="4"/>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1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10"/>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44,658,054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under equity incentive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(5,858)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44,686,811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under equity incentive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w w:val="99"/>
              </w:rPr>
              <w:t>Sale of common stock in public offering, net of costs of $3,778</w:t>
            </w:r>
          </w:p>
        </w:tc>
        <w:tc>
          <w:tcPr>
            <w:tcW w:w="1000" w:type="dxa"/>
            <w:vAlign w:val="bottom"/>
          </w:tcPr>
          <w:p>
            <w:pPr>
              <w:jc w:val="right"/>
              <w:spacing w:after="0"/>
              <w:rPr>
                <w:sz w:val="20"/>
                <w:szCs w:val="20"/>
                <w:color w:val="auto"/>
              </w:rPr>
            </w:pPr>
            <w:r>
              <w:rPr>
                <w:rFonts w:ascii="Arial" w:cs="Arial" w:eastAsia="Arial" w:hAnsi="Arial"/>
                <w:sz w:val="18"/>
                <w:szCs w:val="18"/>
                <w:color w:val="auto"/>
              </w:rPr>
              <w:t>34,848,484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79,560,274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(171,048</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(19,942)</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(13,242)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other current assets and other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(353)</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trial site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(15,501)</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(12,193)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sale of common stock, net of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 payments for net share-settled equity awards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paid on finance lease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(15,628)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49,224</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33,596</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financing costs included in accounts payable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30, 2021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29" w:lineRule="exact"/>
        <w:rPr>
          <w:sz w:val="20"/>
          <w:szCs w:val="20"/>
          <w:color w:val="auto"/>
        </w:rPr>
      </w:pPr>
    </w:p>
    <w:p>
      <w:pPr>
        <w:jc w:val="both"/>
        <w:ind w:right="180" w:firstLine="667"/>
        <w:spacing w:after="0" w:line="311" w:lineRule="auto"/>
        <w:rPr>
          <w:sz w:val="20"/>
          <w:szCs w:val="20"/>
          <w:color w:val="auto"/>
        </w:rPr>
      </w:pPr>
      <w:r>
        <w:rPr>
          <w:rFonts w:ascii="Arial" w:cs="Arial" w:eastAsia="Arial" w:hAnsi="Arial"/>
          <w:sz w:val="16"/>
          <w:szCs w:val="16"/>
          <w:color w:val="auto"/>
        </w:rPr>
        <w:t>Soleno Therapeutics, Inc. (the Company or Soleno) is focused on the development and commercialization of novel therapeutics for the treatment of rare diseases. Its lead candidate is Diazoxide Choline Controlled Release tablets (DCCR), a once-daily oral tablet for the treatment of Prader-Willi Syndrome (PWS). DCCR has received orphan designation for the treatment of PWS in the United States (U.S.) as well as in the European Union (E.U.).</w:t>
      </w:r>
    </w:p>
    <w:p>
      <w:pPr>
        <w:spacing w:after="0" w:line="149" w:lineRule="exact"/>
        <w:rPr>
          <w:sz w:val="20"/>
          <w:szCs w:val="20"/>
          <w:color w:val="auto"/>
        </w:rPr>
      </w:pPr>
    </w:p>
    <w:p>
      <w:pPr>
        <w:ind w:firstLine="667"/>
        <w:spacing w:after="0" w:line="272" w:lineRule="auto"/>
        <w:rPr>
          <w:sz w:val="20"/>
          <w:szCs w:val="20"/>
          <w:color w:val="auto"/>
        </w:rPr>
      </w:pPr>
      <w:r>
        <w:rPr>
          <w:rFonts w:ascii="Arial" w:cs="Arial" w:eastAsia="Arial" w:hAnsi="Arial"/>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w:t>
      </w:r>
    </w:p>
    <w:p>
      <w:pPr>
        <w:spacing w:after="0" w:line="121"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The Company had a net loss of $19.9 million during the six months ended June 30, 2021 and has an accumulated deficit of $202.4 million at June 30, 2021 resulting from having incurred losses since its inception. The Company had $33.6 million of cash and cash equivalents on hand at June 30, 2021 and used $15.5 million of cash in its operating activities during the six months ended June 30, 2021. The Company has financed its operations principally through issuances of equity securities. On June 26, 2020, the Company sold 34,848,484 shares of common stock in an underwritten public offering at a price of $1.65 per share for net proceeds of $53.7 million. On July 16, 2021, the Company entered into a Controlled Equity Offering Sales Agreement with Cantor Fitzgerald &amp; Co. (Cantor) pursuant to which the Company may offer and sell, from time to time, shares of its common stock through Cantor up to an aggregate purchase price of $25.0 million (the ATM Offering). The Company expects to continue incurring losses for the foreseeable future. However, the Company expects that its current cash and cash equivalents balance are sufficient to enable the Company to meet its obligations for at least the next twelve months from the date of this filing.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during the six months ended June 30, 2021 as compared to the significant accounting policies described in Note 3 of the “Notes to Consolidated Financial Statements” in the Company’s Annual Report on Form 10-K for the year ended December 31, 2020. Below are those policies with current period updates.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2021, are not necessarily indicative of the results that may be expected for any other interim period or for the fiscal year ending December 31, 2021. For further information, refer to the financial statements and footnotes included in the Company’s annual financial statements for the fiscal year ended December 31, 2020, which are included in the Company’s annual report on Form 10-K filed with the SEC on March 3,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7" w:name="page8"/>
    <w:bookmarkEnd w:id="7"/>
    <w:p>
      <w:pPr>
        <w:ind w:right="160"/>
        <w:spacing w:after="0" w:line="293" w:lineRule="auto"/>
        <w:rPr>
          <w:sz w:val="20"/>
          <w:szCs w:val="20"/>
          <w:color w:val="auto"/>
        </w:rPr>
      </w:pPr>
      <w:r>
        <w:rPr>
          <w:rFonts w:ascii="Arial" w:cs="Arial" w:eastAsia="Arial" w:hAnsi="Arial"/>
          <w:sz w:val="16"/>
          <w:szCs w:val="16"/>
          <w:color w:val="auto"/>
        </w:rPr>
        <w:t>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value and life of acquired intangibles, and the valuation of contingent liabilities for the purchase price of assets obtained through acquisition.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During the three and six months ended June 30, 2021,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21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44"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5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at June 30,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0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12,607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12,607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center"/>
              <w:ind w:left="516"/>
              <w:spacing w:after="0"/>
              <w:rPr>
                <w:sz w:val="20"/>
                <w:szCs w:val="20"/>
                <w:color w:val="auto"/>
              </w:rPr>
            </w:pPr>
            <w:r>
              <w:rPr>
                <w:rFonts w:ascii="Arial" w:cs="Arial" w:eastAsia="Arial" w:hAnsi="Arial"/>
                <w:sz w:val="14"/>
                <w:szCs w:val="14"/>
                <w:b w:val="1"/>
                <w:bCs w:val="1"/>
                <w:color w:val="auto"/>
                <w:w w:val="93"/>
              </w:rPr>
              <w:t>Fair Value Measurements at December 31, 2020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1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0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firstLine="510"/>
        <w:spacing w:after="0" w:line="259" w:lineRule="auto"/>
        <w:rPr>
          <w:sz w:val="20"/>
          <w:szCs w:val="20"/>
          <w:color w:val="auto"/>
        </w:rPr>
      </w:pPr>
      <w:r>
        <w:rPr>
          <w:rFonts w:ascii="Arial" w:cs="Arial" w:eastAsia="Arial" w:hAnsi="Arial"/>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The difference in valuation as a result of using the Black-Scholes pricing model compared to the Monte Carlo simulation model is not significant.</w:t>
      </w:r>
    </w:p>
    <w:p>
      <w:pPr>
        <w:spacing w:after="0" w:line="25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fair value of the Essentialis purchase price contingent liability is estimated using scenario-based methods based upon the Company’s analysis of the likelihood of obtaining specified approvals from the FDA as well as reaching cumulative revenue milestones. The Level 3 estimates are based, in part, on subjective assumptions. During the periods presented, the Company has not changed the manner in which it values its Essentialis purchase price contingent liability.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within the hierarchy during the periods presented.</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liabilities for the six months ended June 30, 2021 and 2020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2018 PIPE Warrants</w:t>
            </w:r>
          </w:p>
        </w:tc>
        <w:tc>
          <w:tcPr>
            <w:tcW w:w="22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Purchase Price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Contingent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40" w:type="dxa"/>
            <w:vAlign w:val="bottom"/>
            <w:vMerge w:val="restart"/>
          </w:tcPr>
          <w:p>
            <w:pPr>
              <w:spacing w:after="0"/>
              <w:rPr>
                <w:sz w:val="20"/>
                <w:szCs w:val="20"/>
                <w:color w:val="auto"/>
              </w:rPr>
            </w:pPr>
            <w:r>
              <w:rPr>
                <w:rFonts w:ascii="Arial" w:cs="Arial" w:eastAsia="Arial" w:hAnsi="Arial"/>
                <w:sz w:val="18"/>
                <w:szCs w:val="18"/>
                <w:color w:val="auto"/>
              </w:rPr>
              <w:t>Balance at January 1, 2021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4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w w:val="97"/>
              </w:rPr>
              <w:t>Change in value of 2018 PIPE Warrants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Arial" w:cs="Arial" w:eastAsia="Arial" w:hAnsi="Arial"/>
                <w:sz w:val="18"/>
                <w:szCs w:val="18"/>
                <w:color w:val="auto"/>
              </w:rPr>
              <w:t>Change in value of contingent liability</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40" w:type="dxa"/>
            <w:vAlign w:val="bottom"/>
          </w:tcPr>
          <w:p>
            <w:pPr>
              <w:spacing w:after="0"/>
              <w:rPr>
                <w:sz w:val="24"/>
                <w:szCs w:val="24"/>
                <w:color w:val="auto"/>
              </w:rPr>
            </w:pPr>
          </w:p>
        </w:tc>
        <w:tc>
          <w:tcPr>
            <w:tcW w:w="20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Series C Warrants</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2017 PIPE Warrants</w:t>
            </w:r>
          </w:p>
        </w:tc>
        <w:tc>
          <w:tcPr>
            <w:tcW w:w="420" w:type="dxa"/>
            <w:vAlign w:val="bottom"/>
          </w:tcPr>
          <w:p>
            <w:pPr>
              <w:spacing w:after="0"/>
              <w:rPr>
                <w:sz w:val="24"/>
                <w:szCs w:val="24"/>
                <w:color w:val="auto"/>
              </w:rPr>
            </w:pPr>
          </w:p>
        </w:tc>
        <w:tc>
          <w:tcPr>
            <w:tcW w:w="20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2018 PIPE Warrants</w:t>
            </w:r>
          </w:p>
        </w:tc>
        <w:tc>
          <w:tcPr>
            <w:tcW w:w="2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6"/>
              </w:rPr>
              <w:t>Purchase Price</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Liability</w:t>
            </w:r>
          </w:p>
        </w:tc>
        <w:tc>
          <w:tcPr>
            <w:tcW w:w="94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6,024,425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4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Expiration of Series C Warrants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(118,083)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w w:val="97"/>
              </w:rPr>
              <w:t>Change in value of 2017 PIPE Warrants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(6,592)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w w:val="97"/>
              </w:rPr>
              <w:t>Change in value of 2018 PIPE Warrants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6,024,425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4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 xml:space="preserve">The Company has issued multiple warrant series, of which the Series C Warrants, the 2017 PIPE Warrants and the 2018 PIPE Warrants (Warrants) were determined to be liabilities pursuant to the guidance established by </w:t>
      </w:r>
      <w:r>
        <w:rPr>
          <w:rFonts w:ascii="Arial" w:cs="Arial" w:eastAsia="Arial" w:hAnsi="Arial"/>
          <w:sz w:val="18"/>
          <w:szCs w:val="18"/>
          <w:i w:val="1"/>
          <w:iCs w:val="1"/>
          <w:color w:val="auto"/>
        </w:rPr>
        <w:t>ASC 815 Derivatives and Hedging.</w:t>
      </w:r>
      <w:r>
        <w:rPr>
          <w:rFonts w:ascii="Arial" w:cs="Arial" w:eastAsia="Arial" w:hAnsi="Arial"/>
          <w:sz w:val="18"/>
          <w:szCs w:val="18"/>
          <w:color w:val="auto"/>
        </w:rPr>
        <w:t xml:space="preserve"> Only the 2018 PIPE Warrants remain outstanding at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The Company accounts for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below, the Company may be obligated to settle Warrants in cash. The Company classified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Series C Warrants expired in March 2020. The Company calculated the fair value of the Series C Warrants as of January 1, 2020 using a Black-Scholes pricing model.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22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The 2017 PIPE Warrants expired on December 15, 2020. The Company calculated the fair value of the 2017 PIPE Warrants as of January 1, 2020 using a Monte Carlo simulation of a geometric Brownian motion model. The $3.2 million decrease in the fair value of the liability for the 2017 PIPE Warrants during the three months ended March 31, 2020 was recorded as other income in the condensed consolidated statements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2018 PIPE Warrants were issued on December 19, 2018 in a 2018 private offering of common stock and warrants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84"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As of June 30, 2021, the fair value of the 2018 PIPE Warrants was estimated at $0.3 million. The $0.2 million decrease in the fair value of the liability for the 2018 PIPE Warrants during the three and six months ended June 30, 2021 and 2020, was recorded as other income in the condensed consolidated statements of operations.</w:t>
      </w:r>
    </w:p>
    <w:p>
      <w:pPr>
        <w:spacing w:after="0" w:line="184"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 has calculated the fair value of the 2018 PIPE Warrants as of June 30, 2021 and December 31, 2020 using a Black-Scholes pricing model which requires the input of highly subjective assumptions including the expected stock price volatility. The following summarizes certain key assumptions used in estimating the fair values.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Risk-free rate</w:t>
            </w:r>
          </w:p>
        </w:tc>
        <w:tc>
          <w:tcPr>
            <w:tcW w:w="122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bl>
    <w:p>
      <w:pPr>
        <w:spacing w:after="0" w:line="241"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Black-Scholes 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its historical volatility over the expected life of the warrants.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44"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340" w:firstLine="188"/>
        <w:spacing w:after="0" w:line="263" w:lineRule="auto"/>
        <w:rPr>
          <w:sz w:val="20"/>
          <w:szCs w:val="20"/>
          <w:color w:val="auto"/>
        </w:rPr>
      </w:pPr>
      <w:r>
        <w:rPr>
          <w:rFonts w:ascii="Arial" w:cs="Arial" w:eastAsia="Arial" w:hAnsi="Arial"/>
          <w:sz w:val="18"/>
          <w:szCs w:val="18"/>
          <w:color w:val="auto"/>
        </w:rPr>
        <w:t>The Company’s operating lease for its headquarters facility office space in Redwood City, California, terminated in May 2021. In April 2021, the Company executed a non-cancellable operating lease agreement for the same 6,368 square feet of space, which began in June 2021 and expires in May 2023.</w:t>
      </w:r>
    </w:p>
    <w:p>
      <w:pPr>
        <w:spacing w:after="0" w:line="76" w:lineRule="exact"/>
        <w:rPr>
          <w:sz w:val="20"/>
          <w:szCs w:val="20"/>
          <w:color w:val="auto"/>
        </w:rPr>
      </w:pPr>
    </w:p>
    <w:p>
      <w:pPr>
        <w:ind w:right="180" w:firstLine="188"/>
        <w:spacing w:after="0" w:line="277" w:lineRule="auto"/>
        <w:rPr>
          <w:sz w:val="20"/>
          <w:szCs w:val="20"/>
          <w:color w:val="auto"/>
        </w:rPr>
      </w:pPr>
      <w:r>
        <w:rPr>
          <w:rFonts w:ascii="Arial" w:cs="Arial" w:eastAsia="Arial" w:hAnsi="Arial"/>
          <w:sz w:val="18"/>
          <w:szCs w:val="18"/>
          <w:color w:val="auto"/>
        </w:rPr>
        <w:t>The lease was accounted at inception with a right-of-use asset equal to $0.6 million and a liability for $0.5 million. As of June 30, 2021, the short-term liability is equal to $0.2 million and the long-term liability is equal to $0.3 million. The weighted average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460"/>
        <w:spacing w:after="0" w:line="263" w:lineRule="auto"/>
        <w:rPr>
          <w:sz w:val="20"/>
          <w:szCs w:val="20"/>
          <w:color w:val="auto"/>
        </w:rPr>
      </w:pPr>
      <w:r>
        <w:rPr>
          <w:rFonts w:ascii="Arial" w:cs="Arial" w:eastAsia="Arial" w:hAnsi="Arial"/>
          <w:sz w:val="18"/>
          <w:szCs w:val="18"/>
          <w:color w:val="auto"/>
        </w:rPr>
        <w:t>discount rate was 9% over a remaining term of 23 months. The discount rate was determined based on the estimate of the interest to be paid on a loan collateralized by such contract according to small business bank loans comparable rates. The Company has elected to utilize the available practical expedient to not separate lease and non-lease components for the office lease.</w:t>
      </w:r>
    </w:p>
    <w:p>
      <w:pPr>
        <w:spacing w:after="0" w:line="76" w:lineRule="exact"/>
        <w:rPr>
          <w:sz w:val="20"/>
          <w:szCs w:val="20"/>
          <w:color w:val="auto"/>
        </w:rPr>
      </w:pPr>
    </w:p>
    <w:p>
      <w:pPr>
        <w:ind w:right="540" w:firstLine="188"/>
        <w:spacing w:after="0" w:line="277" w:lineRule="auto"/>
        <w:rPr>
          <w:sz w:val="20"/>
          <w:szCs w:val="20"/>
          <w:color w:val="auto"/>
        </w:rPr>
      </w:pPr>
      <w:r>
        <w:rPr>
          <w:rFonts w:ascii="Arial" w:cs="Arial" w:eastAsia="Arial" w:hAnsi="Arial"/>
          <w:sz w:val="18"/>
          <w:szCs w:val="18"/>
          <w:color w:val="auto"/>
        </w:rPr>
        <w:t>The following table presents a reconciliation of the undiscounted future minimum lease payments remaining under the operating lease reported as operating lease liability on the condensed consolidated balance sheet as of June 30,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Undiscounted future minimum lease payments:</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2021 (remainder of the year)</w:t>
            </w: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100,296</w:t>
            </w:r>
          </w:p>
        </w:tc>
        <w:tc>
          <w:tcPr>
            <w:tcW w:w="100" w:type="dxa"/>
            <w:vAlign w:val="bottom"/>
          </w:tcPr>
          <w:p>
            <w:pPr>
              <w:spacing w:after="0"/>
              <w:rPr>
                <w:sz w:val="19"/>
                <w:szCs w:val="19"/>
                <w:color w:val="auto"/>
              </w:rPr>
            </w:pPr>
          </w:p>
        </w:tc>
      </w:tr>
      <w:tr>
        <w:trPr>
          <w:trHeight w:val="230"/>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334,320</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88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179,100</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future minimum lease payments</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613,716</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Less: amount representing imputed interest</w:t>
            </w:r>
          </w:p>
        </w:tc>
        <w:tc>
          <w:tcPr>
            <w:tcW w:w="28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(62,097)</w:t>
            </w:r>
          </w:p>
        </w:tc>
      </w:tr>
      <w:tr>
        <w:trPr>
          <w:trHeight w:val="223"/>
        </w:trPr>
        <w:tc>
          <w:tcPr>
            <w:tcW w:w="6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during the three and six months ended June 30, 2021 and 2020 were as follows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20" w:type="dxa"/>
            <w:vAlign w:val="bottom"/>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727"/>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88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3"/>
                <w:szCs w:val="13"/>
                <w:color w:val="auto"/>
              </w:rPr>
            </w:pPr>
          </w:p>
        </w:tc>
        <w:tc>
          <w:tcPr>
            <w:tcW w:w="122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on lease liabilities</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880" w:type="dxa"/>
            <w:vAlign w:val="bottom"/>
            <w:tcBorders>
              <w:bottom w:val="single" w:sz="8" w:color="auto"/>
            </w:tcBorders>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has adopted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June 30, 2021, a total of 1,167,773 shares are available for future grant under the 2014 Plan.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Inducement Plan</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On September 28, 2020, the Company adopted the 2020 Inducement Equity Incentive Plan (the Inducement Plan) and, subject to the adjustment provisions of the Inducement Plan, reserved 1,500,000 shares of the Company’s common stock for issuance pursuant to equity awards granted under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15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There have been no awards granted under the Inducement Plan as of June 30, 2021. As of June 30, 2021, a total of 1,500,000 shares are available for future grant under the Inducement Plan.</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was recognized in the condensed consolidated statements of operations as follows (in thousands).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44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08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9"/>
                <w:szCs w:val="19"/>
                <w:color w:val="auto"/>
              </w:rPr>
            </w:pPr>
          </w:p>
        </w:tc>
      </w:tr>
      <w:tr>
        <w:trPr>
          <w:trHeight w:val="229"/>
        </w:trPr>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bottom w:val="single" w:sz="8" w:color="CFF0FC"/>
            </w:tcBorders>
          </w:tcPr>
          <w:p>
            <w:pPr>
              <w:spacing w:after="0"/>
              <w:rPr>
                <w:sz w:val="19"/>
                <w:szCs w:val="19"/>
                <w:color w:val="auto"/>
              </w:rPr>
            </w:pPr>
          </w:p>
        </w:tc>
      </w:tr>
      <w:tr>
        <w:trPr>
          <w:trHeight w:val="223"/>
        </w:trPr>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857</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 granted options to purchase 219,310 and 452,650 shares of the Company’s common stock during the three months ended June 30, 2021 and 2020, respectively, and granted options to purchase 3,387,810 and 452,650 of the Company’s common stock during the six months ended June 30, 2021 and 2020, respectively. Of the total options granted during the three and six months ended June 30, 2021, 708,750 were performance-based options. The fair value of each award granted during the three and six months ended June 30, 2021 and 2020 was estimated on the date of grant using the Black-Scholes option pricing model with the following assumptions.</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6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52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274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8"/>
                <w:szCs w:val="18"/>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5.5-6.0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0.9%-1.0%</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0.4%-0.5%</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0.6%-1.0%</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0.4%-0.5%</w:t>
            </w:r>
          </w:p>
        </w:tc>
        <w:tc>
          <w:tcPr>
            <w:tcW w:w="8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91%-102%</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64%</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91%-108%</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64%</w:t>
            </w: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Dividend rate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line="27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period of time that the options are expected to be outstanding. Due to the lack of</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exercise history, the expected term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880" w:right="1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liquidity.</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is based on the volatilities of the Company’s common stock for a historical period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stock options.</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transactions for the six months ended June 30, 2021 as issued under the 2014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 per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2,837,739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3,387,810</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Options canceled/forfeited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6,225,549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at June 30, 2021</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2,284,607</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June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6,225,549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The weighted-average grant date fair value of options granted was $1.73 and $1.95 per share for the six months ended June 30, 2021 and 2020, respectively. At June 30, 2021 total unrecognized employee stock-based compensation related to stock options that are likely to vest was $6.1 million, which is expected to be recognized over the weighted-average remaining vesting period of 3.8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There were 39,463 and 16,461 restricted stock units granted by the Company during the three months ended June 30, 2021 and 2020, respectively, and 61,273 and 703,718 restricted stock units granted during the six months ended June 30, 2021 and 2020,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restricted stock unit transactions for the six months ended June 30, 2021 as issued under the 2014 Plan: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Units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Arial" w:cs="Arial" w:eastAsia="Arial" w:hAnsi="Arial"/>
                <w:sz w:val="18"/>
                <w:szCs w:val="18"/>
                <w:color w:val="auto"/>
              </w:rPr>
              <w:t>Restricted stock units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61,273</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 vested</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(206,523)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435,750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weighted-average grant-date fair value of all restricted stock units granted during the six months ended June 30, 2021 and 2020 was $1.48 and $3.81, respectively. The fair value of all restricted stock units vested during the six months ended June 30, 2021 and 2020 was $0.7 million and approximately $0.1 million, respectively. At June 30, 2021, total unrecognized employee stock-based compensation related to restricted stock units was $1.7 million, which is expected to be recognized over the weighted-average remaining vesting period of 2.6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The Company’s Board and stockholders have adopted the 2014 Employee Stock Purchase Plan (ESPP). The ESPP has become effective, and the Board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authorizes commencement, equal to the least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21"/>
          <w:szCs w:val="21"/>
          <w:color w:val="auto"/>
        </w:rPr>
        <w:t>of the outstanding shares of the Company’s common stock on the first day of such year;</w:t>
      </w:r>
    </w:p>
    <w:p>
      <w:pPr>
        <w:spacing w:after="0" w:line="109"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55,936 </w:t>
      </w:r>
      <w:r>
        <w:rPr>
          <w:rFonts w:ascii="Arial" w:cs="Arial" w:eastAsia="Arial" w:hAnsi="Arial"/>
          <w:sz w:val="21"/>
          <w:szCs w:val="21"/>
          <w:color w:val="auto"/>
        </w:rPr>
        <w:t>shares; or</w:t>
      </w:r>
    </w:p>
    <w:p>
      <w:pPr>
        <w:spacing w:after="0" w:line="116"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amount as determined by the Board.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As of June 30, 2021, the Company had 102,070 common stock warrants outstanding that are related to convertible notes issued in 2010 and 2012,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or vesting of common stock awards and exercise of common stock warrants. For the three and six months ended June 30, 2021 and 2020, the effect of issuing such common stock is anti-dilutive due to the net losses in those periods and the number of shares used to compute basic and diluted earnings per share are the same in each of those periods.</w:t>
      </w:r>
    </w:p>
    <w:p>
      <w:pPr>
        <w:spacing w:after="0" w:line="200" w:lineRule="exact"/>
        <w:rPr>
          <w:sz w:val="20"/>
          <w:szCs w:val="20"/>
          <w:color w:val="auto"/>
        </w:rPr>
      </w:pPr>
    </w:p>
    <w:p>
      <w:pPr>
        <w:spacing w:after="0" w:line="21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33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2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54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6,225,549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2,500,113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435,750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591,000</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Series D warrants to purchase common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540,540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2017 PIPE warrants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7,293,486</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10,288,265</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evaluated its subsequent events from June 30, 2021 through the date these condensed consolidated financial statements were issued and has determined that there are no other subsequent events requiring disclosure in these condensed consolidated financial statements other than the item noted below.</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 The Market Facility</w:t>
      </w:r>
    </w:p>
    <w:p>
      <w:pPr>
        <w:spacing w:after="0" w:line="225"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On July 16, 2021, the Company entered into a Controlled Equity Offering Sales Agreement with Cantor pursuant to which the Company may offer and sell, from time to time, shares of its common stock through Cantor up to an aggregate purchase price of $25.0 million.</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4" w:name="page15"/>
    <w:bookmarkEnd w:id="14"/>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interim consolidated financial statements included in this Quarterly Report on Form 10-Q and this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should be read in conjunction with the financial statements and notes thereto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31, 2020, and the related Management’s Discussion and Analysis of Financial Condition and Results of Operations, contained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for the year ended December 31, 2020. In addition to historical information, this discussion and analysis contains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meaning of Section 27A of the Securities Act of 1933, as amended (the “Securities Act”), and Section 21E of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1934, as amended (the “Exchange Act”). These forward-looking statements are subject to risks and uncertainties, including those set forth in Part II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 Item 1A. Risk Factors below and elsewhere in this report that could cause actual results to differ materially from historical results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anticipated 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 candidate is Diazoxide Choline Controlled Release tablets (DCCR), a once-daily oral tablet for the treatment of Prader-Willi Syndrome (PWS). DCCR has orphan designation for the treatment of PWS in the United States (U.S.) as well as in the European Union (E.U.).</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FDA informed us that an additional clinical trial would be necessary to support a New Drug Approval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based on the data they have seen to date, an additional clinical trial is necessary for the submission of a New Drug Application (NDA). However, the FDA strongly encouraged us to submit the available data and clinical study reports for ours C601 and C602 studies to allow it to assess if these studies may provide adequate evidence of safety and efficacy to support the submission of an NDA. We are evaluating the data and are in communication with the regulatory authorities to determine next steps.</w:t>
      </w:r>
    </w:p>
    <w:p>
      <w:pPr>
        <w:spacing w:after="0" w:line="16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spread of the COVID-19 virus during 2020 has caused an economic downturn on a global scale, as well as significant volatility in the financial markets. We have not experienced a significant financial impact directly related to the COVID-19 pandemic. In June 2020, subsequent to the announcement of top line results from DESTINY PWS, we completed a public offering of shares of our common stock and raised $53.7 million in net proceeds. On July 16, 2021 we entered into a Controlled Equity Offering Sales Agreement with Cantor pursuant to which we may offer and sell, from time to time, shares of our common stock through Cantor up to an aggregate purchase price of $25.0 million. As of June 30, 2021, we have cash and cash equivalents of $33.6 million, which management believes is sufficient to enable us to meet our obligations for at least the next twelve months from the date of this filing. As of June 30, 2021, we had an accumulated deficit of $202.4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three months ended June 30, 2021 and 2020</w:t>
      </w:r>
    </w:p>
    <w:p>
      <w:pPr>
        <w:sectPr>
          <w:pgSz w:w="11900" w:h="16838" w:orient="portrait"/>
          <w:cols w:equalWidth="0" w:num="1">
            <w:col w:w="11240"/>
          </w:cols>
          <w:pgMar w:left="320" w:top="661" w:right="339" w:bottom="1440" w:gutter="0" w:footer="0" w:header="0"/>
        </w:sectPr>
      </w:pPr>
    </w:p>
    <w:p>
      <w:pPr>
        <w:spacing w:after="0" w:line="346"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13970</wp:posOffset>
            </wp:positionV>
            <wp:extent cx="1594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6" w:lineRule="exact"/>
        <w:rPr>
          <w:sz w:val="20"/>
          <w:szCs w:val="20"/>
          <w:color w:val="auto"/>
        </w:rPr>
      </w:pPr>
    </w:p>
    <w:p>
      <w:pPr>
        <w:ind w:left="6220"/>
        <w:spacing w:after="0"/>
        <w:tabs>
          <w:tab w:leader="none" w:pos="75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6350</wp:posOffset>
            </wp:positionV>
            <wp:extent cx="1594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140" w:space="720"/>
            <w:col w:w="238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right"/>
              <w:ind w:right="67"/>
              <w:spacing w:after="0" w:line="155" w:lineRule="exact"/>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6,103</w:t>
            </w:r>
          </w:p>
        </w:tc>
        <w:tc>
          <w:tcPr>
            <w:tcW w:w="14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(11,085)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(11,193)</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(3,712)</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(10,988)</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June 30, 2021, have generated no revenue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Research and development expense of $5.6 million for the three months ended June 30, 2021 decreased by $0.5 million over the three months ended June 30, 2020. The cadence of our research and development expenditures will fluctuate depending upon the state of our clinical programs and the timing of CMC projects necessary to support the filing of an NDA.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General and administrative expense of $2.5 million for the three months ended June 30, 2021 increased $0.2 million over the three months ended June 30, 2020. The increase was primarily related to increased compensation costs due to headcount growth and increased stock-based compensation expense, partly offset by a decline in the costs for corporate expenses, including consulting, intellectual property and legal costs.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We are obligated to make cash payments of up to a maximum of $30 million to the former Essentialis stockholders upon the achievement of certain future commercial milestones associated with the sale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$12.3 million as of June 30, 2021, a $3.0 million increase from the estimate as of March 31, 2021. During the three months ended June 30, 2020, the estimate increased $2.8 million from the $6.6 million estimated at March 31,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had other income of $0.1 million in the three months ended June 30, 2021, compared to $3.8 million during the three months ended June 30, 2020. The decrease of $3.7 million was primarily due to a $3.8 million decrease in the fair value of our outstanding warrants during the three months ended June 30, 2021 compared to the three months ended June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12,751</w:t>
            </w:r>
          </w:p>
        </w:tc>
        <w:tc>
          <w:tcPr>
            <w:tcW w:w="140" w:type="dxa"/>
            <w:vAlign w:val="bottom"/>
          </w:tcPr>
          <w:p>
            <w:pPr>
              <w:spacing w:after="0"/>
              <w:rPr>
                <w:sz w:val="19"/>
                <w:szCs w:val="19"/>
                <w:color w:val="auto"/>
              </w:rPr>
            </w:pP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12,798</w:t>
            </w: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(20,241)</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(20,475)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(6,964)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(19,942)</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(13,242)</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June 30, 2021, have generated no revenue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Research and development expense of $12.8 million for the six months ended June 30, 2021 remaining constant with the six months ended June 30, 2020. The cadence of our research and development expenditures will fluctuate depending upon the state of our clinical programs and the timing of CMC projects necessary to support the filing of an NDA.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General and administrative expense of $5.4 million for the six months ended June 30, 2021 increased $1.2 million over the six months ended June 30, 2020. The increase was primarily related to increased compensation costs due to increased headcount and increased stock-based compensation expense.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are obligated to make cash payments of up to a maximum of $30 million to the former Essentialis stockholders upon the achievement of certain future commercial milestones associated with the sale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$12.3 million as of June 30, 2021, a $2.0 million increase from the estimate as of December 31, 2020. During the six months ended June 30, 2020, the estimate increased $3.4 million from the $6.0 million estimated at December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had other income of $0.3 million in the six months ended June 30, 2021, compared to $7.2 million during the six months ended June 30, 2020. The decrease of $6.9 million was primarily due to a $7.0 million decrease in the fair value of our outstanding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warrants during the six months ended June 30, 2021 compared the six months ended June 30, 2020. An increase in interest income also contributed slightly to the overall decrease in the comparative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had a net loss of $19.9 million during the six months ended June 30, 2021 and an accumulated deficit of $202.4 million at June 30, 2021 as a result of having incurred losses since our inception. We had $33.6 million in cash and cash equivalents and $26.2 million of working capital at June 30, 2021, and used $15.5 million of cash in operating activities during the six months ended June 30, 2021. We have financed our operations principally through issuances of equity securities. On June 26, 2020, we sold 34,848,484 shares of common stock in an underwritten public offering at a price of $1.65 per share for net proceeds of $53.7 million. On July 16, 2021, we announced an ATM Offering for up to $25.0 million. We expect to continue incurring losses for the foreseeable future. However, we expect that our current cash and cash equivalents balance are sufficient to enable us to meet our obligations for at least the next twelve months from the date of this filing.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SixMonths Ended 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3"/>
          </w:tcPr>
          <w:p>
            <w:pPr>
              <w:jc w:val="right"/>
              <w:ind w:right="616"/>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(15,501)</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(12,193)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53,959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(15,628)</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During the six months ended June 30, 2021, operating activities used net cash of $15.5 million, which was primarily due to the net loss of $19.9 million reduced by adding back the non-cash loss of $1.8 million for the change in fair value of common stock warrants and contingent consideration, non-cash expense of $1.0 million for depreciation and amortization and $2.0 million for stock-based compensation. Additionally, the usage of cash during the six months ended June 30, 2021 was increased by $0.4 million due to changes in operating assets and liabilities.</w:t>
      </w:r>
    </w:p>
    <w:p>
      <w:pPr>
        <w:spacing w:after="0" w:line="63"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During the six months ended June 30, 2020, operating activities used net cash of $12.2 million, which was primarily due to the net loss of $13.2 million increased by adding back the net non-cash income of $3.8 million for the change in the fair value of stock warrants and contingent consideration, and reduced by adding back other non-cash expenses of $1.0 million for depreciation and amortization, $0.7 million of expenses paid with commons stock or equity awards and $0.1 million for non-cash lease expense. Additionally, the usage of cash during the six months ended June 30, 2020 was reduced by $3.0 million due to changes in operating assets and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Minimal cash was used for investing activities in the six months ended June 30, 2021 related to the costs of acquiring property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six months ended June 30, 2021, we used cash of $0.1 million to pay for the taxes of net share-settled vesting of restricted stock.</w:t>
      </w:r>
    </w:p>
    <w:p>
      <w:pPr>
        <w:spacing w:after="0" w:line="23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June 2020, we obtained $54.0 million of cash from the sale of shares of our common stock in a public offering, net of underwriting discounts and other offering expenses. As of June 30, 2020, $0.3 million of offering expenses had been incurred, but remained unpaid. In addition, we received minimal cash from the issuance of common stock upon stock option exercises during the six months ended June 30, 2020. These cash inflows were minimally offset by cash payments made on our finance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In addition, minimal cash was used during the six months ended June 30, 2021 and 2020, for payments made on our finance 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 xml:space="preserve">There have not been any material changes to our exposure to market risk during the six months ended June 30, 2021. For additional information regarding market risk, refer to the </w:t>
      </w:r>
      <w:r>
        <w:rPr>
          <w:rFonts w:ascii="Arial" w:cs="Arial" w:eastAsia="Arial" w:hAnsi="Arial"/>
          <w:sz w:val="17"/>
          <w:szCs w:val="17"/>
          <w:i w:val="1"/>
          <w:iCs w:val="1"/>
          <w:color w:val="auto"/>
        </w:rPr>
        <w:t>Qualitative and Quantitative Disclosures About Market Risk</w:t>
      </w:r>
      <w:r>
        <w:rPr>
          <w:rFonts w:ascii="Arial" w:cs="Arial" w:eastAsia="Arial" w:hAnsi="Arial"/>
          <w:sz w:val="17"/>
          <w:szCs w:val="17"/>
          <w:color w:val="auto"/>
        </w:rPr>
        <w:t xml:space="preserve"> section of the Form 10-K.</w:t>
      </w: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second fiscal quarter ended June 30, 2021, that have materially affected, or are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Other than as set forth below, there are no material changes from the disclosure provided in the Form 10-K with respect to the Risk Factors.</w:t>
      </w:r>
    </w:p>
    <w:p>
      <w:pPr>
        <w:spacing w:after="0" w:line="2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for DCCR is subject to uncertainty based on FDA’s recommendation that at least an additional clinical trial may be necessary to support a marketing application for the treatment of PWS.</w:t>
      </w:r>
    </w:p>
    <w:p>
      <w:pPr>
        <w:spacing w:after="0" w:line="62" w:lineRule="exact"/>
        <w:rPr>
          <w:sz w:val="20"/>
          <w:szCs w:val="20"/>
          <w:color w:val="auto"/>
        </w:rPr>
      </w:pPr>
    </w:p>
    <w:p>
      <w:pPr>
        <w:ind w:right="140" w:firstLine="562"/>
        <w:spacing w:after="0" w:line="290" w:lineRule="auto"/>
        <w:rPr>
          <w:sz w:val="20"/>
          <w:szCs w:val="20"/>
          <w:color w:val="auto"/>
        </w:rPr>
      </w:pPr>
      <w:r>
        <w:rPr>
          <w:rFonts w:ascii="Arial" w:cs="Arial" w:eastAsia="Arial" w:hAnsi="Arial"/>
          <w:sz w:val="16"/>
          <w:szCs w:val="16"/>
          <w:color w:val="auto"/>
        </w:rPr>
        <w:t>We have been in discussions with the FDA regarding the clinical data necessary to support the submission of a new drug application (NDA) seeking approval to market DCCR for the treatment of PWS, after our Phase 3 trial, DESTINY PWS (C601) trial failed to demonstrate statistical significance on the primary efficacy endpoints. As we previously disclosed, the FDA has indicated that based on the data the agency has seen to date, at least an additional clinical trial will be necessary to support our planned NDA. As part of the ongoing discussions with the FDA, we have proposed providing the agency with the complete data set from the DESTINY PWS Phase 3 trial and available data from our long-term, open-label extension study (C602) to allow FDA to further assess if those data may provide adequate evidence of safety and efficacy to permit us to submit a 505(b)(2) NDA for the product candidate. We cannot be certain that the FDA will agree that these additional data, once submitted and reviewed by FDA, are sufficient for the agency to determine that we have demonstrated substantial evidence that DCCR is safe and effective for the treatment of PWS.</w:t>
      </w:r>
    </w:p>
    <w:p>
      <w:pPr>
        <w:spacing w:after="0" w:line="5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Complying with any additional requests for information from the FDA, or designing and conducting a new randomized controlled clinical trial if the agency continues to assert that an additional controlled data is necessary,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 Moreover, there can be no assurance that any future randomized controlled trial will be successfully enrolled or completed.</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661" w:right="8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Description of Document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Registrant’s</w:t>
            </w:r>
          </w:p>
        </w:tc>
        <w:tc>
          <w:tcPr>
            <w:tcW w:w="1800" w:type="dxa"/>
            <w:vAlign w:val="bottom"/>
            <w:gridSpan w:val="2"/>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2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Certification of Principal Executive Officer</w:t>
              </w:r>
            </w:hyperlink>
          </w:p>
        </w:tc>
        <w:tc>
          <w:tcPr>
            <w:tcW w:w="740" w:type="dxa"/>
            <w:vAlign w:val="bottom"/>
            <w:tcBorders>
              <w:bottom w:val="single" w:sz="8" w:color="0000EE"/>
            </w:tcBorders>
            <w:gridSpan w:val="6"/>
          </w:tcPr>
          <w:p>
            <w:pPr>
              <w:ind w:left="40"/>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Required</w:t>
              </w:r>
            </w:hyperlink>
          </w:p>
        </w:tc>
        <w:tc>
          <w:tcPr>
            <w:tcW w:w="16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Under Rule 13a-14(a) and 15d-14(a) of the Securities and</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Exchange Act of 1934, as amended</w:t>
              </w:r>
            </w:hyperlink>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Officer Required Under Rule 13a-14(a) and 15d-14(a) of</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the Securities and Exchange Act of 1934, as amended</w:t>
              </w:r>
            </w:hyperlink>
          </w:p>
        </w:tc>
        <w:tc>
          <w:tcPr>
            <w:tcW w:w="200" w:type="dxa"/>
            <w:vAlign w:val="bottom"/>
            <w:tcBorders>
              <w:top w:val="single" w:sz="8" w:color="0000EE"/>
            </w:tcBorders>
            <w:gridSpan w:val="4"/>
          </w:tcPr>
          <w:p>
            <w:pPr>
              <w:spacing w:after="0"/>
              <w:rPr>
                <w:sz w:val="17"/>
                <w:szCs w:val="17"/>
                <w:color w:val="auto"/>
              </w:rPr>
            </w:pPr>
          </w:p>
        </w:tc>
        <w:tc>
          <w:tcPr>
            <w:tcW w:w="144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Certification of Principal Executive Officer Required</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Under Rule 13a-14(b) of the Securities and Exchange</w:t>
              </w:r>
            </w:hyperlink>
          </w:p>
        </w:tc>
        <w:tc>
          <w:tcPr>
            <w:tcW w:w="16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Act of 1934, as amended, and 18 U.S.C. §1350</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Officer Required Under Rule 13a-14(b) of the Securities</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ind w:left="1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§1350</w:t>
              </w:r>
            </w:hyperlink>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because XBRL tags are embedded within the Inline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60" w:type="dxa"/>
            <w:vAlign w:val="bottom"/>
          </w:tcPr>
          <w:p>
            <w:pPr>
              <w:ind w:left="1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Inline 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1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320" w:top="567" w:right="7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June 30, 2021,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of Soleno Therapeutics, Inc. (the “Company”) on Form 10-Q for the fiscal quarter ended June 30, 2021,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76" w:lineRule="exact"/>
        <w:rPr>
          <w:sz w:val="20"/>
          <w:szCs w:val="20"/>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2021-07-28T16:14:02Z</dcterms:created>
  <dcterms:modified xsi:type="dcterms:W3CDTF">2021-07-28T16:14:02Z</dcterms:modified>
</cp:coreProperties>
</file>