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 w:lineRule="exact"/>
        <w:rPr>
          <w:sz w:val="24"/>
          <w:szCs w:val="24"/>
          <w:color w:val="auto"/>
        </w:rPr>
      </w:pPr>
    </w:p>
    <w:p>
      <w:pPr>
        <w:ind w:left="520" w:right="300" w:hanging="512"/>
        <w:spacing w:after="0" w:line="241" w:lineRule="auto"/>
        <w:tabs>
          <w:tab w:leader="none" w:pos="443"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20" w:right="300" w:hanging="512"/>
        <w:spacing w:after="0" w:line="256" w:lineRule="auto"/>
        <w:tabs>
          <w:tab w:leader="none" w:pos="443"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58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-7620</wp:posOffset>
            </wp:positionV>
            <wp:extent cx="457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5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1"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SOLENO THERAPEUTICS, INC.</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4060" w:type="dxa"/>
            <w:vAlign w:val="bottom"/>
          </w:tcPr>
          <w:p>
            <w:pPr>
              <w:jc w:val="center"/>
              <w:ind w:left="1504"/>
              <w:spacing w:after="0"/>
              <w:rPr>
                <w:sz w:val="20"/>
                <w:szCs w:val="20"/>
                <w:color w:val="auto"/>
              </w:rPr>
            </w:pPr>
            <w:r>
              <w:rPr>
                <w:rFonts w:ascii="Arial" w:cs="Arial" w:eastAsia="Arial" w:hAnsi="Arial"/>
                <w:sz w:val="17"/>
                <w:szCs w:val="17"/>
                <w:b w:val="1"/>
                <w:bCs w:val="1"/>
                <w:color w:val="auto"/>
                <w:w w:val="91"/>
              </w:rPr>
              <w:t>Delaware</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tcPr>
          <w:p>
            <w:pPr>
              <w:jc w:val="center"/>
              <w:ind w:right="1664"/>
              <w:spacing w:after="0"/>
              <w:rPr>
                <w:sz w:val="20"/>
                <w:szCs w:val="20"/>
                <w:color w:val="auto"/>
              </w:rPr>
            </w:pPr>
            <w:r>
              <w:rPr>
                <w:rFonts w:ascii="Arial" w:cs="Arial" w:eastAsia="Arial" w:hAnsi="Arial"/>
                <w:sz w:val="17"/>
                <w:szCs w:val="17"/>
                <w:b w:val="1"/>
                <w:bCs w:val="1"/>
                <w:color w:val="auto"/>
                <w:w w:val="90"/>
              </w:rPr>
              <w:t>77-0523891</w:t>
            </w:r>
          </w:p>
        </w:tc>
        <w:tc>
          <w:tcPr>
            <w:tcW w:w="0" w:type="dxa"/>
            <w:vAlign w:val="bottom"/>
          </w:tcPr>
          <w:p>
            <w:pPr>
              <w:spacing w:after="0"/>
              <w:rPr>
                <w:sz w:val="1"/>
                <w:szCs w:val="1"/>
                <w:color w:val="auto"/>
              </w:rPr>
            </w:pPr>
          </w:p>
        </w:tc>
      </w:tr>
      <w:tr>
        <w:trPr>
          <w:trHeight w:val="149"/>
        </w:trPr>
        <w:tc>
          <w:tcPr>
            <w:tcW w:w="4060" w:type="dxa"/>
            <w:vAlign w:val="bottom"/>
          </w:tcPr>
          <w:p>
            <w:pPr>
              <w:jc w:val="center"/>
              <w:ind w:left="150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920" w:type="dxa"/>
            <w:vAlign w:val="bottom"/>
          </w:tcPr>
          <w:p>
            <w:pPr>
              <w:jc w:val="center"/>
              <w:ind w:right="164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060" w:type="dxa"/>
            <w:vAlign w:val="bottom"/>
          </w:tcPr>
          <w:p>
            <w:pPr>
              <w:jc w:val="center"/>
              <w:ind w:left="1504"/>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20" w:type="dxa"/>
            <w:vAlign w:val="bottom"/>
          </w:tcPr>
          <w:p>
            <w:pPr>
              <w:jc w:val="center"/>
              <w:ind w:right="166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74"/>
        </w:trPr>
        <w:tc>
          <w:tcPr>
            <w:tcW w:w="4060" w:type="dxa"/>
            <w:vAlign w:val="bottom"/>
          </w:tcPr>
          <w:p>
            <w:pPr>
              <w:spacing w:after="0"/>
              <w:rPr>
                <w:sz w:val="23"/>
                <w:szCs w:val="23"/>
                <w:color w:val="auto"/>
              </w:rPr>
            </w:pPr>
          </w:p>
        </w:tc>
        <w:tc>
          <w:tcPr>
            <w:tcW w:w="3280" w:type="dxa"/>
            <w:vAlign w:val="bottom"/>
            <w:gridSpan w:val="5"/>
          </w:tcPr>
          <w:p>
            <w:pPr>
              <w:jc w:val="center"/>
              <w:ind w:right="200"/>
              <w:spacing w:after="0"/>
              <w:rPr>
                <w:sz w:val="20"/>
                <w:szCs w:val="20"/>
                <w:color w:val="auto"/>
              </w:rPr>
            </w:pPr>
            <w:r>
              <w:rPr>
                <w:rFonts w:ascii="Arial" w:cs="Arial" w:eastAsia="Arial" w:hAnsi="Arial"/>
                <w:sz w:val="17"/>
                <w:szCs w:val="17"/>
                <w:b w:val="1"/>
                <w:bCs w:val="1"/>
                <w:color w:val="auto"/>
                <w:w w:val="89"/>
              </w:rPr>
              <w:t>203 Redwood Shores Parkway, Suite 500</w:t>
            </w:r>
          </w:p>
        </w:tc>
        <w:tc>
          <w:tcPr>
            <w:tcW w:w="3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40" w:type="dxa"/>
            <w:vAlign w:val="bottom"/>
            <w:gridSpan w:val="4"/>
          </w:tcPr>
          <w:p>
            <w:pPr>
              <w:jc w:val="center"/>
              <w:ind w:right="640"/>
              <w:spacing w:after="0" w:line="188" w:lineRule="exact"/>
              <w:rPr>
                <w:sz w:val="20"/>
                <w:szCs w:val="20"/>
                <w:color w:val="auto"/>
              </w:rPr>
            </w:pPr>
            <w:r>
              <w:rPr>
                <w:rFonts w:ascii="Arial" w:cs="Arial" w:eastAsia="Arial" w:hAnsi="Arial"/>
                <w:sz w:val="17"/>
                <w:szCs w:val="17"/>
                <w:b w:val="1"/>
                <w:bCs w:val="1"/>
                <w:color w:val="auto"/>
                <w:w w:val="93"/>
              </w:rPr>
              <w:t>Redwood City, California</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32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060" w:type="dxa"/>
            <w:vAlign w:val="bottom"/>
          </w:tcPr>
          <w:p>
            <w:pPr>
              <w:spacing w:after="0"/>
              <w:rPr>
                <w:sz w:val="21"/>
                <w:szCs w:val="21"/>
                <w:color w:val="auto"/>
              </w:rPr>
            </w:pPr>
          </w:p>
        </w:tc>
        <w:tc>
          <w:tcPr>
            <w:tcW w:w="2500" w:type="dxa"/>
            <w:vAlign w:val="bottom"/>
            <w:gridSpan w:val="3"/>
          </w:tcPr>
          <w:p>
            <w:pPr>
              <w:jc w:val="right"/>
              <w:ind w:right="665"/>
              <w:spacing w:after="0"/>
              <w:rPr>
                <w:sz w:val="20"/>
                <w:szCs w:val="20"/>
                <w:color w:val="auto"/>
              </w:rPr>
            </w:pPr>
            <w:r>
              <w:rPr>
                <w:rFonts w:ascii="Arial" w:cs="Arial" w:eastAsia="Arial" w:hAnsi="Arial"/>
                <w:sz w:val="17"/>
                <w:szCs w:val="17"/>
                <w:b w:val="1"/>
                <w:bCs w:val="1"/>
                <w:color w:val="auto"/>
              </w:rPr>
              <w:t>94065</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6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95"/>
              </w:rPr>
              <w:t>(Zip Code)</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060" w:type="dxa"/>
            <w:vAlign w:val="bottom"/>
          </w:tcPr>
          <w:p>
            <w:pPr>
              <w:spacing w:after="0"/>
              <w:rPr>
                <w:sz w:val="22"/>
                <w:szCs w:val="22"/>
                <w:color w:val="auto"/>
              </w:rPr>
            </w:pPr>
          </w:p>
        </w:tc>
        <w:tc>
          <w:tcPr>
            <w:tcW w:w="2500" w:type="dxa"/>
            <w:vAlign w:val="bottom"/>
            <w:gridSpan w:val="3"/>
          </w:tcPr>
          <w:p>
            <w:pPr>
              <w:jc w:val="right"/>
              <w:ind w:right="345"/>
              <w:spacing w:after="0"/>
              <w:rPr>
                <w:sz w:val="20"/>
                <w:szCs w:val="20"/>
                <w:color w:val="auto"/>
              </w:rPr>
            </w:pPr>
            <w:r>
              <w:rPr>
                <w:rFonts w:ascii="Arial" w:cs="Arial" w:eastAsia="Arial" w:hAnsi="Arial"/>
                <w:sz w:val="17"/>
                <w:szCs w:val="17"/>
                <w:b w:val="1"/>
                <w:bCs w:val="1"/>
                <w:color w:val="auto"/>
              </w:rPr>
              <w:t>(650) 213-8444</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7340" w:type="dxa"/>
            <w:vAlign w:val="bottom"/>
            <w:gridSpan w:val="6"/>
          </w:tcPr>
          <w:p>
            <w:pPr>
              <w:jc w:val="center"/>
              <w:ind w:left="378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60" w:type="dxa"/>
            <w:vAlign w:val="bottom"/>
            <w:vMerge w:val="restart"/>
          </w:tcPr>
          <w:p>
            <w:pPr>
              <w:ind w:left="460"/>
              <w:spacing w:after="0"/>
              <w:rPr>
                <w:sz w:val="20"/>
                <w:szCs w:val="20"/>
                <w:color w:val="auto"/>
              </w:rPr>
            </w:pPr>
            <w:r>
              <w:rPr>
                <w:rFonts w:ascii="Arial" w:cs="Arial" w:eastAsia="Arial" w:hAnsi="Arial"/>
                <w:sz w:val="15"/>
                <w:szCs w:val="15"/>
                <w:color w:val="auto"/>
                <w:w w:val="93"/>
              </w:rPr>
              <w:t>Securities registered pursuant to Section 12(b) of the Act:</w:t>
            </w:r>
          </w:p>
        </w:tc>
        <w:tc>
          <w:tcPr>
            <w:tcW w:w="4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tcBorders>
          </w:tcPr>
          <w:p>
            <w:pPr>
              <w:jc w:val="center"/>
              <w:ind w:left="844"/>
              <w:spacing w:after="0"/>
              <w:rPr>
                <w:sz w:val="20"/>
                <w:szCs w:val="20"/>
                <w:color w:val="auto"/>
              </w:rPr>
            </w:pPr>
            <w:r>
              <w:rPr>
                <w:rFonts w:ascii="Arial" w:cs="Arial" w:eastAsia="Arial" w:hAnsi="Arial"/>
                <w:sz w:val="15"/>
                <w:szCs w:val="15"/>
                <w:b w:val="1"/>
                <w:bCs w:val="1"/>
                <w:color w:val="auto"/>
                <w:w w:val="88"/>
              </w:rPr>
              <w:t>Title of each class</w:t>
            </w: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Trading Symbol(s)</w:t>
            </w:r>
          </w:p>
        </w:tc>
        <w:tc>
          <w:tcPr>
            <w:tcW w:w="780" w:type="dxa"/>
            <w:vAlign w:val="bottom"/>
            <w:tcBorders>
              <w:bottom w:val="single" w:sz="8" w:color="auto"/>
            </w:tcBorders>
            <w:gridSpan w:val="2"/>
          </w:tcPr>
          <w:p>
            <w:pPr>
              <w:spacing w:after="0"/>
              <w:rPr>
                <w:sz w:val="19"/>
                <w:szCs w:val="19"/>
                <w:color w:val="auto"/>
              </w:rPr>
            </w:pPr>
          </w:p>
        </w:tc>
        <w:tc>
          <w:tcPr>
            <w:tcW w:w="3920" w:type="dxa"/>
            <w:vAlign w:val="bottom"/>
            <w:tcBorders>
              <w:bottom w:val="single" w:sz="8" w:color="auto"/>
              <w:right w:val="single" w:sz="8" w:color="auto"/>
            </w:tcBorders>
          </w:tcPr>
          <w:p>
            <w:pPr>
              <w:jc w:val="center"/>
              <w:ind w:right="764"/>
              <w:spacing w:after="0"/>
              <w:rPr>
                <w:sz w:val="20"/>
                <w:szCs w:val="20"/>
                <w:color w:val="auto"/>
              </w:rPr>
            </w:pPr>
            <w:r>
              <w:rPr>
                <w:rFonts w:ascii="Arial" w:cs="Arial" w:eastAsia="Arial" w:hAnsi="Arial"/>
                <w:sz w:val="15"/>
                <w:szCs w:val="15"/>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060" w:type="dxa"/>
            <w:vAlign w:val="bottom"/>
            <w:tcBorders>
              <w:left w:val="single" w:sz="8" w:color="auto"/>
            </w:tcBorders>
          </w:tcPr>
          <w:p>
            <w:pPr>
              <w:jc w:val="center"/>
              <w:ind w:left="844"/>
              <w:spacing w:after="0"/>
              <w:rPr>
                <w:sz w:val="20"/>
                <w:szCs w:val="20"/>
                <w:color w:val="auto"/>
              </w:rPr>
            </w:pPr>
            <w:r>
              <w:rPr>
                <w:rFonts w:ascii="Arial" w:cs="Arial" w:eastAsia="Arial" w:hAnsi="Arial"/>
                <w:sz w:val="15"/>
                <w:szCs w:val="15"/>
                <w:color w:val="auto"/>
                <w:w w:val="92"/>
              </w:rPr>
              <w:t>Common Stock, $0.001 par value</w:t>
            </w:r>
          </w:p>
        </w:tc>
        <w:tc>
          <w:tcPr>
            <w:tcW w:w="44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SLNO</w:t>
            </w:r>
          </w:p>
        </w:tc>
        <w:tc>
          <w:tcPr>
            <w:tcW w:w="780" w:type="dxa"/>
            <w:vAlign w:val="bottom"/>
            <w:gridSpan w:val="2"/>
          </w:tcPr>
          <w:p>
            <w:pPr>
              <w:spacing w:after="0"/>
              <w:rPr>
                <w:sz w:val="15"/>
                <w:szCs w:val="15"/>
                <w:color w:val="auto"/>
              </w:rPr>
            </w:pPr>
          </w:p>
        </w:tc>
        <w:tc>
          <w:tcPr>
            <w:tcW w:w="3920" w:type="dxa"/>
            <w:vAlign w:val="bottom"/>
            <w:tcBorders>
              <w:right w:val="single" w:sz="8" w:color="auto"/>
            </w:tcBorders>
          </w:tcPr>
          <w:p>
            <w:pPr>
              <w:jc w:val="center"/>
              <w:ind w:right="764"/>
              <w:spacing w:after="0"/>
              <w:rPr>
                <w:sz w:val="20"/>
                <w:szCs w:val="20"/>
                <w:color w:val="auto"/>
              </w:rPr>
            </w:pPr>
            <w:r>
              <w:rPr>
                <w:rFonts w:ascii="Arial" w:cs="Arial" w:eastAsia="Arial" w:hAnsi="Arial"/>
                <w:sz w:val="15"/>
                <w:szCs w:val="15"/>
                <w:color w:val="auto"/>
              </w:rPr>
              <w:t>NASDAQ</w:t>
            </w:r>
          </w:p>
        </w:tc>
        <w:tc>
          <w:tcPr>
            <w:tcW w:w="0" w:type="dxa"/>
            <w:vAlign w:val="bottom"/>
          </w:tcPr>
          <w:p>
            <w:pPr>
              <w:spacing w:after="0"/>
              <w:rPr>
                <w:sz w:val="1"/>
                <w:szCs w:val="1"/>
                <w:color w:val="auto"/>
              </w:rPr>
            </w:pPr>
          </w:p>
        </w:tc>
      </w:tr>
      <w:tr>
        <w:trPr>
          <w:trHeight w:val="29"/>
        </w:trPr>
        <w:tc>
          <w:tcPr>
            <w:tcW w:w="406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1" w:lineRule="exact"/>
        <w:rPr>
          <w:sz w:val="24"/>
          <w:szCs w:val="24"/>
          <w:color w:val="auto"/>
        </w:rPr>
      </w:pPr>
    </w:p>
    <w:p>
      <w:pPr>
        <w:ind w:right="120" w:firstLine="509"/>
        <w:spacing w:after="0" w:line="19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ind w:right="340" w:firstLine="509"/>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460" w:firstLine="509"/>
        <w:spacing w:after="0" w:line="35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7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0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Arial" w:cs="Arial" w:eastAsia="Arial" w:hAnsi="Arial"/>
                <w:sz w:val="15"/>
                <w:szCs w:val="15"/>
                <w:color w:val="auto"/>
              </w:rPr>
              <w:t>Accelerated filer</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1700" w:type="dxa"/>
            <w:vAlign w:val="bottom"/>
          </w:tcPr>
          <w:p>
            <w:pPr>
              <w:spacing w:after="0"/>
              <w:rPr>
                <w:sz w:val="20"/>
                <w:szCs w:val="20"/>
                <w:color w:val="auto"/>
              </w:rPr>
            </w:pPr>
            <w:r>
              <w:rPr>
                <w:rFonts w:ascii="Arial" w:cs="Arial" w:eastAsia="Arial" w:hAnsi="Arial"/>
                <w:sz w:val="15"/>
                <w:szCs w:val="15"/>
                <w:color w:val="auto"/>
              </w:rPr>
              <w:t>Non-accelerated filer</w:t>
            </w:r>
          </w:p>
        </w:tc>
        <w:tc>
          <w:tcPr>
            <w:tcW w:w="350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Arial" w:cs="Arial" w:eastAsia="Arial" w:hAnsi="Arial"/>
                <w:sz w:val="15"/>
                <w:szCs w:val="15"/>
                <w:color w:val="auto"/>
              </w:rPr>
              <w:t>Smaller reporting company</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7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200" w:type="dxa"/>
            <w:vAlign w:val="bottom"/>
          </w:tcPr>
          <w:p>
            <w:pPr>
              <w:ind w:left="3020"/>
              <w:spacing w:after="0"/>
              <w:rPr>
                <w:sz w:val="20"/>
                <w:szCs w:val="20"/>
                <w:color w:val="auto"/>
              </w:rPr>
            </w:pPr>
            <w:r>
              <w:rPr>
                <w:rFonts w:ascii="Arial" w:cs="Arial" w:eastAsia="Arial" w:hAnsi="Arial"/>
                <w:sz w:val="15"/>
                <w:szCs w:val="15"/>
                <w:color w:val="auto"/>
              </w:rPr>
              <w:t>Emerging growth company</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33" w:lineRule="exact"/>
        <w:rPr>
          <w:sz w:val="24"/>
          <w:szCs w:val="24"/>
          <w:color w:val="auto"/>
        </w:rPr>
      </w:pPr>
    </w:p>
    <w:p>
      <w:pPr>
        <w:ind w:right="100" w:firstLine="509"/>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 w:lineRule="exact"/>
        <w:rPr>
          <w:sz w:val="24"/>
          <w:szCs w:val="24"/>
          <w:color w:val="auto"/>
        </w:rPr>
      </w:pPr>
    </w:p>
    <w:p>
      <w:pPr>
        <w:ind w:left="520" w:right="2640"/>
        <w:spacing w:after="0" w:line="24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4, 2022, there were 8,159,382 shares of the registrant’s Common Stock, par value $0.001 per share, outstanding</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60" w:type="dxa"/>
            <w:vAlign w:val="bottom"/>
            <w:gridSpan w:val="7"/>
          </w:tcPr>
          <w:p>
            <w:pPr>
              <w:jc w:val="center"/>
              <w:ind w:right="1740"/>
              <w:spacing w:after="0"/>
              <w:rPr>
                <w:sz w:val="20"/>
                <w:szCs w:val="20"/>
                <w:color w:val="auto"/>
              </w:rPr>
            </w:pPr>
            <w:r>
              <w:rPr>
                <w:rFonts w:ascii="Arial" w:cs="Arial" w:eastAsia="Arial" w:hAnsi="Arial"/>
                <w:sz w:val="18"/>
                <w:szCs w:val="18"/>
                <w:b w:val="1"/>
                <w:bCs w:val="1"/>
                <w:color w:val="auto"/>
              </w:rPr>
              <w:t>SOLENO THERAPEUTICS, INC.</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60" w:type="dxa"/>
            <w:vAlign w:val="bottom"/>
            <w:gridSpan w:val="7"/>
          </w:tcPr>
          <w:p>
            <w:pPr>
              <w:jc w:val="center"/>
              <w:ind w:right="1740"/>
              <w:spacing w:after="0"/>
              <w:rPr>
                <w:sz w:val="20"/>
                <w:szCs w:val="20"/>
                <w:color w:val="auto"/>
              </w:rPr>
            </w:pPr>
            <w:r>
              <w:rPr>
                <w:rFonts w:ascii="Arial" w:cs="Arial" w:eastAsia="Arial" w:hAnsi="Arial"/>
                <w:sz w:val="18"/>
                <w:szCs w:val="18"/>
                <w:b w:val="1"/>
                <w:bCs w:val="1"/>
                <w:color w:val="auto"/>
                <w:w w:val="98"/>
              </w:rPr>
              <w:t>TABLE OF CONTENTS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160" w:type="dxa"/>
            <w:vAlign w:val="bottom"/>
            <w:gridSpan w:val="11"/>
            <w:vMerge w:val="restart"/>
          </w:tcPr>
          <w:p>
            <w:pPr>
              <w:spacing w:after="0"/>
              <w:rPr>
                <w:sz w:val="20"/>
                <w:szCs w:val="20"/>
                <w:color w:val="auto"/>
              </w:rPr>
            </w:pPr>
            <w:r>
              <w:rPr>
                <w:rFonts w:ascii="Arial" w:cs="Arial" w:eastAsia="Arial" w:hAnsi="Arial"/>
                <w:sz w:val="18"/>
                <w:szCs w:val="18"/>
                <w:b w:val="1"/>
                <w:bCs w:val="1"/>
                <w:color w:val="0000FF"/>
              </w:rPr>
              <w:t>PART I—FINANCIAL INFORMATION</w:t>
            </w:r>
          </w:p>
        </w:tc>
        <w:tc>
          <w:tcPr>
            <w:tcW w:w="5920" w:type="dxa"/>
            <w:vAlign w:val="bottom"/>
            <w:gridSpan w:val="9"/>
            <w:vMerge w:val="restart"/>
          </w:tcPr>
          <w:p>
            <w:pPr>
              <w:spacing w:after="0"/>
              <w:rPr>
                <w:sz w:val="24"/>
                <w:szCs w:val="24"/>
                <w:color w:val="auto"/>
              </w:rPr>
            </w:pPr>
          </w:p>
        </w:tc>
        <w:tc>
          <w:tcPr>
            <w:tcW w:w="2140" w:type="dxa"/>
            <w:vAlign w:val="bottom"/>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tcBorders>
              <w:bottom w:val="single" w:sz="8" w:color="0000FF"/>
            </w:tcBorders>
            <w:gridSpan w:val="11"/>
            <w:vMerge w:val="continue"/>
          </w:tcPr>
          <w:p>
            <w:pPr>
              <w:spacing w:after="0"/>
              <w:rPr>
                <w:sz w:val="16"/>
                <w:szCs w:val="16"/>
                <w:color w:val="auto"/>
              </w:rPr>
            </w:pPr>
          </w:p>
        </w:tc>
        <w:tc>
          <w:tcPr>
            <w:tcW w:w="5920" w:type="dxa"/>
            <w:vAlign w:val="bottom"/>
            <w:gridSpan w:val="9"/>
            <w:vMerge w:val="continue"/>
          </w:tcPr>
          <w:p>
            <w:pPr>
              <w:spacing w:after="0"/>
              <w:rPr>
                <w:sz w:val="16"/>
                <w:szCs w:val="16"/>
                <w:color w:val="auto"/>
              </w:rPr>
            </w:pPr>
          </w:p>
        </w:tc>
        <w:tc>
          <w:tcPr>
            <w:tcW w:w="21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FF"/>
              </w:rPr>
              <w:t>Item 1. Financial Statements</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0" w:type="dxa"/>
            <w:vAlign w:val="bottom"/>
            <w:gridSpan w:val="18"/>
          </w:tcPr>
          <w:p>
            <w:pPr>
              <w:spacing w:after="0" w:line="196" w:lineRule="exact"/>
              <w:rPr>
                <w:sz w:val="20"/>
                <w:szCs w:val="20"/>
                <w:color w:val="auto"/>
              </w:rPr>
            </w:pPr>
            <w:r>
              <w:rPr>
                <w:rFonts w:ascii="Arial" w:cs="Arial" w:eastAsia="Arial" w:hAnsi="Arial"/>
                <w:sz w:val="18"/>
                <w:szCs w:val="18"/>
                <w:color w:val="0000FF"/>
              </w:rPr>
              <w:t>Condensed Consolidated Balance Sheets</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0" w:type="dxa"/>
            <w:vAlign w:val="bottom"/>
            <w:gridSpan w:val="18"/>
          </w:tcPr>
          <w:p>
            <w:pPr>
              <w:spacing w:after="0" w:line="196" w:lineRule="exact"/>
              <w:rPr>
                <w:sz w:val="20"/>
                <w:szCs w:val="20"/>
                <w:color w:val="auto"/>
              </w:rPr>
            </w:pPr>
            <w:r>
              <w:rPr>
                <w:rFonts w:ascii="Arial" w:cs="Arial" w:eastAsia="Arial" w:hAnsi="Arial"/>
                <w:sz w:val="18"/>
                <w:szCs w:val="18"/>
                <w:color w:val="0000FF"/>
              </w:rPr>
              <w:t>Condensed Consolidated Statements of Operations and Comprehensive Loss (unaudited)</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0" w:type="dxa"/>
            <w:vAlign w:val="bottom"/>
            <w:gridSpan w:val="18"/>
          </w:tcPr>
          <w:p>
            <w:pPr>
              <w:spacing w:after="0" w:line="196" w:lineRule="exact"/>
              <w:rPr>
                <w:sz w:val="20"/>
                <w:szCs w:val="20"/>
                <w:color w:val="auto"/>
              </w:rPr>
            </w:pPr>
            <w:r>
              <w:rPr>
                <w:rFonts w:ascii="Arial" w:cs="Arial" w:eastAsia="Arial" w:hAnsi="Arial"/>
                <w:sz w:val="18"/>
                <w:szCs w:val="18"/>
                <w:color w:val="0000FF"/>
              </w:rPr>
              <w:t>Condensed Consolidated Statements of Stockholders’ Equity (unaudited)</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0" w:type="dxa"/>
            <w:vAlign w:val="bottom"/>
            <w:gridSpan w:val="18"/>
          </w:tcPr>
          <w:p>
            <w:pPr>
              <w:spacing w:after="0" w:line="196" w:lineRule="exact"/>
              <w:rPr>
                <w:sz w:val="20"/>
                <w:szCs w:val="20"/>
                <w:color w:val="auto"/>
              </w:rPr>
            </w:pPr>
            <w:r>
              <w:rPr>
                <w:rFonts w:ascii="Arial" w:cs="Arial" w:eastAsia="Arial" w:hAnsi="Arial"/>
                <w:sz w:val="18"/>
                <w:szCs w:val="18"/>
                <w:color w:val="0000FF"/>
              </w:rPr>
              <w:t>Condensed Consolidated Statements of Cash Flows (unaudited)</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0" w:type="dxa"/>
            <w:vAlign w:val="bottom"/>
            <w:gridSpan w:val="18"/>
          </w:tcPr>
          <w:p>
            <w:pPr>
              <w:spacing w:after="0" w:line="196" w:lineRule="exact"/>
              <w:rPr>
                <w:sz w:val="20"/>
                <w:szCs w:val="20"/>
                <w:color w:val="auto"/>
              </w:rPr>
            </w:pPr>
            <w:r>
              <w:rPr>
                <w:rFonts w:ascii="Arial" w:cs="Arial" w:eastAsia="Arial" w:hAnsi="Arial"/>
                <w:sz w:val="18"/>
                <w:szCs w:val="18"/>
                <w:color w:val="0000FF"/>
              </w:rPr>
              <w:t>Notes to Condensed Consolidated Financial Statements (unaudited)</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5"/>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FF"/>
              </w:rPr>
              <w:t>Item 3. Quantitative and Qualitative Disclosures About Market Risk</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740" w:type="dxa"/>
            <w:vAlign w:val="bottom"/>
            <w:tcBorders>
              <w:left w:val="single" w:sz="8" w:color="0000FF"/>
            </w:tcBorders>
            <w:gridSpan w:val="6"/>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FF"/>
              </w:rPr>
              <w:t>Item 4. Controls and Procedures</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b w:val="1"/>
                <w:bCs w:val="1"/>
                <w:color w:val="0000FF"/>
              </w:rPr>
              <w:t>PART II—OTHER INFORMATION</w:t>
            </w:r>
          </w:p>
        </w:tc>
        <w:tc>
          <w:tcPr>
            <w:tcW w:w="6220" w:type="dxa"/>
            <w:vAlign w:val="bottom"/>
            <w:gridSpan w:val="10"/>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FF"/>
              </w:rPr>
              <w:t>Item 1. Legal Proceedings</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FF"/>
              </w:rPr>
              <w:t>Item 1A. Risk Factors</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FF"/>
              </w:rPr>
              <w:t>Item 3. Defaults Upon Senior Securities</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FF"/>
              </w:rPr>
              <w:t>Item 4. Mine Safety Disclosures</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320" w:type="dxa"/>
            <w:vAlign w:val="bottom"/>
            <w:gridSpan w:val="11"/>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FF"/>
              </w:rPr>
              <w:t>Item 5. Other Information</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780" w:type="dxa"/>
            <w:vAlign w:val="bottom"/>
            <w:gridSpan w:val="1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Arial" w:cs="Arial" w:eastAsia="Arial" w:hAnsi="Arial"/>
                <w:sz w:val="18"/>
                <w:szCs w:val="18"/>
                <w:color w:val="0000FF"/>
              </w:rPr>
              <w:t>Item 6. Exhibits</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500" w:type="dxa"/>
            <w:vAlign w:val="bottom"/>
            <w:gridSpan w:val="15"/>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140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b w:val="1"/>
                <w:bCs w:val="1"/>
                <w:color w:val="0000FF"/>
              </w:rPr>
              <w:t>EXHIBIT INDEX</w:t>
            </w:r>
          </w:p>
        </w:tc>
        <w:tc>
          <w:tcPr>
            <w:tcW w:w="7680" w:type="dxa"/>
            <w:vAlign w:val="bottom"/>
            <w:gridSpan w:val="16"/>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gridSpan w:val="20"/>
          </w:tcPr>
          <w:p>
            <w:pPr>
              <w:spacing w:after="0" w:line="196" w:lineRule="exact"/>
              <w:rPr>
                <w:sz w:val="20"/>
                <w:szCs w:val="20"/>
                <w:color w:val="auto"/>
              </w:rPr>
            </w:pPr>
            <w:r>
              <w:rPr>
                <w:rFonts w:ascii="Arial" w:cs="Arial" w:eastAsia="Arial" w:hAnsi="Arial"/>
                <w:sz w:val="18"/>
                <w:szCs w:val="18"/>
                <w:b w:val="1"/>
                <w:bCs w:val="1"/>
                <w:color w:val="0000FF"/>
              </w:rPr>
              <w:t>SIGNATURES</w:t>
            </w: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959"/>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Soleno Therapeutics,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ind w:right="151"/>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Long-term assets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56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56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31,979</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2,324</w:t>
            </w:r>
          </w:p>
        </w:tc>
        <w:tc>
          <w:tcPr>
            <w:tcW w:w="26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560"/>
              <w:spacing w:after="0"/>
              <w:rPr>
                <w:sz w:val="20"/>
                <w:szCs w:val="20"/>
                <w:color w:val="auto"/>
              </w:rPr>
            </w:pPr>
            <w:r>
              <w:rPr>
                <w:rFonts w:ascii="Arial" w:cs="Arial" w:eastAsia="Arial" w:hAnsi="Arial"/>
                <w:sz w:val="18"/>
                <w:szCs w:val="18"/>
                <w:color w:val="auto"/>
              </w:rPr>
              <w:t>Accrued clinical trial site costs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2,826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56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2018 PIPE Warrant liability</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560"/>
              <w:spacing w:after="0"/>
              <w:rPr>
                <w:sz w:val="20"/>
                <w:szCs w:val="20"/>
                <w:color w:val="auto"/>
              </w:rPr>
            </w:pPr>
            <w:r>
              <w:rPr>
                <w:rFonts w:ascii="Arial" w:cs="Arial" w:eastAsia="Arial" w:hAnsi="Arial"/>
                <w:sz w:val="18"/>
                <w:szCs w:val="18"/>
                <w:color w:val="auto"/>
              </w:rPr>
              <w:t>Contingent liability for Essentialis purchase price</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9,437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9,547</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Long-term lease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7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17,760</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6)</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77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Common stock, $0.001 par value, 100,000,000 shares authorized,</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20" w:type="dxa"/>
            <w:vAlign w:val="bottom"/>
            <w:shd w:val="clear" w:color="auto" w:fill="CFF0FC"/>
          </w:tcPr>
          <w:p>
            <w:pPr>
              <w:ind w:left="60"/>
              <w:spacing w:after="0" w:line="189" w:lineRule="exact"/>
              <w:rPr>
                <w:sz w:val="20"/>
                <w:szCs w:val="20"/>
                <w:color w:val="auto"/>
              </w:rPr>
            </w:pPr>
            <w:r>
              <w:rPr>
                <w:rFonts w:ascii="Arial" w:cs="Arial" w:eastAsia="Arial" w:hAnsi="Arial"/>
                <w:sz w:val="18"/>
                <w:szCs w:val="18"/>
                <w:color w:val="auto"/>
              </w:rPr>
              <w:t>8,159,382 and 5,324,287 shares issued and outstanding at</w:t>
            </w: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September 30, 2022 and December 31, 2021, respectively.</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247,130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231,068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(231,936 )</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(213,355 )</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15,200</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31,979</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-3213735</wp:posOffset>
            </wp:positionV>
            <wp:extent cx="120840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8405" cy="1631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-1533525</wp:posOffset>
            </wp:positionV>
            <wp:extent cx="6858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4640"/>
        <w:spacing w:after="0"/>
        <w:rPr>
          <w:sz w:val="20"/>
          <w:szCs w:val="20"/>
          <w:color w:val="auto"/>
        </w:rPr>
      </w:pPr>
      <w:r>
        <w:rPr>
          <w:rFonts w:ascii="Arial" w:cs="Arial" w:eastAsia="Arial" w:hAnsi="Arial"/>
          <w:sz w:val="18"/>
          <w:szCs w:val="18"/>
          <w:b w:val="1"/>
          <w:bCs w:val="1"/>
          <w:color w:val="auto"/>
        </w:rPr>
        <w:t>Soleno Therapeutics, Inc.</w:t>
      </w:r>
    </w:p>
    <w:p>
      <w:pPr>
        <w:spacing w:after="0" w:line="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4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5"/>
          </w:tcPr>
          <w:p>
            <w:pPr>
              <w:jc w:val="right"/>
              <w:ind w:right="1121"/>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520" w:type="dxa"/>
            <w:vAlign w:val="bottom"/>
            <w:gridSpan w:val="5"/>
          </w:tcPr>
          <w:p>
            <w:pPr>
              <w:jc w:val="right"/>
              <w:ind w:right="76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3,771</w:t>
            </w:r>
          </w:p>
        </w:tc>
        <w:tc>
          <w:tcPr>
            <w:tcW w:w="2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4,968</w:t>
            </w:r>
          </w:p>
        </w:tc>
        <w:tc>
          <w:tcPr>
            <w:tcW w:w="5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11,455</w:t>
            </w:r>
          </w:p>
        </w:tc>
        <w:tc>
          <w:tcPr>
            <w:tcW w:w="2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7,442</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551</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(110 )</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6,235</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8,286</w:t>
            </w:r>
          </w:p>
        </w:tc>
        <w:tc>
          <w:tcPr>
            <w:tcW w:w="5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18,787</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(6,235 )</w:t>
            </w:r>
          </w:p>
        </w:tc>
        <w:tc>
          <w:tcPr>
            <w:tcW w:w="420" w:type="dxa"/>
            <w:vAlign w:val="bottom"/>
          </w:tcPr>
          <w:p>
            <w:pPr>
              <w:spacing w:after="0"/>
              <w:rPr>
                <w:sz w:val="18"/>
                <w:szCs w:val="18"/>
                <w:color w:val="auto"/>
              </w:rPr>
            </w:pPr>
          </w:p>
        </w:tc>
        <w:tc>
          <w:tcPr>
            <w:tcW w:w="1360" w:type="dxa"/>
            <w:vAlign w:val="bottom"/>
            <w:gridSpan w:val="2"/>
          </w:tcPr>
          <w:p>
            <w:pPr>
              <w:jc w:val="right"/>
              <w:ind w:right="361"/>
              <w:spacing w:after="0"/>
              <w:rPr>
                <w:sz w:val="20"/>
                <w:szCs w:val="20"/>
                <w:color w:val="auto"/>
              </w:rPr>
            </w:pPr>
            <w:r>
              <w:rPr>
                <w:rFonts w:ascii="Arial" w:cs="Arial" w:eastAsia="Arial" w:hAnsi="Arial"/>
                <w:sz w:val="18"/>
                <w:szCs w:val="18"/>
                <w:color w:val="auto"/>
              </w:rPr>
              <w:t>(8,286 )</w:t>
            </w:r>
          </w:p>
        </w:tc>
        <w:tc>
          <w:tcPr>
            <w:tcW w:w="28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(18,787 )</w:t>
            </w:r>
          </w:p>
        </w:tc>
        <w:tc>
          <w:tcPr>
            <w:tcW w:w="4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(28,527 )</w:t>
            </w: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8"/>
                <w:szCs w:val="18"/>
                <w:color w:val="auto"/>
              </w:rPr>
              <w:t>Change in fair value of warrants liabilities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5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380"/>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(8,140</w:t>
            </w:r>
          </w:p>
        </w:tc>
        <w:tc>
          <w:tcPr>
            <w:tcW w:w="500" w:type="dxa"/>
            <w:vAlign w:val="bottom"/>
            <w:tcBorders>
              <w:bottom w:val="single" w:sz="8" w:color="CFF0FC"/>
            </w:tcBorders>
            <w:shd w:val="clear" w:color="auto" w:fill="CFF0FC"/>
          </w:tcPr>
          <w:p>
            <w:pPr>
              <w:jc w:val="right"/>
              <w:ind w:right="36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(28,082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13"/>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(1 )</w:t>
            </w:r>
          </w:p>
        </w:tc>
        <w:tc>
          <w:tcPr>
            <w:tcW w:w="4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(2 )</w:t>
            </w:r>
          </w:p>
        </w:tc>
        <w:tc>
          <w:tcPr>
            <w:tcW w:w="4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(6,133 )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61"/>
              <w:spacing w:after="0"/>
              <w:rPr>
                <w:sz w:val="20"/>
                <w:szCs w:val="20"/>
                <w:color w:val="auto"/>
              </w:rPr>
            </w:pPr>
            <w:r>
              <w:rPr>
                <w:rFonts w:ascii="Arial" w:cs="Arial" w:eastAsia="Arial" w:hAnsi="Arial"/>
                <w:sz w:val="18"/>
                <w:szCs w:val="18"/>
                <w:color w:val="auto"/>
              </w:rPr>
              <w:t>(8,140 )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(18,583 )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(28,082 )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(0.76 )</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361"/>
              <w:spacing w:after="0"/>
              <w:rPr>
                <w:sz w:val="20"/>
                <w:szCs w:val="20"/>
                <w:color w:val="auto"/>
              </w:rPr>
            </w:pPr>
            <w:r>
              <w:rPr>
                <w:rFonts w:ascii="Arial" w:cs="Arial" w:eastAsia="Arial" w:hAnsi="Arial"/>
                <w:sz w:val="18"/>
                <w:szCs w:val="18"/>
                <w:color w:val="auto"/>
              </w:rPr>
              <w:t>(1.53 )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(2.60 )</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(5.28 )</w:t>
            </w:r>
          </w:p>
        </w:tc>
        <w:tc>
          <w:tcPr>
            <w:tcW w:w="0" w:type="dxa"/>
            <w:vAlign w:val="bottom"/>
          </w:tcPr>
          <w:p>
            <w:pPr>
              <w:spacing w:after="0"/>
              <w:rPr>
                <w:sz w:val="1"/>
                <w:szCs w:val="1"/>
                <w:color w:val="auto"/>
              </w:rPr>
            </w:pPr>
          </w:p>
        </w:tc>
      </w:tr>
      <w:tr>
        <w:trPr>
          <w:trHeight w:val="155"/>
        </w:trPr>
        <w:tc>
          <w:tcPr>
            <w:tcW w:w="5220" w:type="dxa"/>
            <w:vAlign w:val="bottom"/>
            <w:tcBorders>
              <w:top w:val="single" w:sz="8" w:color="CFF0FC"/>
            </w:tcBorders>
          </w:tcPr>
          <w:p>
            <w:pPr>
              <w:ind w:left="20"/>
              <w:spacing w:after="0" w:line="155" w:lineRule="exact"/>
              <w:rPr>
                <w:sz w:val="20"/>
                <w:szCs w:val="20"/>
                <w:color w:val="auto"/>
              </w:rPr>
            </w:pPr>
            <w:r>
              <w:rPr>
                <w:rFonts w:ascii="Arial" w:cs="Arial" w:eastAsia="Arial" w:hAnsi="Arial"/>
                <w:sz w:val="17"/>
                <w:szCs w:val="17"/>
                <w:color w:val="auto"/>
                <w:w w:val="97"/>
              </w:rPr>
              <w:t>Weighted-average common shares outstanding used to calculate basic</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8,093,033</w:t>
            </w:r>
          </w:p>
        </w:tc>
        <w:tc>
          <w:tcPr>
            <w:tcW w:w="24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5,319,405</w:t>
            </w:r>
          </w:p>
        </w:tc>
        <w:tc>
          <w:tcPr>
            <w:tcW w:w="50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7,156,344</w:t>
            </w:r>
          </w:p>
        </w:tc>
        <w:tc>
          <w:tcPr>
            <w:tcW w:w="220" w:type="dxa"/>
            <w:vAlign w:val="bottom"/>
            <w:tcBorders>
              <w:top w:val="single" w:sz="8" w:color="CFF0FC"/>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5,316,320</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20"/>
              <w:spacing w:after="0" w:line="190" w:lineRule="exact"/>
              <w:rPr>
                <w:sz w:val="20"/>
                <w:szCs w:val="20"/>
                <w:color w:val="auto"/>
              </w:rPr>
            </w:pPr>
            <w:r>
              <w:rPr>
                <w:rFonts w:ascii="Arial" w:cs="Arial" w:eastAsia="Arial" w:hAnsi="Arial"/>
                <w:sz w:val="18"/>
                <w:szCs w:val="18"/>
                <w:color w:val="auto"/>
              </w:rPr>
              <w:t>and diluted net loss per common share</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-2022475</wp:posOffset>
            </wp:positionV>
            <wp:extent cx="7747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-2022475</wp:posOffset>
            </wp:positionV>
            <wp:extent cx="68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-2022475</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-1456690</wp:posOffset>
            </wp:positionV>
            <wp:extent cx="7747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-1456690</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-1456690</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-1165225</wp:posOffset>
            </wp:positionV>
            <wp:extent cx="3060065"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60065" cy="3003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-727710</wp:posOffset>
            </wp:positionV>
            <wp:extent cx="7747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30861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-727710</wp:posOffset>
            </wp:positionV>
            <wp:extent cx="6858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-727710</wp:posOffset>
            </wp:positionV>
            <wp:extent cx="6858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-281940</wp:posOffset>
            </wp:positionV>
            <wp:extent cx="3060065" cy="420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60065" cy="420370"/>
                    </a:xfrm>
                    <a:prstGeom prst="rect">
                      <a:avLst/>
                    </a:prstGeom>
                    <a:noFill/>
                  </pic:spPr>
                </pic:pic>
              </a:graphicData>
            </a:graphic>
          </wp:anchor>
        </w:drawing>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Soleno Therapeutics, Inc.</w:t>
      </w:r>
    </w:p>
    <w:p>
      <w:pPr>
        <w:spacing w:after="0" w:line="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ind w:left="2960"/>
        <w:spacing w:after="0" w:line="234" w:lineRule="auto"/>
        <w:rPr>
          <w:sz w:val="20"/>
          <w:szCs w:val="20"/>
          <w:color w:val="auto"/>
        </w:rPr>
      </w:pPr>
      <w:r>
        <w:rPr>
          <w:rFonts w:ascii="Arial" w:cs="Arial" w:eastAsia="Arial" w:hAnsi="Arial"/>
          <w:sz w:val="18"/>
          <w:szCs w:val="18"/>
          <w:b w:val="1"/>
          <w:bCs w:val="1"/>
          <w:color w:val="auto"/>
        </w:rPr>
        <w:t>For the Three and Nine Months Ended September 30, 2022 and 2021</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60" w:type="dxa"/>
            <w:vAlign w:val="bottom"/>
          </w:tcPr>
          <w:p>
            <w:pPr>
              <w:spacing w:after="0"/>
              <w:rPr>
                <w:sz w:val="16"/>
                <w:szCs w:val="16"/>
                <w:color w:val="auto"/>
              </w:rPr>
            </w:pPr>
          </w:p>
        </w:tc>
        <w:tc>
          <w:tcPr>
            <w:tcW w:w="1980" w:type="dxa"/>
            <w:vAlign w:val="bottom"/>
            <w:gridSpan w:val="3"/>
            <w:vMerge w:val="restart"/>
          </w:tcPr>
          <w:p>
            <w:pPr>
              <w:jc w:val="right"/>
              <w:ind w:right="336"/>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1980" w:type="dxa"/>
            <w:vAlign w:val="bottom"/>
            <w:tcBorders>
              <w:bottom w:val="single" w:sz="8" w:color="auto"/>
            </w:tcBorders>
            <w:gridSpan w:val="3"/>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3"/>
          </w:tcPr>
          <w:p>
            <w:pPr>
              <w:jc w:val="center"/>
              <w:ind w:right="11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Comprehensive</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94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Balances at January 1, 2022</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5,324,287</w:t>
            </w:r>
          </w:p>
        </w:tc>
        <w:tc>
          <w:tcPr>
            <w:tcW w:w="22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231,143</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(213,355</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Issuance of restricted stock units under equity</w:t>
            </w: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incentive plan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18,650</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0"/>
              <w:spacing w:after="0" w:line="175" w:lineRule="exact"/>
              <w:rPr>
                <w:sz w:val="20"/>
                <w:szCs w:val="20"/>
                <w:color w:val="auto"/>
              </w:rPr>
            </w:pPr>
            <w:r>
              <w:rPr>
                <w:rFonts w:ascii="Arial" w:cs="Arial" w:eastAsia="Arial" w:hAnsi="Arial"/>
                <w:sz w:val="18"/>
                <w:szCs w:val="18"/>
                <w:color w:val="auto"/>
              </w:rPr>
              <w:t>Tax withholding payments for net share-settled</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0"/>
              <w:spacing w:after="0"/>
              <w:rPr>
                <w:sz w:val="20"/>
                <w:szCs w:val="20"/>
                <w:color w:val="auto"/>
              </w:rPr>
            </w:pPr>
            <w:r>
              <w:rPr>
                <w:rFonts w:ascii="Arial" w:cs="Arial" w:eastAsia="Arial" w:hAnsi="Arial"/>
                <w:sz w:val="18"/>
                <w:szCs w:val="18"/>
                <w:color w:val="auto"/>
              </w:rPr>
              <w:t>equity awards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(3,683 )</w:t>
            </w:r>
          </w:p>
        </w:tc>
        <w:tc>
          <w:tcPr>
            <w:tcW w:w="8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(16 )</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w w:val="99"/>
              </w:rPr>
              <w:t>Sale of common stock and pre-funded warrants in</w:t>
            </w: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public offering, net of costs of $1,034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2,666,667</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13,763</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(5,724 )</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(5,724 )</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(2 )</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color w:val="auto"/>
              </w:rPr>
              <w:t>Balances at March 31, 2022</w:t>
            </w:r>
          </w:p>
        </w:tc>
        <w:tc>
          <w:tcPr>
            <w:tcW w:w="900" w:type="dxa"/>
            <w:vAlign w:val="bottom"/>
          </w:tcPr>
          <w:p>
            <w:pPr>
              <w:jc w:val="right"/>
              <w:spacing w:after="0"/>
              <w:rPr>
                <w:sz w:val="20"/>
                <w:szCs w:val="20"/>
                <w:color w:val="auto"/>
              </w:rPr>
            </w:pPr>
            <w:r>
              <w:rPr>
                <w:rFonts w:ascii="Arial" w:cs="Arial" w:eastAsia="Arial" w:hAnsi="Arial"/>
                <w:sz w:val="18"/>
                <w:szCs w:val="18"/>
                <w:color w:val="auto"/>
              </w:rPr>
              <w:t>8,005,921</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245,534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(219,079 )</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(6,725 )</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(6,725 )</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color w:val="auto"/>
              </w:rPr>
              <w:t>Balances at June 30, 2022</w:t>
            </w:r>
          </w:p>
        </w:tc>
        <w:tc>
          <w:tcPr>
            <w:tcW w:w="900" w:type="dxa"/>
            <w:vAlign w:val="bottom"/>
          </w:tcPr>
          <w:p>
            <w:pPr>
              <w:jc w:val="right"/>
              <w:spacing w:after="0"/>
              <w:rPr>
                <w:sz w:val="20"/>
                <w:szCs w:val="20"/>
                <w:color w:val="auto"/>
              </w:rPr>
            </w:pPr>
            <w:r>
              <w:rPr>
                <w:rFonts w:ascii="Arial" w:cs="Arial" w:eastAsia="Arial" w:hAnsi="Arial"/>
                <w:sz w:val="18"/>
                <w:szCs w:val="18"/>
                <w:color w:val="auto"/>
              </w:rPr>
              <w:t>8,005,921</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246,105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(225,804 )</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Sale of common stock, net of costs</w:t>
            </w:r>
          </w:p>
        </w:tc>
        <w:tc>
          <w:tcPr>
            <w:tcW w:w="900" w:type="dxa"/>
            <w:vAlign w:val="bottom"/>
          </w:tcPr>
          <w:p>
            <w:pPr>
              <w:jc w:val="right"/>
              <w:spacing w:after="0"/>
              <w:rPr>
                <w:sz w:val="20"/>
                <w:szCs w:val="20"/>
                <w:color w:val="auto"/>
              </w:rPr>
            </w:pPr>
            <w:r>
              <w:rPr>
                <w:rFonts w:ascii="Arial" w:cs="Arial" w:eastAsia="Arial" w:hAnsi="Arial"/>
                <w:sz w:val="18"/>
                <w:szCs w:val="18"/>
                <w:color w:val="auto"/>
              </w:rPr>
              <w:t>104,773</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 of common stock warrants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48,688</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(6,132 )</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(6,132 )</w:t>
            </w: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color w:val="auto"/>
              </w:rPr>
              <w:t>Balances at September 30, 2022</w:t>
            </w:r>
          </w:p>
        </w:tc>
        <w:tc>
          <w:tcPr>
            <w:tcW w:w="900" w:type="dxa"/>
            <w:vAlign w:val="bottom"/>
          </w:tcPr>
          <w:p>
            <w:pPr>
              <w:jc w:val="right"/>
              <w:spacing w:after="0"/>
              <w:rPr>
                <w:sz w:val="20"/>
                <w:szCs w:val="20"/>
                <w:color w:val="auto"/>
              </w:rPr>
            </w:pPr>
            <w:r>
              <w:rPr>
                <w:rFonts w:ascii="Arial" w:cs="Arial" w:eastAsia="Arial" w:hAnsi="Arial"/>
                <w:sz w:val="18"/>
                <w:szCs w:val="18"/>
                <w:color w:val="auto"/>
              </w:rPr>
              <w:t>8,159,382</w:t>
            </w:r>
          </w:p>
        </w:tc>
        <w:tc>
          <w:tcPr>
            <w:tcW w:w="220" w:type="dxa"/>
            <w:vAlign w:val="bottom"/>
          </w:tcPr>
          <w:p>
            <w:pPr>
              <w:spacing w:after="0"/>
              <w:rPr>
                <w:sz w:val="18"/>
                <w:szCs w:val="18"/>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247,130</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(231,936 )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980" w:type="dxa"/>
            <w:vAlign w:val="bottom"/>
            <w:gridSpan w:val="3"/>
            <w:vMerge w:val="restart"/>
          </w:tcPr>
          <w:p>
            <w:pPr>
              <w:jc w:val="right"/>
              <w:ind w:right="336"/>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1980" w:type="dxa"/>
            <w:vAlign w:val="bottom"/>
            <w:tcBorders>
              <w:bottom w:val="single" w:sz="8" w:color="auto"/>
            </w:tcBorders>
            <w:gridSpan w:val="3"/>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3"/>
          </w:tcPr>
          <w:p>
            <w:pPr>
              <w:jc w:val="center"/>
              <w:ind w:right="11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Comprehensive</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94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Balances at January 1, 2021</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5,307,713</w:t>
            </w:r>
          </w:p>
        </w:tc>
        <w:tc>
          <w:tcPr>
            <w:tcW w:w="22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227,987</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(182,445</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Issuance of restricted stock units under equity</w:t>
            </w: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incentive plan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11,137</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160" w:type="dxa"/>
            <w:vAlign w:val="bottom"/>
          </w:tcPr>
          <w:p>
            <w:pPr>
              <w:ind w:left="200"/>
              <w:spacing w:after="0" w:line="175" w:lineRule="exact"/>
              <w:rPr>
                <w:sz w:val="20"/>
                <w:szCs w:val="20"/>
                <w:color w:val="auto"/>
              </w:rPr>
            </w:pPr>
            <w:r>
              <w:rPr>
                <w:rFonts w:ascii="Arial" w:cs="Arial" w:eastAsia="Arial" w:hAnsi="Arial"/>
                <w:sz w:val="18"/>
                <w:szCs w:val="18"/>
                <w:color w:val="auto"/>
              </w:rPr>
              <w:t>Tax withholding payments for net share-settled</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0"/>
              <w:spacing w:after="0"/>
              <w:rPr>
                <w:sz w:val="20"/>
                <w:szCs w:val="20"/>
                <w:color w:val="auto"/>
              </w:rPr>
            </w:pPr>
            <w:r>
              <w:rPr>
                <w:rFonts w:ascii="Arial" w:cs="Arial" w:eastAsia="Arial" w:hAnsi="Arial"/>
                <w:sz w:val="18"/>
                <w:szCs w:val="18"/>
                <w:color w:val="auto"/>
              </w:rPr>
              <w:t>equity awards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(3,938 )</w:t>
            </w:r>
          </w:p>
        </w:tc>
        <w:tc>
          <w:tcPr>
            <w:tcW w:w="8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(120 )</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(8,954 )</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(8,954 )</w:t>
            </w: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color w:val="auto"/>
              </w:rPr>
              <w:t>Balances at March 31, 2021</w:t>
            </w:r>
          </w:p>
        </w:tc>
        <w:tc>
          <w:tcPr>
            <w:tcW w:w="900" w:type="dxa"/>
            <w:vAlign w:val="bottom"/>
          </w:tcPr>
          <w:p>
            <w:pPr>
              <w:jc w:val="right"/>
              <w:spacing w:after="0"/>
              <w:rPr>
                <w:sz w:val="20"/>
                <w:szCs w:val="20"/>
                <w:color w:val="auto"/>
              </w:rPr>
            </w:pPr>
            <w:r>
              <w:rPr>
                <w:rFonts w:ascii="Arial" w:cs="Arial" w:eastAsia="Arial" w:hAnsi="Arial"/>
                <w:sz w:val="18"/>
                <w:szCs w:val="18"/>
                <w:color w:val="auto"/>
              </w:rPr>
              <w:t>5,314,912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228,962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(191,399 )</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0"/>
              <w:spacing w:after="0" w:line="175" w:lineRule="exact"/>
              <w:rPr>
                <w:sz w:val="20"/>
                <w:szCs w:val="20"/>
                <w:color w:val="auto"/>
              </w:rPr>
            </w:pPr>
            <w:r>
              <w:rPr>
                <w:rFonts w:ascii="Arial" w:cs="Arial" w:eastAsia="Arial" w:hAnsi="Arial"/>
                <w:sz w:val="18"/>
                <w:szCs w:val="18"/>
                <w:color w:val="auto"/>
              </w:rPr>
              <w:t>Issuance of restricted stock units under equity</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0"/>
              <w:spacing w:after="0"/>
              <w:rPr>
                <w:sz w:val="20"/>
                <w:szCs w:val="20"/>
                <w:color w:val="auto"/>
              </w:rPr>
            </w:pPr>
            <w:r>
              <w:rPr>
                <w:rFonts w:ascii="Arial" w:cs="Arial" w:eastAsia="Arial" w:hAnsi="Arial"/>
                <w:sz w:val="18"/>
                <w:szCs w:val="18"/>
                <w:color w:val="auto"/>
              </w:rPr>
              <w:t>incentive plan</w:t>
            </w:r>
          </w:p>
        </w:tc>
        <w:tc>
          <w:tcPr>
            <w:tcW w:w="900" w:type="dxa"/>
            <w:vAlign w:val="bottom"/>
          </w:tcPr>
          <w:p>
            <w:pPr>
              <w:jc w:val="right"/>
              <w:spacing w:after="0"/>
              <w:rPr>
                <w:sz w:val="20"/>
                <w:szCs w:val="20"/>
                <w:color w:val="auto"/>
              </w:rPr>
            </w:pPr>
            <w:r>
              <w:rPr>
                <w:rFonts w:ascii="Arial" w:cs="Arial" w:eastAsia="Arial" w:hAnsi="Arial"/>
                <w:sz w:val="18"/>
                <w:szCs w:val="18"/>
                <w:color w:val="auto"/>
              </w:rPr>
              <w:t>2,370</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(10,988 )</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(10,988 )</w:t>
            </w: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color w:val="auto"/>
              </w:rPr>
              <w:t>Balances at June 30, 2021</w:t>
            </w:r>
          </w:p>
        </w:tc>
        <w:tc>
          <w:tcPr>
            <w:tcW w:w="900" w:type="dxa"/>
            <w:vAlign w:val="bottom"/>
          </w:tcPr>
          <w:p>
            <w:pPr>
              <w:jc w:val="right"/>
              <w:spacing w:after="0"/>
              <w:rPr>
                <w:sz w:val="20"/>
                <w:szCs w:val="20"/>
                <w:color w:val="auto"/>
              </w:rPr>
            </w:pPr>
            <w:r>
              <w:rPr>
                <w:rFonts w:ascii="Arial" w:cs="Arial" w:eastAsia="Arial" w:hAnsi="Arial"/>
                <w:sz w:val="18"/>
                <w:szCs w:val="18"/>
                <w:color w:val="auto"/>
              </w:rPr>
              <w:t>5,317,282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229,819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(202,387 )</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0"/>
              <w:spacing w:after="0" w:line="175" w:lineRule="exact"/>
              <w:rPr>
                <w:sz w:val="20"/>
                <w:szCs w:val="20"/>
                <w:color w:val="auto"/>
              </w:rPr>
            </w:pPr>
            <w:r>
              <w:rPr>
                <w:rFonts w:ascii="Arial" w:cs="Arial" w:eastAsia="Arial" w:hAnsi="Arial"/>
                <w:sz w:val="18"/>
                <w:szCs w:val="18"/>
                <w:color w:val="auto"/>
              </w:rPr>
              <w:t>Issuance of restricted stock units under equity</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0"/>
              <w:spacing w:after="0"/>
              <w:rPr>
                <w:sz w:val="20"/>
                <w:szCs w:val="20"/>
                <w:color w:val="auto"/>
              </w:rPr>
            </w:pPr>
            <w:r>
              <w:rPr>
                <w:rFonts w:ascii="Arial" w:cs="Arial" w:eastAsia="Arial" w:hAnsi="Arial"/>
                <w:sz w:val="18"/>
                <w:szCs w:val="18"/>
                <w:color w:val="auto"/>
              </w:rPr>
              <w:t>incentive plan</w:t>
            </w:r>
          </w:p>
        </w:tc>
        <w:tc>
          <w:tcPr>
            <w:tcW w:w="900" w:type="dxa"/>
            <w:vAlign w:val="bottom"/>
          </w:tcPr>
          <w:p>
            <w:pPr>
              <w:jc w:val="right"/>
              <w:spacing w:after="0"/>
              <w:rPr>
                <w:sz w:val="20"/>
                <w:szCs w:val="20"/>
                <w:color w:val="auto"/>
              </w:rPr>
            </w:pPr>
            <w:r>
              <w:rPr>
                <w:rFonts w:ascii="Arial" w:cs="Arial" w:eastAsia="Arial" w:hAnsi="Arial"/>
                <w:sz w:val="18"/>
                <w:szCs w:val="18"/>
                <w:color w:val="auto"/>
              </w:rPr>
              <w:t>3,150</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(8,140 )</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(8,140 )</w:t>
            </w: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color w:val="auto"/>
              </w:rPr>
              <w:t>Balances at September 30, 2021</w:t>
            </w:r>
          </w:p>
        </w:tc>
        <w:tc>
          <w:tcPr>
            <w:tcW w:w="900" w:type="dxa"/>
            <w:vAlign w:val="bottom"/>
          </w:tcPr>
          <w:p>
            <w:pPr>
              <w:jc w:val="right"/>
              <w:spacing w:after="0"/>
              <w:rPr>
                <w:sz w:val="20"/>
                <w:szCs w:val="20"/>
                <w:color w:val="auto"/>
              </w:rPr>
            </w:pPr>
            <w:r>
              <w:rPr>
                <w:rFonts w:ascii="Arial" w:cs="Arial" w:eastAsia="Arial" w:hAnsi="Arial"/>
                <w:sz w:val="18"/>
                <w:szCs w:val="18"/>
                <w:color w:val="auto"/>
              </w:rPr>
              <w:t>5,320,432</w:t>
            </w:r>
          </w:p>
        </w:tc>
        <w:tc>
          <w:tcPr>
            <w:tcW w:w="220" w:type="dxa"/>
            <w:vAlign w:val="bottom"/>
          </w:tcPr>
          <w:p>
            <w:pPr>
              <w:spacing w:after="0"/>
              <w:rPr>
                <w:sz w:val="18"/>
                <w:szCs w:val="18"/>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230,725</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(210,527 )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-4662805</wp:posOffset>
            </wp:positionV>
            <wp:extent cx="7683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-4662805</wp:posOffset>
            </wp:positionV>
            <wp:extent cx="7747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-4662805</wp:posOffset>
            </wp:positionV>
            <wp:extent cx="685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-4662805</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-4662805</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-4662805</wp:posOffset>
            </wp:positionV>
            <wp:extent cx="6858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-4105275</wp:posOffset>
            </wp:positionV>
            <wp:extent cx="7683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-4105275</wp:posOffset>
            </wp:positionV>
            <wp:extent cx="7747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-4105275</wp:posOffset>
            </wp:positionV>
            <wp:extent cx="6858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-4105275</wp:posOffset>
            </wp:positionV>
            <wp:extent cx="6858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-4105275</wp:posOffset>
            </wp:positionV>
            <wp:extent cx="685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-4105275</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-3274060</wp:posOffset>
            </wp:positionV>
            <wp:extent cx="76835" cy="5829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58293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-3274060</wp:posOffset>
            </wp:positionV>
            <wp:extent cx="77470" cy="8229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296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-3274060</wp:posOffset>
            </wp:positionV>
            <wp:extent cx="68580" cy="8229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296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-3274060</wp:posOffset>
            </wp:positionV>
            <wp:extent cx="68580" cy="8229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29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-3274060</wp:posOffset>
            </wp:positionV>
            <wp:extent cx="68580" cy="8229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29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29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296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-1525270</wp:posOffset>
            </wp:positionV>
            <wp:extent cx="7683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-1525270</wp:posOffset>
            </wp:positionV>
            <wp:extent cx="7747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-1525270</wp:posOffset>
            </wp:positionV>
            <wp:extent cx="6858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-1525270</wp:posOffset>
            </wp:positionV>
            <wp:extent cx="6858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-1525270</wp:posOffset>
            </wp:positionV>
            <wp:extent cx="6858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-847725</wp:posOffset>
            </wp:positionV>
            <wp:extent cx="7683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-847725</wp:posOffset>
            </wp:positionV>
            <wp:extent cx="7747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-847725</wp:posOffset>
            </wp:positionV>
            <wp:extent cx="6858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-847725</wp:posOffset>
            </wp:positionV>
            <wp:extent cx="6858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-847725</wp:posOffset>
            </wp:positionV>
            <wp:extent cx="6858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-170815</wp:posOffset>
            </wp:positionV>
            <wp:extent cx="7683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-170815</wp:posOffset>
            </wp:positionV>
            <wp:extent cx="7747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858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-170815</wp:posOffset>
            </wp:positionV>
            <wp:extent cx="6858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-170815</wp:posOffset>
            </wp:positionV>
            <wp:extent cx="685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4620"/>
        <w:spacing w:after="0"/>
        <w:rPr>
          <w:sz w:val="20"/>
          <w:szCs w:val="20"/>
          <w:color w:val="auto"/>
        </w:rPr>
      </w:pPr>
      <w:r>
        <w:rPr>
          <w:rFonts w:ascii="Arial" w:cs="Arial" w:eastAsia="Arial" w:hAnsi="Arial"/>
          <w:sz w:val="18"/>
          <w:szCs w:val="18"/>
          <w:b w:val="1"/>
          <w:bCs w:val="1"/>
          <w:color w:val="auto"/>
        </w:rPr>
        <w:t>Soleno Therapeutics, Inc.</w:t>
      </w:r>
    </w:p>
    <w:p>
      <w:pPr>
        <w:spacing w:after="0" w:line="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(18,581 )</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(28,082 )</w:t>
            </w: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1,476</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lease expense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stock warrants</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(31 )</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(369 )</w:t>
            </w: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Change in fair value of contingent consideration</w:t>
            </w:r>
          </w:p>
        </w:tc>
        <w:tc>
          <w:tcPr>
            <w:tcW w:w="9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(110 )</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non-cash reconciling items</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(2 )</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other current assets and other assets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(40 )</w:t>
            </w:r>
          </w:p>
        </w:tc>
      </w:tr>
      <w:tr>
        <w:trPr>
          <w:trHeight w:val="216"/>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(930 )</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554</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(196 )</w:t>
            </w:r>
          </w:p>
        </w:tc>
      </w:tr>
      <w:tr>
        <w:trPr>
          <w:trHeight w:val="216"/>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clinical trial site costs</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(594 )</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(196 )</w:t>
            </w:r>
          </w:p>
        </w:tc>
      </w:tr>
      <w:tr>
        <w:trPr>
          <w:trHeight w:val="216"/>
        </w:trPr>
        <w:tc>
          <w:tcPr>
            <w:tcW w:w="776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(218 )</w:t>
            </w:r>
          </w:p>
        </w:tc>
        <w:tc>
          <w:tcPr>
            <w:tcW w:w="9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(156 )</w:t>
            </w:r>
          </w:p>
        </w:tc>
      </w:tr>
      <w:tr>
        <w:trPr>
          <w:trHeight w:val="216"/>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560"/>
              <w:spacing w:after="0"/>
              <w:rPr>
                <w:sz w:val="20"/>
                <w:szCs w:val="20"/>
                <w:color w:val="auto"/>
              </w:rPr>
            </w:pPr>
            <w:r>
              <w:rPr>
                <w:rFonts w:ascii="Arial" w:cs="Arial" w:eastAsia="Arial" w:hAnsi="Arial"/>
                <w:sz w:val="18"/>
                <w:szCs w:val="18"/>
                <w:b w:val="1"/>
                <w:bCs w:val="1"/>
                <w:color w:val="auto"/>
              </w:rPr>
              <w:t>Net cash used in operating activities</w:t>
            </w:r>
          </w:p>
        </w:tc>
        <w:tc>
          <w:tcPr>
            <w:tcW w:w="9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(15,638 )</w:t>
            </w:r>
          </w:p>
        </w:tc>
        <w:tc>
          <w:tcPr>
            <w:tcW w:w="9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(20,907 )</w:t>
            </w:r>
          </w:p>
        </w:tc>
      </w:tr>
      <w:tr>
        <w:trPr>
          <w:trHeight w:val="20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(7 )</w:t>
            </w:r>
          </w:p>
        </w:tc>
        <w:tc>
          <w:tcPr>
            <w:tcW w:w="9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10"/>
        </w:trPr>
        <w:tc>
          <w:tcPr>
            <w:tcW w:w="77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b w:val="1"/>
                <w:bCs w:val="1"/>
                <w:color w:val="auto"/>
              </w:rPr>
              <w:t>Net cash used in investing activities</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sale of common stock and pre-funded warrants, net of costs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14,108</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Tax withholding payments for net share-settled equity awards</w:t>
            </w:r>
          </w:p>
        </w:tc>
        <w:tc>
          <w:tcPr>
            <w:tcW w:w="9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(16 )</w:t>
            </w:r>
          </w:p>
        </w:tc>
        <w:tc>
          <w:tcPr>
            <w:tcW w:w="9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(120 )</w:t>
            </w: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 paid on finance lease liabilities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77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ind w:left="5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14,092</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(123 )</w:t>
            </w: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(21,039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21,304</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49,224</w:t>
            </w:r>
          </w:p>
        </w:tc>
        <w:tc>
          <w:tcPr>
            <w:tcW w:w="100" w:type="dxa"/>
            <w:vAlign w:val="bottom"/>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19,751</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non-cash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560"/>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financing costs included in accounts payable</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-2279650</wp:posOffset>
            </wp:positionV>
            <wp:extent cx="6858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-1704975</wp:posOffset>
            </wp:positionV>
            <wp:extent cx="6858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-1148080</wp:posOffset>
            </wp:positionV>
            <wp:extent cx="6858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-573405</wp:posOffset>
            </wp:positionV>
            <wp:extent cx="122555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25550" cy="162560"/>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6"/>
          <w:szCs w:val="16"/>
          <w:b w:val="1"/>
          <w:bCs w:val="1"/>
          <w:color w:val="auto"/>
        </w:rPr>
        <w:t>Soleno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September 30, 2022</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216" w:lineRule="exact"/>
        <w:rPr>
          <w:sz w:val="20"/>
          <w:szCs w:val="20"/>
          <w:color w:val="auto"/>
        </w:rPr>
      </w:pPr>
    </w:p>
    <w:p>
      <w:pPr>
        <w:ind w:right="100" w:firstLine="714"/>
        <w:spacing w:after="0" w:line="294" w:lineRule="auto"/>
        <w:rPr>
          <w:sz w:val="20"/>
          <w:szCs w:val="20"/>
          <w:color w:val="auto"/>
        </w:rPr>
      </w:pPr>
      <w:r>
        <w:rPr>
          <w:rFonts w:ascii="Arial" w:cs="Arial" w:eastAsia="Arial" w:hAnsi="Arial"/>
          <w:sz w:val="16"/>
          <w:szCs w:val="16"/>
          <w:color w:val="auto"/>
        </w:rPr>
        <w:t>Soleno Therapeutics, Inc. (the Company or Soleno) is focused on the development and commercialization of novel therapeutics for the treatment of rare diseases. Its lead candidate is Diazoxide Choline Extended Release tablets (DCCR), a once-daily oral tablet for the treatment of Prader-Willi Syndrome (PWS). DCCR has received orphan designation for the treatment of PWS in the United States (U.S.) as well as in the European Union (E.U.).</w:t>
      </w:r>
    </w:p>
    <w:p>
      <w:pPr>
        <w:spacing w:after="0" w:line="53" w:lineRule="exact"/>
        <w:rPr>
          <w:sz w:val="20"/>
          <w:szCs w:val="20"/>
          <w:color w:val="auto"/>
        </w:rPr>
      </w:pPr>
    </w:p>
    <w:p>
      <w:pPr>
        <w:ind w:right="20" w:firstLine="719"/>
        <w:spacing w:after="0" w:line="261" w:lineRule="auto"/>
        <w:rPr>
          <w:sz w:val="20"/>
          <w:szCs w:val="20"/>
          <w:color w:val="auto"/>
        </w:rPr>
      </w:pPr>
      <w:r>
        <w:rPr>
          <w:rFonts w:ascii="Arial" w:cs="Arial" w:eastAsia="Arial" w:hAnsi="Arial"/>
          <w:sz w:val="17"/>
          <w:szCs w:val="17"/>
          <w:color w:val="auto"/>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Going Concern and Management’s Plans</w:t>
      </w:r>
    </w:p>
    <w:p>
      <w:pPr>
        <w:spacing w:after="0" w:line="108" w:lineRule="exact"/>
        <w:rPr>
          <w:sz w:val="20"/>
          <w:szCs w:val="20"/>
          <w:color w:val="auto"/>
        </w:rPr>
      </w:pPr>
    </w:p>
    <w:p>
      <w:pPr>
        <w:ind w:right="40" w:firstLine="509"/>
        <w:spacing w:after="0" w:line="276" w:lineRule="auto"/>
        <w:rPr>
          <w:sz w:val="20"/>
          <w:szCs w:val="20"/>
          <w:color w:val="auto"/>
        </w:rPr>
      </w:pPr>
      <w:r>
        <w:rPr>
          <w:rFonts w:ascii="Arial" w:cs="Arial" w:eastAsia="Arial" w:hAnsi="Arial"/>
          <w:sz w:val="17"/>
          <w:szCs w:val="17"/>
          <w:color w:val="auto"/>
        </w:rPr>
        <w:t>The Company had a net loss of $18.6 million during the nine months ended September 30, 2022 and has an accumulated deficit of $231.9 million at September 30, 2022 resulting from having incurred losses since its inception. The Company had $19.8 million of cash and cash equivalents on hand at September 30, 2022 and used $15.6 million of cash in its operating activities during the nine months ended September 30, 2022. The Company has financed its operations principally through issuances of equity securities. In March 2022, the Company completed a public offering of 2,666,667 shares of its common stock and, for certain investors, in lieu of common stock, pre-funded warrants to purchase 1,333,333 shares of common stock at an exercise price of $0.15 per share, and raised $13.8 million in net proceeds after deducting the underwriting discount and other offering costs. Each share of common stock or pre-funded warrant was sold together with one immediately exercisable common warrant to purchase one share of common stock. In addition, as of September 30, 2022, we raised $0.3 million from an at the market offering program (Note 7).</w:t>
      </w:r>
    </w:p>
    <w:p>
      <w:pPr>
        <w:spacing w:after="0" w:line="5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accompanying condensed consolidated financial statements have been prepared under the assumption the Company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58" w:lineRule="exact"/>
        <w:rPr>
          <w:sz w:val="20"/>
          <w:szCs w:val="20"/>
          <w:color w:val="auto"/>
        </w:rPr>
      </w:pPr>
    </w:p>
    <w:p>
      <w:pPr>
        <w:ind w:right="80" w:firstLine="509"/>
        <w:spacing w:after="0" w:line="280" w:lineRule="auto"/>
        <w:rPr>
          <w:sz w:val="20"/>
          <w:szCs w:val="20"/>
          <w:color w:val="auto"/>
        </w:rPr>
      </w:pPr>
      <w:r>
        <w:rPr>
          <w:rFonts w:ascii="Arial" w:cs="Arial" w:eastAsia="Arial" w:hAnsi="Arial"/>
          <w:sz w:val="16"/>
          <w:szCs w:val="16"/>
          <w:color w:val="auto"/>
        </w:rPr>
        <w:t>The Company expects to continue incurring losses for the foreseeable future and will be required to raise additional capital to complete its clinical trials, pursue product development initiatives, obtain regulatory approval and penetrate markets for the sale of its products. Management believes that the Company will continue to have access to capital resources through possible public or private equity offerings, debt financings, corporate collaborations or other means, but the Company’s access to such capital resources is uncertain and is not assured. If the Company is unable to secure additional capital, it may be required to curtail its clinical trials and development of new products and take additional measures to reduce expenses in order to conserve its cash in amounts sufficient to sustain operations and meet its obligations. These measures could cause significant delays in the Company’s efforts to complete its clinical trials and commercialize its products, which are critical to the realization of its business plan and the future operations of the Company.</w:t>
      </w:r>
    </w:p>
    <w:p>
      <w:pPr>
        <w:spacing w:after="0" w:line="50"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through at least the next twelve months from the date of this filing.</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3.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04"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There have been no material changes to the significant accounting policies during the nine months ended September 30, 2022 as compared to the significant accounting policies described in Note 3 of the “Notes to Consolidated Financial Statements” in the Company’s Annual Report on Form 10-K for the year ended December 31,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The accompanying unaudited condensed consolidated financial statements of the Company have been prepared on a going concern basis in accordance with accounting principles generally accepted in the United States of America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and nine months ended September 30, 2022, are not necessarily indicative of the results that may be expected for any other interim period or for the fiscal year ending December 31, 2022. For further information, refer to the financial statements and footnotes included in the Company’s annual financial statements for the fiscal year ended December 31, 2021, which are included in the Company’s annual report on Form 10-K filed with the SEC on March 31,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On June 1, 2022, the stockholders of the Company approved a reverse stock split of its common stock at a ratio of one-for-fifteen, to be effected at the sole discretion of the Company’s Board of Directors as described in the proxy statement filed with the SEC on April 21, 2022. The implementation of the reverse stock split was approved by the Company’s Board of Directors on August 16, 2022.</w:t>
      </w:r>
    </w:p>
    <w:p>
      <w:pPr>
        <w:spacing w:after="0" w:line="87"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On August 26, 2022, the Company filed a certificate of amendment to its amended and restated certificate of incorporation in order to effectuate a reverse stock split of the Company’s issued and outstanding common stock on a one-for-fifteen basis. All common share and per share data are retrospectively restated to give effect of the split for all periods presented herein. After giving effect to the reverse stock split, the total number of shares of all classes of capital stock that the Corporation is authorized to issue is 110,000,000 shares, consisting of 100,000,000 shares of Common Stock, having a par value of $0.001 and 10,000,000 shares of Preferred Stock, having a par value of $0.001.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and the valuation of contingent liabilities for the purchase price of assets obtained through acquisition.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04"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49"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During the three and nine months ended September 30, 2022, there have been no recently adopted accounting standards and no new, or existing recently issued, accounting pronouncements that are of significance, or potential significance, that impact the Company’s condensed consolidated interim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carrying value of the Company’s cash, cash equivalents and accounts payable, approximate fair value due to the short-term nature of these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 w:name="page9"/>
    <w:bookmarkEnd w:id="8"/>
    <w:p>
      <w:pPr>
        <w:ind w:right="40" w:firstLine="509"/>
        <w:spacing w:after="0" w:line="278"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 Unadjusted quoted prices in active markets for identical assets or liabilities;</w:t>
      </w:r>
    </w:p>
    <w:p>
      <w:pPr>
        <w:spacing w:after="0" w:line="103" w:lineRule="exact"/>
        <w:rPr>
          <w:rFonts w:ascii="Arial" w:cs="Arial" w:eastAsia="Arial" w:hAnsi="Arial"/>
          <w:sz w:val="18"/>
          <w:szCs w:val="18"/>
          <w:color w:val="auto"/>
        </w:rPr>
      </w:pPr>
    </w:p>
    <w:p>
      <w:pPr>
        <w:ind w:left="900" w:hanging="383"/>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6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III — Unobservable inputs that are supported by little or no market activity for the related assets or liabilities.</w:t>
      </w:r>
    </w:p>
    <w:p>
      <w:pPr>
        <w:spacing w:after="0" w:line="104"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84"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at September 30, 2022</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2018 PIPE warrant liability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Essentialis purchase price contingency liability</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240" w:type="dxa"/>
            <w:vAlign w:val="bottom"/>
          </w:tcPr>
          <w:p>
            <w:pPr>
              <w:ind w:left="180"/>
              <w:spacing w:after="0" w:line="168" w:lineRule="exact"/>
              <w:rPr>
                <w:sz w:val="20"/>
                <w:szCs w:val="20"/>
                <w:color w:val="auto"/>
              </w:rPr>
            </w:pPr>
            <w:r>
              <w:rPr>
                <w:rFonts w:ascii="Arial" w:cs="Arial" w:eastAsia="Arial" w:hAnsi="Arial"/>
                <w:sz w:val="18"/>
                <w:szCs w:val="18"/>
                <w:color w:val="auto"/>
              </w:rPr>
              <w:t>Total common stock warrant and contingent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9,437</w:t>
            </w:r>
          </w:p>
        </w:tc>
        <w:tc>
          <w:tcPr>
            <w:tcW w:w="220" w:type="dxa"/>
            <w:vAlign w:val="bottom"/>
            <w:vMerge w:val="restart"/>
          </w:tcPr>
          <w:p>
            <w:pPr>
              <w:spacing w:after="0"/>
              <w:rPr>
                <w:sz w:val="14"/>
                <w:szCs w:val="14"/>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vMerge w:val="restart"/>
          </w:tcPr>
          <w:p>
            <w:pPr>
              <w:spacing w:after="0"/>
              <w:rPr>
                <w:sz w:val="14"/>
                <w:szCs w:val="14"/>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vMerge w:val="restart"/>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9,437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40" w:type="dxa"/>
            <w:vAlign w:val="bottom"/>
          </w:tcPr>
          <w:p>
            <w:pPr>
              <w:ind w:left="320"/>
              <w:spacing w:after="0" w:line="190" w:lineRule="exact"/>
              <w:rPr>
                <w:sz w:val="20"/>
                <w:szCs w:val="20"/>
                <w:color w:val="auto"/>
              </w:rPr>
            </w:pPr>
            <w:r>
              <w:rPr>
                <w:rFonts w:ascii="Arial" w:cs="Arial" w:eastAsia="Arial" w:hAnsi="Arial"/>
                <w:sz w:val="18"/>
                <w:szCs w:val="18"/>
                <w:color w:val="auto"/>
              </w:rPr>
              <w:t>consideration liability</w:t>
            </w:r>
          </w:p>
        </w:tc>
        <w:tc>
          <w:tcPr>
            <w:tcW w:w="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at December 31, 2021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2018 PIPE warrant liability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Essentialis purchase price contingency liability</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240" w:type="dxa"/>
            <w:vAlign w:val="bottom"/>
          </w:tcPr>
          <w:p>
            <w:pPr>
              <w:ind w:left="180"/>
              <w:spacing w:after="0" w:line="168" w:lineRule="exact"/>
              <w:rPr>
                <w:sz w:val="20"/>
                <w:szCs w:val="20"/>
                <w:color w:val="auto"/>
              </w:rPr>
            </w:pPr>
            <w:r>
              <w:rPr>
                <w:rFonts w:ascii="Arial" w:cs="Arial" w:eastAsia="Arial" w:hAnsi="Arial"/>
                <w:sz w:val="18"/>
                <w:szCs w:val="18"/>
                <w:color w:val="auto"/>
              </w:rPr>
              <w:t>Total common stock warrant and contingent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9,578</w:t>
            </w:r>
          </w:p>
        </w:tc>
        <w:tc>
          <w:tcPr>
            <w:tcW w:w="4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ind w:left="620"/>
              <w:spacing w:after="0"/>
              <w:rPr>
                <w:sz w:val="20"/>
                <w:szCs w:val="20"/>
                <w:color w:val="auto"/>
              </w:rPr>
            </w:pPr>
            <w:r>
              <w:rPr>
                <w:rFonts w:ascii="Arial" w:cs="Arial" w:eastAsia="Arial" w:hAnsi="Arial"/>
                <w:sz w:val="18"/>
                <w:szCs w:val="18"/>
                <w:color w:val="auto"/>
                <w:w w:val="99"/>
              </w:rPr>
              <w:t>—</w:t>
            </w:r>
          </w:p>
        </w:tc>
        <w:tc>
          <w:tcPr>
            <w:tcW w:w="4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9,578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240" w:type="dxa"/>
            <w:vAlign w:val="bottom"/>
          </w:tcPr>
          <w:p>
            <w:pPr>
              <w:ind w:left="320"/>
              <w:spacing w:after="0" w:line="190" w:lineRule="exact"/>
              <w:rPr>
                <w:sz w:val="20"/>
                <w:szCs w:val="20"/>
                <w:color w:val="auto"/>
              </w:rPr>
            </w:pPr>
            <w:r>
              <w:rPr>
                <w:rFonts w:ascii="Arial" w:cs="Arial" w:eastAsia="Arial" w:hAnsi="Arial"/>
                <w:sz w:val="18"/>
                <w:szCs w:val="18"/>
                <w:color w:val="auto"/>
              </w:rPr>
              <w:t>consideration liability</w:t>
            </w: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-1310640</wp:posOffset>
            </wp:positionV>
            <wp:extent cx="68580" cy="265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-1310640</wp:posOffset>
            </wp:positionV>
            <wp:extent cx="60325" cy="265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-1310640</wp:posOffset>
            </wp:positionV>
            <wp:extent cx="60325" cy="265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-1310640</wp:posOffset>
            </wp:positionV>
            <wp:extent cx="60325" cy="265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-264795</wp:posOffset>
            </wp:positionV>
            <wp:extent cx="68580" cy="265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-264795</wp:posOffset>
            </wp:positionV>
            <wp:extent cx="60325" cy="265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-264795</wp:posOffset>
            </wp:positionV>
            <wp:extent cx="60325" cy="265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-264795</wp:posOffset>
            </wp:positionV>
            <wp:extent cx="60325" cy="265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265430"/>
                    </a:xfrm>
                    <a:prstGeom prst="rect">
                      <a:avLst/>
                    </a:prstGeom>
                    <a:noFill/>
                  </pic:spPr>
                </pic:pic>
              </a:graphicData>
            </a:graphic>
          </wp:anchor>
        </w:drawing>
      </w:r>
    </w:p>
    <w:p>
      <w:pPr>
        <w:spacing w:after="0" w:line="209"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The Company’s estimated fair value of the 2018 PIPE Warrants was calculated using a Black-Scholes pricing model. The Black-Scholes pricing model requires the input of highly subjective assumptions including the expected stock price volatility, the expected term, the expected dividend yield and the risk-free interest rate.</w:t>
      </w:r>
    </w:p>
    <w:p>
      <w:pPr>
        <w:spacing w:after="0" w:line="67"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Based on the terms of the Company’s completed merger with Essentialis on March 7, 2017, the Company was obligated to make cash earnout payments of up to a maximum of $30.0 million to the former Essentialis stockholders. On December 28, 2021, in connection with the dissolution of two of the former Essentialis stockholders, the two former stockholders entered into an agreement with the Company which assigned the right, title and interest to all their future earnout payments to the Company. As a result of the assignment, as of December 31, 2021, and going forward, the maximum cash earnout payments are $21.2 million. The fair value of the Essentialis purchase price contingent liability is estimated using scenario-based methods based upon the Company’s analysis of the likelihood of obtaining specified approvals from the U.S. Food and Drug Administration (FDA) as well as the likelihood and anticipated timing of reaching cumulative revenue milestones. The Level 3 estimates are based, in part, on subjective assumptions. In determining the likelihood of obtaining FDA approval, the analysis relied on published research relating to clinical development success rates. Based on management’s assessment, a 72% probability of achieving each milestone was determined to be reasonable as of each of September 30, 2022 and December 31, 2021. During the periods presented, the Company has not changed the manner in which it values its Essentialis purchase price contingent liability.</w:t>
      </w:r>
    </w:p>
    <w:p>
      <w:pPr>
        <w:spacing w:after="0" w:line="5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Company recognizes transfers between levels of the fair value hierarchy as of the end of the reporting period. There were no transfers between levels within the hierarchy during the periods presented.</w:t>
      </w:r>
    </w:p>
    <w:p>
      <w:pPr>
        <w:spacing w:after="0" w:line="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9" w:name="page10"/>
    <w:bookmarkEnd w:id="9"/>
    <w:p>
      <w:pPr>
        <w:ind w:right="120" w:firstLine="509"/>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3 liabilities for the nine months ended September 30, 2022 and 2021 (dollars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w w:val="98"/>
              </w:rPr>
              <w:t>2018 PIPE Warrants</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33"/>
        </w:trPr>
        <w:tc>
          <w:tcPr>
            <w:tcW w:w="5420" w:type="dxa"/>
            <w:vAlign w:val="bottom"/>
          </w:tcPr>
          <w:p>
            <w:pPr>
              <w:spacing w:after="0"/>
              <w:rPr>
                <w:sz w:val="11"/>
                <w:szCs w:val="11"/>
                <w:color w:val="auto"/>
              </w:rPr>
            </w:pPr>
          </w:p>
        </w:tc>
        <w:tc>
          <w:tcPr>
            <w:tcW w:w="1180" w:type="dxa"/>
            <w:vAlign w:val="bottom"/>
          </w:tcPr>
          <w:p>
            <w:pPr>
              <w:jc w:val="center"/>
              <w:ind w:left="448"/>
              <w:spacing w:after="0" w:line="133" w:lineRule="exact"/>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Liability</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1"/>
              </w:rPr>
              <w:t>Contingent</w:t>
            </w:r>
          </w:p>
        </w:tc>
        <w:tc>
          <w:tcPr>
            <w:tcW w:w="0" w:type="dxa"/>
            <w:vAlign w:val="bottom"/>
          </w:tcPr>
          <w:p>
            <w:pPr>
              <w:spacing w:after="0"/>
              <w:rPr>
                <w:sz w:val="1"/>
                <w:szCs w:val="1"/>
                <w:color w:val="auto"/>
              </w:rPr>
            </w:pPr>
          </w:p>
        </w:tc>
      </w:tr>
      <w:tr>
        <w:trPr>
          <w:trHeight w:val="185"/>
        </w:trPr>
        <w:tc>
          <w:tcPr>
            <w:tcW w:w="5420" w:type="dxa"/>
            <w:vAlign w:val="bottom"/>
            <w:vMerge w:val="restart"/>
          </w:tcPr>
          <w:p>
            <w:pPr>
              <w:ind w:left="20"/>
              <w:spacing w:after="0"/>
              <w:rPr>
                <w:sz w:val="20"/>
                <w:szCs w:val="20"/>
                <w:color w:val="auto"/>
              </w:rPr>
            </w:pPr>
            <w:r>
              <w:rPr>
                <w:rFonts w:ascii="Arial" w:cs="Arial" w:eastAsia="Arial" w:hAnsi="Arial"/>
                <w:sz w:val="18"/>
                <w:szCs w:val="18"/>
                <w:color w:val="auto"/>
              </w:rPr>
              <w:t>Balance at January 1, 2022</w:t>
            </w:r>
          </w:p>
        </w:tc>
        <w:tc>
          <w:tcPr>
            <w:tcW w:w="1180" w:type="dxa"/>
            <w:vAlign w:val="bottom"/>
          </w:tcPr>
          <w:p>
            <w:pPr>
              <w:jc w:val="center"/>
              <w:ind w:left="428"/>
              <w:spacing w:after="0"/>
              <w:rPr>
                <w:sz w:val="20"/>
                <w:szCs w:val="20"/>
                <w:color w:val="auto"/>
              </w:rPr>
            </w:pPr>
            <w:r>
              <w:rPr>
                <w:rFonts w:ascii="Arial" w:cs="Arial" w:eastAsia="Arial" w:hAnsi="Arial"/>
                <w:sz w:val="14"/>
                <w:szCs w:val="14"/>
                <w:b w:val="1"/>
                <w:bCs w:val="1"/>
                <w:color w:val="auto"/>
                <w:w w:val="98"/>
              </w:rPr>
              <w:t>Warrants</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09"/>
        </w:trPr>
        <w:tc>
          <w:tcPr>
            <w:tcW w:w="5420" w:type="dxa"/>
            <w:vAlign w:val="bottom"/>
            <w:vMerge w:val="continue"/>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34,241</w:t>
            </w:r>
          </w:p>
        </w:tc>
        <w:tc>
          <w:tcPr>
            <w:tcW w:w="300" w:type="dxa"/>
            <w:vAlign w:val="bottom"/>
          </w:tcPr>
          <w:p>
            <w:pPr>
              <w:spacing w:after="0"/>
              <w:rPr>
                <w:sz w:val="18"/>
                <w:szCs w:val="18"/>
                <w:color w:val="auto"/>
              </w:rPr>
            </w:pPr>
          </w:p>
        </w:tc>
        <w:tc>
          <w:tcPr>
            <w:tcW w:w="1260" w:type="dxa"/>
            <w:vAlign w:val="bottom"/>
            <w:tcBorders>
              <w:top w:val="single" w:sz="8" w:color="auto"/>
            </w:tcBorders>
          </w:tcPr>
          <w:p>
            <w:pPr>
              <w:jc w:val="right"/>
              <w:ind w:right="107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Change in value of 2018 PIPE Warrants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(31 )</w:t>
            </w: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Change in value of contingent liability</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49"/>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2022</w:t>
            </w:r>
          </w:p>
        </w:tc>
        <w:tc>
          <w:tcPr>
            <w:tcW w:w="1180" w:type="dxa"/>
            <w:vAlign w:val="bottom"/>
            <w:tcBorders>
              <w:top w:val="single" w:sz="8" w:color="auto"/>
              <w:bottom w:val="single" w:sz="8" w:color="auto"/>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34,241</w:t>
            </w:r>
          </w:p>
        </w:tc>
        <w:tc>
          <w:tcPr>
            <w:tcW w:w="3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ind w:right="107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54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w w:val="98"/>
              </w:rPr>
              <w:t>2018 PIPE Warrants</w:t>
            </w:r>
          </w:p>
        </w:tc>
        <w:tc>
          <w:tcPr>
            <w:tcW w:w="4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33"/>
        </w:trPr>
        <w:tc>
          <w:tcPr>
            <w:tcW w:w="5420" w:type="dxa"/>
            <w:vAlign w:val="bottom"/>
          </w:tcPr>
          <w:p>
            <w:pPr>
              <w:spacing w:after="0"/>
              <w:rPr>
                <w:sz w:val="11"/>
                <w:szCs w:val="11"/>
                <w:color w:val="auto"/>
              </w:rPr>
            </w:pPr>
          </w:p>
        </w:tc>
        <w:tc>
          <w:tcPr>
            <w:tcW w:w="1180" w:type="dxa"/>
            <w:vAlign w:val="bottom"/>
          </w:tcPr>
          <w:p>
            <w:pPr>
              <w:jc w:val="center"/>
              <w:ind w:left="448"/>
              <w:spacing w:after="0" w:line="133" w:lineRule="exact"/>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Liability</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1"/>
              </w:rPr>
              <w:t>Contingent</w:t>
            </w:r>
          </w:p>
        </w:tc>
        <w:tc>
          <w:tcPr>
            <w:tcW w:w="0" w:type="dxa"/>
            <w:vAlign w:val="bottom"/>
          </w:tcPr>
          <w:p>
            <w:pPr>
              <w:spacing w:after="0"/>
              <w:rPr>
                <w:sz w:val="1"/>
                <w:szCs w:val="1"/>
                <w:color w:val="auto"/>
              </w:rPr>
            </w:pPr>
          </w:p>
        </w:tc>
      </w:tr>
      <w:tr>
        <w:trPr>
          <w:trHeight w:val="185"/>
        </w:trPr>
        <w:tc>
          <w:tcPr>
            <w:tcW w:w="5420" w:type="dxa"/>
            <w:vAlign w:val="bottom"/>
          </w:tcPr>
          <w:p>
            <w:pPr>
              <w:spacing w:after="0"/>
              <w:rPr>
                <w:sz w:val="16"/>
                <w:szCs w:val="16"/>
                <w:color w:val="auto"/>
              </w:rPr>
            </w:pPr>
          </w:p>
        </w:tc>
        <w:tc>
          <w:tcPr>
            <w:tcW w:w="1180" w:type="dxa"/>
            <w:vAlign w:val="bottom"/>
          </w:tcPr>
          <w:p>
            <w:pPr>
              <w:jc w:val="center"/>
              <w:ind w:left="428"/>
              <w:spacing w:after="0"/>
              <w:rPr>
                <w:sz w:val="20"/>
                <w:szCs w:val="20"/>
                <w:color w:val="auto"/>
              </w:rPr>
            </w:pPr>
            <w:r>
              <w:rPr>
                <w:rFonts w:ascii="Arial" w:cs="Arial" w:eastAsia="Arial" w:hAnsi="Arial"/>
                <w:sz w:val="14"/>
                <w:szCs w:val="14"/>
                <w:b w:val="1"/>
                <w:bCs w:val="1"/>
                <w:color w:val="auto"/>
                <w:w w:val="98"/>
              </w:rPr>
              <w:t>Warrants</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2021</w:t>
            </w:r>
          </w:p>
        </w:tc>
        <w:tc>
          <w:tcPr>
            <w:tcW w:w="11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34,241</w:t>
            </w:r>
          </w:p>
        </w:tc>
        <w:tc>
          <w:tcPr>
            <w:tcW w:w="30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ind w:right="107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Change in value of 2018 PIPE Warrants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(369 )</w:t>
            </w:r>
          </w:p>
        </w:tc>
        <w:tc>
          <w:tcPr>
            <w:tcW w:w="2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Change in value of contingent liability</w:t>
            </w:r>
          </w:p>
        </w:tc>
        <w:tc>
          <w:tcPr>
            <w:tcW w:w="11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2021</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34,241</w:t>
            </w:r>
          </w:p>
        </w:tc>
        <w:tc>
          <w:tcPr>
            <w:tcW w:w="1560" w:type="dxa"/>
            <w:vAlign w:val="bottom"/>
            <w:gridSpan w:val="2"/>
          </w:tcPr>
          <w:p>
            <w:pPr>
              <w:jc w:val="right"/>
              <w:ind w:right="107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-1079500</wp:posOffset>
            </wp:positionV>
            <wp:extent cx="2623185" cy="4972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23185" cy="4972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7747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Warrant Liabilities</w:t>
      </w:r>
    </w:p>
    <w:p>
      <w:pPr>
        <w:spacing w:after="0" w:line="121"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 xml:space="preserve">The Company has issued multiple warrant series, of which the 2018 PIPE Warrants were determined to be liabilities pursuant to the guidance established by </w:t>
      </w:r>
      <w:r>
        <w:rPr>
          <w:rFonts w:ascii="Arial" w:cs="Arial" w:eastAsia="Arial" w:hAnsi="Arial"/>
          <w:sz w:val="18"/>
          <w:szCs w:val="18"/>
          <w:i w:val="1"/>
          <w:iCs w:val="1"/>
          <w:color w:val="auto"/>
        </w:rPr>
        <w:t>ASC 815 Derivatives and Hedging.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2018 PIPE Offering</w:t>
      </w:r>
    </w:p>
    <w:p>
      <w:pPr>
        <w:spacing w:after="0" w:line="117"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The 2018 PIPE Warrants were issued on December 19, 2018 in the 2018 PIPE Offering, pursuant to a Warrant Agreement with each of the investors in the 2018 PIPE Offering, and entitle the holders to purchase 34,241 shares of the Company’s common stock at an exercise price equal to $30.00 per share, subject to adjustment as discussed below, at any time commencing upon issuance of the 2018 PIPE Warrants and terminating on December 21, 2023.</w:t>
      </w:r>
    </w:p>
    <w:p>
      <w:pPr>
        <w:spacing w:after="0" w:line="53" w:lineRule="exact"/>
        <w:rPr>
          <w:sz w:val="20"/>
          <w:szCs w:val="20"/>
          <w:color w:val="auto"/>
        </w:rPr>
      </w:pPr>
    </w:p>
    <w:p>
      <w:pPr>
        <w:ind w:right="400" w:firstLine="509"/>
        <w:spacing w:after="0" w:line="248" w:lineRule="auto"/>
        <w:rPr>
          <w:sz w:val="20"/>
          <w:szCs w:val="20"/>
          <w:color w:val="auto"/>
        </w:rPr>
      </w:pPr>
      <w:r>
        <w:rPr>
          <w:rFonts w:ascii="Arial" w:cs="Arial" w:eastAsia="Arial" w:hAnsi="Arial"/>
          <w:sz w:val="18"/>
          <w:szCs w:val="18"/>
          <w:color w:val="auto"/>
        </w:rPr>
        <w:t>The exercise price and number of shares of common stock issuable upon exercise of the 2018 PIPE Warrants may be adjusted in certain circumstances, including the event of a stock split, stock dividend, extraordinary dividend, or recapitalization, reorganization, merger or consolidation. However, the exercise price of the 2018 PIPE Warrants will not be reduced below $30.00.</w:t>
      </w:r>
    </w:p>
    <w:p>
      <w:pPr>
        <w:spacing w:after="0" w:line="87" w:lineRule="exact"/>
        <w:rPr>
          <w:sz w:val="20"/>
          <w:szCs w:val="20"/>
          <w:color w:val="auto"/>
        </w:rPr>
      </w:pPr>
    </w:p>
    <w:p>
      <w:pPr>
        <w:ind w:right="120" w:firstLine="509"/>
        <w:spacing w:after="0" w:line="324" w:lineRule="auto"/>
        <w:rPr>
          <w:sz w:val="20"/>
          <w:szCs w:val="20"/>
          <w:color w:val="auto"/>
        </w:rPr>
      </w:pPr>
      <w:r>
        <w:rPr>
          <w:rFonts w:ascii="Arial" w:cs="Arial" w:eastAsia="Arial" w:hAnsi="Arial"/>
          <w:sz w:val="16"/>
          <w:szCs w:val="16"/>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6" w:lineRule="exact"/>
        <w:rPr>
          <w:sz w:val="20"/>
          <w:szCs w:val="20"/>
          <w:color w:val="auto"/>
        </w:rPr>
      </w:pPr>
    </w:p>
    <w:p>
      <w:pPr>
        <w:ind w:right="280" w:firstLine="509"/>
        <w:spacing w:after="0" w:line="278" w:lineRule="auto"/>
        <w:rPr>
          <w:sz w:val="20"/>
          <w:szCs w:val="20"/>
          <w:color w:val="auto"/>
        </w:rPr>
      </w:pPr>
      <w:r>
        <w:rPr>
          <w:rFonts w:ascii="Arial" w:cs="Arial" w:eastAsia="Arial" w:hAnsi="Arial"/>
          <w:sz w:val="17"/>
          <w:szCs w:val="17"/>
          <w:color w:val="auto"/>
        </w:rPr>
        <w:t>Since the Company may be obligated to settle the 2018 PIPE Warrants in cash, the Company classified the 2018 PIPE Warrants as long-term liabilities at their fair value and will re-measure the warrants at each balance sheet date until they are exercised or expire. Any change in the fair value is recognized as other income (expense) in the Company’s condensed consolidated statements of operations and comprehensive loss.</w:t>
      </w:r>
    </w:p>
    <w:p>
      <w:pPr>
        <w:spacing w:after="0" w:line="50" w:lineRule="exact"/>
        <w:rPr>
          <w:sz w:val="20"/>
          <w:szCs w:val="20"/>
          <w:color w:val="auto"/>
        </w:rPr>
      </w:pPr>
    </w:p>
    <w:p>
      <w:pPr>
        <w:ind w:right="20" w:firstLine="509"/>
        <w:spacing w:after="0" w:line="278" w:lineRule="auto"/>
        <w:rPr>
          <w:sz w:val="20"/>
          <w:szCs w:val="20"/>
          <w:color w:val="auto"/>
        </w:rPr>
      </w:pPr>
      <w:r>
        <w:rPr>
          <w:rFonts w:ascii="Arial" w:cs="Arial" w:eastAsia="Arial" w:hAnsi="Arial"/>
          <w:sz w:val="17"/>
          <w:szCs w:val="17"/>
          <w:color w:val="auto"/>
        </w:rPr>
        <w:t>As of September 30, 2022, the fair value of the 2018 PIPE Warrants was estimated at approximately $0. The approximate $2 thousand and $0.1 million decrease in the fair value of the liability for the 2018 PIPE Warrants during the three months ended September 30, 2022 and 2021, respectively, was recorded as other income in the condensed consolidated statements of operations and comprehensive loss.</w:t>
      </w:r>
    </w:p>
    <w:p>
      <w:pPr>
        <w:spacing w:after="0" w:line="50"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Company has calculated the fair value of the 2018 PIPE Warrants using a Black-Scholes pricing model. The following summarizes certain key assumptions used in estimating the fair value.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September 30,</w:t>
            </w:r>
          </w:p>
        </w:tc>
        <w:tc>
          <w:tcPr>
            <w:tcW w:w="3020" w:type="dxa"/>
            <w:vAlign w:val="bottom"/>
            <w:gridSpan w:val="2"/>
          </w:tcPr>
          <w:p>
            <w:pPr>
              <w:jc w:val="right"/>
              <w:ind w:right="187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2800" w:type="dxa"/>
            <w:vAlign w:val="bottom"/>
            <w:vMerge w:val="restart"/>
          </w:tcPr>
          <w:p>
            <w:pPr>
              <w:spacing w:after="0"/>
              <w:rPr>
                <w:sz w:val="20"/>
                <w:szCs w:val="20"/>
                <w:color w:val="auto"/>
              </w:rPr>
            </w:pPr>
            <w:r>
              <w:rPr>
                <w:rFonts w:ascii="Arial" w:cs="Arial" w:eastAsia="Arial" w:hAnsi="Arial"/>
                <w:sz w:val="18"/>
                <w:szCs w:val="18"/>
                <w:color w:val="auto"/>
              </w:rPr>
              <w:t>Volatility</w:t>
            </w:r>
          </w:p>
        </w:tc>
        <w:tc>
          <w:tcPr>
            <w:tcW w:w="354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260" w:type="dxa"/>
            <w:vAlign w:val="bottom"/>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760" w:type="dxa"/>
            <w:vAlign w:val="bottom"/>
            <w:vMerge w:val="restart"/>
          </w:tcPr>
          <w:p>
            <w:pPr>
              <w:jc w:val="right"/>
              <w:ind w:right="15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80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80" w:type="dxa"/>
            <w:vAlign w:val="bottom"/>
            <w:vMerge w:val="continue"/>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Contractual term (years)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020" w:type="dxa"/>
            <w:vAlign w:val="bottom"/>
            <w:gridSpan w:val="2"/>
          </w:tcPr>
          <w:p>
            <w:pPr>
              <w:jc w:val="right"/>
              <w:ind w:right="15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Risk-free rate</w:t>
            </w:r>
          </w:p>
        </w:tc>
        <w:tc>
          <w:tcPr>
            <w:tcW w:w="3720" w:type="dxa"/>
            <w:vAlign w:val="bottom"/>
            <w:gridSpan w:val="3"/>
          </w:tcPr>
          <w:p>
            <w:pPr>
              <w:jc w:val="right"/>
              <w:spacing w:after="0"/>
              <w:rPr>
                <w:sz w:val="20"/>
                <w:szCs w:val="20"/>
                <w:color w:val="auto"/>
              </w:rPr>
            </w:pPr>
            <w:r>
              <w:rPr>
                <w:rFonts w:ascii="Arial" w:cs="Arial" w:eastAsia="Arial" w:hAnsi="Arial"/>
                <w:sz w:val="18"/>
                <w:szCs w:val="18"/>
                <w:color w:val="auto"/>
              </w:rPr>
              <w:t>4.09 %</w:t>
            </w:r>
          </w:p>
        </w:tc>
        <w:tc>
          <w:tcPr>
            <w:tcW w:w="3020" w:type="dxa"/>
            <w:vAlign w:val="bottom"/>
            <w:gridSpan w:val="2"/>
          </w:tcPr>
          <w:p>
            <w:pPr>
              <w:jc w:val="right"/>
              <w:ind w:right="1510"/>
              <w:spacing w:after="0"/>
              <w:rPr>
                <w:sz w:val="20"/>
                <w:szCs w:val="20"/>
                <w:color w:val="auto"/>
              </w:rPr>
            </w:pPr>
            <w:r>
              <w:rPr>
                <w:rFonts w:ascii="Arial" w:cs="Arial" w:eastAsia="Arial" w:hAnsi="Arial"/>
                <w:sz w:val="18"/>
                <w:szCs w:val="18"/>
                <w:color w:val="auto"/>
              </w:rPr>
              <w:t>0.72 %</w:t>
            </w:r>
          </w:p>
        </w:tc>
        <w:tc>
          <w:tcPr>
            <w:tcW w:w="0" w:type="dxa"/>
            <w:vAlign w:val="bottom"/>
          </w:tcPr>
          <w:p>
            <w:pPr>
              <w:spacing w:after="0"/>
              <w:rPr>
                <w:sz w:val="1"/>
                <w:szCs w:val="1"/>
                <w:color w:val="auto"/>
              </w:rPr>
            </w:pPr>
          </w:p>
        </w:tc>
      </w:tr>
      <w:tr>
        <w:trPr>
          <w:trHeight w:val="512"/>
        </w:trPr>
        <w:tc>
          <w:tcPr>
            <w:tcW w:w="1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60" w:type="dxa"/>
            <w:vAlign w:val="bottom"/>
          </w:tcPr>
          <w:p>
            <w:pPr>
              <w:jc w:val="right"/>
              <w:ind w:right="955"/>
              <w:spacing w:after="0"/>
              <w:rPr>
                <w:sz w:val="20"/>
                <w:szCs w:val="20"/>
                <w:color w:val="auto"/>
              </w:rPr>
            </w:pPr>
            <w:r>
              <w:rPr>
                <w:rFonts w:ascii="Arial" w:cs="Arial" w:eastAsia="Arial" w:hAnsi="Arial"/>
                <w:sz w:val="18"/>
                <w:szCs w:val="18"/>
                <w:color w:val="auto"/>
              </w:rPr>
              <w:t>10</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-967740</wp:posOffset>
            </wp:positionV>
            <wp:extent cx="498919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-694055</wp:posOffset>
            </wp:positionV>
            <wp:extent cx="498919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 w:name="page11"/>
    <w:bookmarkEnd w:id="10"/>
    <w:p>
      <w:pPr>
        <w:ind w:right="740" w:firstLine="509"/>
        <w:spacing w:after="0" w:line="261" w:lineRule="auto"/>
        <w:rPr>
          <w:sz w:val="20"/>
          <w:szCs w:val="20"/>
          <w:color w:val="auto"/>
        </w:rPr>
      </w:pPr>
      <w:r>
        <w:rPr>
          <w:rFonts w:ascii="Arial" w:cs="Arial" w:eastAsia="Arial" w:hAnsi="Arial"/>
          <w:sz w:val="18"/>
          <w:szCs w:val="18"/>
          <w:color w:val="auto"/>
        </w:rPr>
        <w:t>The Black-Scholes pricing model requires the use of highly subjective assumptions to estimate the fair value of stock-based awards. These assumptions include the following estimates.</w:t>
      </w:r>
    </w:p>
    <w:p>
      <w:pPr>
        <w:spacing w:after="0" w:line="76" w:lineRule="exact"/>
        <w:rPr>
          <w:sz w:val="20"/>
          <w:szCs w:val="20"/>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Company calculates the estimated volatility rate based its historical volatility over the expected life of the warrants.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Contractual term: </w:t>
      </w:r>
      <w:r>
        <w:rPr>
          <w:rFonts w:ascii="Arial" w:cs="Arial" w:eastAsia="Arial" w:hAnsi="Arial"/>
          <w:sz w:val="18"/>
          <w:szCs w:val="18"/>
          <w:color w:val="auto"/>
        </w:rPr>
        <w:t>The expected life of the warrants, which is based on the contractual term of the warrants.</w:t>
      </w:r>
    </w:p>
    <w:p>
      <w:pPr>
        <w:spacing w:after="0" w:line="103"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does not currently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Risk-free rate: </w:t>
      </w:r>
      <w:r>
        <w:rPr>
          <w:rFonts w:ascii="Arial" w:cs="Arial" w:eastAsia="Arial" w:hAnsi="Arial"/>
          <w:sz w:val="17"/>
          <w:szCs w:val="17"/>
          <w:color w:val="auto"/>
        </w:rPr>
        <w:t>The risk-free interest rate is based on the U.S. Treasury rate for similar periods as the expected life of the warrants.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Company’s operating lease for its headquarters facility office space in Redwood City, California, terminated in May 2021. In April 2021, the Company executed a non-cancellable operating lease agreement for the same 6,368 square feet of space, which began in June 2021 and expires in May 2023. The lease that expired in May 2021 also provided the Company with the right to use office furniture in the space and allowed the purchase of this furniture at the end of the lease term for $1, which it did. The Company has accounted for both leases of office space as operating leases. The office furniture included in the lease that expired in May 2021 was accounted for as a finance lease based on its relative standalone price as compared to the office space.</w:t>
      </w:r>
    </w:p>
    <w:p>
      <w:pPr>
        <w:spacing w:after="0" w:line="201"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 current lease was recognized at inception with a right-of-use asset equal to $0.6 million and a liability for $0.5 million. The short-term liability was equal to $0.2 million and $0.3 million as of September 30, 2022 and December 31, 2021, respectively, and the long-term liability was equal to $0 and $0.2 million, as of September 30, 2022 and December 31, 2021, respectively. The weighted average discount rate was 9% over a remaining term of 8 months. The discount rate was determined based on estimates of the Company’s incremental borrowing rate, as the discount rate implicit in the lease cannot be readily determined.</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is a schedule by year of future maturities of the Company’s operating lease liabilities as of September 30, 2022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(remainder of the year)</w:t>
            </w:r>
          </w:p>
        </w:tc>
        <w:tc>
          <w:tcPr>
            <w:tcW w:w="3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2023</w:t>
            </w:r>
          </w:p>
        </w:tc>
        <w:tc>
          <w:tcPr>
            <w:tcW w:w="368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r>
      <w:tr>
        <w:trPr>
          <w:trHeight w:val="209"/>
        </w:trPr>
        <w:tc>
          <w:tcPr>
            <w:tcW w:w="5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lease payments</w:t>
            </w:r>
          </w:p>
        </w:tc>
        <w:tc>
          <w:tcPr>
            <w:tcW w:w="368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368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(10 )</w:t>
            </w:r>
          </w:p>
        </w:tc>
      </w:tr>
      <w:tr>
        <w:trPr>
          <w:trHeight w:val="250"/>
        </w:trPr>
        <w:tc>
          <w:tcPr>
            <w:tcW w:w="5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36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components of lease expense during the three and six months ended September 30, 2022 and 2021 were as follows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42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w w:val="98"/>
              </w:rPr>
              <w:t>September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ind w:right="41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0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8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8"/>
                <w:szCs w:val="18"/>
                <w:color w:val="auto"/>
              </w:rPr>
              <w:t>Operating lease cost</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11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81</w:t>
            </w:r>
          </w:p>
        </w:tc>
        <w:tc>
          <w:tcPr>
            <w:tcW w:w="6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242</w:t>
            </w:r>
          </w:p>
        </w:tc>
        <w:tc>
          <w:tcPr>
            <w:tcW w:w="8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Variable lease cost</w:t>
            </w: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8"/>
                <w:szCs w:val="18"/>
                <w:color w:val="auto"/>
              </w:rPr>
              <w:t>Short-term lease cost</w:t>
            </w: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49"/>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cost</w:t>
            </w:r>
          </w:p>
        </w:tc>
        <w:tc>
          <w:tcPr>
            <w:tcW w:w="860" w:type="dxa"/>
            <w:vAlign w:val="bottom"/>
            <w:tcBorders>
              <w:bottom w:val="single" w:sz="8" w:color="auto"/>
            </w:tcBorders>
            <w:shd w:val="clear" w:color="auto" w:fill="CFF0FC"/>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3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51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Amortization of right-of-use assets</w:t>
            </w:r>
          </w:p>
        </w:tc>
        <w:tc>
          <w:tcPr>
            <w:tcW w:w="860" w:type="dxa"/>
            <w:vAlign w:val="bottom"/>
            <w:tcBorders>
              <w:bottom w:val="single" w:sz="8" w:color="auto"/>
            </w:tcBorders>
            <w:shd w:val="clear" w:color="auto" w:fill="CFF0FC"/>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7"/>
        </w:trPr>
        <w:tc>
          <w:tcPr>
            <w:tcW w:w="5180" w:type="dxa"/>
            <w:vAlign w:val="bottom"/>
          </w:tcPr>
          <w:p>
            <w:pPr>
              <w:spacing w:after="0"/>
              <w:rPr>
                <w:sz w:val="24"/>
                <w:szCs w:val="24"/>
                <w:color w:val="auto"/>
              </w:rPr>
            </w:pPr>
          </w:p>
        </w:tc>
        <w:tc>
          <w:tcPr>
            <w:tcW w:w="860" w:type="dxa"/>
            <w:vAlign w:val="bottom"/>
          </w:tcPr>
          <w:p>
            <w:pPr>
              <w:jc w:val="right"/>
              <w:ind w:right="235"/>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5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-1019810</wp:posOffset>
            </wp:positionV>
            <wp:extent cx="3051810" cy="3003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51810" cy="3003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-582295</wp:posOffset>
            </wp:positionV>
            <wp:extent cx="7747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-582295</wp:posOffset>
            </wp:positionV>
            <wp:extent cx="7683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-582295</wp:posOffset>
            </wp:positionV>
            <wp:extent cx="685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00" w:firstLine="509"/>
        <w:spacing w:after="0" w:line="24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04"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On March 31, 2022, the Company sold 2,666,667 shares of its common stock at a public offering price of $3.75, and for certain investors, in lieu of common stock, pre-funded warrants (the 2022 pre-funded warrants) to purchase 1,333,333 shares of its common stock at a public offering price $3.60 per pre-funded warrant, which represents the per share public offering price for the common stock less the $0.15 per share exercise price for each 2022 pre-funded warrant. The 2022 pre-funded warrants are immediately exercisable and may be exercised at any time until all of the 2022 pre-funded warrants are exercised in full. Each share of common stock or 2022 pre-funded warrant was sold together with one, immediately exercisable, common warrant (the 2022 common warrants) with a five-year term to purchase one share of common stock at an exercise price of $4.50 per share. The net proceeds of the offering</w:t>
      </w:r>
    </w:p>
    <w:p>
      <w:pPr>
        <w:spacing w:after="0" w:line="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were $13.8 million, after deducting the underwriting discount and other offering expenses. The Company is not required under any circumstance to settle any of the 2022 pre-funded warrants or the 2022 common warrants for cash, and therefore classified both types of warrants as permanent equity.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w:t>
      </w:r>
    </w:p>
    <w:p>
      <w:pPr>
        <w:spacing w:after="0" w:line="117"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In July 2021, the Company entered into a Controlled Equity Offering Sales Agreement under which the Company may sell shares of its common stock having an aggregate offering price of up to $25.0 million from time to time in any method permitted by law deemed to be an “at the market” Rule 415 under the Securities Act of 1933, as amended. As of September 30, 2022, we have sold 104,773 shares of common stock through the at the market program, totaling $0.3 million in net proceeds.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04" w:lineRule="exact"/>
        <w:rPr>
          <w:sz w:val="20"/>
          <w:szCs w:val="20"/>
          <w:color w:val="auto"/>
        </w:rPr>
      </w:pPr>
    </w:p>
    <w:p>
      <w:pPr>
        <w:ind w:right="200" w:firstLine="509"/>
        <w:spacing w:after="0" w:line="256" w:lineRule="auto"/>
        <w:rPr>
          <w:sz w:val="20"/>
          <w:szCs w:val="20"/>
          <w:color w:val="auto"/>
        </w:rPr>
      </w:pPr>
      <w:r>
        <w:rPr>
          <w:rFonts w:ascii="Arial" w:cs="Arial" w:eastAsia="Arial" w:hAnsi="Arial"/>
          <w:sz w:val="18"/>
          <w:szCs w:val="18"/>
          <w:color w:val="auto"/>
        </w:rPr>
        <w:t>As of September 30, 2022, the Company had 6,804 common stock warrants outstanding from the 2010/2012 convertible notes, with an exercise price of $24.35 and a term of 10 years expiring in November 2024. The Company also had 1,100 common stock warrants issued to the underwriter in the Company’s IPO, with an exercise price of $365.25 and a term of 10 years, expiring in November 2024.</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Plan</w:t>
      </w:r>
    </w:p>
    <w:p>
      <w:pPr>
        <w:spacing w:after="0" w:line="108"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The Company maintains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73"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auto"/>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for service-based stock options is normally monthly over a period of 4 years from the vesting date.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As of September 30, 2022, a total of 16,688 shares are available for future grant under the 2014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Inducement Plan</w:t>
      </w:r>
    </w:p>
    <w:p>
      <w:pPr>
        <w:spacing w:after="0" w:line="148" w:lineRule="exact"/>
        <w:rPr>
          <w:sz w:val="20"/>
          <w:szCs w:val="20"/>
          <w:color w:val="auto"/>
        </w:rPr>
      </w:pPr>
    </w:p>
    <w:p>
      <w:pPr>
        <w:jc w:val="both"/>
        <w:ind w:right="120" w:firstLine="509"/>
        <w:spacing w:after="0" w:line="256" w:lineRule="auto"/>
        <w:rPr>
          <w:sz w:val="20"/>
          <w:szCs w:val="20"/>
          <w:color w:val="auto"/>
        </w:rPr>
      </w:pPr>
      <w:r>
        <w:rPr>
          <w:rFonts w:ascii="Arial" w:cs="Arial" w:eastAsia="Arial" w:hAnsi="Arial"/>
          <w:sz w:val="18"/>
          <w:szCs w:val="18"/>
          <w:color w:val="auto"/>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2" w:name="page13"/>
    <w:bookmarkEnd w:id="12"/>
    <w:p>
      <w:pPr>
        <w:ind w:firstLine="509"/>
        <w:spacing w:after="0" w:line="249" w:lineRule="auto"/>
        <w:rPr>
          <w:sz w:val="20"/>
          <w:szCs w:val="20"/>
          <w:color w:val="auto"/>
        </w:rPr>
      </w:pPr>
      <w:r>
        <w:rPr>
          <w:rFonts w:ascii="Arial" w:cs="Arial" w:eastAsia="Arial" w:hAnsi="Arial"/>
          <w:sz w:val="18"/>
          <w:szCs w:val="18"/>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As of September 30, 2022, a total of 85,668 shares are available for future grant under the Inducement Plan.</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The Company recognizes stock-based compensation expense related to options and restricted stock units granted to employees, directors and consultants. The compensation expense is allocated on a departmental basis, based on the classification of the award holder. No income tax benefits have been recognized in the condensed consolidated statements of operations and comprehensive loss for stock-based compensation arrangements during any of the periods presented</w:t>
      </w:r>
    </w:p>
    <w:p>
      <w:pPr>
        <w:spacing w:after="0" w:line="86"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Stock-based compensation expense was recognized in the condensed consolidated statements of operations and comprehensive loss as follows (in thousands).</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Three Months Ended September</w:t>
            </w:r>
          </w:p>
        </w:tc>
        <w:tc>
          <w:tcPr>
            <w:tcW w:w="80" w:type="dxa"/>
            <w:vAlign w:val="bottom"/>
          </w:tcPr>
          <w:p>
            <w:pPr>
              <w:spacing w:after="0"/>
              <w:rPr>
                <w:sz w:val="14"/>
                <w:szCs w:val="14"/>
                <w:color w:val="auto"/>
              </w:rPr>
            </w:pPr>
          </w:p>
        </w:tc>
        <w:tc>
          <w:tcPr>
            <w:tcW w:w="2180" w:type="dxa"/>
            <w:vAlign w:val="bottom"/>
            <w:gridSpan w:val="6"/>
          </w:tcPr>
          <w:p>
            <w:pPr>
              <w:jc w:val="right"/>
              <w:ind w:right="15"/>
              <w:spacing w:after="0"/>
              <w:rPr>
                <w:sz w:val="20"/>
                <w:szCs w:val="20"/>
                <w:color w:val="auto"/>
              </w:rPr>
            </w:pPr>
            <w:r>
              <w:rPr>
                <w:rFonts w:ascii="Arial" w:cs="Arial" w:eastAsia="Arial" w:hAnsi="Arial"/>
                <w:sz w:val="14"/>
                <w:szCs w:val="14"/>
                <w:b w:val="1"/>
                <w:bCs w:val="1"/>
                <w:color w:val="auto"/>
                <w:w w:val="99"/>
              </w:rPr>
              <w:t>Nine Months Ended September</w:t>
            </w:r>
          </w:p>
        </w:tc>
        <w:tc>
          <w:tcPr>
            <w:tcW w:w="80" w:type="dxa"/>
            <w:vAlign w:val="bottom"/>
          </w:tcPr>
          <w:p>
            <w:pPr>
              <w:spacing w:after="0"/>
              <w:rPr>
                <w:sz w:val="14"/>
                <w:szCs w:val="14"/>
                <w:color w:val="auto"/>
              </w:rPr>
            </w:pPr>
          </w:p>
        </w:tc>
      </w:tr>
      <w:tr>
        <w:trPr>
          <w:trHeight w:val="171"/>
        </w:trPr>
        <w:tc>
          <w:tcPr>
            <w:tcW w:w="3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30,</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81"/>
              </w:rPr>
              <w:t>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34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FF0FC"/>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483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80" w:type="dxa"/>
            <w:vAlign w:val="bottom"/>
          </w:tcPr>
          <w:p>
            <w:pPr>
              <w:spacing w:after="0"/>
              <w:rPr>
                <w:sz w:val="18"/>
                <w:szCs w:val="18"/>
                <w:color w:val="auto"/>
              </w:rPr>
            </w:pPr>
          </w:p>
        </w:tc>
      </w:tr>
      <w:tr>
        <w:trPr>
          <w:trHeight w:val="249"/>
        </w:trPr>
        <w:tc>
          <w:tcPr>
            <w:tcW w:w="3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683</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w:t>
            </w: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-25400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51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-25400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43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43" w:lineRule="exact"/>
        <w:rPr>
          <w:sz w:val="20"/>
          <w:szCs w:val="20"/>
          <w:color w:val="auto"/>
        </w:rPr>
      </w:pPr>
    </w:p>
    <w:p>
      <w:pPr>
        <w:ind w:right="20" w:firstLine="749"/>
        <w:spacing w:after="0" w:line="245" w:lineRule="auto"/>
        <w:rPr>
          <w:sz w:val="20"/>
          <w:szCs w:val="20"/>
          <w:color w:val="auto"/>
        </w:rPr>
      </w:pPr>
      <w:r>
        <w:rPr>
          <w:rFonts w:ascii="Arial" w:cs="Arial" w:eastAsia="Arial" w:hAnsi="Arial"/>
          <w:sz w:val="18"/>
          <w:szCs w:val="18"/>
          <w:color w:val="auto"/>
        </w:rPr>
        <w:t>The Company granted options to purchase 157,673 and 0 shares of the Company’s common stock during the three months ended September 30, 2022 and 2021, respectively, and granted options to purchase 283,919 and 225,854 of the Company’s common stock during the nine months ended September 30, 2022 and 2021, respectively. Of the total options granted during the three and nine months ended September 30, 2021, 47,250 were performance-based options. The fair value of each award granted was estimated on the date of grant using the Black-Scholes option pricing model with the following assumptions.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32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37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96"/>
        </w:trPr>
        <w:tc>
          <w:tcPr>
            <w:tcW w:w="40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life (years)</w:t>
            </w: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5.2-5.7</w:t>
            </w:r>
          </w:p>
        </w:tc>
        <w:tc>
          <w:tcPr>
            <w:tcW w:w="44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jc w:val="center"/>
              <w:ind w:left="256"/>
              <w:spacing w:after="0"/>
              <w:rPr>
                <w:sz w:val="20"/>
                <w:szCs w:val="20"/>
                <w:color w:val="auto"/>
              </w:rPr>
            </w:pPr>
            <w:r>
              <w:rPr>
                <w:rFonts w:ascii="Arial" w:cs="Arial" w:eastAsia="Arial" w:hAnsi="Arial"/>
                <w:sz w:val="18"/>
                <w:szCs w:val="18"/>
                <w:color w:val="auto"/>
                <w:w w:val="89"/>
              </w:rPr>
              <w:t>5.2-6.0</w:t>
            </w:r>
          </w:p>
        </w:tc>
        <w:tc>
          <w:tcPr>
            <w:tcW w:w="30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5.5-6.0</w:t>
            </w:r>
          </w:p>
        </w:tc>
        <w:tc>
          <w:tcPr>
            <w:tcW w:w="100" w:type="dxa"/>
            <w:vAlign w:val="bottom"/>
            <w:shd w:val="clear" w:color="auto" w:fill="CFF0FC"/>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2.8%-3.1%</w:t>
            </w:r>
          </w:p>
        </w:tc>
        <w:tc>
          <w:tcPr>
            <w:tcW w:w="4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 %</w:t>
            </w:r>
          </w:p>
        </w:tc>
        <w:tc>
          <w:tcPr>
            <w:tcW w:w="1940" w:type="dxa"/>
            <w:vAlign w:val="bottom"/>
            <w:gridSpan w:val="2"/>
          </w:tcPr>
          <w:p>
            <w:pPr>
              <w:jc w:val="center"/>
              <w:ind w:left="356"/>
              <w:spacing w:after="0"/>
              <w:rPr>
                <w:sz w:val="20"/>
                <w:szCs w:val="20"/>
                <w:color w:val="auto"/>
              </w:rPr>
            </w:pPr>
            <w:r>
              <w:rPr>
                <w:rFonts w:ascii="Arial" w:cs="Arial" w:eastAsia="Arial" w:hAnsi="Arial"/>
                <w:sz w:val="18"/>
                <w:szCs w:val="18"/>
                <w:color w:val="auto"/>
                <w:w w:val="93"/>
              </w:rPr>
              <w:t>1.7%-3.0%</w:t>
            </w:r>
          </w:p>
        </w:tc>
        <w:tc>
          <w:tcPr>
            <w:tcW w:w="1880" w:type="dxa"/>
            <w:vAlign w:val="bottom"/>
            <w:gridSpan w:val="2"/>
          </w:tcPr>
          <w:p>
            <w:pPr>
              <w:jc w:val="center"/>
              <w:ind w:left="196"/>
              <w:spacing w:after="0"/>
              <w:rPr>
                <w:sz w:val="20"/>
                <w:szCs w:val="20"/>
                <w:color w:val="auto"/>
              </w:rPr>
            </w:pPr>
            <w:r>
              <w:rPr>
                <w:rFonts w:ascii="Arial" w:cs="Arial" w:eastAsia="Arial" w:hAnsi="Arial"/>
                <w:sz w:val="18"/>
                <w:szCs w:val="18"/>
                <w:color w:val="auto"/>
                <w:w w:val="90"/>
              </w:rPr>
              <w:t>0.6%-1.0%</w:t>
            </w:r>
          </w:p>
        </w:tc>
        <w:tc>
          <w:tcPr>
            <w:tcW w:w="100" w:type="dxa"/>
            <w:vAlign w:val="bottom"/>
          </w:tcPr>
          <w:p>
            <w:pPr>
              <w:spacing w:after="0"/>
              <w:rPr>
                <w:sz w:val="18"/>
                <w:szCs w:val="18"/>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w:t>
            </w: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92%-95%</w:t>
            </w: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 %</w:t>
            </w:r>
          </w:p>
        </w:tc>
        <w:tc>
          <w:tcPr>
            <w:tcW w:w="1940" w:type="dxa"/>
            <w:vAlign w:val="bottom"/>
            <w:gridSpan w:val="2"/>
            <w:shd w:val="clear" w:color="auto" w:fill="CFF0FC"/>
          </w:tcPr>
          <w:p>
            <w:pPr>
              <w:jc w:val="center"/>
              <w:ind w:left="376"/>
              <w:spacing w:after="0"/>
              <w:rPr>
                <w:sz w:val="20"/>
                <w:szCs w:val="20"/>
                <w:color w:val="auto"/>
              </w:rPr>
            </w:pPr>
            <w:r>
              <w:rPr>
                <w:rFonts w:ascii="Arial" w:cs="Arial" w:eastAsia="Arial" w:hAnsi="Arial"/>
                <w:sz w:val="18"/>
                <w:szCs w:val="18"/>
                <w:color w:val="auto"/>
                <w:w w:val="92"/>
              </w:rPr>
              <w:t>88%-93%</w:t>
            </w:r>
          </w:p>
        </w:tc>
        <w:tc>
          <w:tcPr>
            <w:tcW w:w="1880" w:type="dxa"/>
            <w:vAlign w:val="bottom"/>
            <w:gridSpan w:val="2"/>
            <w:shd w:val="clear" w:color="auto" w:fill="CFF0FC"/>
          </w:tcPr>
          <w:p>
            <w:pPr>
              <w:jc w:val="center"/>
              <w:ind w:left="196"/>
              <w:spacing w:after="0"/>
              <w:rPr>
                <w:sz w:val="20"/>
                <w:szCs w:val="20"/>
                <w:color w:val="auto"/>
              </w:rPr>
            </w:pPr>
            <w:r>
              <w:rPr>
                <w:rFonts w:ascii="Arial" w:cs="Arial" w:eastAsia="Arial" w:hAnsi="Arial"/>
                <w:sz w:val="18"/>
                <w:szCs w:val="18"/>
                <w:color w:val="auto"/>
                <w:w w:val="90"/>
              </w:rPr>
              <w:t>91%-108%</w:t>
            </w:r>
          </w:p>
        </w:tc>
        <w:tc>
          <w:tcPr>
            <w:tcW w:w="100" w:type="dxa"/>
            <w:vAlign w:val="bottom"/>
            <w:shd w:val="clear" w:color="auto" w:fill="CFF0FC"/>
          </w:tcPr>
          <w:p>
            <w:pPr>
              <w:spacing w:after="0"/>
              <w:rPr>
                <w:sz w:val="18"/>
                <w:szCs w:val="18"/>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380" w:type="dxa"/>
            <w:vAlign w:val="bottom"/>
          </w:tcPr>
          <w:p>
            <w:pPr>
              <w:jc w:val="cente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1840" w:type="dxa"/>
            <w:vAlign w:val="bottom"/>
          </w:tcPr>
          <w:p>
            <w:pPr>
              <w:jc w:val="center"/>
              <w:ind w:left="256"/>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 the following estimates:</w:t>
      </w:r>
    </w:p>
    <w:p>
      <w:pPr>
        <w:spacing w:after="0" w:line="63" w:lineRule="exact"/>
        <w:rPr>
          <w:sz w:val="20"/>
          <w:szCs w:val="20"/>
          <w:color w:val="auto"/>
        </w:rPr>
      </w:pPr>
    </w:p>
    <w:p>
      <w:pPr>
        <w:ind w:left="900" w:right="180" w:hanging="383"/>
        <w:spacing w:after="0" w:line="267"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Expected life: </w:t>
      </w:r>
      <w:r>
        <w:rPr>
          <w:rFonts w:ascii="Arial" w:cs="Arial" w:eastAsia="Arial" w:hAnsi="Arial"/>
          <w:sz w:val="17"/>
          <w:szCs w:val="17"/>
          <w:color w:val="auto"/>
        </w:rPr>
        <w:t>The expected life of stock options represents the period of time that the options are expected to be outstanding. Due to the lack</w:t>
      </w:r>
      <w:r>
        <w:rPr>
          <w:rFonts w:ascii="Arial" w:cs="Arial" w:eastAsia="Arial" w:hAnsi="Arial"/>
          <w:sz w:val="17"/>
          <w:szCs w:val="17"/>
          <w:i w:val="1"/>
          <w:iCs w:val="1"/>
          <w:color w:val="auto"/>
        </w:rPr>
        <w:t xml:space="preserve"> </w:t>
      </w:r>
      <w:r>
        <w:rPr>
          <w:rFonts w:ascii="Arial" w:cs="Arial" w:eastAsia="Arial" w:hAnsi="Arial"/>
          <w:sz w:val="17"/>
          <w:szCs w:val="17"/>
          <w:color w:val="auto"/>
        </w:rPr>
        <w:t>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60" w:lineRule="exact"/>
        <w:rPr>
          <w:rFonts w:ascii="Arial" w:cs="Arial" w:eastAsia="Arial" w:hAnsi="Arial"/>
          <w:sz w:val="17"/>
          <w:szCs w:val="17"/>
          <w:color w:val="auto"/>
        </w:rPr>
      </w:pPr>
    </w:p>
    <w:p>
      <w:pPr>
        <w:ind w:left="900" w:right="20" w:hanging="383"/>
        <w:spacing w:after="0" w:line="261"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life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stock options.</w:t>
      </w:r>
    </w:p>
    <w:p>
      <w:pPr>
        <w:spacing w:after="0" w:line="76" w:lineRule="exact"/>
        <w:rPr>
          <w:rFonts w:ascii="Arial" w:cs="Arial" w:eastAsia="Arial" w:hAnsi="Arial"/>
          <w:sz w:val="18"/>
          <w:szCs w:val="18"/>
          <w:color w:val="auto"/>
        </w:rPr>
      </w:pPr>
    </w:p>
    <w:p>
      <w:pPr>
        <w:ind w:left="900" w:right="60" w:hanging="383"/>
        <w:spacing w:after="0" w:line="261"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estimated volatility rate is based on the volatilities of the Company’s common stock for a historical period equal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life of the stock options.</w:t>
      </w:r>
    </w:p>
    <w:p>
      <w:pPr>
        <w:spacing w:after="0" w:line="62" w:lineRule="exact"/>
        <w:rPr>
          <w:rFonts w:ascii="Arial" w:cs="Arial" w:eastAsia="Arial" w:hAnsi="Arial"/>
          <w:sz w:val="18"/>
          <w:szCs w:val="18"/>
          <w:color w:val="auto"/>
        </w:rPr>
      </w:pPr>
    </w:p>
    <w:p>
      <w:pPr>
        <w:ind w:left="900" w:right="800" w:hanging="383"/>
        <w:spacing w:after="0" w:line="261"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Dividend rate: </w:t>
      </w:r>
      <w:r>
        <w:rPr>
          <w:rFonts w:ascii="Arial" w:cs="Arial" w:eastAsia="Arial" w:hAnsi="Arial"/>
          <w:sz w:val="18"/>
          <w:szCs w:val="18"/>
          <w:color w:val="auto"/>
        </w:rPr>
        <w:t>The Company has never declared or paid any cash dividends and does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6"/>
          <w:szCs w:val="16"/>
          <w:color w:val="auto"/>
        </w:rPr>
        <w:t>The following table summarizes stock option transactions for the nine months ended September 30, 2022 as issued under the 2014 Plan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Inducement Plan: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Aggregate Intrinsic</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66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15"/>
                <w:szCs w:val="15"/>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Price per</w:t>
            </w: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6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6"/>
                <w:szCs w:val="16"/>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87"/>
              </w:rPr>
              <w:t>Share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2022</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408,329</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46.28</w:t>
            </w: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283,919</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Options canceled/forfeited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(5,432 )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19.96</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2022</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686,816</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60" w:type="dxa"/>
            <w:vAlign w:val="bottom"/>
          </w:tcPr>
          <w:p>
            <w:pPr>
              <w:ind w:left="20"/>
              <w:spacing w:after="0" w:line="196" w:lineRule="exact"/>
              <w:rPr>
                <w:sz w:val="20"/>
                <w:szCs w:val="20"/>
                <w:color w:val="auto"/>
              </w:rPr>
            </w:pPr>
            <w:r>
              <w:rPr>
                <w:rFonts w:ascii="Arial" w:cs="Arial" w:eastAsia="Arial" w:hAnsi="Arial"/>
                <w:sz w:val="18"/>
                <w:szCs w:val="18"/>
                <w:color w:val="auto"/>
              </w:rPr>
              <w:t>Options vested at September 30, 2022</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297,926</w:t>
            </w:r>
          </w:p>
        </w:tc>
        <w:tc>
          <w:tcPr>
            <w:tcW w:w="2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45.37</w:t>
            </w: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7.09</w:t>
            </w:r>
          </w:p>
        </w:tc>
        <w:tc>
          <w:tcPr>
            <w:tcW w:w="400" w:type="dxa"/>
            <w:vAlign w:val="bottom"/>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ind w:left="94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Options vested and expected to vest at September 30, 2022</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663,858</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28.66</w:t>
            </w: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8.19</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ind w:left="94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-350520</wp:posOffset>
            </wp:positionV>
            <wp:extent cx="2794635"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94635" cy="18859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-25400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140" w:firstLine="509"/>
        <w:spacing w:after="0" w:line="278" w:lineRule="auto"/>
        <w:rPr>
          <w:sz w:val="20"/>
          <w:szCs w:val="20"/>
          <w:color w:val="auto"/>
        </w:rPr>
      </w:pPr>
      <w:r>
        <w:rPr>
          <w:rFonts w:ascii="Arial" w:cs="Arial" w:eastAsia="Arial" w:hAnsi="Arial"/>
          <w:sz w:val="17"/>
          <w:szCs w:val="17"/>
          <w:color w:val="auto"/>
        </w:rPr>
        <w:t>The weighted-average grant date fair value of options granted was $2.62 and $1.73 per share for the nine months ended September 30, 2022 and 2021, respectively. At September 30, 2022 total unrecognized employee stock-based compensation related to stock options that are likely to vest was $3.8 million, which is expected to be recognized over the weighted-average remaining vesting period of 1.9 years.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08"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There were zero and 3,498 restricted stock units granted by the Company during the three months ended September 30, 2022 and 2021, respectively, and 8,965 and 7,583 restricted stock units granted during the nine months ended September 30, 2022 and 2021, respectively, to employees and directors. The restricted stock units granted to directors were 100% vested on the grant date and represent compensation for past board services. The restricted stock units granted to employees typically vest annually over a period of four years. The restricted stock units were valued based on the Company’s common stock price on the grant date.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restricted stock unit transactions for the nine months ended September 30, 2022 as issued under the 2014 Plan:</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4"/>
                <w:szCs w:val="14"/>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6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Units</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Value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January 1, 2022</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29,050</w:t>
            </w: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200"/>
              <w:spacing w:after="0"/>
              <w:rPr>
                <w:sz w:val="20"/>
                <w:szCs w:val="20"/>
                <w:color w:val="auto"/>
              </w:rPr>
            </w:pPr>
            <w:r>
              <w:rPr>
                <w:rFonts w:ascii="Arial" w:cs="Arial" w:eastAsia="Arial" w:hAnsi="Arial"/>
                <w:sz w:val="18"/>
                <w:szCs w:val="18"/>
                <w:color w:val="auto"/>
              </w:rPr>
              <w:t>Restricted stock units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8,965</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stock units vested</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(18,646 )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200"/>
              <w:spacing w:after="0"/>
              <w:rPr>
                <w:sz w:val="20"/>
                <w:szCs w:val="20"/>
                <w:color w:val="auto"/>
              </w:rPr>
            </w:pPr>
            <w:r>
              <w:rPr>
                <w:rFonts w:ascii="Arial" w:cs="Arial" w:eastAsia="Arial" w:hAnsi="Arial"/>
                <w:sz w:val="18"/>
                <w:szCs w:val="18"/>
                <w:color w:val="auto"/>
              </w:rPr>
              <w:t>Restricted stock units canceled/forfeited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(301 )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19,068</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57.75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60" w:firstLine="509"/>
        <w:spacing w:after="0" w:line="290" w:lineRule="auto"/>
        <w:rPr>
          <w:sz w:val="20"/>
          <w:szCs w:val="20"/>
          <w:color w:val="auto"/>
        </w:rPr>
      </w:pPr>
      <w:r>
        <w:rPr>
          <w:rFonts w:ascii="Arial" w:cs="Arial" w:eastAsia="Arial" w:hAnsi="Arial"/>
          <w:sz w:val="16"/>
          <w:szCs w:val="16"/>
          <w:color w:val="auto"/>
        </w:rPr>
        <w:t>The weighted-average grant-date fair value of all restricted stock units granted during the nine months ended September 30, 2022 and 2021 was $5.33 and $18.30, respectively. The fair value of all restricted stock units vested during the nine months ended September 30, 2022 and 2021 was $0.6 million and approximately $0.8 million, respectively. At September 30, 2022, total unrecognized employee stock-based compensation related to restricted stock units was $0.7 million, which is expected to be recognized over the weighted-average remaining vesting period of 1.3 years.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04"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The Company’s board of directors and stockholders have adopted the 2014 Employee Stock Purchase Plan (ESPP). The ESPP has become effective, and the board of directors will implement commencement of offers thereunder in its discretion. A total of 1,864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42" w:lineRule="exact"/>
        <w:rPr>
          <w:sz w:val="20"/>
          <w:szCs w:val="20"/>
          <w:color w:val="auto"/>
        </w:rPr>
      </w:pPr>
    </w:p>
    <w:p>
      <w:pPr>
        <w:ind w:left="90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 of the outstanding shares of the Company’s common stock on the first day of such year;</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3,729 shares; 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amount as determined by the board of directors.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there were no purchases by employees under this plan.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Net loss per share</w:t>
      </w:r>
    </w:p>
    <w:p>
      <w:pPr>
        <w:spacing w:after="0" w:line="108"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or vesting of common stock awards and exercise of common stock warrants. The Company applies the two-class method to calculate basic and diluted earnings per share as its warrants issued in March 2022 are participating securities. However, the two-class method does not impact the net loss per share of common stock as the warrants issued in March 2022 do not participate in losses. For the three and nine months ended September 30, 2022 and 2021, the effect of issuing potential common stock is anti-dilutive due to the net losses in those periods and therefore the number of shares used to compute basic and diluted net loss per share are the same in each of those periods.</w:t>
      </w:r>
    </w:p>
    <w:p>
      <w:pPr>
        <w:spacing w:after="0" w:line="77"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The following potentially dilutive securities outstanding have been excluded from the computations of diluted weighted-average shares outstanding for the periods presented because such securities have an antidilutive impact due to losses reported (in common stock equivalent shares).</w:t>
      </w:r>
    </w:p>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4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As of September 30,</w:t>
            </w:r>
          </w:p>
        </w:tc>
        <w:tc>
          <w:tcPr>
            <w:tcW w:w="80" w:type="dxa"/>
            <w:vAlign w:val="bottom"/>
          </w:tcPr>
          <w:p>
            <w:pPr>
              <w:spacing w:after="0"/>
              <w:rPr>
                <w:sz w:val="14"/>
                <w:szCs w:val="14"/>
                <w:color w:val="auto"/>
              </w:rPr>
            </w:pPr>
          </w:p>
        </w:tc>
      </w:tr>
      <w:tr>
        <w:trPr>
          <w:trHeight w:val="169"/>
        </w:trPr>
        <w:tc>
          <w:tcPr>
            <w:tcW w:w="5440" w:type="dxa"/>
            <w:vAlign w:val="bottom"/>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2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68"/>
        </w:trPr>
        <w:tc>
          <w:tcPr>
            <w:tcW w:w="5440" w:type="dxa"/>
            <w:vAlign w:val="bottom"/>
            <w:shd w:val="clear" w:color="auto" w:fill="CFF0FC"/>
          </w:tcPr>
          <w:p>
            <w:pPr>
              <w:spacing w:after="0" w:line="168" w:lineRule="exact"/>
              <w:rPr>
                <w:sz w:val="20"/>
                <w:szCs w:val="20"/>
                <w:color w:val="auto"/>
              </w:rPr>
            </w:pPr>
            <w:r>
              <w:rPr>
                <w:rFonts w:ascii="Arial" w:cs="Arial" w:eastAsia="Arial" w:hAnsi="Arial"/>
                <w:sz w:val="18"/>
                <w:szCs w:val="18"/>
                <w:color w:val="auto"/>
              </w:rPr>
              <w:t>Warrants issued to 2010/2012 convertible note</w:t>
            </w:r>
          </w:p>
        </w:tc>
        <w:tc>
          <w:tcPr>
            <w:tcW w:w="10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holders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6,804</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6,804</w:t>
            </w:r>
          </w:p>
        </w:tc>
        <w:tc>
          <w:tcPr>
            <w:tcW w:w="80" w:type="dxa"/>
            <w:vAlign w:val="bottom"/>
            <w:shd w:val="clear" w:color="auto" w:fill="CFF0FC"/>
          </w:tcPr>
          <w:p>
            <w:pPr>
              <w:spacing w:after="0"/>
              <w:rPr>
                <w:sz w:val="20"/>
                <w:szCs w:val="20"/>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686,816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405,662</w:t>
            </w:r>
          </w:p>
        </w:tc>
        <w:tc>
          <w:tcPr>
            <w:tcW w:w="8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Outstanding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19,068</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29,050</w:t>
            </w:r>
          </w:p>
        </w:tc>
        <w:tc>
          <w:tcPr>
            <w:tcW w:w="8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Warrants issued to underwriter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1,100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2018 PIPE warrants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34,241</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34,241</w:t>
            </w:r>
          </w:p>
        </w:tc>
        <w:tc>
          <w:tcPr>
            <w:tcW w:w="8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2022 common warrants</w:t>
            </w:r>
          </w:p>
        </w:tc>
        <w:tc>
          <w:tcPr>
            <w:tcW w:w="1080" w:type="dxa"/>
            <w:vAlign w:val="bottom"/>
          </w:tcPr>
          <w:p>
            <w:pPr>
              <w:jc w:val="right"/>
              <w:spacing w:after="0"/>
              <w:rPr>
                <w:sz w:val="20"/>
                <w:szCs w:val="20"/>
                <w:color w:val="auto"/>
              </w:rPr>
            </w:pPr>
            <w:r>
              <w:rPr>
                <w:rFonts w:ascii="Arial" w:cs="Arial" w:eastAsia="Arial" w:hAnsi="Arial"/>
                <w:sz w:val="18"/>
                <w:szCs w:val="18"/>
                <w:color w:val="auto"/>
              </w:rPr>
              <w:t>4,000,000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 pre-funded warrants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1,280,965</w:t>
            </w: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color w:val="auto"/>
              </w:rPr>
              <w:t>6,028,994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476,857</w:t>
            </w:r>
          </w:p>
        </w:tc>
        <w:tc>
          <w:tcPr>
            <w:tcW w:w="8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-170815</wp:posOffset>
            </wp:positionV>
            <wp:extent cx="5143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121" w:lineRule="exact"/>
        <w:rPr>
          <w:sz w:val="20"/>
          <w:szCs w:val="20"/>
          <w:color w:val="auto"/>
        </w:rPr>
      </w:pPr>
    </w:p>
    <w:p>
      <w:pPr>
        <w:ind w:right="260" w:firstLine="509"/>
        <w:spacing w:after="0" w:line="324" w:lineRule="auto"/>
        <w:rPr>
          <w:sz w:val="20"/>
          <w:szCs w:val="20"/>
          <w:color w:val="auto"/>
        </w:rPr>
      </w:pPr>
      <w:r>
        <w:rPr>
          <w:rFonts w:ascii="Arial" w:cs="Arial" w:eastAsia="Arial" w:hAnsi="Arial"/>
          <w:sz w:val="16"/>
          <w:szCs w:val="16"/>
          <w:color w:val="auto"/>
        </w:rPr>
        <w:t>The Company has evaluated its subsequent events from September 30, 2022 through the date these condensed consolidated financial statements were issued and has determined that there are no subsequent events requiring disclosure in these condensed consolidated financial statements.</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w:t>
      </w:r>
    </w:p>
    <w:p>
      <w:pPr>
        <w:spacing w:after="0" w:line="121"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i w:val="1"/>
          <w:iCs w:val="1"/>
          <w:color w:val="auto"/>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2021, and the related Management’s Discussion and Analysis of Financial Condition and Results of Operations, contained in the Company’s Form 10-K for the year ended December 31, 2021.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firstLine="509"/>
        <w:spacing w:after="0" w:line="241" w:lineRule="auto"/>
        <w:rPr>
          <w:sz w:val="20"/>
          <w:szCs w:val="20"/>
          <w:color w:val="auto"/>
        </w:rPr>
      </w:pPr>
      <w:r>
        <w:rPr>
          <w:rFonts w:ascii="Arial" w:cs="Arial" w:eastAsia="Arial" w:hAnsi="Arial"/>
          <w:sz w:val="17"/>
          <w:szCs w:val="17"/>
          <w:color w:val="auto"/>
        </w:rPr>
        <w:t>We are focused on the development and commercialization of novel therapeutics for the treatment of rare diseases. Our lead candidate is Diazoxide Choline Extended Release tablets (DCCR), a once-daily oral tablet for the treatment of Prader-Willi Syndrome (PWS). DCCR has orphan designation for the treatment of PWS in the United States (U.S.) as well as in the European Union (E.U.). DCCR has been evaluated in a Phase 3 study (C601 or DESTINY PWS), a 3-month randomized, double-blind placebo-controlled study, which completed enrollment in January 2020, with 127 patients at 29 sites in the U.S. and U.K. Patients who complete treatment in DESTINY PWS were eligible to receive DCCR in C602, an open-label extension study. Top line results from DESTINY PWS were announced in June 2020. Although the trial did not meet its primary endpoint of change from baseline in hyperphagia, significant improvements were observed in two of three key secondary endpoints.</w:t>
      </w:r>
    </w:p>
    <w:p>
      <w:pPr>
        <w:spacing w:after="0" w:line="178" w:lineRule="exact"/>
        <w:rPr>
          <w:sz w:val="20"/>
          <w:szCs w:val="20"/>
          <w:color w:val="auto"/>
        </w:rPr>
      </w:pPr>
    </w:p>
    <w:p>
      <w:pPr>
        <w:ind w:right="220" w:firstLine="509"/>
        <w:spacing w:after="0" w:line="227" w:lineRule="auto"/>
        <w:rPr>
          <w:sz w:val="20"/>
          <w:szCs w:val="20"/>
          <w:color w:val="auto"/>
        </w:rPr>
      </w:pPr>
      <w:r>
        <w:rPr>
          <w:rFonts w:ascii="Arial" w:cs="Arial" w:eastAsia="Arial" w:hAnsi="Arial"/>
          <w:sz w:val="18"/>
          <w:szCs w:val="18"/>
          <w:color w:val="auto"/>
        </w:rPr>
        <w:t>In February 2021, we announced analysis limited to data collected before the onset of the COVID-19 pandemic. The analysis of the data through March 1, 2020 showed statistical significance in the primary, all key secondary and several other efficacy endpoints. In September 2021, we announced interim results from C602 showing statistically significant reduction in hyperphagia and all other PWS behavioral parameters and statistically significant improvements compared to natural history of PWS from the PATH for PWS Study (PfPWS) over a one year treatment period. The PfPWS study is an ongoing study sponsored by the Foundation for Prader-Willi Research (FPWR) to advance the understanding of the natural history in individuals with PWS. We submitted the data in the fourth quarter 2021,</w:t>
      </w:r>
    </w:p>
    <w:p>
      <w:pPr>
        <w:spacing w:after="0" w:line="189"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Earlier this year, we submitted a proposal to add a randomized withdrawal period to Study C602 in order to obtain additional controlled data requested by the FDA to support a New Drug Application (NDA) submission for DCCR. The randomized withdrawal (RW) period of Study C602 is a multi-center, randomized, double-blind, placebo-controlled study of DCCR in approximately 80 patients with PWS at 17 sites in the U.S. and 5 sites in the U.K. This RW period consists only of patients currently enrolled in Study C602 and will not enroll any new patients. In October 2022, we announced the initiation of the RW period for Study C602. The FDA has acknowledged that data from the study has the potential to support an NDA submission for DCCR.</w:t>
      </w:r>
    </w:p>
    <w:p>
      <w:pPr>
        <w:spacing w:after="0" w:line="93"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The spread of the COVID-19 virus and the outbreak of war between Russia and Ukraine have caused supply chain issues, inflationary pressures and significant volatility in the financial markets. However, we have not experienced a significant financial impact directly related to the COVID-19 pandemic or Russia’s invasion of Ukraine.</w:t>
      </w:r>
    </w:p>
    <w:p>
      <w:pPr>
        <w:spacing w:after="0" w:line="87" w:lineRule="exact"/>
        <w:rPr>
          <w:sz w:val="20"/>
          <w:szCs w:val="20"/>
          <w:color w:val="auto"/>
        </w:rPr>
      </w:pPr>
    </w:p>
    <w:p>
      <w:pPr>
        <w:ind w:right="200" w:firstLine="509"/>
        <w:spacing w:after="0" w:line="249" w:lineRule="auto"/>
        <w:rPr>
          <w:sz w:val="20"/>
          <w:szCs w:val="20"/>
          <w:color w:val="auto"/>
        </w:rPr>
      </w:pPr>
      <w:r>
        <w:rPr>
          <w:rFonts w:ascii="Arial" w:cs="Arial" w:eastAsia="Arial" w:hAnsi="Arial"/>
          <w:sz w:val="18"/>
          <w:szCs w:val="18"/>
          <w:color w:val="auto"/>
        </w:rPr>
        <w:t>As of September 30, 2022, we had an accumulated deficit of $231.9 million, primarily as a result of research and development and general and administrative expenses. We may never be successful in commercializing our novel therapeutic-lead candidate DCCR. Accordingly, we expect to incur significant losses from operations for the foreseeable future, and there can be no assurance that we will ever generate significant revenue or profits. As of September 30, 2022, we had cash and cash equivalents of $19.7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8"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jc w:val="right"/>
              <w:ind w:right="401"/>
              <w:spacing w:after="0"/>
              <w:rPr>
                <w:sz w:val="20"/>
                <w:szCs w:val="20"/>
                <w:color w:val="auto"/>
              </w:rPr>
            </w:pPr>
            <w:r>
              <w:rPr>
                <w:rFonts w:ascii="Arial" w:cs="Arial" w:eastAsia="Arial" w:hAnsi="Arial"/>
                <w:sz w:val="14"/>
                <w:szCs w:val="14"/>
                <w:b w:val="1"/>
                <w:bCs w:val="1"/>
                <w:color w:val="auto"/>
                <w:w w:val="95"/>
              </w:rPr>
              <w:t>Three Months Ended September 30,</w:t>
            </w:r>
          </w:p>
        </w:tc>
        <w:tc>
          <w:tcPr>
            <w:tcW w:w="180" w:type="dxa"/>
            <w:vAlign w:val="bottom"/>
          </w:tcPr>
          <w:p>
            <w:pPr>
              <w:spacing w:after="0"/>
              <w:rPr>
                <w:sz w:val="16"/>
                <w:szCs w:val="16"/>
                <w:color w:val="auto"/>
              </w:rPr>
            </w:pPr>
          </w:p>
        </w:tc>
        <w:tc>
          <w:tcPr>
            <w:tcW w:w="24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Amount</w:t>
            </w:r>
          </w:p>
        </w:tc>
        <w:tc>
          <w:tcPr>
            <w:tcW w:w="124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(in</w:t>
            </w:r>
          </w:p>
        </w:tc>
        <w:tc>
          <w:tcPr>
            <w:tcW w:w="540" w:type="dxa"/>
            <w:vAlign w:val="bottom"/>
          </w:tcPr>
          <w:p>
            <w:pPr>
              <w:jc w:val="right"/>
              <w:spacing w:after="0"/>
              <w:rPr>
                <w:sz w:val="20"/>
                <w:szCs w:val="20"/>
                <w:color w:val="auto"/>
              </w:rPr>
            </w:pPr>
            <w:r>
              <w:rPr>
                <w:rFonts w:ascii="Arial" w:cs="Arial" w:eastAsia="Arial" w:hAnsi="Arial"/>
                <w:sz w:val="14"/>
                <w:szCs w:val="14"/>
                <w:color w:val="auto"/>
                <w:w w:val="75"/>
              </w:rPr>
              <w:t>thousands)</w:t>
            </w: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3,771</w:t>
            </w:r>
          </w:p>
        </w:tc>
        <w:tc>
          <w:tcPr>
            <w:tcW w:w="5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4,968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(1,197 )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2,332</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(435 )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Change in fair value of contingent consideration</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(419 )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09"/>
        </w:trPr>
        <w:tc>
          <w:tcPr>
            <w:tcW w:w="570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6,235</w:t>
            </w:r>
          </w:p>
        </w:tc>
        <w:tc>
          <w:tcPr>
            <w:tcW w:w="5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8,286</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8"/>
                <w:szCs w:val="18"/>
                <w:color w:val="auto"/>
              </w:rPr>
            </w:pPr>
          </w:p>
        </w:tc>
        <w:tc>
          <w:tcPr>
            <w:tcW w:w="1440" w:type="dxa"/>
            <w:vAlign w:val="bottom"/>
            <w:gridSpan w:val="2"/>
          </w:tcPr>
          <w:p>
            <w:pPr>
              <w:jc w:val="right"/>
              <w:ind w:right="379"/>
              <w:spacing w:after="0"/>
              <w:rPr>
                <w:sz w:val="20"/>
                <w:szCs w:val="20"/>
                <w:color w:val="auto"/>
              </w:rPr>
            </w:pPr>
            <w:r>
              <w:rPr>
                <w:rFonts w:ascii="Arial" w:cs="Arial" w:eastAsia="Arial" w:hAnsi="Arial"/>
                <w:sz w:val="18"/>
                <w:szCs w:val="18"/>
                <w:color w:val="auto"/>
              </w:rPr>
              <w:t>(6,235 )</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(8,286 )</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2,051</w:t>
            </w:r>
          </w:p>
        </w:tc>
        <w:tc>
          <w:tcPr>
            <w:tcW w:w="2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Change in fair value of warrants liabilities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(110 )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560"/>
              <w:spacing w:after="0"/>
              <w:rPr>
                <w:sz w:val="20"/>
                <w:szCs w:val="20"/>
                <w:color w:val="auto"/>
              </w:rPr>
            </w:pPr>
            <w:r>
              <w:rPr>
                <w:rFonts w:ascii="Arial" w:cs="Arial" w:eastAsia="Arial" w:hAnsi="Arial"/>
                <w:sz w:val="18"/>
                <w:szCs w:val="18"/>
                <w:color w:val="auto"/>
              </w:rPr>
              <w:t>Total other income</w:t>
            </w: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(43 )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(6,132</w:t>
            </w:r>
          </w:p>
        </w:tc>
        <w:tc>
          <w:tcPr>
            <w:tcW w:w="540" w:type="dxa"/>
            <w:vAlign w:val="bottom"/>
          </w:tcPr>
          <w:p>
            <w:pPr>
              <w:jc w:val="right"/>
              <w:ind w:right="37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2832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4546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date, we have earned no revenue from the commercial development and sale of novel therapeutic products.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04"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Research and development expense of $3.8 million for the three months ended September 30, 2022 decreased by $1.2 million from the three months ended September 30, 2021. The cadence of our research and development expenditures will fluctuate depending upon the state of our clinical programs and the timing of CMC and other projects necessary to support the submission of an NDA.</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04" w:lineRule="exact"/>
        <w:rPr>
          <w:sz w:val="20"/>
          <w:szCs w:val="20"/>
          <w:color w:val="auto"/>
        </w:rPr>
      </w:pPr>
    </w:p>
    <w:p>
      <w:pPr>
        <w:jc w:val="both"/>
        <w:ind w:right="80" w:firstLine="509"/>
        <w:spacing w:after="0" w:line="261" w:lineRule="auto"/>
        <w:rPr>
          <w:sz w:val="20"/>
          <w:szCs w:val="20"/>
          <w:color w:val="auto"/>
        </w:rPr>
      </w:pPr>
      <w:r>
        <w:rPr>
          <w:rFonts w:ascii="Arial" w:cs="Arial" w:eastAsia="Arial" w:hAnsi="Arial"/>
          <w:sz w:val="18"/>
          <w:szCs w:val="18"/>
          <w:color w:val="auto"/>
        </w:rPr>
        <w:t>General and administrative expense of $2.3 million for the three months ended September 30, 2022 decreased by $0.4 million from the three months ended September 30, 2021. The decrease was mainly attributable to reduction in professional services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04" w:lineRule="exact"/>
        <w:rPr>
          <w:sz w:val="20"/>
          <w:szCs w:val="20"/>
          <w:color w:val="auto"/>
        </w:rPr>
      </w:pPr>
    </w:p>
    <w:p>
      <w:pPr>
        <w:ind w:right="300" w:firstLine="509"/>
        <w:spacing w:after="0" w:line="283" w:lineRule="auto"/>
        <w:rPr>
          <w:sz w:val="20"/>
          <w:szCs w:val="20"/>
          <w:color w:val="auto"/>
        </w:rPr>
      </w:pPr>
      <w:r>
        <w:rPr>
          <w:rFonts w:ascii="Arial" w:cs="Arial" w:eastAsia="Arial" w:hAnsi="Arial"/>
          <w:sz w:val="16"/>
          <w:szCs w:val="16"/>
          <w:color w:val="auto"/>
        </w:rPr>
        <w:t>We are obligated to make cash payments of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$9.4 million as of September 30,2022, a $0.1 million increase from the estimate as of June 30,2022. During the three months ended September 30, 2021, the estimate increased $0.5 million from the $12.3 million estimated at June 30,2021.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04"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We had other income of approximately $103,000 in the three months ended September 30,2022, compared to $146,000 during the three months ended September 30,2021. The decrease was primarily due to a higher decrease in the fair value of our outstanding</w:t>
      </w:r>
    </w:p>
    <w:p>
      <w:pPr>
        <w:spacing w:after="0" w:line="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48" w:right="279" w:bottom="1440" w:gutter="0" w:footer="0" w:header="0"/>
        </w:sectPr>
      </w:pPr>
    </w:p>
    <w:bookmarkStart w:id="17" w:name="page18"/>
    <w:bookmarkEnd w:id="17"/>
    <w:p>
      <w:pPr>
        <w:ind w:right="780"/>
        <w:spacing w:after="0" w:line="277" w:lineRule="auto"/>
        <w:rPr>
          <w:sz w:val="20"/>
          <w:szCs w:val="20"/>
          <w:color w:val="auto"/>
        </w:rPr>
      </w:pPr>
      <w:r>
        <w:rPr>
          <w:rFonts w:ascii="Arial" w:cs="Arial" w:eastAsia="Arial" w:hAnsi="Arial"/>
          <w:sz w:val="18"/>
          <w:szCs w:val="18"/>
          <w:color w:val="auto"/>
        </w:rPr>
        <w:t>warrants partially offset by an increase in interest income during the three months ended September 30, 2022 compared to the three months ended September 30, 2021.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jc w:val="right"/>
              <w:ind w:right="330"/>
              <w:spacing w:after="0"/>
              <w:rPr>
                <w:sz w:val="20"/>
                <w:szCs w:val="20"/>
                <w:color w:val="auto"/>
              </w:rPr>
            </w:pPr>
            <w:r>
              <w:rPr>
                <w:rFonts w:ascii="Arial" w:cs="Arial" w:eastAsia="Arial" w:hAnsi="Arial"/>
                <w:sz w:val="14"/>
                <w:szCs w:val="14"/>
                <w:b w:val="1"/>
                <w:bCs w:val="1"/>
                <w:color w:val="auto"/>
                <w:w w:val="93"/>
              </w:rPr>
              <w:t>Nine Months Ended September 30,</w:t>
            </w:r>
          </w:p>
        </w:tc>
        <w:tc>
          <w:tcPr>
            <w:tcW w:w="200" w:type="dxa"/>
            <w:vAlign w:val="bottom"/>
          </w:tcPr>
          <w:p>
            <w:pPr>
              <w:spacing w:after="0"/>
              <w:rPr>
                <w:sz w:val="16"/>
                <w:szCs w:val="16"/>
                <w:color w:val="auto"/>
              </w:rPr>
            </w:pPr>
          </w:p>
        </w:tc>
        <w:tc>
          <w:tcPr>
            <w:tcW w:w="25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5"/>
              <w:spacing w:after="0"/>
              <w:rPr>
                <w:sz w:val="20"/>
                <w:szCs w:val="20"/>
                <w:color w:val="auto"/>
              </w:rPr>
            </w:pPr>
            <w:r>
              <w:rPr>
                <w:rFonts w:ascii="Arial" w:cs="Arial" w:eastAsia="Arial" w:hAnsi="Arial"/>
                <w:sz w:val="14"/>
                <w:szCs w:val="14"/>
                <w:color w:val="auto"/>
              </w:rPr>
              <w:t>(in</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75"/>
              </w:rPr>
              <w:t>thousands)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11,455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17,719</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(6,264 )</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7,442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(768 )</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Pr>
          <w:p>
            <w:pPr>
              <w:spacing w:after="0"/>
              <w:rPr>
                <w:sz w:val="18"/>
                <w:szCs w:val="18"/>
                <w:color w:val="auto"/>
              </w:rPr>
            </w:pPr>
          </w:p>
        </w:tc>
        <w:tc>
          <w:tcPr>
            <w:tcW w:w="1240" w:type="dxa"/>
            <w:vAlign w:val="bottom"/>
            <w:gridSpan w:val="2"/>
          </w:tcPr>
          <w:p>
            <w:pPr>
              <w:jc w:val="right"/>
              <w:ind w:right="99"/>
              <w:spacing w:after="0"/>
              <w:rPr>
                <w:sz w:val="20"/>
                <w:szCs w:val="20"/>
                <w:color w:val="auto"/>
              </w:rPr>
            </w:pPr>
            <w:r>
              <w:rPr>
                <w:rFonts w:ascii="Arial" w:cs="Arial" w:eastAsia="Arial" w:hAnsi="Arial"/>
                <w:sz w:val="18"/>
                <w:szCs w:val="18"/>
                <w:color w:val="auto"/>
              </w:rPr>
              <w:t>(110 )</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(2,708 )</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09"/>
        </w:trPr>
        <w:tc>
          <w:tcPr>
            <w:tcW w:w="586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18,787</w:t>
            </w:r>
          </w:p>
        </w:tc>
        <w:tc>
          <w:tcPr>
            <w:tcW w:w="2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28,527</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1240" w:type="dxa"/>
            <w:vAlign w:val="bottom"/>
            <w:gridSpan w:val="2"/>
          </w:tcPr>
          <w:p>
            <w:pPr>
              <w:jc w:val="right"/>
              <w:ind w:right="99"/>
              <w:spacing w:after="0"/>
              <w:rPr>
                <w:sz w:val="20"/>
                <w:szCs w:val="20"/>
                <w:color w:val="auto"/>
              </w:rPr>
            </w:pPr>
            <w:r>
              <w:rPr>
                <w:rFonts w:ascii="Arial" w:cs="Arial" w:eastAsia="Arial" w:hAnsi="Arial"/>
                <w:sz w:val="18"/>
                <w:szCs w:val="18"/>
                <w:color w:val="auto"/>
              </w:rPr>
              <w:t>(18,787 )</w:t>
            </w:r>
          </w:p>
        </w:tc>
        <w:tc>
          <w:tcPr>
            <w:tcW w:w="36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(28,527 )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9,740</w:t>
            </w:r>
          </w:p>
        </w:tc>
        <w:tc>
          <w:tcPr>
            <w:tcW w:w="2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Change in fair value of warrants liabilities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(338 )</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560"/>
              <w:spacing w:after="0"/>
              <w:rPr>
                <w:sz w:val="20"/>
                <w:szCs w:val="20"/>
                <w:color w:val="auto"/>
              </w:rPr>
            </w:pPr>
            <w:r>
              <w:rPr>
                <w:rFonts w:ascii="Arial" w:cs="Arial" w:eastAsia="Arial" w:hAnsi="Arial"/>
                <w:sz w:val="18"/>
                <w:szCs w:val="18"/>
                <w:color w:val="auto"/>
              </w:rPr>
              <w:t>Total other income</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(239 )</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(18,581</w:t>
            </w:r>
          </w:p>
        </w:tc>
        <w:tc>
          <w:tcPr>
            <w:tcW w:w="26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(28,082</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9,501</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2825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4540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date, we have earned no revenue from the commercial development and sale of novel therapeutic products.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Research and development expense of $11.5 million for the nine months ended September 30, 2022 decreased by $6.2 million from the nine months ended September 30, 2021. The cadence of our research and development expenditures will fluctuate depending upon the state of our clinical programs and the timing of CMC and other projects necessary to support the submission of an NDA.</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0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General and administrative expense of $7.4 million for the nine months ended September 30, 2022 decreased $0.8 million from the nine months ended September 30, 2021, primarily due to a decrease in stock-based compensation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04" w:lineRule="exact"/>
        <w:rPr>
          <w:sz w:val="20"/>
          <w:szCs w:val="20"/>
          <w:color w:val="auto"/>
        </w:rPr>
      </w:pPr>
    </w:p>
    <w:p>
      <w:pPr>
        <w:ind w:right="140" w:firstLine="509"/>
        <w:spacing w:after="0" w:line="283" w:lineRule="auto"/>
        <w:rPr>
          <w:sz w:val="20"/>
          <w:szCs w:val="20"/>
          <w:color w:val="auto"/>
        </w:rPr>
      </w:pPr>
      <w:r>
        <w:rPr>
          <w:rFonts w:ascii="Arial" w:cs="Arial" w:eastAsia="Arial" w:hAnsi="Arial"/>
          <w:sz w:val="16"/>
          <w:szCs w:val="16"/>
          <w:color w:val="auto"/>
        </w:rPr>
        <w:t>We were obligated to make cash payments of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$9.3 million as of September 30, 2022, a $0.2 million decrease from the estimate as of December 31, 2021. During the nine months ended September 30, 2021, the estimate decreased $1.0 million from the $10.3 million estimated at December 31,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0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We had other income of approximately $0.2 million in the nine months ended September 30, 2022, compared to $0.4 million during the nine months ended September 30, 2021. The decrease of $0.2 million was primarily due to a smaller decrease in the fair value of our outstanding warrants during the nine months ended September 30, 2022 compared to the nine months ended September 30, 2022. This decrease was slightly offset by an increase in interest income during the nine months ended September 30, 2022 as compared to the same period of the previous year as a result of cash and cash equivalents earning higher interest rates.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We had a net loss of $18.6 million during the nine months ended September 30, 2022 and an accumulated deficit of $231.9 million at September 30, 2022 as a result of having incurred losses since our inception. We had $19.7 million in cash and cash</w:t>
      </w:r>
    </w:p>
    <w:p>
      <w:pPr>
        <w:spacing w:after="0" w:line="6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18" w:name="page19"/>
    <w:bookmarkEnd w:id="18"/>
    <w:p>
      <w:pPr>
        <w:ind w:right="240"/>
        <w:spacing w:after="0" w:line="256" w:lineRule="auto"/>
        <w:rPr>
          <w:sz w:val="20"/>
          <w:szCs w:val="20"/>
          <w:color w:val="auto"/>
        </w:rPr>
      </w:pPr>
      <w:r>
        <w:rPr>
          <w:rFonts w:ascii="Arial" w:cs="Arial" w:eastAsia="Arial" w:hAnsi="Arial"/>
          <w:sz w:val="18"/>
          <w:szCs w:val="18"/>
          <w:color w:val="auto"/>
        </w:rPr>
        <w:t>equivalents and $13.2 million of working capital at September 30, 2022, and used $15.6 million of cash in operating activities during the nine months ended September 30, 2022. As of September 30, 2022, we had lease obligations totaling $0.2 million to be paid through 2023, consisting of an operating lease for office space in Redwood City, California.</w:t>
      </w:r>
    </w:p>
    <w:p>
      <w:pPr>
        <w:spacing w:after="0" w:line="67" w:lineRule="exact"/>
        <w:rPr>
          <w:sz w:val="20"/>
          <w:szCs w:val="20"/>
          <w:color w:val="auto"/>
        </w:rPr>
      </w:pPr>
    </w:p>
    <w:p>
      <w:pPr>
        <w:ind w:right="20" w:firstLine="584"/>
        <w:spacing w:after="0" w:line="249" w:lineRule="auto"/>
        <w:rPr>
          <w:sz w:val="20"/>
          <w:szCs w:val="20"/>
          <w:color w:val="auto"/>
        </w:rPr>
      </w:pPr>
      <w:r>
        <w:rPr>
          <w:rFonts w:ascii="Arial" w:cs="Arial" w:eastAsia="Arial" w:hAnsi="Arial"/>
          <w:sz w:val="18"/>
          <w:szCs w:val="18"/>
          <w:color w:val="auto"/>
        </w:rPr>
        <w:t>We have financed our operations principally through issuances of equity securities. In March 2022, we completed a public offering of shares of our common stock and pre-funded warrants and raised $13.8 million in net proceeds after deducting the underwriting discount and other offering expenses. Each share of common stock or pre-funded warrant was sold together with one immediately exercisable common warrant to purchase one share of common stock. In addition, we have an “at-the-market” (ATM) offering for up to $25.0 million. As of September 30, 2022, we have sold 104,793 shares of common stock through the ATM, totaling $0.3 million in net proceeds.</w:t>
      </w:r>
    </w:p>
    <w:p>
      <w:pPr>
        <w:spacing w:after="0" w:line="74" w:lineRule="exact"/>
        <w:rPr>
          <w:sz w:val="20"/>
          <w:szCs w:val="20"/>
          <w:color w:val="auto"/>
        </w:rPr>
      </w:pPr>
    </w:p>
    <w:p>
      <w:pPr>
        <w:ind w:right="100" w:firstLine="584"/>
        <w:spacing w:after="0" w:line="259" w:lineRule="auto"/>
        <w:rPr>
          <w:sz w:val="20"/>
          <w:szCs w:val="20"/>
          <w:color w:val="auto"/>
        </w:rPr>
      </w:pPr>
      <w:r>
        <w:rPr>
          <w:rFonts w:ascii="Arial" w:cs="Arial" w:eastAsia="Arial" w:hAnsi="Arial"/>
          <w:sz w:val="17"/>
          <w:szCs w:val="17"/>
          <w:color w:val="auto"/>
        </w:rPr>
        <w:t>We expect to continue incurring losses for the foreseeable future and will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quarterly report.</w:t>
      </w:r>
    </w:p>
    <w:p>
      <w:pPr>
        <w:spacing w:after="0" w:line="67"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The accompanying condensed consolidated financial statements have been prepared under the assumption we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Arial" w:cs="Arial" w:eastAsia="Arial" w:hAnsi="Arial"/>
                <w:sz w:val="14"/>
                <w:szCs w:val="14"/>
                <w:color w:val="auto"/>
              </w:rPr>
              <w:t>(in</w:t>
            </w:r>
          </w:p>
        </w:tc>
        <w:tc>
          <w:tcPr>
            <w:tcW w:w="1240" w:type="dxa"/>
            <w:vAlign w:val="bottom"/>
            <w:gridSpan w:val="2"/>
          </w:tcPr>
          <w:p>
            <w:pPr>
              <w:jc w:val="right"/>
              <w:ind w:right="596"/>
              <w:spacing w:after="0"/>
              <w:rPr>
                <w:sz w:val="20"/>
                <w:szCs w:val="20"/>
                <w:color w:val="auto"/>
              </w:rPr>
            </w:pPr>
            <w:r>
              <w:rPr>
                <w:rFonts w:ascii="Arial" w:cs="Arial" w:eastAsia="Arial" w:hAnsi="Arial"/>
                <w:sz w:val="14"/>
                <w:szCs w:val="14"/>
                <w:color w:val="auto"/>
                <w:w w:val="77"/>
              </w:rPr>
              <w:t>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w w:val="88"/>
              </w:rPr>
              <w:t>(15,638 )</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8"/>
              </w:rPr>
              <w:t>(20,907 )</w:t>
            </w: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8"/>
                <w:szCs w:val="18"/>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8"/>
                <w:szCs w:val="18"/>
                <w:color w:val="auto"/>
              </w:rPr>
              <w:t>(7 )</w:t>
            </w: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14,092</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(123 )</w:t>
            </w:r>
          </w:p>
        </w:tc>
      </w:tr>
      <w:tr>
        <w:trPr>
          <w:trHeight w:val="20"/>
        </w:trPr>
        <w:tc>
          <w:tcPr>
            <w:tcW w:w="77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8"/>
              <w:spacing w:after="0"/>
              <w:rPr>
                <w:sz w:val="20"/>
                <w:szCs w:val="20"/>
                <w:color w:val="auto"/>
              </w:rPr>
            </w:pPr>
            <w:r>
              <w:rPr>
                <w:rFonts w:ascii="Arial" w:cs="Arial" w:eastAsia="Arial" w:hAnsi="Arial"/>
                <w:sz w:val="18"/>
                <w:szCs w:val="18"/>
                <w:color w:val="auto"/>
              </w:rPr>
              <w:t>(1,553 )</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(21,039 )</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nine months ended September 30, 2022, operating activities used net cash of $15.6 million, which was primarily due to the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$18.6 million adjusted for non-cash income of $0.1 million related to the change in fair value of common stock warrants and contingent consideration, non-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cash expense of $1.5 million for depreciation and amortization, $1.9 million for stock-based compensation, and approximately $0.2 million for non-cash</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lease expense. Additionally, cash used during the nine months ended September 30, 2022 increased by $0.5 million due to changes in operating assets and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liabilities.</w:t>
      </w:r>
    </w:p>
    <w:p>
      <w:pPr>
        <w:spacing w:after="0" w:line="88" w:lineRule="exact"/>
        <w:rPr>
          <w:sz w:val="20"/>
          <w:szCs w:val="20"/>
          <w:color w:val="auto"/>
        </w:rPr>
      </w:pPr>
    </w:p>
    <w:p>
      <w:pPr>
        <w:jc w:val="both"/>
        <w:ind w:right="260" w:firstLine="509"/>
        <w:spacing w:after="0" w:line="256" w:lineRule="auto"/>
        <w:rPr>
          <w:sz w:val="20"/>
          <w:szCs w:val="20"/>
          <w:color w:val="auto"/>
        </w:rPr>
      </w:pPr>
      <w:r>
        <w:rPr>
          <w:rFonts w:ascii="Arial" w:cs="Arial" w:eastAsia="Arial" w:hAnsi="Arial"/>
          <w:sz w:val="18"/>
          <w:szCs w:val="18"/>
          <w:color w:val="auto"/>
        </w:rPr>
        <w:t>During the nine months ended September 30, 2021, operating activities used net cash of $20.9 million, which was primarily due to the net loss of $28.1 million adjusted for non-cash loss of $2.2 million related to the change in fair value of common stock warrants and contingent consideration, non-cash expense of $1.5 million for depreciation and amortization, and $2.9 million for stock-based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p>
      <w:pPr>
        <w:ind w:right="100"/>
        <w:spacing w:after="0" w:line="277" w:lineRule="auto"/>
        <w:rPr>
          <w:sz w:val="20"/>
          <w:szCs w:val="20"/>
          <w:color w:val="auto"/>
        </w:rPr>
      </w:pPr>
      <w:r>
        <w:rPr>
          <w:rFonts w:ascii="Arial" w:cs="Arial" w:eastAsia="Arial" w:hAnsi="Arial"/>
          <w:sz w:val="18"/>
          <w:szCs w:val="18"/>
          <w:color w:val="auto"/>
        </w:rPr>
        <w:t>compensation. Additionally, cash used during the nine months ended September 30, 2021 decreased by $0.4 million due to changes in operating assets and liabilities.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nine months ended September 30, 2022 and 2021, there was minimal cash used in purchasing property and equipment.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212"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During the nine months ended September 30, 2022, we received $13.8 million of net cash proceeds from the sale of 2,666,667 shares of our common stock, and for certain investors, in lieu of common stock, pre-funded warrants to purchase 1,333,333 shares of common stock. Each share of common stock or pre-funded warrant was sold together with one, immediately exercisable common warrant with an exercise price of $4.50 per share. As of September 30, 2022, all offering costs have been paid. The net proceeds amount was slightly offset by payments for the taxes from net share-settled vesting of restricted stock.</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nine months ended September 30, 2021, we used cash of $0.1 million to pay for the taxes from net share-settled vesting of restricted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ind w:right="700" w:firstLine="509"/>
        <w:spacing w:after="0" w:line="307" w:lineRule="auto"/>
        <w:rPr>
          <w:sz w:val="20"/>
          <w:szCs w:val="20"/>
          <w:color w:val="auto"/>
        </w:rPr>
      </w:pPr>
      <w:r>
        <w:rPr>
          <w:rFonts w:ascii="Arial" w:cs="Arial" w:eastAsia="Arial" w:hAnsi="Arial"/>
          <w:sz w:val="16"/>
          <w:szCs w:val="16"/>
          <w:color w:val="auto"/>
        </w:rPr>
        <w:t xml:space="preserve">There have not been any material changes to our exposure to market risk during the nine months ended September 30, 2022. For additional information regarding market risk, refer to the </w:t>
      </w:r>
      <w:r>
        <w:rPr>
          <w:rFonts w:ascii="Arial" w:cs="Arial" w:eastAsia="Arial" w:hAnsi="Arial"/>
          <w:sz w:val="16"/>
          <w:szCs w:val="16"/>
          <w:i w:val="1"/>
          <w:iCs w:val="1"/>
          <w:color w:val="auto"/>
        </w:rPr>
        <w:t>Qualitative and Quantitative Disclosures About Market Risk</w:t>
      </w:r>
      <w:r>
        <w:rPr>
          <w:rFonts w:ascii="Arial" w:cs="Arial" w:eastAsia="Arial" w:hAnsi="Arial"/>
          <w:sz w:val="16"/>
          <w:szCs w:val="16"/>
          <w:color w:val="auto"/>
        </w:rPr>
        <w:t xml:space="preserve"> section of the Form 10-K.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9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61" w:lineRule="exact"/>
        <w:rPr>
          <w:sz w:val="20"/>
          <w:szCs w:val="20"/>
          <w:color w:val="auto"/>
        </w:rPr>
      </w:pPr>
    </w:p>
    <w:p>
      <w:pPr>
        <w:ind w:right="100" w:firstLine="509"/>
        <w:spacing w:after="0" w:line="266"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94"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There have been no changes to our internal control over financial reporting that occurred during the third fiscal quarter ended September 30, 2022, that have materially affected, or are reasonably likely to materially affect, our internal control over financial reporting.</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90" w:lineRule="exact"/>
        <w:rPr>
          <w:sz w:val="20"/>
          <w:szCs w:val="20"/>
          <w:color w:val="auto"/>
        </w:rPr>
      </w:pPr>
    </w:p>
    <w:p>
      <w:pPr>
        <w:ind w:firstLine="509"/>
        <w:spacing w:after="0" w:line="22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40" w:firstLine="509"/>
        <w:spacing w:after="0" w:line="260" w:lineRule="auto"/>
        <w:rPr>
          <w:sz w:val="20"/>
          <w:szCs w:val="20"/>
          <w:color w:val="auto"/>
        </w:rPr>
      </w:pPr>
      <w:r>
        <w:rPr>
          <w:rFonts w:ascii="Arial" w:cs="Arial" w:eastAsia="Arial" w:hAnsi="Arial"/>
          <w:sz w:val="17"/>
          <w:szCs w:val="17"/>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of our Form 10-K, a description of certain risks and uncertainties that could affect our business, future performance or financial condition (the Risk Factors). There are no material changes from the disclosure provided in the Form 10-K with respect to the Risk Factors.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Incorporated by Reference from</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60" w:type="dxa"/>
            <w:vAlign w:val="bottom"/>
          </w:tcPr>
          <w:p>
            <w:pPr>
              <w:ind w:left="460"/>
              <w:spacing w:after="0" w:line="133"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Description of Document</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Registrant’s</w:t>
            </w:r>
          </w:p>
        </w:tc>
        <w:tc>
          <w:tcPr>
            <w:tcW w:w="100" w:type="dxa"/>
            <w:vAlign w:val="bottom"/>
          </w:tcPr>
          <w:p>
            <w:pPr>
              <w:spacing w:after="0"/>
              <w:rPr>
                <w:sz w:val="11"/>
                <w:szCs w:val="11"/>
                <w:color w:val="auto"/>
              </w:rPr>
            </w:pPr>
          </w:p>
        </w:tc>
        <w:tc>
          <w:tcPr>
            <w:tcW w:w="1680" w:type="dxa"/>
            <w:vAlign w:val="bottom"/>
          </w:tcPr>
          <w:p>
            <w:pPr>
              <w:ind w:left="520"/>
              <w:spacing w:after="0" w:line="133" w:lineRule="exact"/>
              <w:rPr>
                <w:sz w:val="20"/>
                <w:szCs w:val="20"/>
                <w:color w:val="auto"/>
              </w:rPr>
            </w:pPr>
            <w:r>
              <w:rPr>
                <w:rFonts w:ascii="Arial" w:cs="Arial" w:eastAsia="Arial" w:hAnsi="Arial"/>
                <w:sz w:val="14"/>
                <w:szCs w:val="14"/>
                <w:b w:val="1"/>
                <w:bCs w:val="1"/>
                <w:color w:val="auto"/>
              </w:rPr>
              <w:t>Date Filed</w:t>
            </w:r>
          </w:p>
        </w:tc>
        <w:tc>
          <w:tcPr>
            <w:tcW w:w="120" w:type="dxa"/>
            <w:vAlign w:val="bottom"/>
          </w:tcPr>
          <w:p>
            <w:pPr>
              <w:spacing w:after="0"/>
              <w:rPr>
                <w:sz w:val="11"/>
                <w:szCs w:val="11"/>
                <w:color w:val="auto"/>
              </w:rPr>
            </w:pPr>
          </w:p>
        </w:tc>
        <w:tc>
          <w:tcPr>
            <w:tcW w:w="1120" w:type="dxa"/>
            <w:vAlign w:val="bottom"/>
          </w:tcPr>
          <w:p>
            <w:pPr>
              <w:jc w:val="center"/>
              <w:ind w:right="28"/>
              <w:spacing w:after="0" w:line="133" w:lineRule="exact"/>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5"/>
        </w:trPr>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6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with the SEC</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04"/>
        </w:trPr>
        <w:tc>
          <w:tcPr>
            <w:tcW w:w="1360" w:type="dxa"/>
            <w:vAlign w:val="bottom"/>
          </w:tcPr>
          <w:p>
            <w:pPr>
              <w:ind w:left="3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0000FF"/>
                <w:w w:val="95"/>
              </w:rPr>
              <w:t>Certification of Principal Executive Officer</w:t>
            </w:r>
          </w:p>
        </w:tc>
        <w:tc>
          <w:tcPr>
            <w:tcW w:w="2240" w:type="dxa"/>
            <w:vAlign w:val="bottom"/>
            <w:gridSpan w:val="12"/>
          </w:tcPr>
          <w:p>
            <w:pPr>
              <w:ind w:left="60"/>
              <w:spacing w:after="0"/>
              <w:rPr>
                <w:sz w:val="20"/>
                <w:szCs w:val="20"/>
                <w:color w:val="auto"/>
              </w:rPr>
            </w:pPr>
            <w:r>
              <w:rPr>
                <w:rFonts w:ascii="Arial" w:cs="Arial" w:eastAsia="Arial" w:hAnsi="Arial"/>
                <w:sz w:val="18"/>
                <w:szCs w:val="18"/>
                <w:color w:val="0000FF"/>
              </w:rPr>
              <w:t>Required</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4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w w:val="91"/>
              </w:rPr>
              <w:t>Under Rule 13a-14(a) and 15d-14(a) of the Securities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tcBorders>
              <w:top w:val="single" w:sz="8" w:color="0000FF"/>
              <w:bottom w:val="single" w:sz="8" w:color="0000EE"/>
            </w:tcBorders>
            <w:gridSpan w:val="3"/>
          </w:tcPr>
          <w:p>
            <w:pPr>
              <w:spacing w:after="0" w:line="169" w:lineRule="exact"/>
              <w:rPr>
                <w:sz w:val="20"/>
                <w:szCs w:val="20"/>
                <w:color w:val="auto"/>
              </w:rPr>
            </w:pPr>
            <w:r>
              <w:rPr>
                <w:rFonts w:ascii="Arial" w:cs="Arial" w:eastAsia="Arial" w:hAnsi="Arial"/>
                <w:sz w:val="18"/>
                <w:szCs w:val="18"/>
                <w:color w:val="0000FF"/>
                <w:w w:val="89"/>
              </w:rPr>
              <w:t>and Exchange Act of 1934, as amended</w:t>
            </w:r>
          </w:p>
        </w:tc>
        <w:tc>
          <w:tcPr>
            <w:tcW w:w="2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360" w:type="dxa"/>
            <w:vAlign w:val="bottom"/>
          </w:tcPr>
          <w:p>
            <w:pPr>
              <w:ind w:left="3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4"/>
              </w:rPr>
              <w:t>Certification of Principal Financial and Accounting</w:t>
            </w:r>
          </w:p>
        </w:tc>
        <w:tc>
          <w:tcPr>
            <w:tcW w:w="1660" w:type="dxa"/>
            <w:vAlign w:val="bottom"/>
            <w:gridSpan w:val="10"/>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0" w:type="dxa"/>
            <w:vAlign w:val="bottom"/>
            <w:gridSpan w:val="16"/>
          </w:tcPr>
          <w:p>
            <w:pPr>
              <w:spacing w:after="0" w:line="169" w:lineRule="exact"/>
              <w:rPr>
                <w:sz w:val="20"/>
                <w:szCs w:val="20"/>
                <w:color w:val="auto"/>
              </w:rPr>
            </w:pPr>
            <w:r>
              <w:rPr>
                <w:rFonts w:ascii="Arial" w:cs="Arial" w:eastAsia="Arial" w:hAnsi="Arial"/>
                <w:sz w:val="18"/>
                <w:szCs w:val="18"/>
                <w:color w:val="0000FF"/>
              </w:rPr>
              <w:t>Officer Required Under Rule 13a-14(a) and 15d-14(a) of</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20" w:type="dxa"/>
            <w:vAlign w:val="bottom"/>
            <w:tcBorders>
              <w:top w:val="single" w:sz="8" w:color="0000FF"/>
              <w:bottom w:val="single" w:sz="8" w:color="0000EE"/>
            </w:tcBorders>
            <w:gridSpan w:val="9"/>
          </w:tcPr>
          <w:p>
            <w:pPr>
              <w:spacing w:after="0" w:line="169" w:lineRule="exact"/>
              <w:rPr>
                <w:sz w:val="20"/>
                <w:szCs w:val="20"/>
                <w:color w:val="auto"/>
              </w:rPr>
            </w:pPr>
            <w:r>
              <w:rPr>
                <w:rFonts w:ascii="Arial" w:cs="Arial" w:eastAsia="Arial" w:hAnsi="Arial"/>
                <w:sz w:val="18"/>
                <w:szCs w:val="18"/>
                <w:color w:val="0000FF"/>
                <w:w w:val="89"/>
              </w:rPr>
              <w:t>the Securities and Exchange Act of 1934, as amended</w:t>
            </w:r>
          </w:p>
        </w:tc>
        <w:tc>
          <w:tcPr>
            <w:tcW w:w="220" w:type="dxa"/>
            <w:vAlign w:val="bottom"/>
            <w:tcBorders>
              <w:top w:val="single" w:sz="8" w:color="0000FF"/>
            </w:tcBorders>
            <w:gridSpan w:val="4"/>
          </w:tcPr>
          <w:p>
            <w:pPr>
              <w:spacing w:after="0"/>
              <w:rPr>
                <w:sz w:val="14"/>
                <w:szCs w:val="14"/>
                <w:color w:val="auto"/>
              </w:rPr>
            </w:pPr>
          </w:p>
        </w:tc>
        <w:tc>
          <w:tcPr>
            <w:tcW w:w="12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360" w:type="dxa"/>
            <w:vAlign w:val="bottom"/>
          </w:tcPr>
          <w:p>
            <w:pPr>
              <w:ind w:left="3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0000FF"/>
              </w:rPr>
              <w:t>Certification of Principal Executive Officer Required</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89"/>
              </w:rPr>
              <w:t>Under Rule 13a-14(b) of the Securities and Exchange</w:t>
            </w:r>
          </w:p>
        </w:tc>
        <w:tc>
          <w:tcPr>
            <w:tcW w:w="20" w:type="dxa"/>
            <w:vAlign w:val="bottom"/>
            <w:tcBorders>
              <w:bottom w:val="single" w:sz="8" w:color="0000FF"/>
            </w:tcBorders>
          </w:tcPr>
          <w:p>
            <w:pPr>
              <w:spacing w:after="0"/>
              <w:rPr>
                <w:sz w:val="14"/>
                <w:szCs w:val="14"/>
                <w:color w:val="auto"/>
              </w:rPr>
            </w:pPr>
          </w:p>
        </w:tc>
        <w:tc>
          <w:tcPr>
            <w:tcW w:w="10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Borders>
              <w:bottom w:val="single" w:sz="8" w:color="0000EE"/>
            </w:tcBorders>
            <w:gridSpan w:val="4"/>
          </w:tcPr>
          <w:p>
            <w:pPr>
              <w:spacing w:after="0" w:line="169" w:lineRule="exact"/>
              <w:rPr>
                <w:sz w:val="20"/>
                <w:szCs w:val="20"/>
                <w:color w:val="auto"/>
              </w:rPr>
            </w:pPr>
            <w:r>
              <w:rPr>
                <w:rFonts w:ascii="Arial" w:cs="Arial" w:eastAsia="Arial" w:hAnsi="Arial"/>
                <w:sz w:val="18"/>
                <w:szCs w:val="18"/>
                <w:color w:val="0000FF"/>
                <w:w w:val="89"/>
              </w:rPr>
              <w:t>Act of 1934, as amended, and 18 U.S.C. §1350</w:t>
            </w:r>
          </w:p>
        </w:tc>
        <w:tc>
          <w:tcPr>
            <w:tcW w:w="460" w:type="dxa"/>
            <w:vAlign w:val="bottom"/>
            <w:gridSpan w:val="3"/>
          </w:tcPr>
          <w:p>
            <w:pPr>
              <w:spacing w:after="0"/>
              <w:rPr>
                <w:sz w:val="14"/>
                <w:szCs w:val="14"/>
                <w:color w:val="auto"/>
              </w:rPr>
            </w:pPr>
          </w:p>
        </w:tc>
        <w:tc>
          <w:tcPr>
            <w:tcW w:w="10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360" w:type="dxa"/>
            <w:vAlign w:val="bottom"/>
          </w:tcPr>
          <w:p>
            <w:pPr>
              <w:ind w:left="3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3"/>
              </w:rPr>
              <w:t>Certification of Principal Financial and Accounting</w:t>
            </w:r>
          </w:p>
        </w:tc>
        <w:tc>
          <w:tcPr>
            <w:tcW w:w="1660" w:type="dxa"/>
            <w:vAlign w:val="bottom"/>
            <w:gridSpan w:val="10"/>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80" w:type="dxa"/>
            <w:vAlign w:val="bottom"/>
            <w:gridSpan w:val="15"/>
          </w:tcPr>
          <w:p>
            <w:pPr>
              <w:spacing w:after="0" w:line="169" w:lineRule="exact"/>
              <w:rPr>
                <w:sz w:val="20"/>
                <w:szCs w:val="20"/>
                <w:color w:val="auto"/>
              </w:rPr>
            </w:pPr>
            <w:r>
              <w:rPr>
                <w:rFonts w:ascii="Arial" w:cs="Arial" w:eastAsia="Arial" w:hAnsi="Arial"/>
                <w:sz w:val="18"/>
                <w:szCs w:val="18"/>
                <w:color w:val="0000FF"/>
              </w:rPr>
              <w:t>Officer Required Under Rule 13a-14(b) of the Securities</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8"/>
                <w:szCs w:val="18"/>
                <w:color w:val="0000FF"/>
                <w:w w:val="92"/>
              </w:rPr>
              <w:t>and Exchange Act of 1934, as amended, and 18 U.S.C.</w:t>
            </w:r>
          </w:p>
        </w:tc>
        <w:tc>
          <w:tcPr>
            <w:tcW w:w="128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480" w:type="dxa"/>
            <w:vAlign w:val="bottom"/>
            <w:tcBorders>
              <w:top w:val="single" w:sz="8" w:color="0000FF"/>
              <w:bottom w:val="single" w:sz="8" w:color="0000EE"/>
            </w:tcBorders>
          </w:tcPr>
          <w:p>
            <w:pPr>
              <w:spacing w:after="0" w:line="169" w:lineRule="exact"/>
              <w:rPr>
                <w:sz w:val="20"/>
                <w:szCs w:val="20"/>
                <w:color w:val="auto"/>
              </w:rPr>
            </w:pPr>
            <w:r>
              <w:rPr>
                <w:rFonts w:ascii="Arial" w:cs="Arial" w:eastAsia="Arial" w:hAnsi="Arial"/>
                <w:sz w:val="18"/>
                <w:szCs w:val="18"/>
                <w:color w:val="0000FF"/>
                <w:w w:val="91"/>
              </w:rPr>
              <w:t>§1350</w:t>
            </w:r>
          </w:p>
        </w:tc>
        <w:tc>
          <w:tcPr>
            <w:tcW w:w="24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1360" w:type="dxa"/>
            <w:vAlign w:val="bottom"/>
          </w:tcPr>
          <w:p>
            <w:pPr>
              <w:ind w:left="20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auto"/>
              </w:rPr>
              <w:t>Inline XBRL Instance Document – the instance</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80" w:type="dxa"/>
            <w:vAlign w:val="bottom"/>
            <w:gridSpan w:val="15"/>
          </w:tcPr>
          <w:p>
            <w:pPr>
              <w:spacing w:after="0" w:line="189" w:lineRule="exact"/>
              <w:rPr>
                <w:sz w:val="20"/>
                <w:szCs w:val="20"/>
                <w:color w:val="auto"/>
              </w:rPr>
            </w:pPr>
            <w:r>
              <w:rPr>
                <w:rFonts w:ascii="Arial" w:cs="Arial" w:eastAsia="Arial" w:hAnsi="Arial"/>
                <w:sz w:val="18"/>
                <w:szCs w:val="18"/>
                <w:color w:val="auto"/>
              </w:rPr>
              <w:t>document does not appear in the Interactive Data File</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80" w:type="dxa"/>
            <w:vAlign w:val="bottom"/>
            <w:gridSpan w:val="15"/>
          </w:tcPr>
          <w:p>
            <w:pPr>
              <w:spacing w:after="0" w:line="189" w:lineRule="exact"/>
              <w:rPr>
                <w:sz w:val="20"/>
                <w:szCs w:val="20"/>
                <w:color w:val="auto"/>
              </w:rPr>
            </w:pPr>
            <w:r>
              <w:rPr>
                <w:rFonts w:ascii="Arial" w:cs="Arial" w:eastAsia="Arial" w:hAnsi="Arial"/>
                <w:sz w:val="18"/>
                <w:szCs w:val="18"/>
                <w:color w:val="auto"/>
              </w:rPr>
              <w:t>because XBRL tags are embedded within the Inline</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XBRL document.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60" w:type="dxa"/>
            <w:vAlign w:val="bottom"/>
          </w:tcPr>
          <w:p>
            <w:pPr>
              <w:ind w:left="20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10"/>
        </w:trPr>
        <w:tc>
          <w:tcPr>
            <w:tcW w:w="1360" w:type="dxa"/>
            <w:vAlign w:val="bottom"/>
          </w:tcPr>
          <w:p>
            <w:pPr>
              <w:ind w:left="20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360" w:type="dxa"/>
            <w:vAlign w:val="bottom"/>
          </w:tcPr>
          <w:p>
            <w:pPr>
              <w:ind w:left="20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360" w:type="dxa"/>
            <w:vAlign w:val="bottom"/>
          </w:tcPr>
          <w:p>
            <w:pPr>
              <w:ind w:left="20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360" w:type="dxa"/>
            <w:vAlign w:val="bottom"/>
          </w:tcPr>
          <w:p>
            <w:pPr>
              <w:ind w:left="20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Linkbase Document.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360" w:type="dxa"/>
            <w:vAlign w:val="bottom"/>
          </w:tcPr>
          <w:p>
            <w:pPr>
              <w:ind w:left="2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auto"/>
              </w:rPr>
              <w:t>Cover Page Interactive Data File (embedded within the</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Inline XBRL document).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20"/>
        <w:spacing w:after="0"/>
        <w:tabs>
          <w:tab w:leader="none" w:pos="506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b w:val="1"/>
          <w:bCs w:val="1"/>
          <w:color w:val="auto"/>
        </w:rPr>
        <w:t>SOLENO THERAPEUTICS, INC.</w:t>
      </w:r>
    </w:p>
    <w:p>
      <w:pPr>
        <w:spacing w:after="0" w:line="27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703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James Mackaness</w:t>
      </w:r>
    </w:p>
    <w:p>
      <w:pPr>
        <w:ind w:left="5420"/>
        <w:spacing w:after="0" w:line="219" w:lineRule="auto"/>
        <w:rPr>
          <w:sz w:val="20"/>
          <w:szCs w:val="20"/>
          <w:color w:val="auto"/>
        </w:rPr>
      </w:pPr>
      <w:r>
        <w:rPr>
          <w:rFonts w:ascii="Arial" w:cs="Arial" w:eastAsia="Arial" w:hAnsi="Arial"/>
          <w:sz w:val="18"/>
          <w:szCs w:val="18"/>
          <w:color w:val="auto"/>
        </w:rPr>
        <w:t>Chief Financial Officer</w:t>
      </w:r>
    </w:p>
    <w:p>
      <w:pPr>
        <w:ind w:left="5420"/>
        <w:spacing w:after="0" w:line="219" w:lineRule="auto"/>
        <w:rPr>
          <w:sz w:val="20"/>
          <w:szCs w:val="20"/>
          <w:color w:val="auto"/>
        </w:rPr>
      </w:pPr>
      <w:r>
        <w:rPr>
          <w:rFonts w:ascii="Arial" w:cs="Arial" w:eastAsia="Arial" w:hAnsi="Arial"/>
          <w:sz w:val="18"/>
          <w:szCs w:val="18"/>
          <w:b w:val="1"/>
          <w:bCs w:val="1"/>
          <w:color w:val="auto"/>
        </w:rPr>
        <w:t>(authorized officer and principal financial and</w:t>
      </w:r>
    </w:p>
    <w:p>
      <w:pPr>
        <w:ind w:left="5420"/>
        <w:spacing w:after="0"/>
        <w:rPr>
          <w:sz w:val="20"/>
          <w:szCs w:val="20"/>
          <w:color w:val="auto"/>
        </w:rPr>
      </w:pPr>
      <w:r>
        <w:rPr>
          <w:rFonts w:ascii="Arial" w:cs="Arial" w:eastAsia="Arial" w:hAnsi="Arial"/>
          <w:sz w:val="18"/>
          <w:szCs w:val="18"/>
          <w:b w:val="1"/>
          <w:bCs w:val="1"/>
          <w:color w:val="auto"/>
        </w:rPr>
        <w:t>accounting officer)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Anish Bhatnagar, M.D., certify that:</w:t>
      </w:r>
    </w:p>
    <w:p>
      <w:pPr>
        <w:spacing w:after="0" w:line="21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11" w:lineRule="exact"/>
        <w:rPr>
          <w:rFonts w:ascii="Arial" w:cs="Arial" w:eastAsia="Arial" w:hAnsi="Arial"/>
          <w:sz w:val="18"/>
          <w:szCs w:val="18"/>
          <w:color w:val="auto"/>
        </w:rPr>
      </w:pPr>
    </w:p>
    <w:p>
      <w:pPr>
        <w:ind w:right="220" w:firstLine="8"/>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right="500" w:firstLine="8"/>
        <w:spacing w:after="0" w:line="291"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8"/>
        <w:spacing w:after="0" w:line="256"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520" w:right="220" w:hanging="3"/>
        <w:spacing w:after="0" w:line="256" w:lineRule="auto"/>
        <w:tabs>
          <w:tab w:leader="none" w:pos="76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520" w:right="160" w:hanging="3"/>
        <w:spacing w:after="0" w:line="256"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520" w:right="740" w:hanging="3"/>
        <w:spacing w:after="0" w:line="342" w:lineRule="auto"/>
        <w:tabs>
          <w:tab w:leader="none" w:pos="765"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jc w:val="both"/>
        <w:ind w:left="520" w:right="180" w:hanging="3"/>
        <w:spacing w:after="0" w:line="256"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right="240" w:firstLine="8"/>
        <w:spacing w:after="0" w:line="291"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140" w:hanging="3"/>
        <w:spacing w:after="0" w:line="277" w:lineRule="auto"/>
        <w:tabs>
          <w:tab w:leader="none" w:pos="76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520" w:right="80" w:hanging="3"/>
        <w:spacing w:after="0" w:line="261"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James Mackaness, certify that:</w:t>
      </w:r>
    </w:p>
    <w:p>
      <w:pPr>
        <w:spacing w:after="0" w:line="212"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11" w:lineRule="exact"/>
        <w:rPr>
          <w:rFonts w:ascii="Arial" w:cs="Arial" w:eastAsia="Arial" w:hAnsi="Arial"/>
          <w:sz w:val="18"/>
          <w:szCs w:val="18"/>
          <w:color w:val="auto"/>
        </w:rPr>
      </w:pPr>
    </w:p>
    <w:p>
      <w:pPr>
        <w:ind w:right="220" w:firstLine="8"/>
        <w:spacing w:after="0" w:line="34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right="500" w:firstLine="8"/>
        <w:spacing w:after="0" w:line="291"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8"/>
        <w:spacing w:after="0" w:line="256"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520" w:right="220" w:hanging="3"/>
        <w:spacing w:after="0" w:line="256" w:lineRule="auto"/>
        <w:tabs>
          <w:tab w:leader="none" w:pos="76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520" w:right="160" w:hanging="3"/>
        <w:spacing w:after="0" w:line="256" w:lineRule="auto"/>
        <w:tabs>
          <w:tab w:leader="none" w:pos="77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520" w:right="740" w:hanging="3"/>
        <w:spacing w:after="0" w:line="342" w:lineRule="auto"/>
        <w:tabs>
          <w:tab w:leader="none" w:pos="765"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jc w:val="both"/>
        <w:ind w:left="520" w:right="180" w:hanging="3"/>
        <w:spacing w:after="0" w:line="256" w:lineRule="auto"/>
        <w:tabs>
          <w:tab w:leader="none" w:pos="775"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right="240" w:firstLine="8"/>
        <w:spacing w:after="0" w:line="291"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140" w:hanging="3"/>
        <w:spacing w:after="0" w:line="277" w:lineRule="auto"/>
        <w:tabs>
          <w:tab w:leader="none" w:pos="765"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520" w:right="80" w:hanging="3"/>
        <w:spacing w:after="0" w:line="261" w:lineRule="auto"/>
        <w:tabs>
          <w:tab w:leader="none" w:pos="77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Mackaness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24" w:name="page25"/>
    <w:bookmarkEnd w:id="24"/>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In connection with the Quarterly Report of Soleno Therapeutics, Inc. (the “Company”) on Form 10-Q for the fiscal quarter ended September 30, 2022,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50" w:lineRule="exact"/>
        <w:rPr>
          <w:sz w:val="20"/>
          <w:szCs w:val="20"/>
          <w:color w:val="auto"/>
        </w:rPr>
      </w:pPr>
    </w:p>
    <w:p>
      <w:pPr>
        <w:ind w:left="1540" w:hanging="513"/>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540" w:hanging="513"/>
        <w:spacing w:after="0"/>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ind w:left="1026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In connection with the Quarterly Report of Soleno Therapeutics, Inc. (the “Company”) on Form 10-Q for the fiscal quarter ended September 30, 2022, as filed with the Securities and Exchange Commission (the “Report”), James Mackaness, Chief Financial Officer of the Company does hereby certify, pursuant to 18 U.S.C. Section 1350, as adopted pursuant to Section 906 of the Sarbanes-Oxley Act of 2002, that:</w:t>
      </w:r>
    </w:p>
    <w:p>
      <w:pPr>
        <w:spacing w:after="0" w:line="50" w:lineRule="exact"/>
        <w:rPr>
          <w:sz w:val="20"/>
          <w:szCs w:val="20"/>
          <w:color w:val="auto"/>
        </w:rPr>
      </w:pPr>
    </w:p>
    <w:p>
      <w:pPr>
        <w:ind w:left="1540" w:hanging="513"/>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540" w:hanging="513"/>
        <w:spacing w:after="0"/>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Mackaness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2022-11-09T15:34:56Z</dcterms:created>
  <dcterms:modified xsi:type="dcterms:W3CDTF">2022-11-09T15:34:56Z</dcterms:modified>
</cp:coreProperties>
</file>