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260" w:hanging="512"/>
        <w:spacing w:after="0" w:line="245"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5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3777615</wp:posOffset>
            </wp:positionH>
            <wp:positionV relativeFrom="paragraph">
              <wp:posOffset>-5080</wp:posOffset>
            </wp:positionV>
            <wp:extent cx="457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860" w:type="dxa"/>
            <w:vAlign w:val="bottom"/>
          </w:tcPr>
          <w:p>
            <w:pPr>
              <w:jc w:val="center"/>
              <w:ind w:left="168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right="1684"/>
              <w:spacing w:after="0"/>
              <w:rPr>
                <w:sz w:val="20"/>
                <w:szCs w:val="20"/>
                <w:color w:val="auto"/>
              </w:rPr>
            </w:pPr>
            <w:r>
              <w:rPr>
                <w:rFonts w:ascii="Times New Roman" w:cs="Times New Roman" w:eastAsia="Times New Roman" w:hAnsi="Times New Roman"/>
                <w:sz w:val="17"/>
                <w:szCs w:val="17"/>
                <w:b w:val="1"/>
                <w:bCs w:val="1"/>
                <w:color w:val="auto"/>
                <w:w w:val="99"/>
              </w:rPr>
              <w:t>77-0523891</w:t>
            </w:r>
          </w:p>
        </w:tc>
      </w:tr>
      <w:tr>
        <w:trPr>
          <w:trHeight w:val="148"/>
        </w:trPr>
        <w:tc>
          <w:tcPr>
            <w:tcW w:w="3860" w:type="dxa"/>
            <w:vAlign w:val="bottom"/>
          </w:tcPr>
          <w:p>
            <w:pPr>
              <w:jc w:val="center"/>
              <w:ind w:left="17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Pr>
          <w:p>
            <w:pPr>
              <w:jc w:val="center"/>
              <w:ind w:right="166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6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00" w:type="dxa"/>
            <w:vAlign w:val="bottom"/>
          </w:tcPr>
          <w:p>
            <w:pPr>
              <w:jc w:val="center"/>
              <w:ind w:right="168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1"/>
        </w:trPr>
        <w:tc>
          <w:tcPr>
            <w:tcW w:w="3860" w:type="dxa"/>
            <w:vAlign w:val="bottom"/>
          </w:tcPr>
          <w:p>
            <w:pPr>
              <w:spacing w:after="0"/>
              <w:rPr>
                <w:sz w:val="20"/>
                <w:szCs w:val="20"/>
                <w:color w:val="auto"/>
              </w:rPr>
            </w:pPr>
          </w:p>
        </w:tc>
        <w:tc>
          <w:tcPr>
            <w:tcW w:w="3500" w:type="dxa"/>
            <w:vAlign w:val="bottom"/>
            <w:gridSpan w:val="6"/>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100 Marine Parkway, Suite 400</w:t>
            </w:r>
          </w:p>
        </w:tc>
        <w:tc>
          <w:tcPr>
            <w:tcW w:w="3900" w:type="dxa"/>
            <w:vAlign w:val="bottom"/>
          </w:tcPr>
          <w:p>
            <w:pPr>
              <w:spacing w:after="0"/>
              <w:rPr>
                <w:sz w:val="20"/>
                <w:szCs w:val="20"/>
                <w:color w:val="auto"/>
              </w:rPr>
            </w:pPr>
          </w:p>
        </w:tc>
      </w:tr>
      <w:tr>
        <w:trPr>
          <w:trHeight w:val="204"/>
        </w:trPr>
        <w:tc>
          <w:tcPr>
            <w:tcW w:w="3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60" w:type="dxa"/>
            <w:vAlign w:val="bottom"/>
            <w:gridSpan w:val="5"/>
          </w:tcPr>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Redwood City, California</w:t>
            </w:r>
          </w:p>
        </w:tc>
        <w:tc>
          <w:tcPr>
            <w:tcW w:w="3900" w:type="dxa"/>
            <w:vAlign w:val="bottom"/>
          </w:tcPr>
          <w:p>
            <w:pPr>
              <w:spacing w:after="0"/>
              <w:rPr>
                <w:sz w:val="17"/>
                <w:szCs w:val="17"/>
                <w:color w:val="auto"/>
              </w:rPr>
            </w:pPr>
          </w:p>
        </w:tc>
      </w:tr>
      <w:tr>
        <w:trPr>
          <w:trHeight w:val="190"/>
        </w:trPr>
        <w:tc>
          <w:tcPr>
            <w:tcW w:w="3860" w:type="dxa"/>
            <w:vAlign w:val="bottom"/>
          </w:tcPr>
          <w:p>
            <w:pPr>
              <w:spacing w:after="0"/>
              <w:rPr>
                <w:sz w:val="16"/>
                <w:szCs w:val="16"/>
                <w:color w:val="auto"/>
              </w:rPr>
            </w:pPr>
          </w:p>
        </w:tc>
        <w:tc>
          <w:tcPr>
            <w:tcW w:w="3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00" w:type="dxa"/>
            <w:vAlign w:val="bottom"/>
          </w:tcPr>
          <w:p>
            <w:pPr>
              <w:spacing w:after="0"/>
              <w:rPr>
                <w:sz w:val="16"/>
                <w:szCs w:val="16"/>
                <w:color w:val="auto"/>
              </w:rPr>
            </w:pPr>
          </w:p>
        </w:tc>
      </w:tr>
      <w:tr>
        <w:trPr>
          <w:trHeight w:val="228"/>
        </w:trPr>
        <w:tc>
          <w:tcPr>
            <w:tcW w:w="3860" w:type="dxa"/>
            <w:vAlign w:val="bottom"/>
          </w:tcPr>
          <w:p>
            <w:pPr>
              <w:spacing w:after="0"/>
              <w:rPr>
                <w:sz w:val="19"/>
                <w:szCs w:val="19"/>
                <w:color w:val="auto"/>
              </w:rPr>
            </w:pPr>
          </w:p>
        </w:tc>
        <w:tc>
          <w:tcPr>
            <w:tcW w:w="2660" w:type="dxa"/>
            <w:vAlign w:val="bottom"/>
            <w:gridSpan w:val="3"/>
          </w:tcPr>
          <w:p>
            <w:pPr>
              <w:jc w:val="right"/>
              <w:ind w:right="625"/>
              <w:spacing w:after="0"/>
              <w:rPr>
                <w:sz w:val="20"/>
                <w:szCs w:val="20"/>
                <w:color w:val="auto"/>
              </w:rPr>
            </w:pPr>
            <w:r>
              <w:rPr>
                <w:rFonts w:ascii="Times New Roman" w:cs="Times New Roman" w:eastAsia="Times New Roman" w:hAnsi="Times New Roman"/>
                <w:sz w:val="17"/>
                <w:szCs w:val="17"/>
                <w:b w:val="1"/>
                <w:bCs w:val="1"/>
                <w:color w:val="auto"/>
              </w:rPr>
              <w:t>94065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190"/>
        </w:trPr>
        <w:tc>
          <w:tcPr>
            <w:tcW w:w="3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4"/>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900" w:type="dxa"/>
            <w:vAlign w:val="bottom"/>
          </w:tcPr>
          <w:p>
            <w:pPr>
              <w:spacing w:after="0"/>
              <w:rPr>
                <w:sz w:val="16"/>
                <w:szCs w:val="16"/>
                <w:color w:val="auto"/>
              </w:rPr>
            </w:pPr>
          </w:p>
        </w:tc>
      </w:tr>
      <w:tr>
        <w:trPr>
          <w:trHeight w:val="242"/>
        </w:trPr>
        <w:tc>
          <w:tcPr>
            <w:tcW w:w="3860" w:type="dxa"/>
            <w:vAlign w:val="bottom"/>
          </w:tcPr>
          <w:p>
            <w:pPr>
              <w:spacing w:after="0"/>
              <w:rPr>
                <w:sz w:val="21"/>
                <w:szCs w:val="21"/>
                <w:color w:val="auto"/>
              </w:rPr>
            </w:pPr>
          </w:p>
        </w:tc>
        <w:tc>
          <w:tcPr>
            <w:tcW w:w="2660" w:type="dxa"/>
            <w:vAlign w:val="bottom"/>
            <w:gridSpan w:val="3"/>
          </w:tcPr>
          <w:p>
            <w:pPr>
              <w:jc w:val="right"/>
              <w:ind w:right="305"/>
              <w:spacing w:after="0"/>
              <w:rPr>
                <w:sz w:val="20"/>
                <w:szCs w:val="20"/>
                <w:color w:val="auto"/>
              </w:rPr>
            </w:pPr>
            <w:r>
              <w:rPr>
                <w:rFonts w:ascii="Times New Roman" w:cs="Times New Roman" w:eastAsia="Times New Roman" w:hAnsi="Times New Roman"/>
                <w:sz w:val="17"/>
                <w:szCs w:val="17"/>
                <w:b w:val="1"/>
                <w:bCs w:val="1"/>
                <w:color w:val="auto"/>
              </w:rPr>
              <w:t>(650) 213-8444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tcPr>
          <w:p>
            <w:pPr>
              <w:spacing w:after="0"/>
              <w:rPr>
                <w:sz w:val="21"/>
                <w:szCs w:val="21"/>
                <w:color w:val="auto"/>
              </w:rPr>
            </w:pPr>
          </w:p>
        </w:tc>
      </w:tr>
      <w:tr>
        <w:trPr>
          <w:trHeight w:val="190"/>
        </w:trPr>
        <w:tc>
          <w:tcPr>
            <w:tcW w:w="3860" w:type="dxa"/>
            <w:vAlign w:val="bottom"/>
          </w:tcPr>
          <w:p>
            <w:pPr>
              <w:spacing w:after="0"/>
              <w:rPr>
                <w:sz w:val="16"/>
                <w:szCs w:val="16"/>
                <w:color w:val="auto"/>
              </w:rPr>
            </w:pPr>
          </w:p>
        </w:tc>
        <w:tc>
          <w:tcPr>
            <w:tcW w:w="3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r>
      <w:tr>
        <w:trPr>
          <w:trHeight w:val="77"/>
        </w:trPr>
        <w:tc>
          <w:tcPr>
            <w:tcW w:w="4500" w:type="dxa"/>
            <w:vAlign w:val="bottom"/>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3900" w:type="dxa"/>
            <w:vAlign w:val="bottom"/>
          </w:tcPr>
          <w:p>
            <w:pPr>
              <w:spacing w:after="0"/>
              <w:rPr>
                <w:sz w:val="6"/>
                <w:szCs w:val="6"/>
                <w:color w:val="auto"/>
              </w:rPr>
            </w:pPr>
          </w:p>
        </w:tc>
      </w:tr>
      <w:tr>
        <w:trPr>
          <w:trHeight w:val="336"/>
        </w:trPr>
        <w:tc>
          <w:tcPr>
            <w:tcW w:w="7360" w:type="dxa"/>
            <w:vAlign w:val="bottom"/>
            <w:gridSpan w:val="7"/>
          </w:tcPr>
          <w:p>
            <w:pPr>
              <w:ind w:left="52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900" w:type="dxa"/>
            <w:vAlign w:val="bottom"/>
          </w:tcPr>
          <w:p>
            <w:pPr>
              <w:spacing w:after="0"/>
              <w:rPr>
                <w:sz w:val="24"/>
                <w:szCs w:val="24"/>
                <w:color w:val="auto"/>
              </w:rPr>
            </w:pPr>
          </w:p>
        </w:tc>
      </w:tr>
      <w:tr>
        <w:trPr>
          <w:trHeight w:val="197"/>
        </w:trPr>
        <w:tc>
          <w:tcPr>
            <w:tcW w:w="3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r>
      <w:tr>
        <w:trPr>
          <w:trHeight w:val="206"/>
        </w:trPr>
        <w:tc>
          <w:tcPr>
            <w:tcW w:w="3860" w:type="dxa"/>
            <w:vAlign w:val="bottom"/>
            <w:tcBorders>
              <w:left w:val="single" w:sz="8" w:color="auto"/>
              <w:bottom w:val="single" w:sz="8" w:color="auto"/>
            </w:tcBorders>
          </w:tcPr>
          <w:p>
            <w:pPr>
              <w:jc w:val="center"/>
              <w:ind w:left="104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80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right w:val="single" w:sz="8" w:color="auto"/>
            </w:tcBorders>
          </w:tcPr>
          <w:p>
            <w:pPr>
              <w:jc w:val="center"/>
              <w:ind w:right="78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23"/>
        </w:trPr>
        <w:tc>
          <w:tcPr>
            <w:tcW w:w="3860" w:type="dxa"/>
            <w:vAlign w:val="bottom"/>
            <w:tcBorders>
              <w:left w:val="single" w:sz="8" w:color="auto"/>
              <w:bottom w:val="single" w:sz="8" w:color="auto"/>
            </w:tcBorders>
          </w:tcPr>
          <w:p>
            <w:pPr>
              <w:jc w:val="center"/>
              <w:ind w:left="1044"/>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SLNO</w:t>
            </w:r>
          </w:p>
        </w:tc>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3900" w:type="dxa"/>
            <w:vAlign w:val="bottom"/>
            <w:tcBorders>
              <w:bottom w:val="single" w:sz="8" w:color="auto"/>
              <w:right w:val="single" w:sz="8" w:color="auto"/>
            </w:tcBorders>
          </w:tcPr>
          <w:p>
            <w:pPr>
              <w:jc w:val="center"/>
              <w:ind w:right="784"/>
              <w:spacing w:after="0"/>
              <w:rPr>
                <w:sz w:val="20"/>
                <w:szCs w:val="20"/>
                <w:color w:val="auto"/>
              </w:rPr>
            </w:pPr>
            <w:r>
              <w:rPr>
                <w:rFonts w:ascii="Times New Roman" w:cs="Times New Roman" w:eastAsia="Times New Roman" w:hAnsi="Times New Roman"/>
                <w:sz w:val="15"/>
                <w:szCs w:val="15"/>
                <w:color w:val="auto"/>
              </w:rPr>
              <w:t>NASDAQ</w:t>
            </w:r>
          </w:p>
        </w:tc>
      </w:tr>
    </w:tbl>
    <w:p>
      <w:pPr>
        <w:spacing w:after="0" w:line="60" w:lineRule="exact"/>
        <w:rPr>
          <w:sz w:val="24"/>
          <w:szCs w:val="24"/>
          <w:color w:val="auto"/>
        </w:rPr>
      </w:pPr>
    </w:p>
    <w:p>
      <w:pPr>
        <w:ind w:right="1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34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17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520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ind w:right="80" w:firstLine="509"/>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520" w:right="2620"/>
        <w:spacing w:after="0" w:line="24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April 30, 2026, there were 52,120,147 shares of the registrant’s Common Stock, par value $0.001 per share,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SOLENO THERAPEUTICS, INC.</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2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4900" w:type="dxa"/>
            <w:vAlign w:val="bottom"/>
            <w:gridSpan w:val="11"/>
            <w:vMerge w:val="restart"/>
          </w:tcPr>
          <w:p>
            <w:pPr>
              <w:spacing w:after="0"/>
              <w:rPr>
                <w:sz w:val="24"/>
                <w:szCs w:val="24"/>
                <w:color w:val="auto"/>
              </w:rPr>
            </w:pPr>
          </w:p>
        </w:tc>
        <w:tc>
          <w:tcPr>
            <w:tcW w:w="3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0000FF"/>
            </w:tcBorders>
            <w:gridSpan w:val="13"/>
            <w:vMerge w:val="continue"/>
          </w:tcPr>
          <w:p>
            <w:pPr>
              <w:spacing w:after="0"/>
              <w:rPr>
                <w:sz w:val="16"/>
                <w:szCs w:val="16"/>
                <w:color w:val="auto"/>
              </w:rPr>
            </w:pPr>
          </w:p>
        </w:tc>
        <w:tc>
          <w:tcPr>
            <w:tcW w:w="4900" w:type="dxa"/>
            <w:vAlign w:val="bottom"/>
            <w:gridSpan w:val="11"/>
            <w:vMerge w:val="continue"/>
          </w:tcPr>
          <w:p>
            <w:pPr>
              <w:spacing w:after="0"/>
              <w:rPr>
                <w:sz w:val="16"/>
                <w:szCs w:val="16"/>
                <w:color w:val="auto"/>
              </w:rPr>
            </w:pPr>
          </w:p>
        </w:tc>
        <w:tc>
          <w:tcPr>
            <w:tcW w:w="31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Financial Statements</w:t>
            </w:r>
          </w:p>
        </w:tc>
        <w:tc>
          <w:tcPr>
            <w:tcW w:w="20" w:type="dxa"/>
            <w:vAlign w:val="bottom"/>
            <w:tcBorders>
              <w:bottom w:val="single" w:sz="8" w:color="0000EE"/>
            </w:tcBorders>
          </w:tcPr>
          <w:p>
            <w:pPr>
              <w:spacing w:after="0"/>
              <w:rPr>
                <w:sz w:val="17"/>
                <w:szCs w:val="17"/>
                <w:color w:val="auto"/>
              </w:rPr>
            </w:pPr>
          </w:p>
        </w:tc>
        <w:tc>
          <w:tcPr>
            <w:tcW w:w="5540" w:type="dxa"/>
            <w:vAlign w:val="bottom"/>
            <w:gridSpan w:val="14"/>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20" w:type="dxa"/>
            <w:vAlign w:val="bottom"/>
            <w:tcBorders>
              <w:bottom w:val="single" w:sz="8" w:color="0000EE"/>
            </w:tcBorders>
          </w:tcPr>
          <w:p>
            <w:pPr>
              <w:spacing w:after="0"/>
              <w:rPr>
                <w:sz w:val="17"/>
                <w:szCs w:val="17"/>
                <w:color w:val="auto"/>
              </w:rPr>
            </w:pPr>
          </w:p>
        </w:tc>
        <w:tc>
          <w:tcPr>
            <w:tcW w:w="3320" w:type="dxa"/>
            <w:vAlign w:val="bottom"/>
            <w:gridSpan w:val="8"/>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1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1880" w:type="dxa"/>
            <w:vAlign w:val="bottom"/>
            <w:gridSpan w:val="2"/>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520" w:type="dxa"/>
            <w:vAlign w:val="bottom"/>
            <w:gridSpan w:val="5"/>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20" w:type="dxa"/>
            <w:vAlign w:val="bottom"/>
            <w:tcBorders>
              <w:bottom w:val="single" w:sz="8" w:color="0000EE"/>
            </w:tcBorders>
          </w:tcPr>
          <w:p>
            <w:pPr>
              <w:spacing w:after="0"/>
              <w:rPr>
                <w:sz w:val="17"/>
                <w:szCs w:val="17"/>
                <w:color w:val="auto"/>
              </w:rPr>
            </w:pPr>
          </w:p>
        </w:tc>
        <w:tc>
          <w:tcPr>
            <w:tcW w:w="2260" w:type="dxa"/>
            <w:vAlign w:val="bottom"/>
            <w:gridSpan w:val="3"/>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2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600" w:type="dxa"/>
            <w:vAlign w:val="bottom"/>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49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700" w:type="dxa"/>
            <w:vAlign w:val="bottom"/>
            <w:gridSpan w:val="6"/>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5200" w:type="dxa"/>
            <w:vAlign w:val="bottom"/>
            <w:gridSpan w:val="12"/>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88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5740" w:type="dxa"/>
            <w:vAlign w:val="bottom"/>
            <w:gridSpan w:val="16"/>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9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2720" w:type="dxa"/>
            <w:vAlign w:val="bottom"/>
            <w:gridSpan w:val="7"/>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8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4740" w:type="dxa"/>
            <w:vAlign w:val="bottom"/>
            <w:gridSpan w:val="10"/>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6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234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5280" w:type="dxa"/>
            <w:vAlign w:val="bottom"/>
            <w:gridSpan w:val="13"/>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11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2"/>
          </w:tcPr>
          <w:p>
            <w:pPr>
              <w:spacing w:after="0"/>
              <w:rPr>
                <w:sz w:val="17"/>
                <w:szCs w:val="17"/>
                <w:color w:val="auto"/>
              </w:rPr>
            </w:pPr>
          </w:p>
        </w:tc>
        <w:tc>
          <w:tcPr>
            <w:tcW w:w="5760" w:type="dxa"/>
            <w:vAlign w:val="bottom"/>
            <w:gridSpan w:val="17"/>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8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EXHIBIT INDEX</w:t>
            </w: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6700" w:type="dxa"/>
            <w:vAlign w:val="bottom"/>
            <w:gridSpan w:val="20"/>
          </w:tcPr>
          <w:p>
            <w:pPr>
              <w:spacing w:after="0"/>
              <w:rPr>
                <w:sz w:val="17"/>
                <w:szCs w:val="17"/>
                <w:color w:val="auto"/>
              </w:rPr>
            </w:pPr>
          </w:p>
        </w:tc>
        <w:tc>
          <w:tcPr>
            <w:tcW w:w="3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701"/>
        </w:trPr>
        <w:tc>
          <w:tcPr>
            <w:tcW w:w="4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133,026</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Inventory,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200,616</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73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608,388</w:t>
            </w:r>
          </w:p>
        </w:tc>
        <w:tc>
          <w:tcPr>
            <w:tcW w:w="1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563,830</w:t>
            </w:r>
          </w:p>
        </w:tc>
        <w:tc>
          <w:tcPr>
            <w:tcW w:w="100" w:type="dxa"/>
            <w:vAlign w:val="bottom"/>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113,715</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and outstanding</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51,718,149 and 52,286,881 shares issued and outstanding at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897,578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881,018</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(399,992)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(431,370)</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495,800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450,115</w:t>
            </w:r>
          </w:p>
        </w:tc>
        <w:tc>
          <w:tcPr>
            <w:tcW w:w="100" w:type="dxa"/>
            <w:vAlign w:val="bottom"/>
            <w:tcBorders>
              <w:top w:val="single" w:sz="8" w:color="CFF0FC"/>
            </w:tcBorders>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608,388</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563,830</w:t>
            </w:r>
          </w:p>
        </w:tc>
        <w:tc>
          <w:tcPr>
            <w:tcW w:w="10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-4499610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-4499610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-3385185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-3368040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-3385185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-3368040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-1704975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-1704975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-316865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27"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5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94,603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28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29,259</w:t>
            </w:r>
          </w:p>
        </w:tc>
        <w:tc>
          <w:tcPr>
            <w:tcW w:w="28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80" w:type="dxa"/>
            <w:vAlign w:val="bottom"/>
          </w:tcPr>
          <w:p>
            <w:pPr>
              <w:spacing w:after="0"/>
              <w:rPr>
                <w:sz w:val="18"/>
                <w:szCs w:val="18"/>
                <w:color w:val="auto"/>
              </w:rPr>
            </w:pPr>
          </w:p>
        </w:tc>
      </w:tr>
      <w:tr>
        <w:trPr>
          <w:trHeight w:val="209"/>
        </w:trPr>
        <w:tc>
          <w:tcPr>
            <w:tcW w:w="75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(45,743)</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8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(1,292)</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(1,361)</w:t>
            </w:r>
          </w:p>
        </w:tc>
      </w:tr>
      <w:tr>
        <w:trPr>
          <w:trHeight w:val="209"/>
        </w:trPr>
        <w:tc>
          <w:tcPr>
            <w:tcW w:w="75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80" w:type="dxa"/>
            <w:vAlign w:val="bottom"/>
            <w:tcBorders>
              <w:top w:val="single" w:sz="8" w:color="CFF0FC"/>
            </w:tcBorders>
          </w:tcPr>
          <w:p>
            <w:pPr>
              <w:spacing w:after="0"/>
              <w:rPr>
                <w:sz w:val="18"/>
                <w:szCs w:val="18"/>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(43,773)</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5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(43,773)</w:t>
            </w:r>
          </w:p>
        </w:tc>
      </w:tr>
      <w:tr>
        <w:trPr>
          <w:trHeight w:val="413"/>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(2,225)</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(43,908)</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31,378</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(43,773)</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Undistributed earnings attributable to participating securities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31,377</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(43,773)</w:t>
            </w:r>
          </w:p>
        </w:tc>
      </w:tr>
      <w:tr>
        <w:trPr>
          <w:trHeight w:val="20"/>
        </w:trPr>
        <w:tc>
          <w:tcPr>
            <w:tcW w:w="7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7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(0.95)</w:t>
            </w:r>
          </w:p>
        </w:tc>
      </w:tr>
      <w:tr>
        <w:trPr>
          <w:trHeight w:val="198"/>
        </w:trPr>
        <w:tc>
          <w:tcPr>
            <w:tcW w:w="7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52,091,047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46,178,793</w:t>
            </w:r>
          </w:p>
        </w:tc>
        <w:tc>
          <w:tcPr>
            <w:tcW w:w="280" w:type="dxa"/>
            <w:vAlign w:val="bottom"/>
            <w:shd w:val="clear" w:color="auto" w:fill="CFF0FC"/>
          </w:tcPr>
          <w:p>
            <w:pPr>
              <w:spacing w:after="0"/>
              <w:rPr>
                <w:sz w:val="18"/>
                <w:szCs w:val="18"/>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53,066,971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46,178,793</w:t>
            </w: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-3302635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-3302635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-2736850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-2736850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-2162810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-2145665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-2162810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-2145665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-1442720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-1425575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-1442720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-1425575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-1005205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-1005205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ind w:left="462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204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w:t>
            </w:r>
          </w:p>
        </w:tc>
        <w:tc>
          <w:tcPr>
            <w:tcW w:w="8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7"/>
                <w:szCs w:val="17"/>
                <w:color w:val="auto"/>
              </w:rPr>
            </w:pPr>
          </w:p>
        </w:tc>
        <w:tc>
          <w:tcPr>
            <w:tcW w:w="2040" w:type="dxa"/>
            <w:vAlign w:val="bottom"/>
            <w:tcBorders>
              <w:bottom w:val="single" w:sz="8" w:color="auto"/>
            </w:tcBorders>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January 1, 2026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52,286,881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881,018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(431,370)</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450,115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(662,497)</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connection with exercise of stock</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Tax withholding payments for net share-settled equity awards</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4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unrealized loss on marketable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(2,225)</w:t>
            </w: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4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31,378</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March 31, 2026</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51,718,149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897,578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(1,838)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(399,992)</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495,800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60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204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w:t>
            </w:r>
          </w:p>
        </w:tc>
        <w:tc>
          <w:tcPr>
            <w:tcW w:w="8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1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7"/>
                <w:szCs w:val="17"/>
                <w:color w:val="auto"/>
              </w:rPr>
            </w:pPr>
          </w:p>
        </w:tc>
        <w:tc>
          <w:tcPr>
            <w:tcW w:w="2040" w:type="dxa"/>
            <w:vAlign w:val="bottom"/>
            <w:tcBorders>
              <w:bottom w:val="single" w:sz="8" w:color="auto"/>
            </w:tcBorders>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45,703,811</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696,966</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(452,260)</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stock in connection with exercise of stock</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943,980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Exercise of common stock warrants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1,879,678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unrealized loss on marketable 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(43,773)</w:t>
            </w:r>
          </w:p>
        </w:tc>
        <w:tc>
          <w:tcPr>
            <w:tcW w:w="1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(43,773)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at March 31,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48,527,469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728,019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(496,033)</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232,261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-2150745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-2133600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-2150745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-2133600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-2150745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-2133600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-2150745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-2133600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-2150745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-2133600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31,378</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(43,773)</w:t>
            </w: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of premium/discount on marketable securities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non-cash reconciling items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(3,416)</w:t>
            </w:r>
          </w:p>
        </w:tc>
      </w:tr>
      <w:tr>
        <w:trPr>
          <w:trHeight w:val="216"/>
        </w:trPr>
        <w:tc>
          <w:tcPr>
            <w:tcW w:w="7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(3,336)</w:t>
            </w:r>
          </w:p>
        </w:tc>
      </w:tr>
      <w:tr>
        <w:trPr>
          <w:trHeight w:val="216"/>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compensation</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7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Essentialis acquisition milestone payments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(32,752)</w:t>
            </w:r>
          </w:p>
        </w:tc>
      </w:tr>
      <w:tr>
        <w:trPr>
          <w:trHeight w:val="21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(101,268)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(45,358)</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68,300</w:t>
            </w:r>
          </w:p>
        </w:tc>
        <w:tc>
          <w:tcPr>
            <w:tcW w:w="100" w:type="dxa"/>
            <w:vAlign w:val="bottom"/>
          </w:tcPr>
          <w:p>
            <w:pPr>
              <w:spacing w:after="0"/>
              <w:rPr>
                <w:sz w:val="18"/>
                <w:szCs w:val="18"/>
                <w:color w:val="auto"/>
              </w:rPr>
            </w:pPr>
          </w:p>
        </w:tc>
      </w:tr>
      <w:tr>
        <w:trPr>
          <w:trHeight w:val="209"/>
        </w:trPr>
        <w:tc>
          <w:tcPr>
            <w:tcW w:w="73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for repurchase of common stock</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withholding payments for net share-settled equity awards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Essentialis acquisition milestone payments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shd w:val="clear" w:color="auto" w:fill="CFF0FC"/>
          </w:tcPr>
          <w:p>
            <w:pPr>
              <w:spacing w:after="0"/>
              <w:rPr>
                <w:sz w:val="18"/>
                <w:szCs w:val="18"/>
                <w:color w:val="auto"/>
              </w:rPr>
            </w:pPr>
          </w:p>
        </w:tc>
      </w:tr>
      <w:tr>
        <w:trPr>
          <w:trHeight w:val="20"/>
        </w:trPr>
        <w:tc>
          <w:tcPr>
            <w:tcW w:w="736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(6,597)</w:t>
            </w:r>
          </w:p>
        </w:tc>
      </w:tr>
      <w:tr>
        <w:trPr>
          <w:trHeight w:val="216"/>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70,106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133,026</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81,331</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operating and financing information</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-2253615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-1139190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-856615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Soleno Therapeutics,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March 31, 2026</w:t>
      </w:r>
    </w:p>
    <w:p>
      <w:pPr>
        <w:spacing w:after="0" w:line="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Soleno Therapeutics, Inc. (the Company or Soleno) is a biopharmaceutical company developing novel therapeutics for the treatment of rare diseases.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incorporated in the State of Delaware and is headquartered in Redwood City, California.</w:t>
      </w:r>
    </w:p>
    <w:p>
      <w:pPr>
        <w:spacing w:after="0" w:line="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On March 26, 2025, the Company announced that its lead product candidate, VYKAT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XR (diazoxide choline) extended-release tablets, formerly known as DCCR, had been approved by the U.S. Food and Drug Administration (FDA). VYKAT XR is indicated to treat hyperphagia in adults and pediatric patients four years of age and older with Prader-Willi syndrome (PWS). On April 14, 2025, the Company announced that prescriptions of VYKAT XR had been delivered to the first individuals living with PWS who had been prescribed the medication and began recognizing revenue from the sales of VYKAT XR during the three months ended June 30, 2025. On April 6, 2026, the Company announced that it had entered into an Agreement and Plan of Merger (the Merger Agreement) with Neurocrine Biosciences, Inc. (Neurocrine) and Sigma Merger Sub, Inc. (Merger Sub) on April 5, 2026, pursuant to which Neurocrine, through Merger Sub, agreed to commence a cash tender offer (the Offer) to purchase all of the issued and outstanding shares of the common stock of the Company at a price per share of $53.00 per share. The Offer commenced on April 20, 2026 and is expected to close during the three months ending June 30, 2026, pursuant to the terms of the Merger Agreement, with the result being the Company becoming a wholly-owned subsidiary of Neurocrine.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Liquidity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generated $26.0 million of net cash from its operating activities, had a net income of $31.4 million during the three months ended March 31, 2026 and had an accumulated deficit of $400.0 million at March 31, 2026, as a result of losses incurred prior to 2025. The Company had $133.0 million of cash and cash equivalents and $396.0 million of marketable securities as of March 31, 2026. With FDA approval of VYKAT XR and first prescriptions being delivered in April 2025, the Company began recognizing revenue and became profitable during 2025. The Company’s ability to sustain operating profitability is dependent upon continued successful commercialization of VYKAT XR.</w:t>
      </w:r>
    </w:p>
    <w:p>
      <w:pPr>
        <w:spacing w:after="0" w:line="6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$50.0 million outstanding under the loan and security agreement with Oxford Financing LLC and its affiliates (collectively, Oxford) entered into in December 2024. Under the terms of the loan agreement with Oxford, following FDA approval of VYKAT XR, an additional $50 million became available through September 30, 2025, but was not drawn down. Following the amendment of the Company's loan and security agreement in November 2025, the final three tranches of aggregate of $100 million may be made available upon mutual consent with Oxford. As a result of a milestone achieved in 2025, the loan carries an interest-only period of 60 months and a total term of 72 months. The term loan accrues interest at a floating rate equal to, subject to certain conditions, (a) 1-month term SOFR plus (b) 5.50%.</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Oxford loan and security agreement, the Company has historically financed its operations through issuance of equity securities. In July 2025, the Company closed an underwritten public offering of 2,705,882 shares of its common stock at an offering price of $85.00 per share, which included the exercise in full by the underwriters of their option to purchase additional shares. The gross proceeds of the public offering were $230.0 million, before deducting the underwriter discount and other offering expenses, totaling approximately $14.3 million.</w:t>
      </w:r>
    </w:p>
    <w:p>
      <w:pPr>
        <w:spacing w:after="0" w:line="7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that its current cash, cash equivalents and marketable securities balances and cash flows from operations will be sufficient to enable the Company to meet its obligations for at least the next twelve months from the date of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during the three months ended March 31, 2026 as compared to the significant accounting policies described in Note 3 of the “Notes to Consolidated Financial Statements” in the Company’s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7" w:name="page8"/>
    <w:bookmarkEnd w:id="7"/>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must make estimates and assumptions that affect the reported amounts of assets, liabilities, revenues, expenses and related disclosures at the date of the financial statements. Actual results could differ from those estimates. Additionally, operating results for the three months ended March 31, 2026 are not necessarily indicative of the results that may be expected for any other interim period or for the fiscal year ending December 31, 2026. For further information, refer to the financial statements and footnotes included in the Company’s annual financial statements for the fiscal year ended December 31, 2025, which are included in the Company’s Annual Report on Form 10-K filed with the Securities and Exchange Commission (SEC) on February 25,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Significant estimates made by management include valuation of marketable securities, stock-based compensation, valuation of contingent liabilities for the purchase price of assets obtained through acquisition, provisions for sales rebates, returns and other incentives, valuation of financial instruments, and 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Accounts receivable, net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 with its customer has customary payment terms that require payment within 45 days. The Company analyzes amounts that are past due for collectability, and periodically evaluates the creditworthiness of its customer. Based on its assessment, as of March 31, 2026, the Company determined that an allowance for credit loss was not required.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Major Customers and Off-Balance Sheet Risk</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contracts with one customer, its specialty pharmacy, to market and distribute VYKAT XR to patients in the United States. As of March 31, 2026, its accounts receivable, net are solely from sales of VYKAT XR, and are from this sole customer.</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dependency on one customer exposes it to several risks, including the potential for disruptions in its distribution network, changes in this customer's business strategies, or financial difficulties faced by this customer. Any significant disruption or change in the Company's relationship with this customer could materially and adversely affect its ability to effectively reach other potential end users and maintain its market position.</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While the Company believes its relationship with this customer is strong and mutually beneficial, there can be no assurance that it will be able to maintain this relationship or that it will be able to replace this specialty pharmacy with alternative specialty pharmacies, if necessary.</w:t>
      </w:r>
    </w:p>
    <w:p>
      <w:pPr>
        <w:spacing w:after="0" w:line="5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relies on sole source suppliers and third-party manufacturers to supply raw materials and manufacture its product. The inability of these suppliers or manufacturers to fulfill supply requirements of the Company could materially impact future operating results. A change in the relationship with these suppliers or manufacturers, or an adverse change in their business, could materially impact future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Under ASC 606, an entity recognizes revenue when its customer obtains control of promised goods or services in an amount that reflects the consideration which the entity expects to receive in exchange for those goods or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currently sells its product primarily to one customer, a specialty pharmacy. The product is distributed through a third-party logistics distribution agent (3PL) that does not take title to the product. In the Company's agreement with the 3PL, the Company acts as principal because it retains control of the product. Once the product is delivered to the Company’s specialty pharmacy, the specialty pharmacy takes title to the product. The specialty pharmacy then distributes the product to patients. The Company offers returns of product sold to the customer on a limited basis; however, no material returns have been recognized to date.</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Revenue from product sales is recognized when the customer obtains control of the Company's product, which occurs at the point in time that there is a transfer of title to the customer. The Company has no other performance obligations besides the sale of product, and because the Company's payment terms are 45 days or less, the Company concluded there is not a significant financing component. The Company classifies payments to its customers or other parties in the distribution channel for services that are distinct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 w:name="page9"/>
    <w:bookmarkEnd w:id="8"/>
    <w:p>
      <w:pPr>
        <w:ind w:right="60"/>
        <w:spacing w:after="0" w:line="261" w:lineRule="auto"/>
        <w:rPr>
          <w:sz w:val="20"/>
          <w:szCs w:val="20"/>
          <w:color w:val="auto"/>
        </w:rPr>
      </w:pPr>
      <w:r>
        <w:rPr>
          <w:rFonts w:ascii="Times New Roman" w:cs="Times New Roman" w:eastAsia="Times New Roman" w:hAnsi="Times New Roman"/>
          <w:sz w:val="18"/>
          <w:szCs w:val="18"/>
          <w:color w:val="auto"/>
        </w:rPr>
        <w:t>and priced at fair value as selling, general and administrative expenses in its condensed consolidated statements of operations and comprehensive income (loss). Otherwise, payments to a customer or other parties in the distribution channel that do not meet those criteria are classified as a reduction of revenue, as discussed further below. The Company expenses incremental costs of obtaining a contract as and when incurred since the expected amortization period of the asset that the Company would have recognized is one year or 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the transaction price, which includes estimates of variable consideration for which reserves are established and which result from rebates, discounts, returns, and co-pay assistance that are offered within the contract between the Company and its customer relating to the sale of VYKAT XR. These reserves are based on the amounts earned or to be claimed on the related sales and are classified as reductions of accounts receivable (if the amount is payable to the customer) or a current liability (if the amount is payable to a party other than the customer). Where appropriate, these estimates take into consideration a range of possible outcomes that are 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the Company's estimates. If actual results in the future vary from the Company's estimates, it will adjust these estimates, which would affect net product revenue and earnings in the period such variances become known.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the components of variable consideration related to product revenue:</w:t>
      </w:r>
    </w:p>
    <w:p>
      <w:pPr>
        <w:spacing w:after="0" w:line="22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The Company is subject to discount obligations under several government programs, including Medicaid programs,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TRICARE in the United States. The Company estimates these rebates based upon a range of possible outcomes that are weighted for the estimated payer mix. These reserves are recorded in the same period that the related revenue is recognized, resulting in a reduction of product revenue and the establishment of a liability that is included in other current liabilities on the Company's condensed consolidated balance sheets. On a quarterly basis, the Company updates its estimates and records any adjustments in the period that it identifies the adjustments.</w:t>
      </w:r>
    </w:p>
    <w:p>
      <w:pPr>
        <w:spacing w:after="0" w:line="183" w:lineRule="exact"/>
        <w:rPr>
          <w:sz w:val="20"/>
          <w:szCs w:val="20"/>
          <w:color w:val="auto"/>
        </w:rPr>
      </w:pPr>
    </w:p>
    <w:p>
      <w:pPr>
        <w:ind w:right="4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discounts on VYKAT XR sales to its customer for prompt payment. This discount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as a reduction of revenue in the period the related product revenue is recognized. In addition, the Company receives and pays for various distribution services from its customer in the distribution channel.</w:t>
      </w:r>
    </w:p>
    <w:p>
      <w:pPr>
        <w:spacing w:after="0" w:line="17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customer has limited return rights related to unexpected instances in which the product is found to be damaged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defective. The Company estimates the amount of product sales that may be returned and records the estimate as a reduction of revenue and a refund liability in the period in which the related product revenue is recognized. Based on the distribution model for VYKAT XR, the Company believes there will be minimal returns as such returns have not been material to date.</w:t>
      </w:r>
    </w:p>
    <w:p>
      <w:pPr>
        <w:spacing w:after="0" w:line="180"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include co-payment assistance the Company provides to patients with commercial insurance that have coverage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reside in states that allow co-payment assistance. The calculation of the accrual for co-pay assistance is based on an estimate of claims and the cost per claim that the Company expects to receive associated with product that has been recognized as revenue. The estimate is recorded as a reduction of revenue in the same period the related revenue is recognized.</w:t>
      </w:r>
    </w:p>
    <w:p>
      <w:pPr>
        <w:spacing w:after="0" w:line="18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Provisions for trade discounts and allowances are recorded as reductions to accounts receivable, and returns, government rebates, and other incentives are recorded as a component of accrued expenses.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table below summarizes balances and activity in each of the product revenue allowance and reserve categories as follows (in thousands):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tbl>
      <w:tblPr>
        <w:tblLayout w:type="fixed"/>
        <w:tblInd w:w="96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Copay</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Discounts and</w:t>
            </w:r>
          </w:p>
        </w:tc>
        <w:tc>
          <w:tcPr>
            <w:tcW w:w="100" w:type="dxa"/>
            <w:vAlign w:val="bottom"/>
          </w:tcPr>
          <w:p>
            <w:pPr>
              <w:spacing w:after="0"/>
              <w:rPr>
                <w:sz w:val="17"/>
                <w:szCs w:val="17"/>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Assistance and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Rebates</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Chargebacks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Returns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2"/>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13,685</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14,755</w:t>
            </w:r>
          </w:p>
        </w:tc>
        <w:tc>
          <w:tcPr>
            <w:tcW w:w="80" w:type="dxa"/>
            <w:vAlign w:val="bottom"/>
          </w:tcPr>
          <w:p>
            <w:pPr>
              <w:spacing w:after="0"/>
              <w:rPr>
                <w:sz w:val="17"/>
                <w:szCs w:val="17"/>
                <w:color w:val="auto"/>
              </w:rPr>
            </w:pPr>
          </w:p>
        </w:tc>
      </w:tr>
      <w:tr>
        <w:trPr>
          <w:trHeight w:val="203"/>
        </w:trPr>
        <w:tc>
          <w:tcPr>
            <w:tcW w:w="3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Provisions</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15,899</w:t>
            </w:r>
          </w:p>
        </w:tc>
        <w:tc>
          <w:tcPr>
            <w:tcW w:w="80" w:type="dxa"/>
            <w:vAlign w:val="bottom"/>
            <w:shd w:val="clear" w:color="auto" w:fill="CFF0FC"/>
          </w:tcPr>
          <w:p>
            <w:pPr>
              <w:spacing w:after="0"/>
              <w:rPr>
                <w:sz w:val="17"/>
                <w:szCs w:val="17"/>
                <w:color w:val="auto"/>
              </w:rPr>
            </w:pPr>
          </w:p>
        </w:tc>
      </w:tr>
      <w:tr>
        <w:trPr>
          <w:trHeight w:val="203"/>
        </w:trPr>
        <w:tc>
          <w:tcPr>
            <w:tcW w:w="3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Credits/payments</w:t>
            </w: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(10,239)</w:t>
            </w: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(13,400)</w:t>
            </w:r>
          </w:p>
        </w:tc>
      </w:tr>
      <w:tr>
        <w:trPr>
          <w:trHeight w:val="20"/>
        </w:trPr>
        <w:tc>
          <w:tcPr>
            <w:tcW w:w="3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17,254</w:t>
            </w:r>
          </w:p>
        </w:tc>
        <w:tc>
          <w:tcPr>
            <w:tcW w:w="80" w:type="dxa"/>
            <w:vAlign w:val="bottom"/>
            <w:shd w:val="clear" w:color="auto" w:fill="CFF0FC"/>
          </w:tcPr>
          <w:p>
            <w:pPr>
              <w:spacing w:after="0"/>
              <w:rPr>
                <w:sz w:val="18"/>
                <w:szCs w:val="18"/>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products when future economic benefit is expected to be realized. These costs consist of raw materials, manufacturing-related costs, personnel costs including stock-based compensation, facility costs, and other indirect overhead costs. Prior to receiving FDA approval for VYKAT XR in March 2025, the Company expensed costs related to inventory for clinical and pre-commercial purposes directly to research and development expense. Following the FDA’s approval of VYKAT XR, the Company began capitalizing inventory related to commercialized products held for sale, in-process of production for sale, and raw materials to be used in the manufacturing of inventory.</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values inventory at the lower of cost or estimated net realizable value. The Company determines the cost of inventory, which includes amounts related to materials and manufacturing overhead, on a first-in, first-out basis. Raw materials and work in process includes all inventory costs prior to packaging and labeling, including raw materials, active pharmaceutical ingredient, and drug product. Finished goods include packaged and labeled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 On a quarterly basis, the Company analyzes its inventory levels for excess quantities and obsolescence (expiration), taking into account factors such as historical and anticipated future sales compared to quantities on hand and the remaining shelf life.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Cost of goods sold consists of manufacturing costs, transportation and freight, amortization of capitalized intangibles, royalty payments and indirect overhead costs associated with the manufacturing and distribution of VYKAT XR. Cost of goods sold may also include periodic costs related to certain manufacturing services and inventory adjustment charges. Finally, cost of goods sold may also include costs related to excess or obsolete inventory adjustment charges, abnormal costs, unabsorbed manufacturing and overhead costs, and manufacturing variances.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5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enhanced income tax information primarily through changes to the rate reconciliation and income taxes paid information. Early adoption is permitted. A public entity should apply the amendments in ASU 2023-09 prospectively to all annual periods beginning after December 15, 2024. The Company adopted this standard effective January 1, 2025 using a retrospective approach.</w:t>
      </w:r>
    </w:p>
    <w:p>
      <w:pPr>
        <w:spacing w:after="0" w:line="72"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 </w:t>
      </w:r>
      <w:r>
        <w:rPr>
          <w:rFonts w:ascii="Times New Roman" w:cs="Times New Roman" w:eastAsia="Times New Roman" w:hAnsi="Times New Roman"/>
          <w:sz w:val="18"/>
          <w:szCs w:val="18"/>
          <w:color w:val="auto"/>
        </w:rPr>
        <w:t>which requires the disclosure of additional information related to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including amounts of inventory purchases, employee compensation, and depreciation and amortization included in each income statement line item. The guidance also requires disclosure of the total amount of selling expenses and the Company’s definition of selling expenses. The guidance is effective for the Company for fiscal years beginning after December 15, 2026, and for interim periods within fiscal years beginning after December 15, 2027. The Company is currently assessing the impacts of the new guidance on its financial statement disclosures.</w:t>
      </w:r>
    </w:p>
    <w:p>
      <w:pPr>
        <w:spacing w:after="0" w:line="7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introduces a practical expedient permitting all entities to assume that current conditions as of the balance sheet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remain unchanged for the life of the asset when estimating expected credit losses under ASC 606. For entities other than public business entities, the ASU also allows an accounting policy election to consider cash collections received after the balance-sheet date in their estimates. An entity that makes this election must disclose the date through which subsequent collections are evaluated. The ASU is effective for annual reporting periods beginning after December 15, 2025,</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7" w:right="359" w:bottom="1440" w:gutter="0" w:footer="0" w:header="0"/>
        </w:sectPr>
      </w:pPr>
    </w:p>
    <w:bookmarkStart w:id="10" w:name="page11"/>
    <w:bookmarkEnd w:id="10"/>
    <w:p>
      <w:pPr>
        <w:ind w:right="700"/>
        <w:spacing w:after="0" w:line="282" w:lineRule="auto"/>
        <w:rPr>
          <w:sz w:val="20"/>
          <w:szCs w:val="20"/>
          <w:color w:val="auto"/>
        </w:rPr>
      </w:pPr>
      <w:r>
        <w:rPr>
          <w:rFonts w:ascii="Times New Roman" w:cs="Times New Roman" w:eastAsia="Times New Roman" w:hAnsi="Times New Roman"/>
          <w:sz w:val="18"/>
          <w:szCs w:val="18"/>
          <w:color w:val="auto"/>
        </w:rPr>
        <w:t>including interim periods within those years, with early adoption permitted. The Company adopted this standard effective January 1, 2026 using a prospective approach, and it has no impact on its disclosures and does not impact the results of operations or financial condition.</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and accounts payable, approximate fair value due to the short-term nature of these items.</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Unobservable inputs that are supported by little or no market activity for the related assets or liabilities.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March 31, 2026 (in thousands):</w:t>
      </w:r>
    </w:p>
    <w:p>
      <w:pPr>
        <w:spacing w:after="0" w:line="182"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4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7"/>
              </w:rPr>
              <w:t>Estimated Fair</w:t>
            </w:r>
          </w:p>
        </w:tc>
        <w:tc>
          <w:tcPr>
            <w:tcW w:w="100" w:type="dxa"/>
            <w:vAlign w:val="bottom"/>
          </w:tcPr>
          <w:p>
            <w:pPr>
              <w:spacing w:after="0"/>
              <w:rPr>
                <w:sz w:val="16"/>
                <w:szCs w:val="16"/>
                <w:color w:val="auto"/>
              </w:rPr>
            </w:pPr>
          </w:p>
        </w:tc>
      </w:tr>
      <w:tr>
        <w:trPr>
          <w:trHeight w:val="215"/>
        </w:trPr>
        <w:tc>
          <w:tcPr>
            <w:tcW w:w="4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260" w:type="dxa"/>
            <w:vAlign w:val="bottom"/>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r>
      <w:tr>
        <w:trPr>
          <w:trHeight w:val="19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221,241</w:t>
            </w:r>
          </w:p>
        </w:tc>
        <w:tc>
          <w:tcPr>
            <w:tcW w:w="70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220,393</w:t>
            </w:r>
          </w:p>
        </w:tc>
        <w:tc>
          <w:tcPr>
            <w:tcW w:w="100" w:type="dxa"/>
            <w:vAlign w:val="bottom"/>
            <w:shd w:val="clear" w:color="auto" w:fill="CFF0FC"/>
          </w:tcPr>
          <w:p>
            <w:pPr>
              <w:spacing w:after="0"/>
              <w:rPr>
                <w:sz w:val="17"/>
                <w:szCs w:val="17"/>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Other government agency securities</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23,226</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23,141</w:t>
            </w:r>
          </w:p>
        </w:tc>
        <w:tc>
          <w:tcPr>
            <w:tcW w:w="100" w:type="dxa"/>
            <w:vAlign w:val="bottom"/>
          </w:tcPr>
          <w:p>
            <w:pPr>
              <w:spacing w:after="0"/>
              <w:rPr>
                <w:sz w:val="17"/>
                <w:szCs w:val="17"/>
                <w:color w:val="auto"/>
              </w:rPr>
            </w:pPr>
          </w:p>
        </w:tc>
      </w:tr>
      <w:tr>
        <w:trPr>
          <w:trHeight w:val="20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debt securities and commercial paper</w:t>
            </w: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153,314</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152,421</w:t>
            </w:r>
          </w:p>
        </w:tc>
        <w:tc>
          <w:tcPr>
            <w:tcW w:w="100" w:type="dxa"/>
            <w:vAlign w:val="bottom"/>
            <w:shd w:val="clear" w:color="auto" w:fill="CFF0FC"/>
          </w:tcPr>
          <w:p>
            <w:pPr>
              <w:spacing w:after="0"/>
              <w:rPr>
                <w:sz w:val="17"/>
                <w:szCs w:val="17"/>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397,781</w:t>
            </w:r>
          </w:p>
        </w:tc>
        <w:tc>
          <w:tcPr>
            <w:tcW w:w="7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395,955</w:t>
            </w:r>
          </w:p>
        </w:tc>
        <w:tc>
          <w:tcPr>
            <w:tcW w:w="10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-162560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-162560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-162560</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-162560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1" w:name="page12"/>
    <w:bookmarkEnd w:id="11"/>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that were measured at fair value on a recurring basis by level within the fair value hierarchy (in thousands):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cash equivalents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220,393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220,393</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government agency securities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43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395,955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395,955</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528,587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132,632</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395,955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2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2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cash equivalents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274,832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274,832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government agency securities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137,934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137,934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0"/>
        </w:trPr>
        <w:tc>
          <w:tcPr>
            <w:tcW w:w="43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435,982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435,982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499,595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435,982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12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120" w:type="dxa"/>
            <w:vAlign w:val="bottom"/>
            <w:shd w:val="clear" w:color="auto" w:fill="CFF0FC"/>
          </w:tcPr>
          <w:p>
            <w:pPr>
              <w:spacing w:after="0"/>
              <w:rPr>
                <w:sz w:val="19"/>
                <w:szCs w:val="19"/>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-4285615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-4285615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-4285615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-4285615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-3282315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-3282315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-3282315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-3282315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-2553970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-2536825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-2553970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-2536825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-2553970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-2536825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-2553970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-2536825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-1757045</wp:posOffset>
            </wp:positionV>
            <wp:extent cx="60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-1757045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-1757045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-1757045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-753745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-753745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-753745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-753745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Based on the terms of the Company’s completed merger with Essentialis on March 7, 2017, the Company was obligated to make cash earnout payments of up to a maximum of $20.9 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achieving two commercial sales milestones of $100 million and $200 million in cumulative revenue. The Level 3 estimates are based, in part, on subjective assumptions. The first commercial milestone of $100 million in cumulative revenue was met during the fourth quarter 2025, and earnout payments of approximately $4.0 million were paid during the three months ended March 31, 2026. The remainder of the first milestone payments of $2.9 million are in accounts payable as of March 31, 2026 awaiting settlement. We achieved the second and final commercial milestone of $200 million in cumulative revenue in the three months ended March 31, 2026.</w:t>
      </w:r>
    </w:p>
    <w:p>
      <w:pPr>
        <w:spacing w:after="0" w:line="8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of the fair value hierarchy as of the end of the reporting period. There were no transfers between levels within the hierarchy during the periods presented.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2" w:name="page13"/>
    <w:bookmarkEnd w:id="12"/>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3 liabilities for the three months ended March 31, 2026 and 2025 (in thousands):</w:t>
      </w:r>
    </w:p>
    <w:p>
      <w:pPr>
        <w:spacing w:after="0" w:line="191" w:lineRule="exact"/>
        <w:rPr>
          <w:sz w:val="20"/>
          <w:szCs w:val="20"/>
          <w:color w:val="auto"/>
        </w:rPr>
      </w:pPr>
    </w:p>
    <w:tbl>
      <w:tblPr>
        <w:tblLayout w:type="fixed"/>
        <w:tblInd w:w="208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03"/>
        </w:trPr>
        <w:tc>
          <w:tcPr>
            <w:tcW w:w="4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Contingent</w:t>
            </w:r>
          </w:p>
        </w:tc>
      </w:tr>
      <w:tr>
        <w:trPr>
          <w:trHeight w:val="215"/>
        </w:trPr>
        <w:tc>
          <w:tcPr>
            <w:tcW w:w="4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60" w:type="dxa"/>
            <w:vAlign w:val="bottom"/>
          </w:tcPr>
          <w:p>
            <w:pPr>
              <w:spacing w:after="0"/>
              <w:rPr>
                <w:sz w:val="18"/>
                <w:szCs w:val="18"/>
                <w:color w:val="auto"/>
              </w:rPr>
            </w:pPr>
          </w:p>
        </w:tc>
      </w:tr>
      <w:tr>
        <w:trPr>
          <w:trHeight w:val="19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2026</w:t>
            </w:r>
          </w:p>
        </w:tc>
        <w:tc>
          <w:tcPr>
            <w:tcW w:w="6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20,327</w:t>
            </w:r>
          </w:p>
        </w:tc>
        <w:tc>
          <w:tcPr>
            <w:tcW w:w="60" w:type="dxa"/>
            <w:vAlign w:val="bottom"/>
            <w:shd w:val="clear" w:color="auto" w:fill="CFF0FC"/>
          </w:tcPr>
          <w:p>
            <w:pPr>
              <w:spacing w:after="0"/>
              <w:rPr>
                <w:sz w:val="17"/>
                <w:szCs w:val="17"/>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milestone payments</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(4,044)</w:t>
            </w:r>
          </w:p>
        </w:tc>
      </w:tr>
      <w:tr>
        <w:trPr>
          <w:trHeight w:val="20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Contingent consideration milestone liability in accounts payable</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(2,921)</w:t>
            </w: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value of contingent liability</w:t>
            </w:r>
          </w:p>
        </w:tc>
        <w:tc>
          <w:tcPr>
            <w:tcW w:w="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60" w:type="dxa"/>
            <w:vAlign w:val="bottom"/>
          </w:tcPr>
          <w:p>
            <w:pPr>
              <w:spacing w:after="0"/>
              <w:rPr>
                <w:sz w:val="17"/>
                <w:szCs w:val="17"/>
                <w:color w:val="auto"/>
              </w:rPr>
            </w:pPr>
          </w:p>
        </w:tc>
      </w:tr>
      <w:tr>
        <w:trPr>
          <w:trHeight w:val="23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3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7" w:lineRule="exact"/>
        <w:rPr>
          <w:sz w:val="20"/>
          <w:szCs w:val="20"/>
          <w:color w:val="auto"/>
        </w:rPr>
      </w:pPr>
    </w:p>
    <w:tbl>
      <w:tblPr>
        <w:tblLayout w:type="fixed"/>
        <w:tblInd w:w="208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03"/>
        </w:trPr>
        <w:tc>
          <w:tcPr>
            <w:tcW w:w="3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Contingent</w:t>
            </w:r>
          </w:p>
        </w:tc>
      </w:tr>
      <w:tr>
        <w:trPr>
          <w:trHeight w:val="215"/>
        </w:trPr>
        <w:tc>
          <w:tcPr>
            <w:tcW w:w="3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60" w:type="dxa"/>
            <w:vAlign w:val="bottom"/>
          </w:tcPr>
          <w:p>
            <w:pPr>
              <w:spacing w:after="0"/>
              <w:rPr>
                <w:sz w:val="18"/>
                <w:szCs w:val="18"/>
                <w:color w:val="auto"/>
              </w:rPr>
            </w:pPr>
          </w:p>
        </w:tc>
      </w:tr>
      <w:tr>
        <w:trPr>
          <w:trHeight w:val="19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5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14,791</w:t>
            </w:r>
          </w:p>
        </w:tc>
        <w:tc>
          <w:tcPr>
            <w:tcW w:w="6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value of contingent liability</w:t>
            </w:r>
          </w:p>
        </w:tc>
        <w:tc>
          <w:tcPr>
            <w:tcW w:w="1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w:t>
            </w:r>
          </w:p>
        </w:tc>
        <w:tc>
          <w:tcPr>
            <w:tcW w:w="60" w:type="dxa"/>
            <w:vAlign w:val="bottom"/>
          </w:tcPr>
          <w:p>
            <w:pPr>
              <w:spacing w:after="0"/>
              <w:rPr>
                <w:sz w:val="17"/>
                <w:szCs w:val="17"/>
                <w:color w:val="auto"/>
              </w:rPr>
            </w:pPr>
          </w:p>
        </w:tc>
      </w:tr>
      <w:tr>
        <w:trPr>
          <w:trHeight w:val="236"/>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17,758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Less: Reserve for excess and obsolete inventory</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inventory, net</w:t>
            </w:r>
          </w:p>
        </w:tc>
        <w:tc>
          <w:tcPr>
            <w:tcW w:w="6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17,308</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629"/>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960" w:type="dxa"/>
            <w:vAlign w:val="bottom"/>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reserve for rebates, returns, and other incentives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14,031</w:t>
            </w:r>
          </w:p>
        </w:tc>
        <w:tc>
          <w:tcPr>
            <w:tcW w:w="80" w:type="dxa"/>
            <w:vAlign w:val="bottom"/>
            <w:shd w:val="clear" w:color="auto" w:fill="CFF0FC"/>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1,902</w:t>
            </w:r>
          </w:p>
        </w:tc>
        <w:tc>
          <w:tcPr>
            <w:tcW w:w="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679</w:t>
            </w:r>
          </w:p>
        </w:tc>
        <w:tc>
          <w:tcPr>
            <w:tcW w:w="80" w:type="dxa"/>
            <w:vAlign w:val="bottom"/>
            <w:shd w:val="clear" w:color="auto" w:fill="CFF0FC"/>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income tax payable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 site costs</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FF0FC"/>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53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18,198</w:t>
            </w:r>
          </w:p>
        </w:tc>
        <w:tc>
          <w:tcPr>
            <w:tcW w:w="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-1902460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-1885315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-1902460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-1885315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514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On June 13, 2024, the Company entered into an office lease in Redwood City, California for its headquarters facility. The lease provides office space of approximately 18,026 square feet and for base monthly rent payments beginning at $57,400 that increase annually by approximately 3.0% over the term of five years from the date of occupancy. In addition to base rent, the Company has agreed to reimburse the landlord for certain operating expenses under the terms of the lease. The lease commencement date was September 1, 2024 when the premises became available for occupancy. The Company’s operating lease for its predecessor headquarters facility office space in Redwood City, California began on June 1, 2023 and expired in May 2025.</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 w:name="page14"/>
    <w:bookmarkEnd w:id="13"/>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November 25, 2025, the Company executed an amendment to its office lease in Redwood City, California for additional office space for its headquarters facility. The amendment provides additional office space of approximately 17,779 square feet and for base monthly rent payments beginning at $32,747 that increase annually to $79,650 in the final year of the lease in 2029. In addition to base rent, the Company has agreed to reimburse the landlord for certain operating expenses under the terms of the lease. The amended lease commencement date was March 10, 2026 when the premises became available for occupancy and the related operating lease ROU assets and liabilities were recorded in the Company's condensed consolidated balance sheet as of March 31, 2026.</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operating lease right-of-use (ROU) assets, current operating lease liabilities and long-term operating lease liabilities each appear as a separate line within the Company's condensed consolidated balance sheets. In September 2024, the Company recorded an increase to its ROU assets by $2.8 million and an increase to its lease liability of $2.8 million as a result of the June 2024 office lease. In March 2026, the Company recorded an increase to its ROU assets by $1.8 million and an increase to its lease liability of $1.8 million as a result of the November 2025 office lease. As of March 31, 2026 and December 31, 2025, the Company's short-term lease liabilities were equal to $1.2 million and $0.7 million, respectively, and the long-term operating lease liabilities were equal to $3.2 million and $2.0 million, respectively.</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discount rate related to the Company's lease liabilities was 9.6% as of March 31, 2026 over a remaining term of 3.4 years, and 8.5% as of December 31, 2025 over a remaining term of 3.7 years. The discount rate was determined based on estimates of the Company’s incremental borrowing rate, as the discount rate implicit in the lease cannot be readily determined.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35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40" w:type="dxa"/>
        <w:tblCellMar>
          <w:top w:w="0" w:type="dxa"/>
          <w:left w:w="0" w:type="dxa"/>
          <w:bottom w:w="0" w:type="dxa"/>
          <w:right w:w="0" w:type="dxa"/>
        </w:tblCellMar>
      </w:tblPr>
      <w:tr>
        <w:trPr>
          <w:trHeight w:val="142"/>
        </w:trPr>
        <w:tc>
          <w:tcPr>
            <w:tcW w:w="50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400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Variable lease cost</w:t>
            </w:r>
          </w:p>
        </w:tc>
        <w:tc>
          <w:tcPr>
            <w:tcW w:w="3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lease cost</w:t>
            </w:r>
          </w:p>
        </w:tc>
        <w:tc>
          <w:tcPr>
            <w:tcW w:w="3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49"/>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3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327"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9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r>
    </w:tbl>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schedule by year of future maturities of the Company's operating lease liabilities as of March 31, 2026 (in thousands):</w:t>
      </w:r>
    </w:p>
    <w:p>
      <w:pPr>
        <w:spacing w:after="0" w:line="35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39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2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32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-8255</wp:posOffset>
            </wp:positionV>
            <wp:extent cx="596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agreements in the normal course of business, including with contract research organizations for clinical trials, contract manufacturing organizations for certain manufacturing services and supplies, and vendors for preclinical studies as well as other services and products for operating purposes, which are generally cancelable upon written notice. As of March 31, 2026, the Company’s non-cancelable other commitments were $16.2 million in the aggregate.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December 17, 2024, the Company entered into a loan and security agreement for up to $200 million with Oxford. The loan is collateralized by substantially all of the Company's assets, including its intellectual property, subject to certain limitations.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of March 31, 2026, the Company had $50.0 million outstanding under the loan and security agreement with Oxford. Under the terms of the loan agreement with Oxford, following FDA approval of VYKAT XR, an additional $50 million became available through September 30, 2025, but was not drawn down. Following the amendment of the loan and security agreement in November 2025, the final three tranches of an aggregate of $100 million may be made available upon mutual consent with Oxford. As a result of a milestone achieved in 2025, the loan carries an interest-only period of 60 months and a total term of 72 months. The term loan accrues interest, payable monthly, at a floating rate equal to, subject to certain conditions, (a) 1-month term SOFR plus (b) 5.50%. As a result of a milestone achieved in 2025, the term loan will begin to amortize in equal monthly installments beginning on February 1, 2030, through the maturity date of December 1, 2030. As a result of a milestone achieved in 2025, the final principal payment will include a fee of 6.5% of the total principal borrowed. The $3.3 million final interest payment related to the $50 million borrowed as of March 31, 2026 is accrued over the term of loan as long-term accrued interest payable. $661 thousand and $525 thousand were accrued as part of other long-term liabilities on the condensed consolidated balance sheet as of March 31, 2026 and December 31, 2025, respectively. Loan issuance costs of $174 thousand were recorded as a reduction of the principal loan balance on the condensed consolidated balance sheet and are amortized as interest expense over the term of the loan.</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outstanding long-term debt consisted of the following (in thousands):</w:t>
      </w:r>
    </w:p>
    <w:p>
      <w:pPr>
        <w:spacing w:after="0" w:line="3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50"/>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the components of interest expense related to the long-term debt (in thousands):</w:t>
      </w:r>
    </w:p>
    <w:p>
      <w:pPr>
        <w:spacing w:after="0" w:line="354" w:lineRule="exact"/>
        <w:rPr>
          <w:sz w:val="20"/>
          <w:szCs w:val="20"/>
          <w:color w:val="auto"/>
        </w:rPr>
      </w:pPr>
    </w:p>
    <w:tbl>
      <w:tblPr>
        <w:tblLayout w:type="fixed"/>
        <w:tblInd w:w="52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5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based on contractual loan rate</w:t>
            </w:r>
          </w:p>
        </w:tc>
        <w:tc>
          <w:tcPr>
            <w:tcW w:w="166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4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 and accretion of final interest payment</w:t>
            </w:r>
          </w:p>
        </w:tc>
        <w:tc>
          <w:tcPr>
            <w:tcW w:w="5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r>
      <w:tr>
        <w:trPr>
          <w:trHeight w:val="22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expense</w:t>
            </w:r>
          </w:p>
        </w:tc>
        <w:tc>
          <w:tcPr>
            <w:tcW w:w="166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4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FF0FC"/>
          </w:tcPr>
          <w:p>
            <w:pPr>
              <w:spacing w:after="0"/>
              <w:rPr>
                <w:sz w:val="19"/>
                <w:szCs w:val="19"/>
                <w:color w:val="auto"/>
              </w:rPr>
            </w:pPr>
          </w:p>
        </w:tc>
      </w:tr>
      <w:tr>
        <w:trPr>
          <w:trHeight w:val="20"/>
        </w:trPr>
        <w:tc>
          <w:tcPr>
            <w:tcW w:w="59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-8255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loan and security agreement provides for both affirmative and negative covenants, including covenants limiting the ability of the Company and their subsidiaries to, among other things, dispose of assets, incur debt, grant liens, pay dividends and distributions on their capital stock, make investments and acquisitions, and enter into transactions with affiliates, in each case subject to customary exceptions for a loan facility of this size and type. In addition, the loan and security agreement contains a minimum revenue covenant commencing on the earlier of the date that more than $50 million principal amount of term loans have been funded under the loan and security agreement and June 30, 2026; provided that such minimum revenue covenant shall not be tested during periods when the Company’s market capitalization or unrestricted cash meet certain minimum thresholds. The occurrence of an event of default could result in the acceleration of the Company’s obligations under the loan and security agreement, the termination of the lenders’ commitments, a 5.0% increase in the applicable rate of interest and the exercise by the lender of other rights and remedies provided for under the loan and security agreement. The Company was in compliance with all applicable debt covenants as of March 31, 2026.</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authorized to issue 10,000,000 shares of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2025 Accelerated Share Repurchase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November 10, 2025, the Company entered into an accelerated share repurchase agreement (the ASR Agreement) with Jefferies LLC (Jefferies) to repurchase an aggregate amount of $100.0 million of its common stock. Under the ASR agreement, the Company made an aggregate upfront payment of $100.0 million to Jefferies and received an initial delivery of 1,511,553 shares of its common stock on November 12, 2025, based on the closing price of the Company's common stock on November 10, 2025. Pursuant to the terms of the ASR Agreement, Jefferies delivered 662,497 additional shares of the Company's common stock to the Company in January 2026, bringing the aggregate number of shares repurchased under the ASR Agreement to 2,174,050 shares.</w:t>
      </w:r>
    </w:p>
    <w:p>
      <w:pPr>
        <w:spacing w:after="0" w:line="18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Shares of common stock repurchased under the ASR Agreement are immediately retired upon receipt and returned to authorized and unissued status. Repurchased common stock is reflected as a reduction of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2025 Public Offering of Common Stock</w:t>
      </w:r>
    </w:p>
    <w:p>
      <w:pPr>
        <w:spacing w:after="0" w:line="22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July 2025, the Company closed an underwritten public offering of 2,705,882 shares of its common stock at a public offering price of $85.00 per share, which included the exercise in full by the underwriters of their option to purchase additional shares. The gross proceeds of the public offering were $230.0 million, before deducting the underwriter discount and other offering expenses, totaling approximately $14.3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2024 Public Offering of Common Stock</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2023 Public Offering of Common Stock and Concurrent Private Placement of Common Stock and Pre-Funded Warrants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approximately $60.0 million for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pre-funded warrant of $19.99.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2022 Securities Purchase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warrants were separated into two tranches with 8,598,870 Tranche A Warrants with an exercise price of $1.75 per share and aggregate proceeds of up to approximately $15.0 million, and 14,000,000 Tranche B Warrants with an exercise price of $2.50 per share and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 Tranche A warrants. The Tranche B warrants were also immediately exercisable and, following the FDA's approval of VYKAT XR,</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16" w:name="page17"/>
    <w:bookmarkEnd w:id="16"/>
    <w:p>
      <w:pPr>
        <w:ind w:right="200"/>
        <w:spacing w:after="0" w:line="282" w:lineRule="auto"/>
        <w:rPr>
          <w:sz w:val="20"/>
          <w:szCs w:val="20"/>
          <w:color w:val="auto"/>
        </w:rPr>
      </w:pPr>
      <w:r>
        <w:rPr>
          <w:rFonts w:ascii="Times New Roman" w:cs="Times New Roman" w:eastAsia="Times New Roman" w:hAnsi="Times New Roman"/>
          <w:sz w:val="18"/>
          <w:szCs w:val="18"/>
          <w:color w:val="auto"/>
        </w:rPr>
        <w:t>the remainder of these warrants were exercised. The Company received an aggregate of $35.0 million from the exercise of the Tranche B warrants. As of March 31, 2026, there were no remaining warrants outstanding under the Securities Purchase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2022 Public Offering of Common Stock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March 31, 2022, the Company sold 2,666,667 shares of its common stock at a public offering price of $3.75 per share,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76"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Through March 31, 2026, 2,150,406 of the March 2022 common warrants had been exercised for gross proceeds of $9.7 million and 1,847,995 warrants were exercised using the cashless exercise option with no proceeds to the Company. As of March 31, 2026, 1,599 of the March 2022 common warrants remained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July 2024, the Company entered into the Sales Agreement with Jefferies, pursuant to which the Company may offer and sell up to $150.0 million of shares of its common stock, from time to time, through Jefferies.</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will pay Jefferies a commission of 3.0% of the aggregate gross proceeds from the sale of shares and has agreed to provide Jefferies with customary indemnification and contribution rights. The Company has also agreed to reimburse Jefferies for certain specified expenses. The Company is not obligated to sell any shares under the Sales Agreement. The offering of the shares pursuant to the Sales Agreement will terminate upon the termination of the Sales Agreement by Jefferies or the Company, as permitted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the following table summarizes the Company's outstanding common stock warrants: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140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20" w:type="dxa"/>
            <w:vAlign w:val="bottom"/>
          </w:tcPr>
          <w:p>
            <w:pPr>
              <w:spacing w:after="0"/>
              <w:rPr>
                <w:sz w:val="10"/>
                <w:szCs w:val="10"/>
                <w:color w:val="auto"/>
              </w:rPr>
            </w:pPr>
          </w:p>
        </w:tc>
        <w:tc>
          <w:tcPr>
            <w:tcW w:w="1480" w:type="dxa"/>
            <w:vAlign w:val="bottom"/>
            <w:gridSpan w:val="2"/>
          </w:tcPr>
          <w:p>
            <w:pPr>
              <w:jc w:val="center"/>
              <w:ind w:left="51"/>
              <w:spacing w:after="0" w:line="11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220" w:type="dxa"/>
            <w:vAlign w:val="bottom"/>
          </w:tcPr>
          <w:p>
            <w:pPr>
              <w:spacing w:after="0"/>
              <w:rPr>
                <w:sz w:val="10"/>
                <w:szCs w:val="10"/>
                <w:color w:val="auto"/>
              </w:rPr>
            </w:pPr>
          </w:p>
        </w:tc>
        <w:tc>
          <w:tcPr>
            <w:tcW w:w="138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00" w:type="dxa"/>
            <w:vAlign w:val="bottom"/>
          </w:tcPr>
          <w:p>
            <w:pPr>
              <w:spacing w:after="0"/>
              <w:rPr>
                <w:sz w:val="10"/>
                <w:szCs w:val="10"/>
                <w:color w:val="auto"/>
              </w:rPr>
            </w:pPr>
          </w:p>
        </w:tc>
        <w:tc>
          <w:tcPr>
            <w:tcW w:w="1480" w:type="dxa"/>
            <w:vAlign w:val="bottom"/>
            <w:gridSpan w:val="2"/>
          </w:tcPr>
          <w:p>
            <w:pPr>
              <w:jc w:val="center"/>
              <w:ind w:left="30"/>
              <w:spacing w:after="0" w:line="118" w:lineRule="exact"/>
              <w:rPr>
                <w:sz w:val="20"/>
                <w:szCs w:val="20"/>
                <w:color w:val="auto"/>
              </w:rPr>
            </w:pPr>
            <w:r>
              <w:rPr>
                <w:rFonts w:ascii="Times New Roman" w:cs="Times New Roman" w:eastAsia="Times New Roman" w:hAnsi="Times New Roman"/>
                <w:sz w:val="13"/>
                <w:szCs w:val="13"/>
                <w:b w:val="1"/>
                <w:bCs w:val="1"/>
                <w:color w:val="auto"/>
              </w:rPr>
              <w:t>Weighted-Average</w:t>
            </w:r>
          </w:p>
        </w:tc>
        <w:tc>
          <w:tcPr>
            <w:tcW w:w="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left="51"/>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left="5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26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4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2022 Common warrants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760" w:type="dxa"/>
            <w:vAlign w:val="bottom"/>
            <w:gridSpan w:val="2"/>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18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October 2023 Pre-funded warrants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760" w:type="dxa"/>
            <w:vAlign w:val="bottom"/>
            <w:gridSpan w:val="2"/>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1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1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-24765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the Amended and Restated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On February 25, 2026, the Company filed a Registration Statement on Form S-8, which registered an additional 2,091,475 shares that automatically became available for issuance under the 2014 Plan as of January 1, 2026. As of March 31, 2026, a total of 1,124,456 shares were available for future grant under the 2014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Plan</w:t>
      </w:r>
    </w:p>
    <w:p>
      <w:pPr>
        <w:spacing w:after="0" w:line="14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 total of 23,068 shares were available for future grant under the Inducement Plan.</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condensed consolidated statements of operations and comprehensive income (loss) for stock-based compensation arrangements during any of the periods presented.</w:t>
      </w:r>
    </w:p>
    <w:p>
      <w:pPr>
        <w:spacing w:after="0" w:line="72" w:lineRule="exact"/>
        <w:rPr>
          <w:sz w:val="20"/>
          <w:szCs w:val="20"/>
          <w:color w:val="auto"/>
        </w:rPr>
      </w:pPr>
    </w:p>
    <w:p>
      <w:pPr>
        <w:ind w:right="340" w:firstLine="509"/>
        <w:spacing w:after="0" w:line="257" w:lineRule="auto"/>
        <w:rPr>
          <w:sz w:val="20"/>
          <w:szCs w:val="20"/>
          <w:color w:val="auto"/>
        </w:rPr>
      </w:pPr>
      <w:r>
        <w:rPr>
          <w:rFonts w:ascii="Times New Roman" w:cs="Times New Roman" w:eastAsia="Times New Roman" w:hAnsi="Times New Roman"/>
          <w:sz w:val="18"/>
          <w:szCs w:val="18"/>
          <w:color w:val="auto"/>
        </w:rPr>
        <w:t>Stock-based compensation expense was recognized in the condensed consolidated statements of operations and comprehensive income (loss) as follows (in thousands):</w:t>
      </w:r>
    </w:p>
    <w:tbl>
      <w:tblPr>
        <w:tblLayout w:type="fixed"/>
        <w:tblInd w:w="1580" w:type="dxa"/>
        <w:tblCellMar>
          <w:top w:w="0" w:type="dxa"/>
          <w:left w:w="0" w:type="dxa"/>
          <w:bottom w:w="0" w:type="dxa"/>
          <w:right w:w="0" w:type="dxa"/>
        </w:tblCellMar>
      </w:tblPr>
      <w:tr>
        <w:trPr>
          <w:trHeight w:val="156"/>
        </w:trPr>
        <w:tc>
          <w:tcPr>
            <w:tcW w:w="3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80" w:type="dxa"/>
            <w:vAlign w:val="bottom"/>
            <w:tcBorders>
              <w:bottom w:val="single" w:sz="8" w:color="auto"/>
            </w:tcBorders>
            <w:gridSpan w:val="4"/>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3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shd w:val="clear" w:color="auto" w:fill="CFF0FC"/>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80" w:type="dxa"/>
            <w:vAlign w:val="bottom"/>
          </w:tcPr>
          <w:p>
            <w:pPr>
              <w:spacing w:after="0"/>
              <w:rPr>
                <w:sz w:val="18"/>
                <w:szCs w:val="18"/>
                <w:color w:val="auto"/>
              </w:rPr>
            </w:pPr>
          </w:p>
        </w:tc>
      </w:tr>
      <w:tr>
        <w:trPr>
          <w:trHeight w:val="230"/>
        </w:trPr>
        <w:tc>
          <w:tcPr>
            <w:tcW w:w="3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80" w:type="dxa"/>
            <w:vAlign w:val="bottom"/>
            <w:shd w:val="clear" w:color="auto" w:fill="CFF0FC"/>
          </w:tcPr>
          <w:p>
            <w:pPr>
              <w:spacing w:after="0"/>
              <w:rPr>
                <w:sz w:val="19"/>
                <w:szCs w:val="19"/>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431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After the FDA approval of VYKAT XR in March 2025, the Company began capitalizing stock-based compensation associated with the allocation of labor costs related to work performed to manufacture VYKAT XR. For the three months ended March 31, 2026, the Company capitalized into inventory $0.5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granted options to purchase 577,525 and 587,161 shares of the Company’s common stock to employees during the three months ended March 31, 2026 and 2025, respectively. The Company granted options to purchase 3,600 shares of the Company's stock to a consultant during the three months ended March 31, 2025. There were no performance-based options granted during the three months ended March 31, 2026 and 2025, respectively. The fair value of each award granted was estimated on the date of grant using the Black-Scholes option pricing model with the following assumptions:</w:t>
      </w:r>
    </w:p>
    <w:p>
      <w:pPr>
        <w:spacing w:after="0" w:line="272"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372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458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6.0-6.1</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7"/>
              </w:rPr>
              <w:t>5.9-6.1</w:t>
            </w:r>
          </w:p>
        </w:tc>
        <w:tc>
          <w:tcPr>
            <w:tcW w:w="22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3.6%-3.9%</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4.1%-4.7%</w:t>
            </w:r>
          </w:p>
        </w:tc>
        <w:tc>
          <w:tcPr>
            <w:tcW w:w="22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115%-117%</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118%-120%</w:t>
            </w:r>
          </w:p>
        </w:tc>
        <w:tc>
          <w:tcPr>
            <w:tcW w:w="220" w:type="dxa"/>
            <w:vAlign w:val="bottom"/>
            <w:shd w:val="clear" w:color="auto" w:fill="CFF0FC"/>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r>
    </w:tbl>
    <w:p>
      <w:pPr>
        <w:spacing w:after="0" w:line="7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900" w:right="160" w:hanging="383"/>
        <w:spacing w:after="0" w:line="258"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period of time that the options are expected to be outstanding. Due to the lack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8" w:name="page19"/>
    <w:bookmarkEnd w:id="18"/>
    <w:p>
      <w:pPr>
        <w:ind w:left="900" w:hanging="383"/>
        <w:spacing w:after="0" w:line="28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life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 options.</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is based on the volatilities of the Company’s common stock for a historical period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stock options.</w:t>
      </w:r>
    </w:p>
    <w:p>
      <w:pPr>
        <w:spacing w:after="0" w:line="50" w:lineRule="exact"/>
        <w:rPr>
          <w:rFonts w:ascii="Times New Roman" w:cs="Times New Roman" w:eastAsia="Times New Roman" w:hAnsi="Times New Roman"/>
          <w:sz w:val="18"/>
          <w:szCs w:val="18"/>
          <w:color w:val="auto"/>
        </w:rPr>
      </w:pPr>
    </w:p>
    <w:p>
      <w:pPr>
        <w:ind w:left="900" w:right="800" w:hanging="383"/>
        <w:spacing w:after="0" w:line="28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three months ended March 31, 2026 under the 2014 Plan and the Inducement Plan: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4,032,109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38.56</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47,415</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577,525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41.95</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(8,944)</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(87,890)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51.00</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4,512,800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38.82</w:t>
            </w:r>
          </w:p>
        </w:tc>
        <w:tc>
          <w:tcPr>
            <w:tcW w:w="13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8.18</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27,249</w:t>
            </w:r>
          </w:p>
        </w:tc>
        <w:tc>
          <w:tcPr>
            <w:tcW w:w="0" w:type="dxa"/>
            <w:vAlign w:val="bottom"/>
          </w:tcPr>
          <w:p>
            <w:pPr>
              <w:spacing w:after="0"/>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2026</w:t>
            </w:r>
          </w:p>
        </w:tc>
        <w:tc>
          <w:tcPr>
            <w:tcW w:w="14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1,819,487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26.84</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7.04</w:t>
            </w:r>
          </w:p>
        </w:tc>
        <w:tc>
          <w:tcPr>
            <w:tcW w:w="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22,781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expected to vest at March 31, 2026</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4,512,800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38.82</w:t>
            </w:r>
          </w:p>
        </w:tc>
        <w:tc>
          <w:tcPr>
            <w:tcW w:w="132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8.18</w:t>
            </w:r>
          </w:p>
        </w:tc>
        <w:tc>
          <w:tcPr>
            <w:tcW w:w="2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-351155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-334010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$36.15 and $43.23 per share for the three months ended March 31, 2026 and 2025, respectively. The intrinsic value of the stock options exercised was $0.3 million and $54.8 million for the three months ended March 31, 2026 and 2025, respectively. At March 31, 2026, total unrecognized employee stock-based compensation for options that are expected to vest was $103.6 million, which is expected to be recognized over the weighted-average remaining vesting period of 3.0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There were 835,911 and 222,626 restricted stock units granted to employees by the Company during the three months ended March 31, 2026 and 2025, respectively. The shares were valued based on the Company’s common stock price on the grant date.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unit transactions for the three months ended March 31, 2026 under the 2014 Plan: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73"/>
        </w:trPr>
        <w:tc>
          <w:tcPr>
            <w:tcW w:w="85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443,291</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56.47</w:t>
            </w: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835,911</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16"/>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(84,850)</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48.68</w:t>
            </w:r>
          </w:p>
        </w:tc>
        <w:tc>
          <w:tcPr>
            <w:tcW w:w="0" w:type="dxa"/>
            <w:vAlign w:val="bottom"/>
          </w:tcPr>
          <w:p>
            <w:pPr>
              <w:spacing w:after="0"/>
              <w:rPr>
                <w:sz w:val="1"/>
                <w:szCs w:val="1"/>
                <w:color w:val="auto"/>
              </w:rPr>
            </w:pPr>
          </w:p>
        </w:tc>
      </w:tr>
      <w:tr>
        <w:trPr>
          <w:trHeight w:val="216"/>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canceled/forfeited</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(35,798)</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52.68</w:t>
            </w:r>
          </w:p>
        </w:tc>
        <w:tc>
          <w:tcPr>
            <w:tcW w:w="0" w:type="dxa"/>
            <w:vAlign w:val="bottom"/>
          </w:tcPr>
          <w:p>
            <w:pPr>
              <w:spacing w:after="0"/>
              <w:rPr>
                <w:sz w:val="1"/>
                <w:szCs w:val="1"/>
                <w:color w:val="auto"/>
              </w:rPr>
            </w:pPr>
          </w:p>
        </w:tc>
      </w:tr>
      <w:tr>
        <w:trPr>
          <w:trHeight w:val="249"/>
        </w:trPr>
        <w:tc>
          <w:tcPr>
            <w:tcW w:w="8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1,158,554</w:t>
            </w: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all restricted stock units granted was $42.50 and $49.17 per share during the three months ended March 31, 2026 and 2025, respectively. The fair value of all restricted stock units vested during the three months ended March 31, 2026 and 2025 was $2.7 million and $39.2 million, respectively. At March 31, 2026, total unrecognized employee stock-based compensation related to restricted stock units was $40.4 million, which is expected to be recognized over the weighted-average remaining vesting period of 2.1 years.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Certain directors have elected to delay the issuance of their vested restricted stock units granted under the 2014 Plan. A portion of these RSUs have vested as of March 31, 2026 based on the applicable service periods, but the issuance of common stock has been deferred until a future date when the directors' service to the Company terminates, or there is a change in control of the Company. The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9" w:name="page20"/>
    <w:bookmarkEnd w:id="19"/>
    <w:p>
      <w:pPr>
        <w:ind w:right="460"/>
        <w:spacing w:after="0" w:line="282" w:lineRule="auto"/>
        <w:rPr>
          <w:sz w:val="20"/>
          <w:szCs w:val="20"/>
          <w:color w:val="auto"/>
        </w:rPr>
      </w:pPr>
      <w:r>
        <w:rPr>
          <w:rFonts w:ascii="Times New Roman" w:cs="Times New Roman" w:eastAsia="Times New Roman" w:hAnsi="Times New Roman"/>
          <w:sz w:val="18"/>
          <w:szCs w:val="18"/>
          <w:color w:val="auto"/>
        </w:rPr>
        <w:t>grant-date fair value of these 6,500 shares is $0.3 million, which has been recognized as stock-based compensation expense over the requisite service period in the condensed consolidated statements of operations and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and stockholders have adopted the 2014 Employee Stock Purchase Plan (the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75"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shares of the Company’s common stock on the first day of such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3,729 shares;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determined by the board of directors.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there were no purchases by employees under this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an income tax provision of $3.5 million and zero, respectively. The Company's effective income tax rates were 9.85% and 0% for the three months ended March 31, 2026 and 2025, respectively. The increase in the effective tax rate for the three months ended March 31, 2026 is due to current taxes payable as a result of the Company being profitable for the three months ended March 31, 2026 and generating a loss for the three months ended March 31, 2025.</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the realizability of its deferred tax assets by assessing the valuation allowance and making adjustments to the allowance as necessary. The factors used in assessing the likelihood of realization include forecasts of future taxable income and available tax planning strategies that could be implemented. The Company's ability to achieve forecasted taxable income in the applicable taxing jurisdictions could affect the ultimate realization of its deferred tax assets. As of March 31, 2026 and December 31, 2025, the Company carried a full valuation allowance. Based on future operating results in certain jurisdictions, it is possible that the current valuation allowance positions of those jurisdictions could be adjusted during the next 12 months.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Income (Loss) per Share</w:t>
      </w:r>
    </w:p>
    <w:p>
      <w:pPr>
        <w:spacing w:after="0" w:line="12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Basic net income (loss) per share is computed by dividing net income (loss) by the weighted-average number of common stock outstanding during the period. Shares of common stock that are potentially issuable for little or no cash consideration at issuance, such as the Company's pre-funded warrants issued in October 2023, are considered outstanding common stock and are included in the calculation of basic and diluted net loss per share in connection with </w:t>
      </w:r>
      <w:r>
        <w:rPr>
          <w:rFonts w:ascii="Times New Roman" w:cs="Times New Roman" w:eastAsia="Times New Roman" w:hAnsi="Times New Roman"/>
          <w:sz w:val="18"/>
          <w:szCs w:val="18"/>
          <w:i w:val="1"/>
          <w:iCs w:val="1"/>
          <w:color w:val="auto"/>
        </w:rPr>
        <w:t>ASC 260 Earnings Per Share</w:t>
      </w:r>
      <w:r>
        <w:rPr>
          <w:rFonts w:ascii="Times New Roman" w:cs="Times New Roman" w:eastAsia="Times New Roman" w:hAnsi="Times New Roman"/>
          <w:sz w:val="18"/>
          <w:szCs w:val="18"/>
          <w:color w:val="auto"/>
        </w:rPr>
        <w:t>. Diluted net income (loss) per share is computed by dividing net income (loss) by the weighted-average number of shares of common stock outstanding and dilutive potential common stock that would be issued upon the exercise or vesting of common stock awards and exercise of common stock warrants that are not pre-funded using the treasury stock method which would result in the issuance of incremental shares of common stock. The Company applies the two-class method to calculate basic and diluted earnings per share as its warrants issued in March 2022 are participating securities. However, the two-class method does not impact the net loss per share of common stock as the March 2022 and May 2023 common warrants issued do not participate in losses. For the three months ended March 31, 2025, the effect of issuing potential common stock is anti-dilutive due to the net loss in the period and therefore the number of shares used to compute basic and diluted net loss per share are the same in the period.</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securities are included in the weighted-average common shares outstanding used to calculate basic and diluted net income (loss) per common share:</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0" w:name="page21"/>
    <w:bookmarkEnd w:id="20"/>
    <w:tbl>
      <w:tblPr>
        <w:tblLayout w:type="fixed"/>
        <w:tblInd w:w="11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4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31,378</w:t>
            </w:r>
          </w:p>
        </w:tc>
        <w:tc>
          <w:tcPr>
            <w:tcW w:w="18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Undistributed earnings attributable to</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participating securities</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6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common stockholders -</w:t>
            </w:r>
          </w:p>
        </w:tc>
        <w:tc>
          <w:tcPr>
            <w:tcW w:w="240" w:type="dxa"/>
            <w:vAlign w:val="bottom"/>
            <w:tcBorders>
              <w:top w:val="single" w:sz="8" w:color="CFF0FC"/>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(43,773)</w:t>
            </w: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51,841,047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45,928,793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October 2023 pre-funded warrants</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 basic</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52,091,047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46,178,793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 diluted</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53,066,971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46,178,793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tcPr>
          <w:p>
            <w:pPr>
              <w:spacing w:after="0"/>
              <w:rPr>
                <w:sz w:val="24"/>
                <w:szCs w:val="24"/>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-2108200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-2108200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-436880</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-419735</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-436880</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-419735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 of diluted net income (loss) per share because their effect would have been anti-dilutive for the periods presented:</w:t>
      </w:r>
    </w:p>
    <w:p>
      <w:pPr>
        <w:spacing w:after="0" w:line="155" w:lineRule="exact"/>
        <w:rPr>
          <w:sz w:val="20"/>
          <w:szCs w:val="20"/>
          <w:color w:val="auto"/>
        </w:rPr>
      </w:pPr>
    </w:p>
    <w:tbl>
      <w:tblPr>
        <w:tblLayout w:type="fixed"/>
        <w:tblInd w:w="148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40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280" w:type="dxa"/>
            <w:vAlign w:val="bottom"/>
          </w:tcPr>
          <w:p>
            <w:pPr>
              <w:spacing w:after="0"/>
              <w:rPr>
                <w:sz w:val="12"/>
                <w:szCs w:val="12"/>
                <w:color w:val="auto"/>
              </w:rPr>
            </w:pPr>
          </w:p>
        </w:tc>
        <w:tc>
          <w:tcPr>
            <w:tcW w:w="1720" w:type="dxa"/>
            <w:vAlign w:val="bottom"/>
            <w:tcBorders>
              <w:top w:val="single" w:sz="8" w:color="auto"/>
              <w:bottom w:val="single" w:sz="8" w:color="auto"/>
            </w:tcBorders>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2022 common warrants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516,265</w:t>
            </w:r>
          </w:p>
        </w:tc>
        <w:tc>
          <w:tcPr>
            <w:tcW w:w="28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May 2023 Tranche B warrants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870,628</w:t>
            </w:r>
          </w:p>
        </w:tc>
        <w:tc>
          <w:tcPr>
            <w:tcW w:w="28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3,244,851</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3,406,719</w:t>
            </w:r>
          </w:p>
        </w:tc>
        <w:tc>
          <w:tcPr>
            <w:tcW w:w="28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793,747</w:t>
            </w:r>
          </w:p>
        </w:tc>
        <w:tc>
          <w:tcPr>
            <w:tcW w:w="30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361,991</w:t>
            </w:r>
          </w:p>
        </w:tc>
        <w:tc>
          <w:tcPr>
            <w:tcW w:w="280" w:type="dxa"/>
            <w:vAlign w:val="bottom"/>
          </w:tcPr>
          <w:p>
            <w:pPr>
              <w:spacing w:after="0"/>
              <w:rPr>
                <w:sz w:val="18"/>
                <w:szCs w:val="18"/>
                <w:color w:val="auto"/>
              </w:rPr>
            </w:pPr>
          </w:p>
        </w:tc>
      </w:tr>
      <w:tr>
        <w:trPr>
          <w:trHeight w:val="250"/>
        </w:trPr>
        <w:tc>
          <w:tcPr>
            <w:tcW w:w="4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4,038,598</w:t>
            </w:r>
          </w:p>
        </w:tc>
        <w:tc>
          <w:tcPr>
            <w:tcW w:w="3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5,155,603</w:t>
            </w:r>
          </w:p>
        </w:tc>
        <w:tc>
          <w:tcPr>
            <w:tcW w:w="2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-24765</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51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one operating and reporting segment focused on the development and commercialization of its sole therapeutic product, VYKAT XR. The Company’s chief operating decision maker (CODM) is the chief executive officer who reviews product revenue, net, and cash operating expenses on a consolidated basis to make decisions about allocating resources and assessing performance for the entire Company. The CODM does not review assets at a level or category different than the amounts disclosed in the condensed consolidated balance sheet.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(in thousands):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0" w:right="359" w:bottom="1440" w:gutter="0" w:footer="0" w:header="0"/>
        </w:sectPr>
      </w:pPr>
    </w:p>
    <w:bookmarkStart w:id="21" w:name="page22"/>
    <w:bookmarkEnd w:id="21"/>
    <w:tbl>
      <w:tblPr>
        <w:tblLayout w:type="fixed"/>
        <w:tblInd w:w="5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18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7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94,603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(43,773)</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total other income, net</w:t>
            </w:r>
          </w:p>
        </w:tc>
        <w:tc>
          <w:tcPr>
            <w:tcW w:w="17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(45,743)</w:t>
            </w:r>
          </w:p>
        </w:tc>
      </w:tr>
      <w:tr>
        <w:trPr>
          <w:trHeight w:val="209"/>
        </w:trPr>
        <w:tc>
          <w:tcPr>
            <w:tcW w:w="2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Less non-cash expenses</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20" w:type="dxa"/>
            <w:vAlign w:val="bottom"/>
          </w:tcPr>
          <w:p>
            <w:pPr>
              <w:spacing w:after="0"/>
              <w:rPr>
                <w:sz w:val="18"/>
                <w:szCs w:val="18"/>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lease expense</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7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(2,967)</w:t>
            </w:r>
          </w:p>
        </w:tc>
      </w:tr>
      <w:tr>
        <w:trPr>
          <w:trHeight w:val="216"/>
        </w:trPr>
        <w:tc>
          <w:tcPr>
            <w:tcW w:w="20" w:type="dxa"/>
            <w:vAlign w:val="bottom"/>
          </w:tcPr>
          <w:p>
            <w:pPr>
              <w:spacing w:after="0"/>
              <w:rPr>
                <w:sz w:val="18"/>
                <w:szCs w:val="18"/>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(14,679)</w:t>
            </w:r>
          </w:p>
        </w:tc>
      </w:tr>
      <w:tr>
        <w:trPr>
          <w:trHeight w:val="250"/>
        </w:trPr>
        <w:tc>
          <w:tcPr>
            <w:tcW w:w="20" w:type="dxa"/>
            <w:vAlign w:val="bottom"/>
          </w:tcPr>
          <w:p>
            <w:pPr>
              <w:spacing w:after="0"/>
              <w:rPr>
                <w:sz w:val="21"/>
                <w:szCs w:val="21"/>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operating expenses</w:t>
            </w:r>
          </w:p>
        </w:tc>
        <w:tc>
          <w:tcPr>
            <w:tcW w:w="176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46,122</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-1439545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-1439545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-1156970</wp:posOffset>
            </wp:positionV>
            <wp:extent cx="603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-1156970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-864870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-864870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April 5, 2026, the Company entered into the Merger Agreement with Neurocrine and Merger Sub, pursuant to which Neurocrine, through Merger Sub, agreed to commence the Offer to purchase all of the issued outstanding shares of the common stock of the Company, at a price per share of $53.00 per share (the Offer Price) in cash. If successful, upon the terms and conditions set forth in the Merger Agreement, the Offer will be followed by a merger of Merger Sub with and into the Company, with the Company continuing as the surviving corporation and as a direct wholly owned subsidiary of Neurocrine (the Merger).</w:t>
      </w:r>
    </w:p>
    <w:p>
      <w:pPr>
        <w:spacing w:after="0" w:line="7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Offer is not subject to any financing condition. Neurocrine and Merger Sub commenced the Offer on April 20, 2026 and must keep the Offer open for 20 business days following the commencement of the Offer (determined as set forth in Rule 14d-1(g)(3) and Rule 14e-1(a) under the Securities Exchange Act of 1934, as amended), subject to possible extension under the terms of the Merger Agreement.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Merger Agreement has been approved by the board of directors of each of Neurocrine, Merger Sub and the Company.</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the Merger and the Merger Agreement does not purport to be complete and is qualified in its entirety by reference to the Merger Agreement, which is filed as Exhibit 2.1 to the Company's Current Report on Form 8-K filed on April 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Withdrawal of Marketing Authorization Application in EU</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April 7, 2026, the Company reported that it has voluntarily withdrawn its marketing authorization application (MAA) for VIOKAT prolonged-release tablets (diazoxide choline), which is marketed in the United States as VYKAT XR. The Company had previously announced that the application has been under review by the European Medicines Agency (EMA), with a decision expected in mid-2026.</w:t>
      </w: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06"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our future financial or operating performance. In some cases, you can identify forward-looking statements because they contain words such as “may,” “will,” “appears,”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any projections of financial information; any statements about our continued commercialization of VYKAT XR, any statements regarding the closing of the tender offer by Neurocrine Biosciences, Inc. to purchase all of our issued and outstanding common stock, any statements about historical results that may suggest trends for our business; any statements of the plans, strategies, and objectives of management for future operations; any statements of expectation or belief regarding future events, our products, product sales, expenses, liquidity, cash flow, market growth rates or enforceability of our intellectual property rights and related litigation expenses; and any statements of assumptions underlying any of the foregoing. We have based these forward-looking statements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known and unknown risks, uncertainties, and other factors described in the section titled “Risk Factors” and elsewhere in this Quarterly Report on Form 10-Q.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 All forward-looking statements are based on information and estimates available to us at the time of filing this Quarterly Report on Form 10-Q and are not guarantees of future performance.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The interim condensed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2025, and the related Management’s Discussion and Analysis of Financial Condition and Results of Operations, contained in our Annual Report on Form 10-K for the year ended December 31,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developing novel therapeutics for the treatment of rare diseases. On March 26, 2025, we announced that our lead product candidate, VYKAT XR (diazoxide choline) extended-release tablets, formerly known as DCCR, had been approved by the U.S. Food and Drug Administration (FDA). VYKAT XR is indicated to treat hyperphagia in adults and pediatric patients four years of age and older with Prader-Willi syndrome (PWS).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began commercial marketing and sales and recognizing revenue during the three months ended June 30, 2025. The transaction price that we recognize as revenue for VYKAT XR sales includes an estimate of variable consideration, which includes rebates, discounts, returns, and copay assistance that are offered within our contract with our specialty pharmacy. Refer to Note 3 of the notes to the unaudited condensed consolidated financial statements included in this Quarterly Report on Form 10-Q for additional information.</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April 6, 2026, we announced that we had entered into an Agreement and Plan of Merger (the Merger Agreement) with Neurocrine Biosciences, Inc. (Neurocrine) and Sigma Merger Sub, Inc. (Merger Sub) on April 5, 2026, pursuant to which Neurocrine, through Merger Sub, agreed to commence a cash tender offer (the Offer) to purchase all of our issued outstanding shares of common stock at a price per share of $53.00 per share. The Offer commenced on April 20, 2026 and is expected to close during the three months ending June 30, 2026, pursuant to the terms of the Merger Agreement, with the result being that we will become a wholly-owned subsidiary of Neurocrine.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upon our unaudited condensed consolidated financial statements, which have been prepared in accordance with accounting principles generally accepted in the United States of America. The preparation of these condensed consolidated financial statements requires us to make estimates and judgments that affect the reported amounts of assets, liabilities, revenues and expenses. On an on-going basis, we evaluate our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spacing w:after="0" w:line="266" w:lineRule="auto"/>
        <w:rPr>
          <w:sz w:val="20"/>
          <w:szCs w:val="20"/>
          <w:color w:val="auto"/>
        </w:rPr>
      </w:pPr>
      <w:r>
        <w:rPr>
          <w:rFonts w:ascii="Times New Roman" w:cs="Times New Roman" w:eastAsia="Times New Roman" w:hAnsi="Times New Roman"/>
          <w:sz w:val="18"/>
          <w:szCs w:val="18"/>
          <w:color w:val="auto"/>
        </w:rPr>
        <w:t>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There have been no significant changes during the three months ended March 31, 2026 compared to those previously disclosed in “Critical Accounting Policies and Estimates” in “Management’s Discussion and Analysis of Financial Condition and Results of Operations” included in our Annual Report on Form 10-K for the year ended December 31, 2025. Our significant accounting policies are more fully described in Note 3 of our most recent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42"/>
        </w:trPr>
        <w:tc>
          <w:tcPr>
            <w:tcW w:w="4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94,603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94,603</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36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50,369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29,259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21,110</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09"/>
        </w:trPr>
        <w:tc>
          <w:tcPr>
            <w:tcW w:w="46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17,582</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77,021</w:t>
            </w:r>
          </w:p>
        </w:tc>
        <w:tc>
          <w:tcPr>
            <w:tcW w:w="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466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20" w:type="dxa"/>
            <w:vAlign w:val="bottom"/>
            <w:tcBorders>
              <w:top w:val="single" w:sz="8" w:color="CFF0FC"/>
            </w:tcBorders>
          </w:tcPr>
          <w:p>
            <w:pPr>
              <w:spacing w:after="0"/>
              <w:rPr>
                <w:sz w:val="18"/>
                <w:szCs w:val="18"/>
                <w:color w:val="auto"/>
              </w:rPr>
            </w:pPr>
          </w:p>
        </w:tc>
        <w:tc>
          <w:tcPr>
            <w:tcW w:w="14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(43,773)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78,686</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(43,773)</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75,151</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-1156970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-1156970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-1156970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-599440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-599440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-599440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$94.6 million for the three months ended March 31, 2026, due to sales of VYKAT XR after FDA approval was obtained in March 2025, compared to zero for the three months ended March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Cost of goods sold was $1.2 million for the three months ended March 31, 2026, due to sales of VYKAT XR after FDA approval was obtained in March 2025, compared to zero for the three months ended March 31, 2025. Prior to receiving FDA approval, costs associated with the manufacturing of VYKAT XR were expensed as research and development expense. As such, a portion of the cost of inventory sold during the period was expensed prior to FDA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$11.3 million for the three months ended March 31, 2026, a decrease of $2.2 million from the three months ended March 31, 2025. Pre-commercial launch and development costs, 2025 MAA submission in Europe, supply chain activities, and clinical activities decreased $2.2 million between comparable periods. The cadence of our research and development expenditures will fluctuate depending upon the state of our clinical programs, the timing of manufacturing and other projects necessary to support the submission of our regulatory filings and research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$50.4 million for the three months ended March 31, 2026, an increase of $21.1 million from the three months ended March 31, 2025. Personnel costs including hiring expense and other associated headcount costs increased $12.7 million as we have hired additional employees in support of our commercial launch and increased business activities. New program costs associated with commercial launch activities, including disease state education, analytics, other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marketing programs, medical affairs and patient advocacy activities increased $7.1 million and costs for international expansion increased $1.2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are anticipated to increase as we continue commercialization of VYKAT XR.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obligated to make cash payments up to a maximum of $20.9 million to the former Essentialis stockholders upon the achievement of certain commercial milestones associated with the sales of VYKAT XR in accordance with the terms of our 2017 merger agreement with Essentialis. We achieved the first commercial milestone of $100 million in cumulative revenue in our fourth quarter 2025 and subsequently paid $4.0 million during the three months ended March 31, 2026 and recorded $2.9 million for the remainder in accounts payable. We achieved the second and final commercial milestone of $200 million in cumulative revenue in our first quarter 2026. The fair value of the second and final payment was $13.8 million as of March 31, 2026. During the three months ended March 31, 2025, the fair value increased by $3.0 million from the $14.8 million fair value as of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had other income (expense), net of $3.6 million in the three months ended March 31, 2026, compared to $2.0 million during the three months ended March 31, 2025. The increase was primarily due to an increase in interest income driven by higher cash and cash equivalents and marketable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had net income of $31.4 million, generated $26.0 million of net cash from operating activities during the three months ended March 31, 2026 and had an accumulated deficit of $400.0 million at March 31, 2026 as a result of losses incurred prior to 2025. We had $133.0 million in cash and cash equivalents, $396.0 million of marketable securities and $268.3 million of working capital on March 31, 2026. We had lease obligations totaling $4.4 million to be paid through August 2029, consisting of two operating leases for office space in Redwood City, California.</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we had $50.0 million outstanding under our loan and security agreement with Oxford. Under the terms of the loan agreement with Oxford, following FDA approval of VYKAT XR, an additional $50 million became available through September 30, 2025, but was not drawn down. Following the amendment of our loan and security agreement in November 2025, the final three tranches of an aggregate of $100 million may be made available upon mutual consent with Oxford. As a result of a milestone achieved in 2025, the loan carries an interest-only period of 60 months and a total term of 72 months. The term loan accrues interest at a floating rate equal to, subject to certain conditions, (a) 1-month term SOFR plus (b) 5.50%.</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2025, we closed an underwritten public offering of 2,705,882 shares of our common stock at a public offering price of $85.00 per share, which included the exercise in full by the underwriters of their option to purchase additional shares of our common stock. The gross proceeds of the public offering were $230.0 million, before deducting the underwriter discount and other offering expenses, totaling approximately $14.3 million.</w:t>
      </w:r>
    </w:p>
    <w:p>
      <w:pPr>
        <w:spacing w:after="0" w:line="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and cash flows from operations will be sufficient to meet the company's working capital needs for the next twelve months. Our long-term capital requirements will depend on several factors, most notably the timing and degree of success of our continued commercialization of VYKAT XR. We believe that we will continue to have access to capital resources through possible public or private equity offerings, debt financings, corporate collaborations or other means, but the access to such capital resources is uncertain and is not assured.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0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(32,752)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30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20" w:type="dxa"/>
            <w:vAlign w:val="bottom"/>
          </w:tcPr>
          <w:p>
            <w:pPr>
              <w:spacing w:after="0"/>
              <w:rPr>
                <w:sz w:val="18"/>
                <w:szCs w:val="18"/>
                <w:color w:val="auto"/>
              </w:rPr>
            </w:pP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62,920</w:t>
            </w:r>
          </w:p>
        </w:tc>
        <w:tc>
          <w:tcPr>
            <w:tcW w:w="160" w:type="dxa"/>
            <w:vAlign w:val="bottom"/>
          </w:tcPr>
          <w:p>
            <w:pPr>
              <w:spacing w:after="0"/>
              <w:rPr>
                <w:sz w:val="18"/>
                <w:szCs w:val="18"/>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(6,597)</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7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operating activities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operating activities provided net cash of $26.0 million, which was primarily due to net income of $31.4 million which included $16.1 million of stock-based compensation, $0.5 million of depreciation and amortization, $0.1 million of non-cash lease expense, non-cash expense of $0.5 million for the change in fair value of contingent consideration, and $0.2 million added back for accretion of premium/discount on marketable securities. Additionally, there was a $22.4 million net increase in cash used during the three months ended March 31, 2026 due to changes in operating assets and liabilities.</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operating activities used net cash of $32.8 million, which was primarily due to net loss of $43.8 million which included $14.7 million of stock-based compensation, $0.5 million of depreciation and amortization, $0.2 million of non-cash lease expense, non-cash expense of $3.0 million for the change in fair value of contingent consideration, and $1.0 million added back for accretion of premium/discount on marketable securities. Additionally, there was a $6.4 million net increase in cash used during the three months ended March 31, 2025 due to changes in operating assets and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used $101.3 million for purchases of marketable securities. We received proceeds of $139.3 million from maturities of marketable securities.</w:t>
      </w:r>
    </w:p>
    <w:p>
      <w:pPr>
        <w:spacing w:after="0" w:line="5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used $45.4 million for purchases of marketable securities. We received proceeds of $68.3 million from maturities of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paid $1.1 million in milestone payments equal to the amount of contingent consideration liability recognized at the Essentialis acquisition date related to achieving the first commercial milestone partially offset by $0.1 million of proceeds from the exercise of stock options.</w:t>
      </w:r>
    </w:p>
    <w:p>
      <w:pPr>
        <w:spacing w:after="0" w:line="17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received $3.0 million from the exercise of common stock warrants. We also received $0.3 million from the exercise of stock options. We paid $0.1 million of debt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had no off-balance sheet arrangements as defined in Item 303(a)(4) of Regulation S-K as promulgated by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See “Recent Accounting Pronouncements” described in Note 3, Basis of Presentation and Summary of Significant Accounting Policies within Notes to the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There have not been any material changes to our exposure to market risk during the three months ended March 31, 2026. For additional information regarding market risk, refer to Part II, Item </w:t>
      </w:r>
      <w:r>
        <w:rPr>
          <w:rFonts w:ascii="Times New Roman" w:cs="Times New Roman" w:eastAsia="Times New Roman" w:hAnsi="Times New Roman"/>
          <w:sz w:val="18"/>
          <w:szCs w:val="18"/>
          <w:i w:val="1"/>
          <w:iCs w:val="1"/>
          <w:color w:val="auto"/>
        </w:rPr>
        <w:t>7A Qualitative and Quantitative Disclosures About Market Risk</w:t>
      </w:r>
      <w:r>
        <w:rPr>
          <w:rFonts w:ascii="Times New Roman" w:cs="Times New Roman" w:eastAsia="Times New Roman" w:hAnsi="Times New Roman"/>
          <w:sz w:val="18"/>
          <w:szCs w:val="18"/>
          <w:color w:val="auto"/>
        </w:rPr>
        <w:t xml:space="preserve"> in our Annual Report on Form 10-K for the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were effective at the reasonable assurance level.</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the three months ended March 31, 2026, that have materially affected, or are reasonably likely to materially affect, our internal control over financial reporting.</w:t>
      </w: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2" w:right="419" w:bottom="1440" w:gutter="0" w:footer="0" w:header="0"/>
        </w:sectPr>
      </w:pPr>
    </w:p>
    <w:bookmarkStart w:id="27" w:name="page28"/>
    <w:bookmarkEnd w:id="2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March 6, 2026, the City of Pontiac Police and Fire Retirement System, a purported stockholder, filed a class-action complaint for violations of the Federal securities laws (the Complaint) against us and the members of our management (collectively, Defendants) in the United States District Court for the Northern District of California. See City of Pontiac Police and Fire Retirement System v. Soleno Therapeutics, Inc. et. al., Case No. 3:26-cv-01979 (N.D. Cal.). The plaintiff alleges claims under Sections 10(b) and 20(a) of the Securities Exchange Act of 1934 and SEC Rule 10b-5 on behalf of a putative class of purchasers of the Company’s common stock during a purported class period of March 26, 2025 through November 4, 2025. We believe we have meritorious defenses and will vigorously defend this and any other similarly-based litigation should it arise. We cannot provide any assurance as to the possible outcome or cost to us from this action, particularly as it is at an early stage, nor how long it may take to resolve.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Annual Report on Form 10-K for the year ended December 31, 2025, a description of certain risks and uncertainties that could affect our business, future performance or financial condition (the Risk Factors). There have been no material changes from the disclosure provided in the Form 10-K with respect to the Risk Factors other than as set forth below.</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pendency of the tender offer for our common stock could have an adverse effect on our business and the failure to complete the tender offer in a timely manner or at all could adversely affect our business, financial condition, results of operations and stock price.</w:t>
      </w:r>
    </w:p>
    <w:p>
      <w:pPr>
        <w:spacing w:after="0" w:line="15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On April 5, 2026, we entered into an Agreement and Plan of Merger (the Merger Agreement) with Neurocrine Biosciences, Inc. (Neurocrine) and Sigma Merger Sub, Inc. (Merger Sub), pursuant to which Neurocrine, through Merger Sub, agreed to commence a tender offer to purchase all of the issued and outstanding shares of our common stock at a price per share of $53.00 per share (the Offer). The Offer commenced on April 20, 2026 and is expected to close during the three months ending June 30, 2026, pursuant to the terms of the Merger Agreement, with the result being that the Company will become a wholly-owned subsidiary of Neurocrine (the Merger).</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Offer may be delayed, and may ultimately not be completed, due to a number of factors, including:</w:t>
      </w:r>
    </w:p>
    <w:p>
      <w:pPr>
        <w:spacing w:after="0" w:line="117" w:lineRule="exact"/>
        <w:rPr>
          <w:sz w:val="20"/>
          <w:szCs w:val="20"/>
          <w:color w:val="auto"/>
        </w:rPr>
      </w:pPr>
    </w:p>
    <w:p>
      <w:pPr>
        <w:ind w:left="114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as to the timing of the Offer and transactions contemplated by the Merger Agreement, including the risk that the Offer or subsequent Merger may not be completed in a timely manner or at all;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subject to certain closing conditions that could adversely affect us or cause the transaction to be abandoned;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events, changes or other circumstances could give rise to the termination of the Merger Agreement.</w:t>
      </w:r>
    </w:p>
    <w:p>
      <w:pPr>
        <w:spacing w:after="0" w:line="11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If the Offer does not close, we may suffer other consequences that could adversely affect our business, financial condition, results of operations, and stock price, and our stockholders would be exposed to additional risks, including:</w:t>
      </w:r>
    </w:p>
    <w:p>
      <w:pPr>
        <w:spacing w:after="0" w:line="54" w:lineRule="exact"/>
        <w:rPr>
          <w:sz w:val="20"/>
          <w:szCs w:val="20"/>
          <w:color w:val="auto"/>
        </w:rPr>
      </w:pPr>
    </w:p>
    <w:p>
      <w:pPr>
        <w:ind w:left="114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current market price of our stock reflects an assumption that the Offer will be completed, the market price of our common stock could decrease if the Offer is not completed;</w:t>
      </w:r>
    </w:p>
    <w:p>
      <w:pPr>
        <w:spacing w:after="0" w:line="53"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confidence in us could decline, stockholder litigation could be brought against us, relationships with existing and prospective service providers, investors, lenders and other business partners may be adversely impacted, we may be unable to retain key personnel, and our operating results may be adversely impacted due to costs incurred in connection with the Offer;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8" w:name="page29"/>
    <w:bookmarkEnd w:id="28"/>
    <w:p>
      <w:pPr>
        <w:jc w:val="both"/>
        <w:ind w:left="1140" w:hanging="383"/>
        <w:spacing w:after="0" w:line="266"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diversion of attention of our management or employees, the uncertainty our employees may have about their roles upon consummation of the Offer, and the ability for us to attract and retain key talent, including senior leaders, to the same extent that we have previously been able to attract and retain employees during the pendency of the Offer; and</w:t>
      </w:r>
    </w:p>
    <w:p>
      <w:pPr>
        <w:spacing w:after="0" w:line="6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pay Neurocrine a termination fee under certain circumstances that give rise to the termination of the Merger Agreement.</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can be no assurance that our business, relationships with other parties, liquidity or our financial condition will not be adversely affected, as compared to the condition prior to the announcement of the Offer, if the Offer is not consummated. Even if successfully completed, there are certain risks to our stockholders from the Offer, including:</w:t>
      </w:r>
    </w:p>
    <w:p>
      <w:pPr>
        <w:spacing w:after="0" w:line="68"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departure of employees, prior to the closing of the Offer; and</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Offer is completed, our stockholders will forego the opportunity to realize the potential long-term value of the successful execution of our current strategy as an independent company.</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Offer is pending, we are subject to business uncertainties and contractual restrictions that could harm our business relationships, financial condition, results of operations and business.</w:t>
      </w:r>
    </w:p>
    <w:p>
      <w:pPr>
        <w:spacing w:after="0" w:line="5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During the period prior to the closing of the Offer and pursuant to the terms of the Merger Agreement, our business is exposed to certain inherent risks and contractual restrictions that could harm our business relationships, financial condition, results of operations and business, including:</w:t>
      </w:r>
    </w:p>
    <w:p>
      <w:pPr>
        <w:spacing w:after="0" w:line="54" w:lineRule="exact"/>
        <w:rPr>
          <w:sz w:val="20"/>
          <w:szCs w:val="20"/>
          <w:color w:val="auto"/>
        </w:rPr>
      </w:pPr>
    </w:p>
    <w:p>
      <w:pPr>
        <w:ind w:left="11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disruption to our business and operations resulting from the announcement and pendency of the Offer, including diversion of management attention and resources;</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attract and retain key personnel and recruit prospective employees, and the possibility that our current employees could be distracted, and their productivity decline as a result, due to uncertainty regarding the Offer;</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pursue alternative business opportunities or make changes to our business pending the completion of the Offer, and other restrictions on our ability to conduct our business;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solicit other acquisition proposals during the pendency of the Offer;</w:t>
      </w:r>
    </w:p>
    <w:p>
      <w:pPr>
        <w:spacing w:after="0" w:line="117"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charges related to the Merger Agreement and the Merger, including but not limited to the cost of professional services, insurance, and any legal proceeding that may be instituted against us, which may materially and adversely affect our financial condition; and</w:t>
      </w:r>
    </w:p>
    <w:p>
      <w:pPr>
        <w:spacing w:after="0" w:line="6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developments beyond our control, including, but not limited to, changes in domestic or global economic conditions that may affect the timing or success of the Merger.</w:t>
      </w:r>
    </w:p>
    <w:p>
      <w:pPr>
        <w:spacing w:after="0" w:line="54"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If any of these effects were to occur, it could adversely impact our business, cash flow, results of operations or financial condition, as well as the market price of our common stock and our perceived value, regardless of whether the Offer is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expansion plans in the European Union have been delayed.</w:t>
      </w:r>
    </w:p>
    <w:p>
      <w:pPr>
        <w:spacing w:after="0" w:line="229"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18"/>
          <w:szCs w:val="18"/>
          <w:color w:val="auto"/>
        </w:rPr>
        <w:t>On April 7, 2026, we reported that we had voluntarily withdrawn our marketing authorization application (MAA) for VIOKAT prolonged-release tablets (diazoxide choline), which is marketed in the United States as VYKAT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XR. We had previously announced that the application had been under review by the European Medicines Agency (EMA), with a decision expected in mid-2026. The withdrawal of the MAA will delay any commercialization plans for our products in the EU, which may have an adverse effect on our financial condition, cash flows and results of operations.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have social media posts at X (formerly Twitter)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Quarterly Report on Form 10-Q and should not be considered a part of this Quarterly Report on Form 10-Q.</w:t>
      </w:r>
    </w:p>
    <w:p>
      <w:pPr>
        <w:spacing w:after="0" w:line="122"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adopt, modify or terminate and no directors or officers, as defined in Rule 16a-1(f), adopted, modified or terminated a “Rule 10b5-1 trading arrangement” or a “non-Rule 10b5-1 trading arrangement,” each as defined in Regulation S-K Item 408.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00" w:type="dxa"/>
            <w:vAlign w:val="bottom"/>
          </w:tcPr>
          <w:p>
            <w:pPr>
              <w:spacing w:after="0"/>
              <w:rPr>
                <w:sz w:val="10"/>
                <w:szCs w:val="10"/>
                <w:color w:val="auto"/>
              </w:rPr>
            </w:pPr>
          </w:p>
        </w:tc>
        <w:tc>
          <w:tcPr>
            <w:tcW w:w="1680" w:type="dxa"/>
            <w:vAlign w:val="bottom"/>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2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3"/>
        </w:trPr>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5"/>
                <w:szCs w:val="15"/>
                <w:color w:val="auto"/>
              </w:rPr>
            </w:pPr>
          </w:p>
        </w:tc>
        <w:tc>
          <w:tcPr>
            <w:tcW w:w="1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0"/>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800" w:type="dxa"/>
            <w:vAlign w:val="bottom"/>
            <w:tcBorders>
              <w:bottom w:val="single" w:sz="8" w:color="0000FF"/>
            </w:tcBorders>
            <w:gridSpan w:val="4"/>
          </w:tcPr>
          <w:p>
            <w:pPr>
              <w:ind w:left="80"/>
              <w:spacing w:after="0"/>
              <w:rPr>
                <w:sz w:val="20"/>
                <w:szCs w:val="20"/>
                <w:color w:val="auto"/>
              </w:rPr>
            </w:pPr>
            <w:r>
              <w:rPr>
                <w:rFonts w:ascii="Times New Roman" w:cs="Times New Roman" w:eastAsia="Times New Roman" w:hAnsi="Times New Roman"/>
                <w:sz w:val="18"/>
                <w:szCs w:val="18"/>
                <w:color w:val="0000FF"/>
              </w:rPr>
              <w:t>Required</w:t>
            </w:r>
          </w:p>
        </w:tc>
        <w:tc>
          <w:tcPr>
            <w:tcW w:w="154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Under Rule 13a-14(a) and 15d-14(a) of the Securities and</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5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172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Officer Required Under Rule 13a-14(a) and 15d-14(a) of</w:t>
            </w:r>
          </w:p>
        </w:tc>
        <w:tc>
          <w:tcPr>
            <w:tcW w:w="13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the Securities and Exchange Act of 1934, as amended</w:t>
            </w:r>
          </w:p>
        </w:tc>
        <w:tc>
          <w:tcPr>
            <w:tcW w:w="1560" w:type="dxa"/>
            <w:vAlign w:val="bottom"/>
            <w:gridSpan w:val="9"/>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Required</w:t>
            </w:r>
          </w:p>
        </w:tc>
        <w:tc>
          <w:tcPr>
            <w:tcW w:w="160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Under Rule 13a-14(b) of the Securities and Exchange Act</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of 1934, as amended, and 18 U.S.C. §1350</w:t>
            </w:r>
          </w:p>
        </w:tc>
        <w:tc>
          <w:tcPr>
            <w:tcW w:w="6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w:t>
            </w:r>
          </w:p>
        </w:tc>
        <w:tc>
          <w:tcPr>
            <w:tcW w:w="1720" w:type="dxa"/>
            <w:vAlign w:val="bottom"/>
            <w:gridSpan w:val="11"/>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Officer Required Under Rule 13a-14(b) of the Securities</w:t>
            </w:r>
          </w:p>
        </w:tc>
        <w:tc>
          <w:tcPr>
            <w:tcW w:w="136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and Exchange Act of 1934, as amended, and 18 U.S.C.</w:t>
            </w:r>
          </w:p>
        </w:tc>
        <w:tc>
          <w:tcPr>
            <w:tcW w:w="148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660" w:type="dxa"/>
            <w:vAlign w:val="bottom"/>
            <w:gridSpan w:val="4"/>
          </w:tcPr>
          <w:p>
            <w:pPr>
              <w:ind w:left="160"/>
              <w:spacing w:after="0" w:line="196" w:lineRule="exact"/>
              <w:rPr>
                <w:sz w:val="20"/>
                <w:szCs w:val="20"/>
                <w:color w:val="auto"/>
              </w:rPr>
            </w:pPr>
            <w:r>
              <w:rPr>
                <w:rFonts w:ascii="Times New Roman" w:cs="Times New Roman" w:eastAsia="Times New Roman" w:hAnsi="Times New Roman"/>
                <w:sz w:val="18"/>
                <w:szCs w:val="18"/>
                <w:color w:val="0000FF"/>
              </w:rPr>
              <w:t>§1350</w:t>
            </w:r>
          </w:p>
        </w:tc>
        <w:tc>
          <w:tcPr>
            <w:tcW w:w="2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98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8"/>
        <w:spacing w:after="0" w:line="241" w:lineRule="auto"/>
        <w:tabs>
          <w:tab w:leader="none" w:pos="11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b w:val="1"/>
          <w:bCs w:val="1"/>
          <w:color w:val="auto"/>
        </w:rPr>
        <w:t>SOLENO THERAPEUTICS, INC.</w:t>
      </w:r>
    </w:p>
    <w:p>
      <w:pPr>
        <w:spacing w:after="0" w:line="25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Jennifer Fulk</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(authorized officer and principal financial and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20" w:hanging="3"/>
        <w:spacing w:after="0" w:line="266" w:lineRule="auto"/>
        <w:tabs>
          <w:tab w:leader="none" w:pos="7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160" w:hanging="3"/>
        <w:spacing w:after="0" w:line="266" w:lineRule="auto"/>
        <w:tabs>
          <w:tab w:leader="none" w:pos="7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20" w:hanging="3"/>
        <w:spacing w:after="0" w:line="312" w:lineRule="auto"/>
        <w:tabs>
          <w:tab w:leader="none" w:pos="76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180" w:hanging="3"/>
        <w:spacing w:after="0" w:line="266" w:lineRule="auto"/>
        <w:tabs>
          <w:tab w:leader="none" w:pos="7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40" w:hanging="3"/>
        <w:spacing w:after="0" w:line="282" w:lineRule="auto"/>
        <w:tabs>
          <w:tab w:leader="none" w:pos="7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80" w:hanging="3"/>
        <w:spacing w:after="0" w:line="282" w:lineRule="auto"/>
        <w:tabs>
          <w:tab w:leader="none" w:pos="77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Fulk,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20" w:hanging="3"/>
        <w:spacing w:after="0" w:line="266" w:lineRule="auto"/>
        <w:tabs>
          <w:tab w:leader="none" w:pos="76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520" w:right="160" w:hanging="3"/>
        <w:spacing w:after="0" w:line="266" w:lineRule="auto"/>
        <w:tabs>
          <w:tab w:leader="none" w:pos="77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720" w:hanging="3"/>
        <w:spacing w:after="0" w:line="312" w:lineRule="auto"/>
        <w:tabs>
          <w:tab w:leader="none" w:pos="76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520" w:right="180" w:hanging="3"/>
        <w:spacing w:after="0" w:line="266" w:lineRule="auto"/>
        <w:tabs>
          <w:tab w:leader="none" w:pos="77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8"/>
        <w:spacing w:after="0" w:line="282"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140" w:hanging="3"/>
        <w:spacing w:after="0" w:line="282" w:lineRule="auto"/>
        <w:tabs>
          <w:tab w:leader="none" w:pos="76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80" w:hanging="3"/>
        <w:spacing w:after="0" w:line="282" w:lineRule="auto"/>
        <w:tabs>
          <w:tab w:leader="none" w:pos="77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Fulk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March 31, 2026,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40" w:hanging="513"/>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40" w:right="740" w:hanging="513"/>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March 31, 2026, as filed with the Securities and Exchange Commission (the “Report”), Jennifer Fulk, Chief Financial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40" w:hanging="513"/>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40" w:right="740" w:hanging="513"/>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Fulk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2026-05-07T15:47:34Z</dcterms:created>
  <dcterms:modified xsi:type="dcterms:W3CDTF">2026-05-07T15:47:34Z</dcterms:modified>
</cp:coreProperties>
</file>