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SOLENO THERAPEUTICS,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tbl>
      <w:tblPr>
        <w:tblLayout w:type="fixed"/>
        <w:tblInd w:w="1920" w:type="dxa"/>
        <w:tblCellMar>
          <w:top w:w="0" w:type="dxa"/>
          <w:left w:w="0" w:type="dxa"/>
          <w:bottom w:w="0" w:type="dxa"/>
          <w:right w:w="0" w:type="dxa"/>
        </w:tblCellMar>
      </w:tblPr>
      <w:tr>
        <w:trPr>
          <w:trHeight w:val="204"/>
        </w:trPr>
        <w:tc>
          <w:tcPr>
            <w:tcW w:w="2020" w:type="dxa"/>
            <w:vAlign w:val="bottom"/>
          </w:tcPr>
          <w:p>
            <w:pPr>
              <w:jc w:val="center"/>
              <w:ind w:right="64"/>
              <w:spacing w:after="0"/>
              <w:rPr>
                <w:sz w:val="20"/>
                <w:szCs w:val="20"/>
                <w:color w:val="auto"/>
              </w:rPr>
            </w:pPr>
            <w:r>
              <w:rPr>
                <w:rFonts w:ascii="Arial" w:cs="Arial" w:eastAsia="Arial" w:hAnsi="Arial"/>
                <w:sz w:val="17"/>
                <w:szCs w:val="17"/>
                <w:b w:val="1"/>
                <w:bCs w:val="1"/>
                <w:color w:val="auto"/>
                <w:w w:val="91"/>
              </w:rPr>
              <w:t>Delaware</w:t>
            </w:r>
          </w:p>
        </w:tc>
        <w:tc>
          <w:tcPr>
            <w:tcW w:w="5200" w:type="dxa"/>
            <w:vAlign w:val="bottom"/>
          </w:tcPr>
          <w:p>
            <w:pPr>
              <w:jc w:val="center"/>
              <w:ind w:left="3981"/>
              <w:spacing w:after="0"/>
              <w:rPr>
                <w:sz w:val="20"/>
                <w:szCs w:val="20"/>
                <w:color w:val="auto"/>
              </w:rPr>
            </w:pPr>
            <w:r>
              <w:rPr>
                <w:rFonts w:ascii="Arial" w:cs="Arial" w:eastAsia="Arial" w:hAnsi="Arial"/>
                <w:sz w:val="17"/>
                <w:szCs w:val="17"/>
                <w:b w:val="1"/>
                <w:bCs w:val="1"/>
                <w:color w:val="auto"/>
                <w:w w:val="90"/>
              </w:rPr>
              <w:t>77-0523891</w:t>
            </w:r>
          </w:p>
        </w:tc>
      </w:tr>
      <w:tr>
        <w:trPr>
          <w:trHeight w:val="149"/>
        </w:trPr>
        <w:tc>
          <w:tcPr>
            <w:tcW w:w="20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0" w:type="dxa"/>
            <w:vAlign w:val="bottom"/>
          </w:tcPr>
          <w:p>
            <w:pPr>
              <w:jc w:val="center"/>
              <w:ind w:left="40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20" w:type="dxa"/>
            <w:vAlign w:val="bottom"/>
          </w:tcPr>
          <w:p>
            <w:pPr>
              <w:jc w:val="center"/>
              <w:ind w:right="64"/>
              <w:spacing w:after="0"/>
              <w:rPr>
                <w:sz w:val="20"/>
                <w:szCs w:val="20"/>
                <w:color w:val="auto"/>
              </w:rPr>
            </w:pPr>
            <w:r>
              <w:rPr>
                <w:rFonts w:ascii="Arial" w:cs="Arial" w:eastAsia="Arial" w:hAnsi="Arial"/>
                <w:sz w:val="14"/>
                <w:szCs w:val="14"/>
                <w:b w:val="1"/>
                <w:bCs w:val="1"/>
                <w:color w:val="auto"/>
                <w:w w:val="94"/>
              </w:rPr>
              <w:t>incorporation or organization)</w:t>
            </w:r>
          </w:p>
        </w:tc>
        <w:tc>
          <w:tcPr>
            <w:tcW w:w="5200" w:type="dxa"/>
            <w:vAlign w:val="bottom"/>
          </w:tcPr>
          <w:p>
            <w:pPr>
              <w:jc w:val="center"/>
              <w:ind w:left="3981"/>
              <w:spacing w:after="0"/>
              <w:rPr>
                <w:sz w:val="20"/>
                <w:szCs w:val="20"/>
                <w:color w:val="auto"/>
              </w:rPr>
            </w:pPr>
            <w:r>
              <w:rPr>
                <w:rFonts w:ascii="Arial" w:cs="Arial" w:eastAsia="Arial" w:hAnsi="Arial"/>
                <w:sz w:val="14"/>
                <w:szCs w:val="14"/>
                <w:b w:val="1"/>
                <w:bCs w:val="1"/>
                <w:color w:val="auto"/>
                <w:w w:val="96"/>
              </w:rPr>
              <w:t>Identification No.)</w:t>
            </w:r>
          </w:p>
        </w:tc>
      </w:tr>
      <w:tr>
        <w:trPr>
          <w:trHeight w:val="245"/>
        </w:trPr>
        <w:tc>
          <w:tcPr>
            <w:tcW w:w="2020" w:type="dxa"/>
            <w:vAlign w:val="bottom"/>
          </w:tcPr>
          <w:p>
            <w:pPr>
              <w:spacing w:after="0"/>
              <w:rPr>
                <w:sz w:val="21"/>
                <w:szCs w:val="21"/>
                <w:color w:val="auto"/>
              </w:rPr>
            </w:pPr>
          </w:p>
        </w:tc>
        <w:tc>
          <w:tcPr>
            <w:tcW w:w="5200" w:type="dxa"/>
            <w:vAlign w:val="bottom"/>
          </w:tcPr>
          <w:p>
            <w:pPr>
              <w:jc w:val="center"/>
              <w:ind w:right="1561"/>
              <w:spacing w:after="0"/>
              <w:rPr>
                <w:sz w:val="20"/>
                <w:szCs w:val="20"/>
                <w:color w:val="auto"/>
              </w:rPr>
            </w:pPr>
            <w:r>
              <w:rPr>
                <w:rFonts w:ascii="Arial" w:cs="Arial" w:eastAsia="Arial" w:hAnsi="Arial"/>
                <w:sz w:val="17"/>
                <w:szCs w:val="17"/>
                <w:b w:val="1"/>
                <w:bCs w:val="1"/>
                <w:color w:val="auto"/>
                <w:w w:val="90"/>
              </w:rPr>
              <w:t>1235 Radio Road, Suite 110,</w:t>
            </w:r>
          </w:p>
        </w:tc>
      </w:tr>
      <w:tr>
        <w:trPr>
          <w:trHeight w:val="204"/>
        </w:trPr>
        <w:tc>
          <w:tcPr>
            <w:tcW w:w="2020" w:type="dxa"/>
            <w:vAlign w:val="bottom"/>
          </w:tcPr>
          <w:p>
            <w:pPr>
              <w:spacing w:after="0"/>
              <w:rPr>
                <w:sz w:val="17"/>
                <w:szCs w:val="17"/>
                <w:color w:val="auto"/>
              </w:rPr>
            </w:pPr>
          </w:p>
        </w:tc>
        <w:tc>
          <w:tcPr>
            <w:tcW w:w="5200" w:type="dxa"/>
            <w:vAlign w:val="bottom"/>
          </w:tcPr>
          <w:p>
            <w:pPr>
              <w:jc w:val="center"/>
              <w:ind w:right="1581"/>
              <w:spacing w:after="0"/>
              <w:rPr>
                <w:sz w:val="20"/>
                <w:szCs w:val="20"/>
                <w:color w:val="auto"/>
              </w:rPr>
            </w:pPr>
            <w:r>
              <w:rPr>
                <w:rFonts w:ascii="Arial" w:cs="Arial" w:eastAsia="Arial" w:hAnsi="Arial"/>
                <w:sz w:val="17"/>
                <w:szCs w:val="17"/>
                <w:b w:val="1"/>
                <w:bCs w:val="1"/>
                <w:color w:val="auto"/>
                <w:w w:val="92"/>
              </w:rPr>
              <w:t>Redwood City, California</w:t>
            </w:r>
          </w:p>
        </w:tc>
      </w:tr>
      <w:tr>
        <w:trPr>
          <w:trHeight w:val="186"/>
        </w:trPr>
        <w:tc>
          <w:tcPr>
            <w:tcW w:w="2020" w:type="dxa"/>
            <w:vAlign w:val="bottom"/>
          </w:tcPr>
          <w:p>
            <w:pPr>
              <w:spacing w:after="0"/>
              <w:rPr>
                <w:sz w:val="16"/>
                <w:szCs w:val="16"/>
                <w:color w:val="auto"/>
              </w:rPr>
            </w:pPr>
          </w:p>
        </w:tc>
        <w:tc>
          <w:tcPr>
            <w:tcW w:w="5200" w:type="dxa"/>
            <w:vAlign w:val="bottom"/>
          </w:tcPr>
          <w:p>
            <w:pPr>
              <w:jc w:val="center"/>
              <w:ind w:right="1581"/>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232"/>
        </w:trPr>
        <w:tc>
          <w:tcPr>
            <w:tcW w:w="2020" w:type="dxa"/>
            <w:vAlign w:val="bottom"/>
          </w:tcPr>
          <w:p>
            <w:pPr>
              <w:spacing w:after="0"/>
              <w:rPr>
                <w:sz w:val="20"/>
                <w:szCs w:val="20"/>
                <w:color w:val="auto"/>
              </w:rPr>
            </w:pPr>
          </w:p>
        </w:tc>
        <w:tc>
          <w:tcPr>
            <w:tcW w:w="5200" w:type="dxa"/>
            <w:vAlign w:val="bottom"/>
          </w:tcPr>
          <w:p>
            <w:pPr>
              <w:jc w:val="right"/>
              <w:ind w:right="3141"/>
              <w:spacing w:after="0"/>
              <w:rPr>
                <w:sz w:val="20"/>
                <w:szCs w:val="20"/>
                <w:color w:val="auto"/>
              </w:rPr>
            </w:pPr>
            <w:r>
              <w:rPr>
                <w:rFonts w:ascii="Arial" w:cs="Arial" w:eastAsia="Arial" w:hAnsi="Arial"/>
                <w:sz w:val="17"/>
                <w:szCs w:val="17"/>
                <w:b w:val="1"/>
                <w:bCs w:val="1"/>
                <w:color w:val="auto"/>
              </w:rPr>
              <w:t>94065</w:t>
            </w:r>
          </w:p>
        </w:tc>
      </w:tr>
      <w:tr>
        <w:trPr>
          <w:trHeight w:val="186"/>
        </w:trPr>
        <w:tc>
          <w:tcPr>
            <w:tcW w:w="2020" w:type="dxa"/>
            <w:vAlign w:val="bottom"/>
          </w:tcPr>
          <w:p>
            <w:pPr>
              <w:spacing w:after="0"/>
              <w:rPr>
                <w:sz w:val="16"/>
                <w:szCs w:val="16"/>
                <w:color w:val="auto"/>
              </w:rPr>
            </w:pPr>
          </w:p>
        </w:tc>
        <w:tc>
          <w:tcPr>
            <w:tcW w:w="5200" w:type="dxa"/>
            <w:vAlign w:val="bottom"/>
          </w:tcPr>
          <w:p>
            <w:pPr>
              <w:jc w:val="center"/>
              <w:ind w:right="1581"/>
              <w:spacing w:after="0"/>
              <w:rPr>
                <w:sz w:val="20"/>
                <w:szCs w:val="20"/>
                <w:color w:val="auto"/>
              </w:rPr>
            </w:pPr>
            <w:r>
              <w:rPr>
                <w:rFonts w:ascii="Arial" w:cs="Arial" w:eastAsia="Arial" w:hAnsi="Arial"/>
                <w:sz w:val="14"/>
                <w:szCs w:val="14"/>
                <w:b w:val="1"/>
                <w:bCs w:val="1"/>
                <w:color w:val="auto"/>
                <w:w w:val="95"/>
              </w:rPr>
              <w:t>(Zip Code)</w:t>
            </w:r>
          </w:p>
        </w:tc>
      </w:tr>
      <w:tr>
        <w:trPr>
          <w:trHeight w:val="246"/>
        </w:trPr>
        <w:tc>
          <w:tcPr>
            <w:tcW w:w="2020" w:type="dxa"/>
            <w:vAlign w:val="bottom"/>
          </w:tcPr>
          <w:p>
            <w:pPr>
              <w:spacing w:after="0"/>
              <w:rPr>
                <w:sz w:val="21"/>
                <w:szCs w:val="21"/>
                <w:color w:val="auto"/>
              </w:rPr>
            </w:pPr>
          </w:p>
        </w:tc>
        <w:tc>
          <w:tcPr>
            <w:tcW w:w="5200" w:type="dxa"/>
            <w:vAlign w:val="bottom"/>
          </w:tcPr>
          <w:p>
            <w:pPr>
              <w:jc w:val="right"/>
              <w:ind w:right="2821"/>
              <w:spacing w:after="0"/>
              <w:rPr>
                <w:sz w:val="20"/>
                <w:szCs w:val="20"/>
                <w:color w:val="auto"/>
              </w:rPr>
            </w:pPr>
            <w:r>
              <w:rPr>
                <w:rFonts w:ascii="Arial" w:cs="Arial" w:eastAsia="Arial" w:hAnsi="Arial"/>
                <w:sz w:val="17"/>
                <w:szCs w:val="17"/>
                <w:b w:val="1"/>
                <w:bCs w:val="1"/>
                <w:color w:val="auto"/>
              </w:rPr>
              <w:t>(650) 213-8444</w:t>
            </w:r>
          </w:p>
        </w:tc>
      </w:tr>
      <w:tr>
        <w:trPr>
          <w:trHeight w:val="186"/>
        </w:trPr>
        <w:tc>
          <w:tcPr>
            <w:tcW w:w="2020" w:type="dxa"/>
            <w:vAlign w:val="bottom"/>
          </w:tcPr>
          <w:p>
            <w:pPr>
              <w:spacing w:after="0"/>
              <w:rPr>
                <w:sz w:val="16"/>
                <w:szCs w:val="16"/>
                <w:color w:val="auto"/>
              </w:rPr>
            </w:pPr>
          </w:p>
        </w:tc>
        <w:tc>
          <w:tcPr>
            <w:tcW w:w="5200" w:type="dxa"/>
            <w:vAlign w:val="bottom"/>
          </w:tcPr>
          <w:p>
            <w:pPr>
              <w:jc w:val="center"/>
              <w:ind w:right="1581"/>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50800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1" w:lineRule="exact"/>
        <w:rPr>
          <w:sz w:val="24"/>
          <w:szCs w:val="24"/>
          <w:color w:val="auto"/>
        </w:rPr>
      </w:pPr>
    </w:p>
    <w:p>
      <w:pPr>
        <w:ind w:right="120" w:firstLine="518"/>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right="520" w:firstLine="518"/>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25"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5280" w:type="dxa"/>
            <w:vAlign w:val="bottom"/>
          </w:tcPr>
          <w:p>
            <w:pPr>
              <w:ind w:left="3080"/>
              <w:spacing w:after="0"/>
              <w:rPr>
                <w:sz w:val="20"/>
                <w:szCs w:val="20"/>
                <w:color w:val="auto"/>
              </w:rPr>
            </w:pPr>
            <w:r>
              <w:rPr>
                <w:rFonts w:ascii="Arial" w:cs="Arial" w:eastAsia="Arial" w:hAnsi="Arial"/>
                <w:sz w:val="15"/>
                <w:szCs w:val="15"/>
                <w:color w:val="auto"/>
              </w:rPr>
              <w:t>Accelerated filer</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172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5280" w:type="dxa"/>
            <w:vAlign w:val="bottom"/>
          </w:tcPr>
          <w:p>
            <w:pPr>
              <w:ind w:left="3080"/>
              <w:spacing w:after="0"/>
              <w:rPr>
                <w:sz w:val="20"/>
                <w:szCs w:val="20"/>
                <w:color w:val="auto"/>
              </w:rPr>
            </w:pPr>
            <w:r>
              <w:rPr>
                <w:rFonts w:ascii="Arial" w:cs="Arial" w:eastAsia="Arial" w:hAnsi="Arial"/>
                <w:sz w:val="15"/>
                <w:szCs w:val="15"/>
                <w:color w:val="auto"/>
              </w:rPr>
              <w:t>Smaller reporting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7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280" w:type="dxa"/>
            <w:vAlign w:val="bottom"/>
          </w:tcPr>
          <w:p>
            <w:pPr>
              <w:ind w:left="3080"/>
              <w:spacing w:after="0"/>
              <w:rPr>
                <w:sz w:val="20"/>
                <w:szCs w:val="20"/>
                <w:color w:val="auto"/>
              </w:rPr>
            </w:pPr>
            <w:r>
              <w:rPr>
                <w:rFonts w:ascii="Arial" w:cs="Arial" w:eastAsia="Arial" w:hAnsi="Arial"/>
                <w:sz w:val="15"/>
                <w:szCs w:val="15"/>
                <w:color w:val="auto"/>
              </w:rPr>
              <w:t>Emerging growth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44" w:lineRule="exact"/>
        <w:rPr>
          <w:sz w:val="24"/>
          <w:szCs w:val="24"/>
          <w:color w:val="auto"/>
        </w:rPr>
      </w:pPr>
    </w:p>
    <w:p>
      <w:pPr>
        <w:ind w:right="280" w:firstLine="518"/>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ind w:left="520"/>
        <w:spacing w:after="0" w:line="173" w:lineRule="exact"/>
        <w:tabs>
          <w:tab w:leader="none" w:pos="7180" w:val="left"/>
          <w:tab w:leader="none" w:pos="7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95" w:lineRule="exact"/>
        <w:rPr>
          <w:sz w:val="24"/>
          <w:szCs w:val="24"/>
          <w:color w:val="auto"/>
        </w:rPr>
      </w:pPr>
    </w:p>
    <w:p>
      <w:pPr>
        <w:ind w:left="44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99"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5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Title of each class</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Name of each exchange on which registered</w:t>
            </w:r>
          </w:p>
        </w:tc>
      </w:tr>
      <w:tr>
        <w:trPr>
          <w:trHeight w:val="210"/>
        </w:trPr>
        <w:tc>
          <w:tcPr>
            <w:tcW w:w="5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Common Stock, $0.001 par value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SLNO</w:t>
            </w:r>
          </w:p>
        </w:tc>
        <w:tc>
          <w:tcPr>
            <w:tcW w:w="4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NASDAQ</w:t>
            </w:r>
          </w:p>
        </w:tc>
      </w:tr>
      <w:tr>
        <w:trPr>
          <w:trHeight w:val="210"/>
        </w:trPr>
        <w:tc>
          <w:tcPr>
            <w:tcW w:w="5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Common Stock, $0.001 per value, underlying the warrants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8"/>
              </w:rPr>
              <w:t>SLNOW</w:t>
            </w:r>
          </w:p>
        </w:tc>
        <w:tc>
          <w:tcPr>
            <w:tcW w:w="4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NASDAQ</w:t>
            </w:r>
          </w:p>
        </w:tc>
      </w:tr>
    </w:tbl>
    <w:p>
      <w:pPr>
        <w:spacing w:after="0" w:line="53" w:lineRule="exact"/>
        <w:rPr>
          <w:sz w:val="24"/>
          <w:szCs w:val="24"/>
          <w:color w:val="auto"/>
        </w:rPr>
      </w:pPr>
    </w:p>
    <w:p>
      <w:pPr>
        <w:ind w:left="520"/>
        <w:spacing w:after="0"/>
        <w:rPr>
          <w:sz w:val="20"/>
          <w:szCs w:val="20"/>
          <w:color w:val="auto"/>
        </w:rPr>
      </w:pPr>
      <w:r>
        <w:rPr>
          <w:rFonts w:ascii="Arial" w:cs="Arial" w:eastAsia="Arial" w:hAnsi="Arial"/>
          <w:sz w:val="15"/>
          <w:szCs w:val="15"/>
          <w:color w:val="auto"/>
        </w:rPr>
        <w:t xml:space="preserve">As of May 6, 2019, there were </w:t>
      </w:r>
      <w:r>
        <w:rPr>
          <w:rFonts w:ascii="Arial" w:cs="Arial" w:eastAsia="Arial" w:hAnsi="Arial"/>
          <w:sz w:val="15"/>
          <w:szCs w:val="15"/>
          <w:u w:val="single" w:color="auto"/>
          <w:color w:val="auto"/>
        </w:rPr>
        <w:t>31,776,584</w:t>
      </w:r>
      <w:r>
        <w:rPr>
          <w:rFonts w:ascii="Arial" w:cs="Arial" w:eastAsia="Arial" w:hAnsi="Arial"/>
          <w:sz w:val="15"/>
          <w:szCs w:val="15"/>
          <w:color w:val="auto"/>
        </w:rPr>
        <w:t xml:space="preserve"> shares of the registrant’s Common Stock, par value $0.001 per share, outstanding</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SOLENO THERAPEUTICS,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2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2180" w:type="dxa"/>
            <w:vAlign w:val="bottom"/>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9260" w:type="dxa"/>
            <w:vAlign w:val="bottom"/>
            <w:gridSpan w:val="24"/>
            <w:vMerge w:val="continue"/>
          </w:tcPr>
          <w:p>
            <w:pPr>
              <w:spacing w:after="0"/>
              <w:rPr>
                <w:sz w:val="16"/>
                <w:szCs w:val="16"/>
                <w:color w:val="auto"/>
              </w:rPr>
            </w:pPr>
          </w:p>
        </w:tc>
        <w:tc>
          <w:tcPr>
            <w:tcW w:w="21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w:t>
              </w:r>
            </w:hyperlink>
          </w:p>
        </w:tc>
        <w:tc>
          <w:tcPr>
            <w:tcW w:w="2340" w:type="dxa"/>
            <w:vAlign w:val="bottom"/>
            <w:tcBorders>
              <w:top w:val="single" w:sz="8" w:color="0000EE"/>
            </w:tcBorders>
            <w:gridSpan w:val="12"/>
          </w:tcPr>
          <w:p>
            <w:pPr>
              <w:ind w:left="4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1. Financial Statements</w:t>
              </w:r>
            </w:hyperlink>
          </w:p>
        </w:tc>
        <w:tc>
          <w:tcPr>
            <w:tcW w:w="6100" w:type="dxa"/>
            <w:vAlign w:val="bottom"/>
            <w:gridSpan w:val="10"/>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38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(unaudited)</w:t>
              </w:r>
            </w:hyperlink>
          </w:p>
        </w:tc>
        <w:tc>
          <w:tcPr>
            <w:tcW w:w="3840" w:type="dxa"/>
            <w:vAlign w:val="bottom"/>
            <w:gridSpan w:val="5"/>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38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Stockholders’ Equity (unaudited)</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w:t>
              </w:r>
            </w:hyperlink>
          </w:p>
        </w:tc>
        <w:tc>
          <w:tcPr>
            <w:tcW w:w="3120" w:type="dxa"/>
            <w:vAlign w:val="bottom"/>
            <w:gridSpan w:val="2"/>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38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w:t>
              </w:r>
            </w:hyperlink>
          </w:p>
        </w:tc>
        <w:tc>
          <w:tcPr>
            <w:tcW w:w="6680" w:type="dxa"/>
            <w:vAlign w:val="bottom"/>
            <w:tcBorders>
              <w:bottom w:val="single" w:sz="8" w:color="0000EE"/>
            </w:tcBorders>
            <w:gridSpan w:val="21"/>
          </w:tcPr>
          <w:p>
            <w:pPr>
              <w:ind w:left="40"/>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2. Management’s Discussion and Analysis of Financial Condition and Results of Operations</w:t>
              </w:r>
            </w:hyperlink>
          </w:p>
        </w:tc>
        <w:tc>
          <w:tcPr>
            <w:tcW w:w="1760" w:type="dxa"/>
            <w:vAlign w:val="bottom"/>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w:t>
              </w:r>
            </w:hyperlink>
          </w:p>
        </w:tc>
        <w:tc>
          <w:tcPr>
            <w:tcW w:w="4580" w:type="dxa"/>
            <w:vAlign w:val="bottom"/>
            <w:tcBorders>
              <w:bottom w:val="single" w:sz="8" w:color="0000EE"/>
            </w:tcBorders>
            <w:gridSpan w:val="16"/>
          </w:tcPr>
          <w:p>
            <w:pPr>
              <w:ind w:left="40"/>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3. Quantitative and Qualitative Disclosures About Market Risk</w:t>
              </w:r>
            </w:hyperlink>
          </w:p>
        </w:tc>
        <w:tc>
          <w:tcPr>
            <w:tcW w:w="3860" w:type="dxa"/>
            <w:vAlign w:val="bottom"/>
            <w:gridSpan w:val="6"/>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Item 4. Controls and Procedures</w:t>
              </w:r>
            </w:hyperlink>
          </w:p>
        </w:tc>
        <w:tc>
          <w:tcPr>
            <w:tcW w:w="6480" w:type="dxa"/>
            <w:vAlign w:val="bottom"/>
            <w:gridSpan w:val="12"/>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260" w:type="dxa"/>
            <w:vAlign w:val="bottom"/>
            <w:gridSpan w:val="24"/>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II—OTHER INFORMATION</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1. Legal Proceedings</w:t>
              </w:r>
            </w:hyperlink>
          </w:p>
        </w:tc>
        <w:tc>
          <w:tcPr>
            <w:tcW w:w="6400" w:type="dxa"/>
            <w:vAlign w:val="bottom"/>
            <w:gridSpan w:val="11"/>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1A. Risk Factors</w:t>
              </w:r>
            </w:hyperlink>
          </w:p>
        </w:tc>
        <w:tc>
          <w:tcPr>
            <w:tcW w:w="280" w:type="dxa"/>
            <w:vAlign w:val="bottom"/>
            <w:tcBorders>
              <w:top w:val="single" w:sz="8" w:color="0000EE"/>
            </w:tcBorders>
            <w:gridSpan w:val="2"/>
          </w:tcPr>
          <w:p>
            <w:pPr>
              <w:spacing w:after="0"/>
              <w:rPr>
                <w:sz w:val="17"/>
                <w:szCs w:val="17"/>
                <w:color w:val="auto"/>
              </w:rPr>
            </w:pPr>
          </w:p>
        </w:tc>
        <w:tc>
          <w:tcPr>
            <w:tcW w:w="6940" w:type="dxa"/>
            <w:vAlign w:val="bottom"/>
            <w:gridSpan w:val="15"/>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w:t>
              </w:r>
            </w:hyperlink>
          </w:p>
        </w:tc>
        <w:tc>
          <w:tcPr>
            <w:tcW w:w="8440" w:type="dxa"/>
            <w:vAlign w:val="bottom"/>
            <w:gridSpan w:val="22"/>
          </w:tcPr>
          <w:p>
            <w:pPr>
              <w:ind w:left="4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 Unregistered Sales of Equity Securities and Use of Proceeds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3. Defaults Upon Senior Securities</w:t>
              </w:r>
            </w:hyperlink>
          </w:p>
        </w:tc>
        <w:tc>
          <w:tcPr>
            <w:tcW w:w="2060" w:type="dxa"/>
            <w:vAlign w:val="bottom"/>
            <w:tcBorders>
              <w:top w:val="single" w:sz="8" w:color="0000EE"/>
            </w:tcBorders>
            <w:gridSpan w:val="2"/>
          </w:tcPr>
          <w:p>
            <w:pPr>
              <w:spacing w:after="0"/>
              <w:rPr>
                <w:sz w:val="17"/>
                <w:szCs w:val="17"/>
                <w:color w:val="auto"/>
              </w:rPr>
            </w:pPr>
          </w:p>
        </w:tc>
        <w:tc>
          <w:tcPr>
            <w:tcW w:w="3880" w:type="dxa"/>
            <w:vAlign w:val="bottom"/>
            <w:gridSpan w:val="7"/>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820" w:type="dxa"/>
            <w:vAlign w:val="bottom"/>
            <w:gridSpan w:val="2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4. Mine Safety Disclosures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5. Other Information</w:t>
              </w:r>
            </w:hyperlink>
          </w:p>
        </w:tc>
        <w:tc>
          <w:tcPr>
            <w:tcW w:w="6500" w:type="dxa"/>
            <w:vAlign w:val="bottom"/>
            <w:gridSpan w:val="1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17"/>
                <w:szCs w:val="17"/>
                <w:color w:val="auto"/>
              </w:rPr>
            </w:pPr>
          </w:p>
        </w:tc>
        <w:tc>
          <w:tcPr>
            <w:tcW w:w="6960" w:type="dxa"/>
            <w:vAlign w:val="bottom"/>
            <w:gridSpan w:val="16"/>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260" w:type="dxa"/>
            <w:vAlign w:val="bottom"/>
            <w:gridSpan w:val="24"/>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EXHIBIT INDEX</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SIGNATURES</w:t>
              </w:r>
            </w:hyperlink>
          </w:p>
        </w:tc>
        <w:tc>
          <w:tcPr>
            <w:tcW w:w="7860" w:type="dxa"/>
            <w:vAlign w:val="bottom"/>
            <w:gridSpan w:val="19"/>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784"/>
        </w:trPr>
        <w:tc>
          <w:tcPr>
            <w:tcW w:w="440" w:type="dxa"/>
            <w:vAlign w:val="bottom"/>
            <w:tcBorders>
              <w:top w:val="single" w:sz="8" w:color="0000EE"/>
              <w:bottom w:val="single" w:sz="8" w:color="9A9A9A"/>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7000" w:type="dxa"/>
            <w:vAlign w:val="bottom"/>
          </w:tcPr>
          <w:p>
            <w:pPr>
              <w:jc w:val="center"/>
              <w:ind w:left="3070"/>
              <w:spacing w:after="0"/>
              <w:rPr>
                <w:sz w:val="20"/>
                <w:szCs w:val="20"/>
                <w:color w:val="auto"/>
              </w:rPr>
            </w:pPr>
            <w:r>
              <w:rPr>
                <w:rFonts w:ascii="Arial" w:cs="Arial" w:eastAsia="Arial" w:hAnsi="Arial"/>
                <w:sz w:val="18"/>
                <w:szCs w:val="18"/>
                <w:b w:val="1"/>
                <w:bCs w:val="1"/>
                <w:color w:val="auto"/>
              </w:rPr>
              <w:t>PART I—FINANCIAL INFORMATION</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00" w:type="dxa"/>
            <w:vAlign w:val="bottom"/>
          </w:tcPr>
          <w:p>
            <w:pPr>
              <w:ind w:left="40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40" w:type="dxa"/>
            <w:vAlign w:val="bottom"/>
          </w:tcPr>
          <w:p>
            <w:pPr>
              <w:spacing w:after="0"/>
              <w:rPr>
                <w:sz w:val="24"/>
                <w:szCs w:val="24"/>
                <w:color w:val="auto"/>
              </w:rPr>
            </w:pPr>
          </w:p>
        </w:tc>
        <w:tc>
          <w:tcPr>
            <w:tcW w:w="7000" w:type="dxa"/>
            <w:vAlign w:val="bottom"/>
          </w:tcPr>
          <w:p>
            <w:pPr>
              <w:jc w:val="center"/>
              <w:ind w:left="3050"/>
              <w:spacing w:after="0"/>
              <w:rPr>
                <w:sz w:val="20"/>
                <w:szCs w:val="20"/>
                <w:color w:val="auto"/>
              </w:rPr>
            </w:pPr>
            <w:r>
              <w:rPr>
                <w:rFonts w:ascii="Arial" w:cs="Arial" w:eastAsia="Arial" w:hAnsi="Arial"/>
                <w:sz w:val="18"/>
                <w:szCs w:val="18"/>
                <w:b w:val="1"/>
                <w:bCs w:val="1"/>
                <w:color w:val="auto"/>
                <w:w w:val="88"/>
              </w:rPr>
              <w:t>Soleno Therapeutics, Inc.</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40" w:type="dxa"/>
            <w:vAlign w:val="bottom"/>
          </w:tcPr>
          <w:p>
            <w:pPr>
              <w:spacing w:after="0"/>
              <w:rPr>
                <w:sz w:val="19"/>
                <w:szCs w:val="19"/>
                <w:color w:val="auto"/>
              </w:rPr>
            </w:pPr>
          </w:p>
        </w:tc>
        <w:tc>
          <w:tcPr>
            <w:tcW w:w="7000" w:type="dxa"/>
            <w:vAlign w:val="bottom"/>
          </w:tcPr>
          <w:p>
            <w:pPr>
              <w:jc w:val="center"/>
              <w:ind w:left="30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0" w:type="dxa"/>
            <w:vAlign w:val="bottom"/>
          </w:tcPr>
          <w:p>
            <w:pPr>
              <w:jc w:val="center"/>
              <w:ind w:left="3050"/>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4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40" w:type="dxa"/>
            <w:vAlign w:val="bottom"/>
            <w:tcBorders>
              <w:bottom w:val="single" w:sz="8" w:color="CFF0FC"/>
            </w:tcBorders>
          </w:tcPr>
          <w:p>
            <w:pPr>
              <w:spacing w:after="0"/>
              <w:rPr>
                <w:sz w:val="14"/>
                <w:szCs w:val="14"/>
                <w:color w:val="auto"/>
              </w:rPr>
            </w:pPr>
          </w:p>
        </w:tc>
        <w:tc>
          <w:tcPr>
            <w:tcW w:w="700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center"/>
              <w:ind w:right="131"/>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19,402</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from related party</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Borders>
              <w:bottom w:val="single" w:sz="8" w:color="CFF0FC"/>
            </w:tcBorders>
          </w:tcPr>
          <w:p>
            <w:pPr>
              <w:spacing w:after="0"/>
              <w:rPr>
                <w:sz w:val="19"/>
                <w:szCs w:val="19"/>
                <w:color w:val="auto"/>
              </w:rPr>
            </w:pPr>
          </w:p>
        </w:tc>
        <w:tc>
          <w:tcPr>
            <w:tcW w:w="70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Minority interest investment in former subsidiary</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Borders>
              <w:bottom w:val="single" w:sz="8" w:color="CFF0FC"/>
            </w:tcBorders>
          </w:tcPr>
          <w:p>
            <w:pPr>
              <w:spacing w:after="0"/>
              <w:rPr>
                <w:sz w:val="19"/>
                <w:szCs w:val="19"/>
                <w:color w:val="auto"/>
              </w:rPr>
            </w:pPr>
          </w:p>
        </w:tc>
        <w:tc>
          <w:tcPr>
            <w:tcW w:w="70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CFF0FC"/>
            </w:tcBorders>
            <w:shd w:val="clear" w:color="auto" w:fill="CFF0FC"/>
          </w:tcPr>
          <w:p>
            <w:pPr>
              <w:spacing w:after="0"/>
              <w:rPr>
                <w:sz w:val="19"/>
                <w:szCs w:val="19"/>
                <w:color w:val="auto"/>
              </w:rPr>
            </w:pPr>
          </w:p>
        </w:tc>
        <w:tc>
          <w:tcPr>
            <w:tcW w:w="70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38,867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43,151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1,258</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Accrued compensation and other current liabilities</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Series A warrant liability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2017 PIPE Warrant liability</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2018 PIPE Warrant liability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Contingent liability for Essentialis purchase price</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CFF0FC"/>
            </w:tcBorders>
          </w:tcPr>
          <w:p>
            <w:pPr>
              <w:spacing w:after="0"/>
              <w:rPr>
                <w:sz w:val="19"/>
                <w:szCs w:val="19"/>
                <w:color w:val="auto"/>
              </w:rPr>
            </w:pPr>
          </w:p>
        </w:tc>
        <w:tc>
          <w:tcPr>
            <w:tcW w:w="700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Preferred Stock, $.001 par value, 10,000,000 shares authorized:</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0" w:type="dxa"/>
            <w:vAlign w:val="bottom"/>
          </w:tcPr>
          <w:p>
            <w:pPr>
              <w:spacing w:after="0"/>
              <w:rPr>
                <w:sz w:val="18"/>
                <w:szCs w:val="18"/>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Series B convertible preferred stock, 13,780 shares designated at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March 31, 2019 and December 31, 2018; zero shares issued and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outstanding at March 31, 2019 and at December 31, 2018.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Liquidation value of zero.</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$0.001 par value, 100,000,000 shares authorized,</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31,776,584 and 31,755,169 shares issued and outstanding at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March 31, 2019 and December 31, 2018, respectively.</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157,661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157,413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(134,062)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(127,032)</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23,631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38,867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43,151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2,760</w:t>
            </w:r>
          </w:p>
        </w:tc>
        <w:tc>
          <w:tcPr>
            <w:tcW w:w="16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1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1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loss</w:t>
            </w:r>
          </w:p>
        </w:tc>
        <w:tc>
          <w:tcPr>
            <w:tcW w:w="1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Cease-use income</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(1,919)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Loss from minority interest investment</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income (expense)</w:t>
            </w:r>
          </w:p>
        </w:tc>
        <w:tc>
          <w:tcPr>
            <w:tcW w:w="1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Loss per common share from continuing operations, basic and diluted</w:t>
            </w:r>
          </w:p>
        </w:tc>
        <w:tc>
          <w:tcPr>
            <w:tcW w:w="16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Loss per common share from discontinued operations, basic and diluted</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common share, basic and diluted</w:t>
            </w:r>
          </w:p>
        </w:tc>
        <w:tc>
          <w:tcPr>
            <w:tcW w:w="126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common shares outstanding used to calculate basic and</w:t>
            </w:r>
          </w:p>
        </w:tc>
        <w:tc>
          <w:tcPr>
            <w:tcW w:w="1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diluted net loss per common share</w:t>
            </w:r>
          </w:p>
        </w:tc>
        <w:tc>
          <w:tcPr>
            <w:tcW w:w="1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31,756,120</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19,530,311</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Series B Convertible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56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980" w:type="dxa"/>
            <w:vAlign w:val="bottom"/>
            <w:gridSpan w:val="2"/>
            <w:vMerge w:val="continue"/>
          </w:tcPr>
          <w:p>
            <w:pPr>
              <w:spacing w:after="0"/>
              <w:rPr>
                <w:sz w:val="14"/>
                <w:szCs w:val="14"/>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2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Shares</w:t>
            </w:r>
          </w:p>
        </w:tc>
        <w:tc>
          <w:tcPr>
            <w:tcW w:w="80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92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Capital</w:t>
            </w:r>
          </w:p>
        </w:tc>
        <w:tc>
          <w:tcPr>
            <w:tcW w:w="98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December 31, 2017</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4,571</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19,238,972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140,495</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(113,697</w:t>
            </w: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26,817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on conversion of</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series B convertible preferred shares</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60"/>
              <w:spacing w:after="0"/>
              <w:rPr>
                <w:sz w:val="20"/>
                <w:szCs w:val="20"/>
                <w:color w:val="auto"/>
              </w:rPr>
            </w:pPr>
            <w:r>
              <w:rPr>
                <w:rFonts w:ascii="Arial" w:cs="Arial" w:eastAsia="Arial" w:hAnsi="Arial"/>
                <w:sz w:val="18"/>
                <w:szCs w:val="18"/>
                <w:color w:val="auto"/>
              </w:rPr>
              <w:t>Issuance of restricted common stock for</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80"/>
              <w:spacing w:after="0"/>
              <w:rPr>
                <w:sz w:val="20"/>
                <w:szCs w:val="20"/>
                <w:color w:val="auto"/>
              </w:rPr>
            </w:pPr>
            <w:r>
              <w:rPr>
                <w:rFonts w:ascii="Arial" w:cs="Arial" w:eastAsia="Arial" w:hAnsi="Arial"/>
                <w:sz w:val="18"/>
                <w:szCs w:val="18"/>
                <w:color w:val="auto"/>
              </w:rPr>
              <w:t>bonuses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99,217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to board members</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 lieu of cash payments for quarterly</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board fees</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49,519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60"/>
              <w:spacing w:after="0"/>
              <w:rPr>
                <w:sz w:val="20"/>
                <w:szCs w:val="20"/>
                <w:color w:val="auto"/>
              </w:rPr>
            </w:pPr>
            <w:r>
              <w:rPr>
                <w:rFonts w:ascii="Arial" w:cs="Arial" w:eastAsia="Arial" w:hAnsi="Arial"/>
                <w:sz w:val="18"/>
                <w:szCs w:val="18"/>
                <w:color w:val="auto"/>
              </w:rPr>
              <w:t>Transaction costs for the 2017 PIPE common</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80"/>
              <w:spacing w:after="0"/>
              <w:rPr>
                <w:sz w:val="20"/>
                <w:szCs w:val="20"/>
                <w:color w:val="auto"/>
              </w:rPr>
            </w:pPr>
            <w:r>
              <w:rPr>
                <w:rFonts w:ascii="Arial" w:cs="Arial" w:eastAsia="Arial" w:hAnsi="Arial"/>
                <w:sz w:val="18"/>
                <w:szCs w:val="18"/>
                <w:color w:val="auto"/>
              </w:rPr>
              <w:t>stock and warrant issuance.</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5"/>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held back on</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 of Essentialis</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180,667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(3,804)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March 31, 2018</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19,768,375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140,733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(117,501</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Series B Convertible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58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w:t>
            </w:r>
          </w:p>
        </w:tc>
        <w:tc>
          <w:tcPr>
            <w:tcW w:w="1040" w:type="dxa"/>
            <w:vAlign w:val="bottom"/>
            <w:gridSpan w:val="2"/>
            <w:vMerge w:val="continue"/>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600" w:type="dxa"/>
            <w:vAlign w:val="bottom"/>
            <w:tcBorders>
              <w:top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920" w:type="dxa"/>
            <w:vAlign w:val="bottom"/>
            <w:tcBorders>
              <w:top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10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Balances at December 31, 2018</w:t>
            </w:r>
          </w:p>
        </w:tc>
        <w:tc>
          <w:tcPr>
            <w:tcW w:w="6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31,755,169</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157,413</w:t>
            </w:r>
          </w:p>
        </w:tc>
        <w:tc>
          <w:tcPr>
            <w:tcW w:w="20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(127,032</w:t>
            </w:r>
          </w:p>
        </w:tc>
        <w:tc>
          <w:tcPr>
            <w:tcW w:w="200" w:type="dxa"/>
            <w:vAlign w:val="bottom"/>
            <w:tcBorders>
              <w:bottom w:val="single" w:sz="8" w:color="CFF0FC"/>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30,413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Issuance of common stock to board members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380"/>
              <w:spacing w:after="0"/>
              <w:rPr>
                <w:sz w:val="20"/>
                <w:szCs w:val="20"/>
                <w:color w:val="auto"/>
              </w:rPr>
            </w:pPr>
            <w:r>
              <w:rPr>
                <w:rFonts w:ascii="Arial" w:cs="Arial" w:eastAsia="Arial" w:hAnsi="Arial"/>
                <w:sz w:val="18"/>
                <w:szCs w:val="18"/>
                <w:color w:val="auto"/>
              </w:rPr>
              <w:t>in lieu of cash payments for quarterly board fees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(7,030)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Balances at March 31, 2019</w:t>
            </w:r>
          </w:p>
        </w:tc>
        <w:tc>
          <w:tcPr>
            <w:tcW w:w="6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31,776,584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157,661</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(134,062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jc w:val="right"/>
              <w:ind w:right="2"/>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Net loss</w:t>
            </w:r>
          </w:p>
        </w:tc>
        <w:tc>
          <w:tcPr>
            <w:tcW w:w="1940" w:type="dxa"/>
            <w:vAlign w:val="bottom"/>
            <w:gridSpan w:val="2"/>
          </w:tcPr>
          <w:p>
            <w:pPr>
              <w:jc w:val="right"/>
              <w:ind w:right="82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(7,030)</w:t>
            </w:r>
          </w:p>
        </w:tc>
        <w:tc>
          <w:tcPr>
            <w:tcW w:w="1000" w:type="dxa"/>
            <w:vAlign w:val="bottom"/>
            <w:gridSpan w:val="2"/>
          </w:tcPr>
          <w:p>
            <w:pPr>
              <w:jc w:val="right"/>
              <w:ind w:right="87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(3,804)</w:t>
            </w: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(514)</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9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(7,030)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(3,290)</w:t>
            </w:r>
          </w:p>
        </w:tc>
        <w:tc>
          <w:tcPr>
            <w:tcW w:w="120" w:type="dxa"/>
            <w:vAlign w:val="bottom"/>
          </w:tcPr>
          <w:p>
            <w:pPr>
              <w:spacing w:after="0"/>
              <w:rPr>
                <w:sz w:val="19"/>
                <w:szCs w:val="19"/>
                <w:color w:val="auto"/>
              </w:rPr>
            </w:pPr>
          </w:p>
        </w:tc>
      </w:tr>
      <w:tr>
        <w:trPr>
          <w:trHeight w:val="215"/>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from continuing operations to net cash used in</w:t>
            </w:r>
          </w:p>
        </w:tc>
        <w:tc>
          <w:tcPr>
            <w:tcW w:w="9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activities:</w:t>
            </w:r>
          </w:p>
        </w:tc>
        <w:tc>
          <w:tcPr>
            <w:tcW w:w="9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Board fees paid with common stock</w:t>
            </w: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stock warrants</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(163)</w:t>
            </w: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loss on minority interest investment</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Change in operating assets and liabilities:</w:t>
            </w: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w:t>
            </w: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Due from related party</w:t>
            </w: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500"/>
              <w:spacing w:after="0"/>
              <w:rPr>
                <w:sz w:val="20"/>
                <w:szCs w:val="20"/>
                <w:color w:val="auto"/>
              </w:rPr>
            </w:pPr>
            <w:r>
              <w:rPr>
                <w:rFonts w:ascii="Arial" w:cs="Arial" w:eastAsia="Arial" w:hAnsi="Arial"/>
                <w:sz w:val="18"/>
                <w:szCs w:val="18"/>
                <w:color w:val="auto"/>
              </w:rPr>
              <w:t>Accrued compensation and other current liabilities</w:t>
            </w: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r>
      <w:tr>
        <w:trPr>
          <w:trHeight w:val="223"/>
        </w:trPr>
        <w:tc>
          <w:tcPr>
            <w:tcW w:w="69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Net cash used in continuing operating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(3,687)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(2,033)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20" w:type="dxa"/>
            <w:vAlign w:val="bottom"/>
          </w:tcPr>
          <w:p>
            <w:pPr>
              <w:ind w:left="740"/>
              <w:spacing w:after="0"/>
              <w:rPr>
                <w:sz w:val="20"/>
                <w:szCs w:val="20"/>
                <w:color w:val="auto"/>
              </w:rPr>
            </w:pPr>
            <w:r>
              <w:rPr>
                <w:rFonts w:ascii="Arial" w:cs="Arial" w:eastAsia="Arial" w:hAnsi="Arial"/>
                <w:sz w:val="18"/>
                <w:szCs w:val="18"/>
                <w:b w:val="1"/>
                <w:bCs w:val="1"/>
                <w:color w:val="auto"/>
              </w:rPr>
              <w:t>Net cash used in discontinued operating activities</w:t>
            </w: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r>
      <w:tr>
        <w:trPr>
          <w:trHeight w:val="223"/>
        </w:trPr>
        <w:tc>
          <w:tcPr>
            <w:tcW w:w="69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Net cash used in operating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(3,687)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(2,520)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92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Net cash used in continuing investing activities</w:t>
            </w:r>
          </w:p>
        </w:tc>
        <w:tc>
          <w:tcPr>
            <w:tcW w:w="94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Net cash used in investing activities</w:t>
            </w:r>
          </w:p>
        </w:tc>
        <w:tc>
          <w:tcPr>
            <w:tcW w:w="9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the issuance of common stock and common stock warrants</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w:t>
            </w:r>
          </w:p>
        </w:tc>
      </w:tr>
      <w:tr>
        <w:trPr>
          <w:trHeight w:val="223"/>
        </w:trPr>
        <w:tc>
          <w:tcPr>
            <w:tcW w:w="6920" w:type="dxa"/>
            <w:vAlign w:val="bottom"/>
          </w:tcPr>
          <w:p>
            <w:pPr>
              <w:ind w:left="740"/>
              <w:spacing w:after="0"/>
              <w:rPr>
                <w:sz w:val="20"/>
                <w:szCs w:val="20"/>
                <w:color w:val="auto"/>
              </w:rPr>
            </w:pPr>
            <w:r>
              <w:rPr>
                <w:rFonts w:ascii="Arial" w:cs="Arial" w:eastAsia="Arial" w:hAnsi="Arial"/>
                <w:sz w:val="18"/>
                <w:szCs w:val="18"/>
                <w:b w:val="1"/>
                <w:bCs w:val="1"/>
                <w:color w:val="auto"/>
              </w:rPr>
              <w:t>Net cash used in continuing financing activities</w:t>
            </w:r>
          </w:p>
        </w:tc>
        <w:tc>
          <w:tcPr>
            <w:tcW w:w="9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Net cash provided by discontinued financing activities</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Net cash provided by financing activities</w:t>
            </w:r>
          </w:p>
        </w:tc>
        <w:tc>
          <w:tcPr>
            <w:tcW w:w="94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FF0FC"/>
            </w:tcBorders>
          </w:tcPr>
          <w:p>
            <w:pPr>
              <w:spacing w:after="0"/>
              <w:rPr>
                <w:sz w:val="19"/>
                <w:szCs w:val="19"/>
                <w:color w:val="auto"/>
              </w:rPr>
            </w:pPr>
          </w:p>
        </w:tc>
      </w:tr>
      <w:tr>
        <w:trPr>
          <w:trHeight w:val="209"/>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decrease in cash, cash equivalents and restricted cash from</w:t>
            </w:r>
          </w:p>
        </w:tc>
        <w:tc>
          <w:tcPr>
            <w:tcW w:w="9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continuing operations</w:t>
            </w:r>
          </w:p>
        </w:tc>
        <w:tc>
          <w:tcPr>
            <w:tcW w:w="9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(3,697)</w:t>
            </w: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(2,145)</w:t>
            </w:r>
          </w:p>
        </w:tc>
      </w:tr>
      <w:tr>
        <w:trPr>
          <w:trHeight w:val="215"/>
        </w:trPr>
        <w:tc>
          <w:tcPr>
            <w:tcW w:w="6920" w:type="dxa"/>
            <w:vAlign w:val="bottom"/>
          </w:tcPr>
          <w:p>
            <w:pPr>
              <w:ind w:left="500"/>
              <w:spacing w:after="0"/>
              <w:rPr>
                <w:sz w:val="20"/>
                <w:szCs w:val="20"/>
                <w:color w:val="auto"/>
              </w:rPr>
            </w:pPr>
            <w:r>
              <w:rPr>
                <w:rFonts w:ascii="Arial" w:cs="Arial" w:eastAsia="Arial" w:hAnsi="Arial"/>
                <w:sz w:val="18"/>
                <w:szCs w:val="18"/>
                <w:color w:val="auto"/>
              </w:rPr>
              <w:t>Net decrease in cash, cash equivalents and restricted cash from</w:t>
            </w: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20" w:type="dxa"/>
            <w:vAlign w:val="bottom"/>
          </w:tcPr>
          <w:p>
            <w:pPr>
              <w:ind w:left="640"/>
              <w:spacing w:after="0"/>
              <w:rPr>
                <w:sz w:val="20"/>
                <w:szCs w:val="20"/>
                <w:color w:val="auto"/>
              </w:rPr>
            </w:pPr>
            <w:r>
              <w:rPr>
                <w:rFonts w:ascii="Arial" w:cs="Arial" w:eastAsia="Arial" w:hAnsi="Arial"/>
                <w:sz w:val="18"/>
                <w:szCs w:val="18"/>
                <w:color w:val="auto"/>
              </w:rPr>
              <w:t>discontinued operations</w:t>
            </w: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r>
      <w:tr>
        <w:trPr>
          <w:trHeight w:val="223"/>
        </w:trPr>
        <w:tc>
          <w:tcPr>
            <w:tcW w:w="69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decrease in cash, cash equivalents and restricted cash</w:t>
            </w:r>
          </w:p>
        </w:tc>
        <w:tc>
          <w:tcPr>
            <w:tcW w:w="9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(3,697)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6920" w:type="dxa"/>
            <w:vAlign w:val="bottom"/>
          </w:tcPr>
          <w:p>
            <w:pPr>
              <w:ind w:left="500"/>
              <w:spacing w:after="0"/>
              <w:rPr>
                <w:sz w:val="20"/>
                <w:szCs w:val="20"/>
                <w:color w:val="auto"/>
              </w:rPr>
            </w:pPr>
            <w:r>
              <w:rPr>
                <w:rFonts w:ascii="Arial" w:cs="Arial" w:eastAsia="Arial" w:hAnsi="Arial"/>
                <w:sz w:val="18"/>
                <w:szCs w:val="18"/>
                <w:color w:val="auto"/>
              </w:rPr>
              <w:t>Net increase in cash and cash equivalents included in current assets held for</w:t>
            </w: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20" w:type="dxa"/>
            <w:vAlign w:val="bottom"/>
          </w:tcPr>
          <w:p>
            <w:pPr>
              <w:ind w:left="640"/>
              <w:spacing w:after="0"/>
              <w:rPr>
                <w:sz w:val="20"/>
                <w:szCs w:val="20"/>
                <w:color w:val="auto"/>
              </w:rPr>
            </w:pPr>
            <w:r>
              <w:rPr>
                <w:rFonts w:ascii="Arial" w:cs="Arial" w:eastAsia="Arial" w:hAnsi="Arial"/>
                <w:sz w:val="18"/>
                <w:szCs w:val="18"/>
                <w:color w:val="auto"/>
              </w:rPr>
              <w:t>sale</w:t>
            </w: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6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23,099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17,135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94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19,402</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87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14,901</w:t>
            </w:r>
          </w:p>
        </w:tc>
        <w:tc>
          <w:tcPr>
            <w:tcW w:w="120" w:type="dxa"/>
            <w:vAlign w:val="bottom"/>
            <w:tcBorders>
              <w:bottom w:val="single" w:sz="8" w:color="CFF0FC"/>
            </w:tcBorders>
          </w:tcPr>
          <w:p>
            <w:pPr>
              <w:spacing w:after="0"/>
              <w:rPr>
                <w:sz w:val="22"/>
                <w:szCs w:val="22"/>
                <w:color w:val="auto"/>
              </w:rPr>
            </w:pPr>
          </w:p>
        </w:tc>
      </w:tr>
      <w:tr>
        <w:trPr>
          <w:trHeight w:val="210"/>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9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Accrued liability for cost of issuing common stock</w:t>
            </w:r>
          </w:p>
        </w:tc>
        <w:tc>
          <w:tcPr>
            <w:tcW w:w="1940" w:type="dxa"/>
            <w:vAlign w:val="bottom"/>
            <w:gridSpan w:val="2"/>
          </w:tcPr>
          <w:p>
            <w:pPr>
              <w:jc w:val="right"/>
              <w:ind w:right="82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7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6"/>
          <w:szCs w:val="16"/>
          <w:b w:val="1"/>
          <w:bCs w:val="1"/>
          <w:color w:val="auto"/>
        </w:rPr>
        <w:t>Soleno Therapeutics, Inc.</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March 31, 2019</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121"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 xml:space="preserve">Soleno Therapeutics, Inc. (the “Company” or “Soleno”) was incorporated in the State of Delaware on August 25, 1999, and is located in Redwood City, California. On May 8, 2017, Soleno received stockholder approval to amend its Amended and Restated Certificate of Incorporation to change its name from “Capnia, Inc.” to “Soleno Therapeutics, Inc.” The Company was initially established as a diversified healthcare company that developed and commercialized innovative diagnostics, devices and therapeutics addressing unmet medical needs, which consisted of: precision metering of gas flow technology marketed as Serenz </w:t>
      </w:r>
      <w:r>
        <w:rPr>
          <w:rFonts w:ascii="Arial" w:cs="Arial" w:eastAsia="Arial" w:hAnsi="Arial"/>
          <w:sz w:val="14"/>
          <w:szCs w:val="14"/>
          <w:color w:val="auto"/>
        </w:rPr>
        <w:t>®</w:t>
      </w:r>
      <w:r>
        <w:rPr>
          <w:rFonts w:ascii="Arial" w:cs="Arial" w:eastAsia="Arial" w:hAnsi="Arial"/>
          <w:sz w:val="17"/>
          <w:szCs w:val="17"/>
          <w:color w:val="auto"/>
        </w:rPr>
        <w:t xml:space="preserve"> Allergy Relief, or Serenz; CoSense </w:t>
      </w:r>
      <w:r>
        <w:rPr>
          <w:rFonts w:ascii="Arial" w:cs="Arial" w:eastAsia="Arial" w:hAnsi="Arial"/>
          <w:sz w:val="14"/>
          <w:szCs w:val="14"/>
          <w:color w:val="auto"/>
        </w:rPr>
        <w:t>®</w:t>
      </w:r>
      <w:r>
        <w:rPr>
          <w:rFonts w:ascii="Arial" w:cs="Arial" w:eastAsia="Arial" w:hAnsi="Arial"/>
          <w:sz w:val="17"/>
          <w:szCs w:val="17"/>
          <w:color w:val="auto"/>
        </w:rPr>
        <w:t xml:space="preserve"> End-Tidal Carbon Monoxide (ETCO) Monitor, or CoSense, which measures ETCO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178"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The Company’s previously wholly-owned subsidiary, NeoForce, Inc., or NFI, through which the Company acquired substantially all of the assets of an unrelated privately-held company, NeoForce Group, Inc., or NeoForce, also marketed innovative pulmonary resuscitation solutions for the inpatient and ambulatory neonatal markets.</w:t>
      </w:r>
    </w:p>
    <w:p>
      <w:pPr>
        <w:spacing w:after="0" w:line="18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Company acquired Essentialis, Inc., or Essentialis, through a merger, or the Merger, on March 7, 2017, pursuant to Agreement and Plan of Merger dated December 22, 2016. Essentialis’s efforts prior to the Merger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Diazoxide Choline Controlled Release Tablet, or DCCR, as a treatment for Prader-Willi Syndrome, or PWS, a complex metabolic/neurobehavioral disorder. DCCR has orphan designation for the treatment of PWS in the United States, or U.S., as well as in the European Union, or E.U. Consummation of the Merger was subject to various closing conditions, including the Company’s consummation of a financing of at least $8.0 million at, or substantially contemporaneous with, the closing of the Merger, which occurred on March 7, 2017 and the receipt of stockholder approval of the Merger at a special meeting of its stockholders, which was held on March 6, 2017.</w:t>
      </w:r>
    </w:p>
    <w:p>
      <w:pPr>
        <w:spacing w:after="0" w:line="17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Subsequent to the acquisition of Essentialis, the Company determined to divest, sell or otherwise dispose of the CoSense, NFI and Serenz businesses. Accordingly, and pursuant to ASC 205-20-45-10, any assets and liabilities related to the discontinued activities of CoSense, NFI and Serenz have been presented separately in the balance sheet as held for sale items, and the related operations reported herein for the CoSense, NFI and Serenz activities are reported as discontinued operations in the statements of operations.</w:t>
      </w:r>
    </w:p>
    <w:p>
      <w:pPr>
        <w:spacing w:after="0" w:line="18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The Company determined to divest, sell or otherwise dispose of the CoSense, NFI and Serenz businesses in order to focus on the development and commercialization of novel therapeutics for the treatment of rare diseases. The Company’s current research and development efforts are primarily focused on advancing its lead candidate, DCCR tablets for the treatment of PWS, into late-stage clinical development.</w:t>
      </w:r>
    </w:p>
    <w:p>
      <w:pPr>
        <w:spacing w:after="0" w:line="166"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The Company sold its entire interest in NFI in a stock transaction that was completed on July 18, 2017, pursuant to a Stock Purchase Agreement dated July 18, 2017, or the NFI Purchase Agreement, entered into with Neoforce Holdings, Inc., a wholly-owned subsidiary of Flexicare Medical Limited, a privately-held United Kingdom company, for $720,000 and adjustments for inventory and the current cash balances held at NFI.</w:t>
      </w:r>
    </w:p>
    <w:p>
      <w:pPr>
        <w:spacing w:after="0" w:line="166"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On December 4, 2017, Soleno, and Capnia, Inc., a Delaware corporation, or Capnia, entered into a joint venture with OptAsia Healthcare Limited, or OAHL. The purpose of the joint venture is to develop and commercialize medical monitors, including CoSense, that measure end-tidal carbon monoxide in breath to assist in the detection of excessive hemolysis in neonates, a condition in which red blood cells degrade rapidly and which can lead to adverse neurological outcomes.</w:t>
      </w:r>
    </w:p>
    <w:p>
      <w:pPr>
        <w:spacing w:after="0" w:line="18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Company has previously charged to expense all previously-held assets related to its Serenz operations, and there are no remaining Serenz assets, liabilities or operations related to the Company’s previous Serenz-related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Going Concern and Management’s Plans</w:t>
      </w:r>
    </w:p>
    <w:p>
      <w:pPr>
        <w:spacing w:after="0" w:line="12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Company had a net loss of $7.0 million during the three months ended March 31, 2019 and has an accumulated deficit of $134.1 million at March 31, 2019 resulting from having incurred losses since its inception. The Company had $18.6 million of working capital at March 31, 2019 and used</w:t>
      </w:r>
    </w:p>
    <w:p>
      <w:pPr>
        <w:ind w:right="160"/>
        <w:spacing w:after="0" w:line="261" w:lineRule="auto"/>
        <w:rPr>
          <w:sz w:val="20"/>
          <w:szCs w:val="20"/>
          <w:color w:val="auto"/>
        </w:rPr>
      </w:pPr>
      <w:r>
        <w:rPr>
          <w:rFonts w:ascii="Arial" w:cs="Arial" w:eastAsia="Arial" w:hAnsi="Arial"/>
          <w:sz w:val="18"/>
          <w:szCs w:val="18"/>
          <w:color w:val="auto"/>
        </w:rPr>
        <w:t>$3.7 million of cash in its operating activities during the three months ended March 31, 2019. The Company has financed its operations principally through issuances of equity securities.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7" w:name="page8"/>
    <w:bookmarkEnd w:id="7"/>
    <w:p>
      <w:pPr>
        <w:ind w:right="80" w:firstLine="518"/>
        <w:spacing w:after="0" w:line="257" w:lineRule="auto"/>
        <w:rPr>
          <w:sz w:val="20"/>
          <w:szCs w:val="20"/>
          <w:color w:val="auto"/>
        </w:rPr>
      </w:pPr>
      <w:r>
        <w:rPr>
          <w:rFonts w:ascii="Arial" w:cs="Arial" w:eastAsia="Arial" w:hAnsi="Arial"/>
          <w:sz w:val="18"/>
          <w:szCs w:val="18"/>
          <w:color w:val="auto"/>
        </w:rPr>
        <w:t>On December 19, 2018, the Company entered into a Securities Purchase Agreement with certain purchasers, pursuant to which the Company sold and issued 10,272,375 units at a price per unit of $1.61, for aggregate gross proceeds of $16.5 million. Each unit consisted of one share of common stock and a warrant to purchase 0.05 shares of common stock at an exercise price of $2.00 per share, for an aggregate of 10,272,375 shares of common stock and corresponding warrants to purchase an aggregate of 513,617 shares of common stock, together with the shares of common stock are referred to as the 2018 Resale Shares.</w:t>
      </w:r>
    </w:p>
    <w:p>
      <w:pPr>
        <w:spacing w:after="0" w:line="188"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under the assumption the Company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17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Company expects to continue incurring losses for the foreseeable future and may be required to raise additional capital to complete its clinical trials, pursue product development initiatives and penetrate markets for the sale of its products. Management believes that the Company will continue to have access to capital resources through possible public or private equity offerings, debt financings, corporate collaborations or other means, but the Company’s access to such capital resources is uncertain and is not assured. If the Company is unable to secure additional capital, it may be required to curtail its clinical trials and development of new products and take additional measures to reduce expenses in order to conserve its cash in amounts sufficient to sustain operations and meet its obligations. These measures could cause significant delays in the Company’s efforts to complete its clinical trials and commercialize its products, which is critical to the realization of its business plan and the future operations of the Company. The condensed consolidated financial statements do not include any adjustments relating to the recoverability and classification of asset amounts or the classification of liabilities that might be necessary should it be unable to continue as a going concern.</w:t>
      </w:r>
    </w:p>
    <w:p>
      <w:pPr>
        <w:spacing w:after="0" w:line="182"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within one year from the date of filing these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There have been no material changes to the significant accounting policies during the three months ended March 31, 2019 as compared to the significant accounting policies described in Note 3 of the “Notes to Consolidated Financial Statements” in the Company’s Annual Report on Form 10-K for the year ended December 31, 2018. Below are those policies with current period updates.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accounting principles generally accepted in the United States of America, or GAAP, and the applicable rules and regulations of the SEC for interim financial information. Accordingly, they do not include all of the information and notes required by GAAP for complete financial statements. The condensed consolidated balance sheet at December 31, 2018, has been derived from the audited consolidated financial statements at that date, but does not include all disclosures, including notes, required by GAAP for complete financial statements.</w:t>
      </w:r>
    </w:p>
    <w:p>
      <w:pPr>
        <w:spacing w:after="0" w:line="188"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The unaudited interim condensed consolidated financial statements have been prepared on the same basis as the audited consolidated financial statements and, in the opinion of management, reflect all adjustments of a normal recurring nature that are necessary for a fair presentation of the results for the interim periods presented. The interim results are not necessarily indicative of the results for any future interim period or for the entire year.</w:t>
      </w:r>
    </w:p>
    <w:p>
      <w:pPr>
        <w:spacing w:after="0" w:line="14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2018, included in the Company’s Annual Report on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In June 2018, the FASB issued ASU 2018-07, “</w:t>
      </w:r>
      <w:r>
        <w:rPr>
          <w:rFonts w:ascii="Arial" w:cs="Arial" w:eastAsia="Arial" w:hAnsi="Arial"/>
          <w:sz w:val="18"/>
          <w:szCs w:val="18"/>
          <w:i w:val="1"/>
          <w:iCs w:val="1"/>
          <w:color w:val="auto"/>
        </w:rPr>
        <w:t>Compensation – 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to simplify the accounting for share-based payments to nonemployees by aligning 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jc w:val="both"/>
        <w:ind w:right="40"/>
        <w:spacing w:after="0" w:line="286" w:lineRule="auto"/>
        <w:rPr>
          <w:sz w:val="20"/>
          <w:szCs w:val="20"/>
          <w:color w:val="auto"/>
        </w:rPr>
      </w:pPr>
      <w:r>
        <w:rPr>
          <w:rFonts w:ascii="Arial" w:cs="Arial" w:eastAsia="Arial" w:hAnsi="Arial"/>
          <w:sz w:val="17"/>
          <w:szCs w:val="17"/>
          <w:color w:val="auto"/>
        </w:rPr>
        <w:t>with the accounting for share-based payments to employees, with certain exceptions. Under the guidance, the measurement of equity-classified nonemployee awards is fixed at the grant date, which may lower the cost and reduce volatility in the income statement. This ASU was early adopted by the Company at the beginning of 2019. Its adoption did not have a material impact on the Company’s condensed consolidated financial statements.</w:t>
      </w:r>
    </w:p>
    <w:p>
      <w:pPr>
        <w:spacing w:after="0" w:line="16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In August 2018, SEC adopted the final rule under SEC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now be provided in a note or separate statement. The Company has applied this new guidance to its condensed financial statements for the first quarter of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ASU 2016-02 provides new comprehensive lease accounting guidance that supersedes existing lease guidance. Upon adoption of ASU 2016-02, the Company may elect to apply the transition approach either as of the beginning of the earliest period presented in the financial statements – in which case it would restate its comparative periods, or as of the beginning of the period of adoption – in which case it would not restate its comparative periods. ASU 2016-02 requires the Company to capitalize most current operating lease obligations as right-of-use assets with a corresponding liability based on the present value of future operating lease obligations. Criteria for distinguishing leases between finance and operating are substantially similar to criteria for distinguishing between capital leases and operating leases in existing lease guidance. Lease agreements that are 12 months or less are permitted to be excluded from the balance sheet. Topic 842 includes a number of optional practical expedients that the Company may elect to apply. Expanded disclosures with additional qualitative and quantitative information will also be required. The adoption will include updates as provided under ASU 2018-01, Leases (Topic 842): Land Easement Practical Expedient for Transition to Topic 842, ASU 2018-10, Codification Improvements to Topic 842, Leases, ASU 2018-20, Leases (Topic 842): Narrow-Scope Improvements for Lessors and ASU 2019-01, Leases (Topic 842): Codification Improvements. Topic 842 is effective for public entities with fiscal years beginning after December 15, 2018 and for all other entities for fiscal years beginning after December 15, 2019, and interim periods within fiscal years beginning after December 15, 2020. As the Company is an emerging growth company and elected to use the extended transition period for complying with any new or revised financial accounting standards provided pursuant to Section 13(a) of the Exchange Act, Topic 842 will be effective for the Company beginning in fiscal 2020, although early adoption is permitted. The Company is currently evaluating the potential impact of adoption of this standard on its condensed consolidated financial statements and the additional transition method under ASU 2018-11, which allows the Company to recognize Topic 842’s cumulative effect within retained earnings in the period of adoption.</w:t>
      </w:r>
    </w:p>
    <w:p>
      <w:pPr>
        <w:spacing w:after="0" w:line="178" w:lineRule="exact"/>
        <w:rPr>
          <w:sz w:val="20"/>
          <w:szCs w:val="20"/>
          <w:color w:val="auto"/>
        </w:rPr>
      </w:pPr>
    </w:p>
    <w:p>
      <w:pPr>
        <w:ind w:right="80" w:firstLine="518"/>
        <w:spacing w:after="0" w:line="283" w:lineRule="auto"/>
        <w:rPr>
          <w:sz w:val="20"/>
          <w:szCs w:val="20"/>
          <w:color w:val="auto"/>
        </w:rPr>
      </w:pPr>
      <w:r>
        <w:rPr>
          <w:rFonts w:ascii="Arial" w:cs="Arial" w:eastAsia="Arial" w:hAnsi="Arial"/>
          <w:sz w:val="16"/>
          <w:szCs w:val="16"/>
          <w:color w:val="auto"/>
        </w:rPr>
        <w:t>In July 2017, the FASB issued ASU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(ASU 2017-11). Part I of this update addresses the complexity of accounting for certain financial instruments with down round features. Down</w:t>
      </w:r>
      <w:r>
        <w:rPr>
          <w:rFonts w:ascii="Arial" w:cs="Arial" w:eastAsia="Arial" w:hAnsi="Arial"/>
          <w:sz w:val="16"/>
          <w:szCs w:val="16"/>
          <w:i w:val="1"/>
          <w:iCs w:val="1"/>
          <w:color w:val="auto"/>
        </w:rPr>
        <w:t xml:space="preserve"> </w:t>
      </w:r>
      <w:r>
        <w:rPr>
          <w:rFonts w:ascii="Arial" w:cs="Arial" w:eastAsia="Arial" w:hAnsi="Arial"/>
          <w:sz w:val="16"/>
          <w:szCs w:val="16"/>
          <w:color w:val="auto"/>
        </w:rPr>
        <w:t>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do not have an accounting effect. The amendments in Part I of ASU 2017-11 are effective for fiscal years, and interim periods within those fiscal years, beginning after December 15, 2018. For all other entities, the amendments in Part I are effective for fiscal years beginning after December 15, 2019, and interim periods within fiscal years beginning after December 15, 2020. As the Company is an emerging growth company and elected to use the extended transition period for complying with any new or revised financial accounting standards provided pursuant to Section 13(a) of the Exchange Act, this</w:t>
      </w:r>
    </w:p>
    <w:p>
      <w:pPr>
        <w:spacing w:after="0" w:line="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ASU 2017-11 will be effective for the Company beginning in fiscal 2020, although early adoption is permitted. The Company is currently assessing the potential impact of adopting ASU 2017-11 on its condensed consolidated financial statements and related disclosures.</w:t>
      </w:r>
    </w:p>
    <w:p>
      <w:pPr>
        <w:spacing w:after="0" w:line="184"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August 2018, the FASB issued ASU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The ASU modifies the disclosure requirements for fair value measurements by removing, modifying, or adding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disclosures. This ASU is effective for the Company beginning in 2020. Early adoption is permitted. An entity is permitted to early adopt any removed or modified disclosures upon issuance of ASU</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No. 2018-13 and delay adoption of the additional disclosures until their effective date. The Company has not yet evaluated the impact of adoption of this ASU on its condensed consolidated financial statements disclosures.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carrying value of the Company’s cash, restricted cash, cash equivalents and accounts payable, approximate fair value due to the short-term nature of these items.</w:t>
      </w:r>
    </w:p>
    <w:p>
      <w:pPr>
        <w:spacing w:after="0" w:line="170" w:lineRule="exact"/>
        <w:rPr>
          <w:sz w:val="20"/>
          <w:szCs w:val="20"/>
          <w:color w:val="auto"/>
        </w:rPr>
      </w:pPr>
    </w:p>
    <w:p>
      <w:pPr>
        <w:ind w:right="300" w:firstLine="518"/>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 Unadjusted quoted prices in active markets for identical assets or liabilities;</w:t>
      </w:r>
    </w:p>
    <w:p>
      <w:pPr>
        <w:spacing w:after="0" w:line="117" w:lineRule="exact"/>
        <w:rPr>
          <w:rFonts w:ascii="Arial" w:cs="Arial" w:eastAsia="Arial" w:hAnsi="Arial"/>
          <w:sz w:val="18"/>
          <w:szCs w:val="18"/>
          <w:color w:val="auto"/>
        </w:rPr>
      </w:pPr>
    </w:p>
    <w:p>
      <w:pPr>
        <w:jc w:val="both"/>
        <w:ind w:left="900" w:right="60" w:hanging="379"/>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III — Unobservable inputs that are supported by little or no market activity for the related assets or liabilities.</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4"/>
              </w:rPr>
              <w:t>Fair Value Measurements at March 31, 2019</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86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Series C warrant liability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2017 PIPE warrant liability</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6,274</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2018 PIPE warrant liability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Essentialis purchase price contingency liability</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5,855</w:t>
            </w:r>
          </w:p>
        </w:tc>
        <w:tc>
          <w:tcPr>
            <w:tcW w:w="100" w:type="dxa"/>
            <w:vAlign w:val="bottom"/>
          </w:tcPr>
          <w:p>
            <w:pPr>
              <w:spacing w:after="0"/>
              <w:rPr>
                <w:sz w:val="19"/>
                <w:szCs w:val="19"/>
                <w:color w:val="auto"/>
              </w:rPr>
            </w:pPr>
          </w:p>
        </w:tc>
      </w:tr>
      <w:tr>
        <w:trPr>
          <w:trHeight w:val="209"/>
        </w:trPr>
        <w:tc>
          <w:tcPr>
            <w:tcW w:w="43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common stock warrant and contingent</w:t>
            </w:r>
          </w:p>
        </w:tc>
        <w:tc>
          <w:tcPr>
            <w:tcW w:w="9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consideration liability</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12,986</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12,913</w:t>
            </w:r>
          </w:p>
        </w:tc>
        <w:tc>
          <w:tcPr>
            <w:tcW w:w="100" w:type="dxa"/>
            <w:vAlign w:val="bottom"/>
            <w:shd w:val="clear" w:color="auto" w:fill="CFF0FC"/>
          </w:tcPr>
          <w:p>
            <w:pPr>
              <w:spacing w:after="0"/>
              <w:rPr>
                <w:sz w:val="20"/>
                <w:szCs w:val="20"/>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center"/>
              <w:ind w:left="534"/>
              <w:spacing w:after="0"/>
              <w:rPr>
                <w:sz w:val="20"/>
                <w:szCs w:val="20"/>
                <w:color w:val="auto"/>
              </w:rPr>
            </w:pPr>
            <w:r>
              <w:rPr>
                <w:rFonts w:ascii="Arial" w:cs="Arial" w:eastAsia="Arial" w:hAnsi="Arial"/>
                <w:sz w:val="14"/>
                <w:szCs w:val="14"/>
                <w:b w:val="1"/>
                <w:bCs w:val="1"/>
                <w:color w:val="auto"/>
                <w:w w:val="93"/>
              </w:rPr>
              <w:t>Fair Value Measurements at December 31, 2018</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86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Series C warrant liability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2017 PIPE warrant liability</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2018 PIPE warrant liability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Essentialis purchase price contingency liability</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5,649</w:t>
            </w:r>
          </w:p>
        </w:tc>
        <w:tc>
          <w:tcPr>
            <w:tcW w:w="100" w:type="dxa"/>
            <w:vAlign w:val="bottom"/>
          </w:tcPr>
          <w:p>
            <w:pPr>
              <w:spacing w:after="0"/>
              <w:rPr>
                <w:sz w:val="19"/>
                <w:szCs w:val="19"/>
                <w:color w:val="auto"/>
              </w:rPr>
            </w:pPr>
          </w:p>
        </w:tc>
      </w:tr>
      <w:tr>
        <w:trPr>
          <w:trHeight w:val="209"/>
        </w:trPr>
        <w:tc>
          <w:tcPr>
            <w:tcW w:w="43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common stock warrant and contingent</w:t>
            </w:r>
          </w:p>
        </w:tc>
        <w:tc>
          <w:tcPr>
            <w:tcW w:w="9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consideration liability</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10,861</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10,812</w:t>
            </w:r>
          </w:p>
        </w:tc>
        <w:tc>
          <w:tcPr>
            <w:tcW w:w="100" w:type="dxa"/>
            <w:vAlign w:val="bottom"/>
            <w:shd w:val="clear" w:color="auto" w:fill="CFF0FC"/>
          </w:tcPr>
          <w:p>
            <w:pPr>
              <w:spacing w:after="0"/>
              <w:rPr>
                <w:sz w:val="20"/>
                <w:szCs w:val="20"/>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Series A Warrant is a registered security that trades on the open market and the fair value of the Series A Warrant liability is based on the publicly quoted trading price of the warrants which is listed on and obtained from NASDAQ. Accordingly, the fair value of Series A Warrants is a Level 1 measurement. The fair value measurement of the Series C Warrants is based on significant inputs that are unobservable and thus represent Level 3 measurements. The Company’s estimated fair value of the Series C Warrant liability is calculated using the Black-Scholes valuation model, which is equivalent to fair value computed using the Binomial Lattice Option Model. Key assumptions include the volatility of the Company’s stock, the expected warrant term, expected dividend yield and risk-free interest rates. The Company’s estimated fair value of the 2017 PIPE Warrants and the 2018 PIPE Warrants was calculated using 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ind w:right="80"/>
        <w:spacing w:after="0" w:line="257" w:lineRule="auto"/>
        <w:rPr>
          <w:sz w:val="20"/>
          <w:szCs w:val="20"/>
          <w:color w:val="auto"/>
        </w:rPr>
      </w:pPr>
      <w:r>
        <w:rPr>
          <w:rFonts w:ascii="Arial" w:cs="Arial" w:eastAsia="Arial" w:hAnsi="Arial"/>
          <w:sz w:val="18"/>
          <w:szCs w:val="18"/>
          <w:color w:val="auto"/>
        </w:rPr>
        <w:t>Monte Carlo simulation of a geometric Brownian motion model. The Monte Carlo simulation pricing model requires the input of highly subjective assumptions including the expected stock price volatility, the expected term, the expected dividend yield and the risk-free interest rate. The fair value of the Essentialis purchase price contingent liability is estimated using scenario-based methods based upon the Company’s analysis of the likelihood of obtaining specified approvals from the Federal Drug Administration as well as reaching cumulative revenue milestones (see Note 10). The Level 3 estimates are based, in part, on subjective assumptions.</w:t>
      </w:r>
    </w:p>
    <w:p>
      <w:pPr>
        <w:spacing w:after="0" w:line="188"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8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1 and Level 3 warrants, which are treated as liabilities (dollars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Series A Warrant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Series C Warrant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ind w:left="260"/>
              <w:spacing w:after="0"/>
              <w:rPr>
                <w:sz w:val="20"/>
                <w:szCs w:val="20"/>
                <w:color w:val="auto"/>
              </w:rPr>
            </w:pPr>
            <w:r>
              <w:rPr>
                <w:rFonts w:ascii="Arial" w:cs="Arial" w:eastAsia="Arial" w:hAnsi="Arial"/>
                <w:sz w:val="14"/>
                <w:szCs w:val="14"/>
                <w:b w:val="1"/>
                <w:bCs w:val="1"/>
                <w:color w:val="auto"/>
              </w:rPr>
              <w:t>2017 PIPE Warrants</w:t>
            </w:r>
          </w:p>
        </w:tc>
        <w:tc>
          <w:tcPr>
            <w:tcW w:w="1780" w:type="dxa"/>
            <w:vAlign w:val="bottom"/>
            <w:gridSpan w:val="5"/>
          </w:tcPr>
          <w:p>
            <w:pPr>
              <w:ind w:left="180"/>
              <w:spacing w:after="0"/>
              <w:rPr>
                <w:sz w:val="20"/>
                <w:szCs w:val="20"/>
                <w:color w:val="auto"/>
              </w:rPr>
            </w:pPr>
            <w:r>
              <w:rPr>
                <w:rFonts w:ascii="Arial" w:cs="Arial" w:eastAsia="Arial" w:hAnsi="Arial"/>
                <w:sz w:val="14"/>
                <w:szCs w:val="14"/>
                <w:b w:val="1"/>
                <w:bCs w:val="1"/>
                <w:color w:val="auto"/>
              </w:rPr>
              <w:t>2018 PIPE Warrants</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w w:val="90"/>
              </w:rPr>
              <w:t>Purchase Price</w:t>
            </w:r>
          </w:p>
        </w:tc>
      </w:tr>
      <w:tr>
        <w:trPr>
          <w:trHeight w:val="143"/>
        </w:trPr>
        <w:tc>
          <w:tcPr>
            <w:tcW w:w="3180" w:type="dxa"/>
            <w:vAlign w:val="bottom"/>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6"/>
              </w:rPr>
              <w:t>Contingent</w:t>
            </w:r>
          </w:p>
        </w:tc>
      </w:tr>
      <w:tr>
        <w:trPr>
          <w:trHeight w:val="161"/>
        </w:trPr>
        <w:tc>
          <w:tcPr>
            <w:tcW w:w="3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Warrants</w:t>
            </w:r>
          </w:p>
        </w:tc>
        <w:tc>
          <w:tcPr>
            <w:tcW w:w="2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Liability</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Warrants</w:t>
            </w: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Liability</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Warrants</w:t>
            </w: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Warrants</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Liability</w:t>
            </w:r>
          </w:p>
        </w:tc>
      </w:t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485,121</w:t>
            </w: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49</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118,083</w:t>
            </w: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6,024,425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Change in value of Series A Warrants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24</w:t>
            </w:r>
          </w:p>
        </w:tc>
        <w:tc>
          <w:tcPr>
            <w:tcW w:w="2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w w:val="98"/>
              </w:rPr>
              <w:t>Change in value of 2017 PIPE Warrants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w w:val="98"/>
              </w:rPr>
              <w:t>Change in value of 2018 PIPE Warrants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 of contingent liability</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FF0FC"/>
          </w:tcPr>
          <w:p>
            <w:pPr>
              <w:spacing w:after="0"/>
              <w:rPr>
                <w:sz w:val="19"/>
                <w:szCs w:val="19"/>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485,121</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73</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118,083</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6,024,425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6,274</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513,617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5,855</w:t>
            </w:r>
          </w:p>
        </w:tc>
        <w:tc>
          <w:tcPr>
            <w:tcW w:w="6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Warrant Liabilities</w:t>
      </w:r>
    </w:p>
    <w:p>
      <w:pPr>
        <w:spacing w:after="0" w:line="121" w:lineRule="exact"/>
        <w:rPr>
          <w:sz w:val="20"/>
          <w:szCs w:val="20"/>
          <w:color w:val="auto"/>
        </w:rPr>
      </w:pPr>
    </w:p>
    <w:p>
      <w:pPr>
        <w:ind w:right="460" w:firstLine="518"/>
        <w:spacing w:after="0" w:line="308" w:lineRule="auto"/>
        <w:rPr>
          <w:sz w:val="20"/>
          <w:szCs w:val="20"/>
          <w:color w:val="auto"/>
        </w:rPr>
      </w:pPr>
      <w:r>
        <w:rPr>
          <w:rFonts w:ascii="Arial" w:cs="Arial" w:eastAsia="Arial" w:hAnsi="Arial"/>
          <w:sz w:val="17"/>
          <w:szCs w:val="17"/>
          <w:color w:val="auto"/>
        </w:rPr>
        <w:t xml:space="preserve">The Company has issued multiple warrant series, of which the Series A Warrants, Series C Warrants, the 2017 PIPE Warrants and the 2018 PIPE Warrants (the “Warrants”) are considered liabilities pursuant to the guidance established by </w:t>
      </w:r>
      <w:r>
        <w:rPr>
          <w:rFonts w:ascii="Arial" w:cs="Arial" w:eastAsia="Arial" w:hAnsi="Arial"/>
          <w:sz w:val="17"/>
          <w:szCs w:val="17"/>
          <w:i w:val="1"/>
          <w:iCs w:val="1"/>
          <w:color w:val="auto"/>
        </w:rPr>
        <w:t>ASC 815 Derivatives and Hedging.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 xml:space="preserve">The Company accounts for the Warrants in accordance with the guidance in </w:t>
      </w:r>
      <w:r>
        <w:rPr>
          <w:rFonts w:ascii="Arial" w:cs="Arial" w:eastAsia="Arial" w:hAnsi="Arial"/>
          <w:sz w:val="18"/>
          <w:szCs w:val="18"/>
          <w:i w:val="1"/>
          <w:iCs w:val="1"/>
          <w:color w:val="auto"/>
        </w:rPr>
        <w:t>ASC 815</w:t>
      </w:r>
      <w:r>
        <w:rPr>
          <w:rFonts w:ascii="Arial" w:cs="Arial" w:eastAsia="Arial" w:hAnsi="Arial"/>
          <w:sz w:val="18"/>
          <w:szCs w:val="18"/>
          <w:color w:val="auto"/>
        </w:rPr>
        <w:t>. As indicated below, the Company may be obligated to settle Warrants in cash in the case of a Fundamental Transaction (as defined in the Warrants).</w:t>
      </w:r>
    </w:p>
    <w:p>
      <w:pPr>
        <w:spacing w:after="0" w:line="170"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The Company classified the Warrants, with a term greater than one year, as long-term liabilities at their fair value and will re-measure the warrants at each balance sheet date until they are exercised or expire. Any change in the fair value is recognized as other income (expense) in the Company’s condensed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Company has issued 489,921 Series A Warrants to purchase shares of its common stock at an exercise price of $32.50 per share in connection with the unit offering offered in the Company’s initial public offering, or the IPO, in November 2014. The Series A Warrants are exercisable at any time prior to the expiration of the five-year term on November 12, 2019.</w:t>
      </w:r>
    </w:p>
    <w:p>
      <w:pPr>
        <w:spacing w:after="0" w:line="181"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Upon the completion of the IPO, the Series A Warrants started trading on the NASDAQ under the symbol SLNOW. As the Series A Warrants are publicly traded, the Company uses the closing price on the measurement date to determine the fair value of the Series A Warrants. The Series A Warrants contract further provides for the payment of liquidated damages at an amount per month equal to 1% of the aggregate volume weighted average price, or VWAP, of the shares into which each Warrant is convertible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proceeds related to the warrant financings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approximates the binomial lattice model.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1" w:name="page12"/>
    <w:bookmarkEnd w:id="11"/>
    <w:p>
      <w:pPr>
        <w:jc w:val="both"/>
        <w:ind w:right="60" w:firstLine="518"/>
        <w:spacing w:after="0" w:line="264" w:lineRule="auto"/>
        <w:rPr>
          <w:sz w:val="20"/>
          <w:szCs w:val="20"/>
          <w:color w:val="auto"/>
        </w:rPr>
      </w:pPr>
      <w:r>
        <w:rPr>
          <w:rFonts w:ascii="Arial" w:cs="Arial" w:eastAsia="Arial" w:hAnsi="Arial"/>
          <w:sz w:val="18"/>
          <w:szCs w:val="18"/>
          <w:color w:val="auto"/>
        </w:rPr>
        <w:t>Since their issuance, a total of 4,800 Series A Warrants have been exercised. As of March 31, 2019, the fair value of the 485,121 outstanding Series A Warrants was approximately $73,000 and the increase of approximately $24,000 in fair value during the three months ended March 31, 2019 was recorded as other income (expense) in the condensed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11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On March 5, 2015, the Company entered into separate agreements with certain Series B Warrant holders, who agreed to exercise their Series B Warrants to purchase an aggregate of 117,902 shares of the Company’s common stock at an exercise price of $32.50 per share, resulting in the de-recognition of $6.7 million of the previously issued Series B Warrant liability and gross proceeds to the Company of $3.8 million based on the exercise price of the Series B Warrants. In connection with this exercise of the Series B Warrants, the Company issued to each investor who exercised Series B Warrants, new Series C Warrants for the number of shares of the Company’s common stock underlying the Series B Warrants that were exercised. Each Series C Warrant is exercisable at $31.25 per share and will expire on March 5, 2020. The Series C Warrants contract further provides for the payment of liquidated damages at an amount per month equal to 1% of the aggregate volume weighted average price, or VWAP, of the shares into which each Warrant is convertible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proceeds related to the warrant financings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approximates the binomial lattice model.</w:t>
      </w:r>
    </w:p>
    <w:p>
      <w:pPr>
        <w:spacing w:after="0" w:line="183"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In April 2015, the Company issued a tender offer to the remaining holders of Series B Warrants to induce the holders to cash exercise the outstanding Series B Warrants in exchange for new Series C Warrants with an exercise price of $31.25 per share that expire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181 shares of the Company’s common stock, the issuance of 181 Series C Warrants and proceeds to the Company of approximately $6,000.</w:t>
      </w:r>
    </w:p>
    <w:p>
      <w:pPr>
        <w:spacing w:after="0" w:line="158"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Series C Warrants are exercisable into 118,083 shares of the Company’s common stock. As of March 31, 2019, the fair value of the Series C Warrants was determined to be zero, consistent with the balance as of December 31, 2018.</w:t>
      </w:r>
    </w:p>
    <w:p>
      <w:pPr>
        <w:spacing w:after="0" w:line="170"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The Company has calculated the fair value of the Series C Warrants using a Black-Scholes pricing model. The Black-Scholes pricing model requires the input of highly subjective assumptions including the expected stock price volatility. The Company used the following inputs.</w:t>
      </w:r>
    </w:p>
    <w:p>
      <w:pPr>
        <w:spacing w:after="0" w:line="13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4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260" w:type="dxa"/>
            <w:vAlign w:val="bottom"/>
          </w:tcPr>
          <w:p>
            <w:pPr>
              <w:jc w:val="right"/>
              <w:ind w:right="116"/>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Risk-free rate</w:t>
            </w:r>
          </w:p>
        </w:tc>
        <w:tc>
          <w:tcPr>
            <w:tcW w:w="126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2017 PIPE Offering</w:t>
      </w:r>
    </w:p>
    <w:p>
      <w:pPr>
        <w:spacing w:after="0" w:line="117"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The 2017 PIPE Warrants were issued on December 15, 2017 in the 2017 PIPE Offering, pursuant to a Warrant Agreement with each of the investors in the 2017 PIPE Offering, and entitle the holder to purchase one share of the Company’s common stock at an exercise price equal to $2.00 per share, subject to adjustment as discussed below, at any time commencing upon issuance of the 2017 PIPE Warrants and terminating at the earlier of December 15, 2020 or 30 days following positive Phase III results for the DCCR tablet in PWS.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exercise price and number of shares of common stock issuable upon exercise of the 2017 PIPE Warrants may be adjusted in certain circumstances, including the event of a stock split, stock dividend, extraordinary dividend, or recapitalization, reorganization, merger or consolidation. However, the exercise price of the 2017 PIPE Warrants will not be reduced below $1.72.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 w:name="page13"/>
    <w:bookmarkEnd w:id="12"/>
    <w:p>
      <w:pPr>
        <w:ind w:right="60" w:firstLine="518"/>
        <w:spacing w:after="0" w:line="342" w:lineRule="auto"/>
        <w:rPr>
          <w:sz w:val="20"/>
          <w:szCs w:val="20"/>
          <w:color w:val="auto"/>
        </w:rPr>
      </w:pPr>
      <w:r>
        <w:rPr>
          <w:rFonts w:ascii="Arial" w:cs="Arial" w:eastAsia="Arial" w:hAnsi="Arial"/>
          <w:sz w:val="16"/>
          <w:szCs w:val="16"/>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24"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March 31, 2019, the fair value of the 2017 PIPE Warrants was estimated at $6.3 million. The increase in the fair value of the liability for the 2017 PIPE Warrants of approximately $1.7 million during the three months ended March 31, 2019 was recorded as other income (expense) in the condensed consolidated statements of operations.</w:t>
      </w:r>
    </w:p>
    <w:p>
      <w:pPr>
        <w:spacing w:after="0" w:line="18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 Company has calculated the fair value of the 2017 PIPE Warrants using a Monte Carlo simulation of a geometric Brownian motion model. The Monte Carlo simulation pricing model requires the input of highly subjective assumptions including the expected stock price volatility. The following summarizes certain key assumptions used in estimating the fair values.</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4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260" w:type="dxa"/>
            <w:vAlign w:val="bottom"/>
          </w:tcPr>
          <w:p>
            <w:pPr>
              <w:jc w:val="right"/>
              <w:ind w:right="11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Risk-free rate</w:t>
            </w:r>
          </w:p>
        </w:tc>
        <w:tc>
          <w:tcPr>
            <w:tcW w:w="126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2018 PIPE Offering</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2018 PIPE Warrants were issued on December 19, 2018 in the 2018 PIPE Offering, pursuant to a Warrant Agreement with each of the investors in the 2018 PIPE Offering, and entitle the holders of each of the 10,272,375 units to purchase 0.05 shares of the Company’s common stock at an exercise price equal to $2.00 per share, subject to adjustment as discussed below, at any time commencing upon issuance of the 2018 PIPE Warrants and terminating on December 21, 2023.</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exercise price and number of shares of common stock issuable upon exercise of the 2018 PIPE Warrants may be adjusted in certain circumstances, including the event of a stock split, stock dividend, extraordinary dividend, or recapitalization, reorganization, merger or consolidation. However, the exercise price of the 2018 PIPE Warrants will not be reduced below $2.00.</w:t>
      </w:r>
    </w:p>
    <w:p>
      <w:pPr>
        <w:spacing w:after="0" w:line="181"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2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March 31, 2019, the fair value of the 2018 PIPE Warrants was estimated at approximately $784,000. The approximate $184,000 increase in the fair value of the liability for the 2018 PIPE Warrants during the three months ended March 31, 2019 was recorded as other income (expense) in the condensed consolidated statements of operations.</w:t>
      </w:r>
    </w:p>
    <w:p>
      <w:pPr>
        <w:spacing w:after="0" w:line="18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 Company has calculated the fair value of the 2018 PIPE Warrants using a Monte Carlo simulation of a geometric Brownian motion model. The Monte Carlo simulation pricing model requires the input of highly subjective assumptions including the expected stock price volatility. The following summarizes certain key assumptions used in estimating the fair values.</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4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260" w:type="dxa"/>
            <w:vAlign w:val="bottom"/>
          </w:tcPr>
          <w:p>
            <w:pPr>
              <w:jc w:val="right"/>
              <w:ind w:right="116"/>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Risk-free rate</w:t>
            </w:r>
          </w:p>
        </w:tc>
        <w:tc>
          <w:tcPr>
            <w:tcW w:w="126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bl>
    <w:p>
      <w:pPr>
        <w:spacing w:after="0" w:line="24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Monte Carlo simulation of a geometric Brownian motion model requires the use of highly subjective assumptions to estimate the fair value of stock-based awards. These assumptions include the following estimates.</w:t>
      </w:r>
    </w:p>
    <w:p>
      <w:pPr>
        <w:spacing w:after="0" w:line="62" w:lineRule="exact"/>
        <w:rPr>
          <w:sz w:val="20"/>
          <w:szCs w:val="20"/>
          <w:color w:val="auto"/>
        </w:rPr>
      </w:pPr>
    </w:p>
    <w:p>
      <w:pPr>
        <w:ind w:left="900" w:right="620" w:hanging="379"/>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Company calculates the estimated volatility rate based on the volatilities of common stock of comparable companies in its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Contractual term: </w:t>
      </w:r>
      <w:r>
        <w:rPr>
          <w:rFonts w:ascii="Arial" w:cs="Arial" w:eastAsia="Arial" w:hAnsi="Arial"/>
          <w:sz w:val="18"/>
          <w:szCs w:val="18"/>
          <w:color w:val="auto"/>
        </w:rPr>
        <w:t>The expected life of the warrants, which is based on the contractual term of the warrants.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3" w:name="page14"/>
    <w:bookmarkEnd w:id="13"/>
    <w:p>
      <w:pPr>
        <w:ind w:left="900" w:right="12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does not currently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U.S. Treasury rate for similar periods as those of expected volatility.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On July 1, 2015, the Company executed a new four-year non-cancelable operating lease agreement for 8,171 square feet of office space for its headquarters facility. The lease agreement provides for monthly lease payments of $23,300 beginning in September of 2015, with increases in the following three years. An additional 5,265 square feet of office space became part of the new lease agreement on March 1, 2016, and in December 2017 the Company subleased this additional space to a third party through the end of the lease term.</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Rent expense was approximately $54,000 and $85,000 during the three months ended March 31, 2019 and 2018, respectively, net of sublease income of approximately $65,000 and $98,000,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449"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7. CoSense Joint Venture Agreement and Discontinued Operations</w:t>
      </w:r>
    </w:p>
    <w:p>
      <w:pPr>
        <w:spacing w:after="0" w:line="229"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December 2017, the Company entered into a joint venture with OAHL with respect to its CoSense product by agreeing to sell shares of Capnia, its wholly-owned subsidiary, to OAHL. CoSense was Soleno’s first Sensalyze Technology Platform product to receive 510(k) clearances from the FDA and CE Mark certification. CoSense measures CO, which can be elevated due to endogenous causes such as excessive breakdown of red blood cells, or hemolysis, or exogenous causes such as CO poisoning and smoke inhalation. The first target market for CoSense is for the use of ETCO measurements to aid in detection of hemolysis in neonates, a disorder in which CO and bilirubin are produced in excess as byproducts of the breakdown of red blood cells. The Company’s entry into the joint venture results from a comprehensive review of strategic alternatives for its legacy products and product candidates following its transition to a primarily therapeutic drug product company. The terms of the Joint Venture Agreement provide that OAHL will invest up to a total of $2.2 million in Capnia’s common shares on an incremental quarterly basis commencing in December 2017. Going forward, OAHL will be responsible for funding a portion of the Capnia operations. The Joint Venture Agreement provided that Capnia would issue shares of common shares to OAHL based on a negotiated price of $1.00 per share when the cumulative investment made by OAHL equaled or exceeded $1.2 million. For financial reporting purposes, Capnia’s assets, liabilities and results of operations had historically been consolidated with those of the Company.</w:t>
      </w:r>
    </w:p>
    <w:p>
      <w:pPr>
        <w:spacing w:after="0" w:line="173"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During October 2018, the Company and OAHL determined and agreed that the cumulative investment made by OAHL exceeded $1.2 million during the quarter ended September 30, 2018. Accordingly, on October 16, 2018, Capnia issued 1,690,322 shares of its common stock to OAHL, representing 53% of its outstanding shares. After the share issuance the Company no longer held a controlling interest in Capnia and resulted in the deconsolidation of Capnia’s financial statements with those of the Company and a $2.0 million gain was recognized in the fourth quarter of 2018 as a result of the deconsolidation. Of this amount, $1.2 million related to the remeasurement of the Company's retained interest in the joint venture to fair value which was measured based on the negotiated price of $1.00 per share for Soleno’s remaining ownership of 1,480,000 shares less a 23% discount for lack of control over Capnia. The total gain was included in other income from continuing operations on the Company's consolidated statements of operations. The remaining 47% investment in Capnia is classified as an equity method investment and presented as a Minority interest investment in former subsidiary in the condensed consolidated balance sheet. The balance of Minority interest investment in former subsidiary decreased by approximately $190,000 during the three months ended March 31, 2019 as a result of the Company recording its share of Capnia’s net losses during the period, which is included in the line titled loss from minority interest investment in the Company’s condensed consolidated statements of operations.</w:t>
      </w:r>
    </w:p>
    <w:p>
      <w:pPr>
        <w:spacing w:after="0" w:line="173"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There were no assets or liabilities held for sale as of March 31, 2019 or December 31, 2018 after the deconsolidation of Capnia in October 2018, and no discontinued operations during the three months ended March 31, 2019. The components of the Statements of Operations presented as Discontinued Operations during the three months ended March 31, 2018 follow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product revenue</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FF0FC"/>
            </w:tcBorders>
          </w:tcPr>
          <w:p>
            <w:pPr>
              <w:spacing w:after="0"/>
              <w:rPr>
                <w:sz w:val="19"/>
                <w:szCs w:val="19"/>
                <w:color w:val="auto"/>
              </w:rPr>
            </w:pPr>
          </w:p>
        </w:tc>
      </w:tr>
      <w:tr>
        <w:trPr>
          <w:trHeight w:val="223"/>
        </w:trPr>
        <w:tc>
          <w:tcPr>
            <w:tcW w:w="6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 (loss)</w:t>
            </w:r>
          </w:p>
        </w:tc>
        <w:tc>
          <w:tcPr>
            <w:tcW w:w="5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Expenses</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5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FF0FC"/>
          </w:tcPr>
          <w:p>
            <w:pPr>
              <w:spacing w:after="0"/>
              <w:rPr>
                <w:sz w:val="19"/>
                <w:szCs w:val="19"/>
                <w:color w:val="auto"/>
              </w:rPr>
            </w:pPr>
          </w:p>
        </w:tc>
      </w:tr>
      <w:tr>
        <w:trPr>
          <w:trHeight w:val="223"/>
        </w:trPr>
        <w:tc>
          <w:tcPr>
            <w:tcW w:w="6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80" w:type="dxa"/>
            <w:vAlign w:val="bottom"/>
            <w:tcBorders>
              <w:bottom w:val="single" w:sz="8" w:color="CFF0FC"/>
            </w:tcBorders>
          </w:tcPr>
          <w:p>
            <w:pPr>
              <w:spacing w:after="0"/>
              <w:rPr>
                <w:sz w:val="19"/>
                <w:szCs w:val="19"/>
                <w:color w:val="auto"/>
              </w:rPr>
            </w:pPr>
          </w:p>
        </w:tc>
      </w:tr>
      <w:tr>
        <w:trPr>
          <w:trHeight w:val="223"/>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from discontinued operations</w:t>
            </w: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Stock-based compensation expense of approximately $19,000 was classified in discontinued operations for the three months ended March 31, 2018. There were no discontinued operations during the three months ended March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The Company has adopted the 1999 Incentive Stock Plan, the 2010 Equity Incentive Plan, and the 2014 Equity Incentive Plan, or the 2014 Plan, and together, the Plans. The 1999 Incentive Stock Plan expired in 2009, and the 2010 Equity Incentive Plan has been closed to new issuances.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ind w:firstLine="518"/>
        <w:spacing w:after="0" w:line="273" w:lineRule="auto"/>
        <w:rPr>
          <w:sz w:val="20"/>
          <w:szCs w:val="20"/>
          <w:color w:val="auto"/>
        </w:rPr>
      </w:pPr>
      <w:r>
        <w:rPr>
          <w:rFonts w:ascii="Arial" w:cs="Arial" w:eastAsia="Arial" w:hAnsi="Arial"/>
          <w:sz w:val="17"/>
          <w:szCs w:val="17"/>
          <w:color w:val="auto"/>
        </w:rPr>
        <w:t>The Board of Directors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As of March 31, 2019, a total of 925,749 shares are available for future grant under the 2014 Plan.</w:t>
      </w:r>
    </w:p>
    <w:p>
      <w:pPr>
        <w:spacing w:after="0" w:line="178"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Company recognized stock-based compensation expense related to options and restricted stock units granted to employees, directors and consultants for the three months ended March 31, 2019 and 2018 of approximately $202,000 and $359,000, respectively, of which approximately $19,000 was recorded in discontinued operations in the first quarter of 2018. The compensation expense is allocated on a departmental basis, based on the classification of the option holder. No income tax benefits have been recognized in the statements of operations for stock-based compensation arrangements during any of the periods presented.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compensation expense was allocated between departments in continuing operations as follows (in thousands).</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52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546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The Company granted options to purchase 464,000 and 616,500 of the Company’s common stock during the three months ended March 31, 2019 and 2018, respectively. The fair value of each award granted was estimated on the date of grant using the Black-Scholes option pricing model with the following assumptions.</w:t>
      </w:r>
    </w:p>
    <w:p>
      <w:pPr>
        <w:spacing w:after="0" w:line="26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50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5480" w:type="dxa"/>
            <w:vAlign w:val="bottom"/>
            <w:tcBorders>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Expected life (years)</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6.0-6.1</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6.0</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2.6%</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2.7%</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71%</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70%</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Dividend rate</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 the following estimates:</w:t>
      </w:r>
    </w:p>
    <w:p>
      <w:pPr>
        <w:spacing w:after="0" w:line="62" w:lineRule="exact"/>
        <w:rPr>
          <w:sz w:val="20"/>
          <w:szCs w:val="20"/>
          <w:color w:val="auto"/>
        </w:rPr>
      </w:pPr>
    </w:p>
    <w:p>
      <w:pPr>
        <w:ind w:left="900" w:right="220" w:hanging="379"/>
        <w:spacing w:after="0" w:line="279"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Expected life: </w:t>
      </w:r>
      <w:r>
        <w:rPr>
          <w:rFonts w:ascii="Arial" w:cs="Arial" w:eastAsia="Arial" w:hAnsi="Arial"/>
          <w:sz w:val="17"/>
          <w:szCs w:val="17"/>
          <w:color w:val="auto"/>
        </w:rPr>
        <w:t>The expected life of stock options represents the average of the contractual term of the options and the weighted-average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as permitted under the simplified method. The Company does not believe it is able to rely on historical exercise and post-vesting termination activity to provide accurate data for estimating the expected term for use in estimating the fair value-based measurement of stock options. Therefore, it has opted to use the “simplified method” for estimating the expected term of options.</w:t>
      </w:r>
    </w:p>
    <w:p>
      <w:pPr>
        <w:spacing w:after="0" w:line="63" w:lineRule="exact"/>
        <w:rPr>
          <w:rFonts w:ascii="Arial" w:cs="Arial" w:eastAsia="Arial" w:hAnsi="Arial"/>
          <w:sz w:val="17"/>
          <w:szCs w:val="17"/>
          <w:color w:val="auto"/>
        </w:rPr>
      </w:pPr>
    </w:p>
    <w:p>
      <w:pPr>
        <w:ind w:left="900" w:right="120" w:hanging="379"/>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Volatility: </w:t>
      </w:r>
      <w:r>
        <w:rPr>
          <w:rFonts w:ascii="Arial" w:cs="Arial" w:eastAsia="Arial" w:hAnsi="Arial"/>
          <w:sz w:val="17"/>
          <w:szCs w:val="17"/>
          <w:color w:val="auto"/>
        </w:rPr>
        <w:t>The estimated volatility rate based on the volatilities of common stock of comparable companies in the Company’s industry.</w:t>
      </w:r>
    </w:p>
    <w:p>
      <w:pPr>
        <w:spacing w:after="0" w:line="128" w:lineRule="exact"/>
        <w:rPr>
          <w:rFonts w:ascii="Arial" w:cs="Arial" w:eastAsia="Arial" w:hAnsi="Arial"/>
          <w:sz w:val="17"/>
          <w:szCs w:val="17"/>
          <w:color w:val="auto"/>
        </w:rPr>
      </w:pPr>
    </w:p>
    <w:p>
      <w:pPr>
        <w:ind w:left="900" w:right="120" w:hanging="379"/>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Dividend rate: </w:t>
      </w:r>
      <w:r>
        <w:rPr>
          <w:rFonts w:ascii="Arial" w:cs="Arial" w:eastAsia="Arial" w:hAnsi="Arial"/>
          <w:sz w:val="18"/>
          <w:szCs w:val="18"/>
          <w:color w:val="auto"/>
        </w:rPr>
        <w:t>The Company has never declared or paid any cash dividends and does not presently plan to pay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Consequently, the Company used an expected dividend yield of zero.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The following table summarizes stock option transactions for the three months ended March 31, 2019 as issued under the Plans: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Shares Available</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Price per</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61"/>
        </w:trPr>
        <w:tc>
          <w:tcPr>
            <w:tcW w:w="596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for Grant</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Outstanding</w:t>
            </w:r>
          </w:p>
        </w:tc>
        <w:tc>
          <w:tcPr>
            <w:tcW w:w="1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Share</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(in years)</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1,150,961</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1,667,153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Additional shares authorized</w:t>
            </w:r>
          </w:p>
        </w:tc>
        <w:tc>
          <w:tcPr>
            <w:tcW w:w="1140" w:type="dxa"/>
            <w:vAlign w:val="bottom"/>
          </w:tcPr>
          <w:p>
            <w:pPr>
              <w:jc w:val="right"/>
              <w:spacing w:after="0"/>
              <w:rPr>
                <w:sz w:val="20"/>
                <w:szCs w:val="20"/>
                <w:color w:val="auto"/>
              </w:rPr>
            </w:pPr>
            <w:r>
              <w:rPr>
                <w:rFonts w:ascii="Arial" w:cs="Arial" w:eastAsia="Arial" w:hAnsi="Arial"/>
                <w:sz w:val="18"/>
                <w:szCs w:val="18"/>
                <w:color w:val="auto"/>
              </w:rPr>
              <w:t>223,742</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granted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(464,000)</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464,000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canceled/forfeited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15,046</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(15,046)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March 31,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925,749</w:t>
            </w:r>
          </w:p>
        </w:tc>
        <w:tc>
          <w:tcPr>
            <w:tcW w:w="240" w:type="dxa"/>
            <w:vAlign w:val="bottom"/>
            <w:tcBorders>
              <w:bottom w:val="single" w:sz="8" w:color="CFF0FC"/>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2,116,107</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60" w:type="dxa"/>
            <w:vAlign w:val="bottom"/>
            <w:tcBorders>
              <w:bottom w:val="single" w:sz="8" w:color="CFF0FC"/>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vested at March 31, 2019</w:t>
            </w:r>
          </w:p>
        </w:tc>
        <w:tc>
          <w:tcPr>
            <w:tcW w:w="1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901,140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March 31, 2019</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2,116,107</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The weighted-average grant date fair value of options granted was $1.08 and $1.03 per share for the three months ended March 31, 2019 and 2018, respectively. At March 31, 2019 total unrecognized employee stock-based compensation was $1.5 million, which is expected to be recognized over the weighted-average remaining vesting period of 2.9 years. As of March 31, 2019, the outstanding stock options had an intrinsic value of approximately $476,000.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There were 99,217 restricted stock units granted by the Company during the three months ended March 31, 2018 to employees and nonemployees. The shares were 100% vested on the grant date and were valued based on the Company’s common stock price on the grant date, with approximately $159,000 of the related stock-based compensation expense recognized at that time. There were no restricted stock units granted by the Company during the three months ended March 31,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Company’s board of directors and stockholders have adopted the 2014 Employee Stock Purchase Plan, or the ESPP. The ESPP has become effective, and the board of directors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80" w:lineRule="exact"/>
        <w:rPr>
          <w:sz w:val="20"/>
          <w:szCs w:val="20"/>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 of the outstanding shares of the Company’s common stock on the first day of such year;</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55,936 shares; or</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amount as determined by the board of directors.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2019, there were no purchases by employees under this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7"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The Company issued 256,064 Series D Warrants in October 2015, which are exercisable into 586,182 shares of the Company’s common stock, with an exercise price of $12.30 and a term of five years expiring on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requirements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 the event that the Company is unable to maintain the effectiveness of a registration statement as described herein. The Company evaluated the registration payment arrangement stipulated in the terms of this securities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 xml:space="preserve">The Company accounts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 indicated above, the Company is not required under any circumstance to settle any Series D Warrant exercise for cash. The Company has therefore classified the value of the Series D Warrants as permanent equity.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March 31, 2019, the Company had 102,070 common stock warrants outstanding from the 2010/2012 convertible notes, with an exercise price of $24.35 and a term of 10 years expiring in November 2024. The Company also had 16,500 common stock warrants issued to the underwriter in the Company’s IPO, with an exercise price of $35.70 and a term of 10 years, expiring in November 2024.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loss per share</w:t>
      </w:r>
    </w:p>
    <w:p>
      <w:pPr>
        <w:spacing w:after="0" w:line="12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of common stock warrants and options. For the three months ended March 31, 2019 and 2018, the effect of issuing the potential common stock is anti-dilutive due to the net losses in those periods and the number of shares used to compute basic and diluted earnings per share are the same in each of those periods.</w:t>
      </w:r>
    </w:p>
    <w:p>
      <w:pPr>
        <w:spacing w:after="0" w:line="188"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460" w:type="dxa"/>
            <w:vAlign w:val="bottom"/>
            <w:gridSpan w:val="4"/>
          </w:tcPr>
          <w:p>
            <w:pPr>
              <w:ind w:left="700"/>
              <w:spacing w:after="0"/>
              <w:rPr>
                <w:sz w:val="20"/>
                <w:szCs w:val="20"/>
                <w:color w:val="auto"/>
              </w:rPr>
            </w:pPr>
            <w:r>
              <w:rPr>
                <w:rFonts w:ascii="Arial" w:cs="Arial" w:eastAsia="Arial" w:hAnsi="Arial"/>
                <w:sz w:val="14"/>
                <w:szCs w:val="14"/>
                <w:b w:val="1"/>
                <w:bCs w:val="1"/>
                <w:color w:val="auto"/>
              </w:rPr>
              <w:t>As of March 31,</w:t>
            </w: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714,200</w:t>
            </w:r>
          </w:p>
        </w:tc>
        <w:tc>
          <w:tcPr>
            <w:tcW w:w="80" w:type="dxa"/>
            <w:vAlign w:val="bottom"/>
            <w:shd w:val="clear" w:color="auto" w:fill="CFF0FC"/>
          </w:tcPr>
          <w:p>
            <w:pPr>
              <w:spacing w:after="0"/>
              <w:rPr>
                <w:sz w:val="19"/>
                <w:szCs w:val="19"/>
                <w:color w:val="auto"/>
              </w:rPr>
            </w:pP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Warrants issued to 2010/2012 convertible note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holders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102,070</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102,070</w:t>
            </w:r>
          </w:p>
        </w:tc>
        <w:tc>
          <w:tcPr>
            <w:tcW w:w="80" w:type="dxa"/>
            <w:vAlign w:val="bottom"/>
          </w:tcPr>
          <w:p>
            <w:pPr>
              <w:spacing w:after="0"/>
              <w:rPr>
                <w:sz w:val="20"/>
                <w:szCs w:val="20"/>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2,116,107</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1,551,310</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Warrants issued in 2009 to purchase common stock</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1,851</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Warrants issued to underwriter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Series A warrants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485,121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485,121</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Series C warrants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118,083</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118,083</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Series D warrants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586,162</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586,182</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2017 PIPE warrants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6,024,425</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6,024,425</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2018 PIPE warrants</w:t>
            </w:r>
          </w:p>
        </w:tc>
        <w:tc>
          <w:tcPr>
            <w:tcW w:w="1080" w:type="dxa"/>
            <w:vAlign w:val="bottom"/>
          </w:tcPr>
          <w:p>
            <w:pPr>
              <w:jc w:val="right"/>
              <w:spacing w:after="0"/>
              <w:rPr>
                <w:sz w:val="20"/>
                <w:szCs w:val="20"/>
                <w:color w:val="auto"/>
              </w:rPr>
            </w:pPr>
            <w:r>
              <w:rPr>
                <w:rFonts w:ascii="Arial" w:cs="Arial" w:eastAsia="Arial" w:hAnsi="Arial"/>
                <w:sz w:val="18"/>
                <w:szCs w:val="18"/>
                <w:color w:val="auto"/>
              </w:rPr>
              <w:t>513,617</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9,962,085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9,599,742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Contingent Consideration</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On March 7, 2017, the Company acquired Essentialis through the Merger of the Company’s wholly-owned subsidiary, Company E Merger Sub, Inc., a Delaware corporation, or the Merger Sub, whereby Merger Sub merged into Essentialis, with Essentialis surviving the Merger as a wholly owned subsidiary of the Company.</w:t>
      </w:r>
    </w:p>
    <w:p>
      <w:pPr>
        <w:spacing w:after="0" w:line="181"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The transaction has been accounted for as an asset acquisition under the acquisition method of accounting. The amendments in ASU 2017-01 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of assets and activities is not a business.</w:t>
      </w:r>
    </w:p>
    <w:p>
      <w:pPr>
        <w:spacing w:after="0" w:line="14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Upon the achievement of certain commercial milestones associated with the sale of Essentialis’ product in accordance with the terms of the Merger Agreement, the Company is obligated to make cash earnout payments of up to a maximum of $30 million to Essentialis stockholders. The agreement to pay cash upon the achievement of the commercial milestones results in the recognition of a contingent consideration. The fair value of the contingent cash consideration is based on the Company’s analysis of the likelihood of the drug indication moving from phase II through approval in the Federal Drug Administration approval process and then reaching the cumulative revenue milestones.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8" w:name="page19"/>
    <w:bookmarkEnd w:id="18"/>
    <w:p>
      <w:pPr>
        <w:ind w:right="20" w:firstLine="518"/>
        <w:spacing w:after="0" w:line="269" w:lineRule="auto"/>
        <w:rPr>
          <w:sz w:val="20"/>
          <w:szCs w:val="20"/>
          <w:color w:val="auto"/>
        </w:rPr>
      </w:pPr>
      <w:r>
        <w:rPr>
          <w:rFonts w:ascii="Arial" w:cs="Arial" w:eastAsia="Arial" w:hAnsi="Arial"/>
          <w:sz w:val="17"/>
          <w:szCs w:val="17"/>
          <w:color w:val="auto"/>
        </w:rPr>
        <w:t>Management engaged independent professional assistance and advice in order to assess the fair value of the contingent stock and cash consideration as of March 7, 2017 and December 31, 2017. During the process of determining the fair value of the contingent consideration at December 31, 2017, the Company became aware that certain of the subjective assumptions made at the time of the initial valuation should be modified based upon management’s increased understanding of the commercial capabilities of the DCCR drug. Accordingly, the Company determined that it was appropriate to adjust the provisional valuation amounts recorded for the contingent stock and cash consideration made at the inception in March 2017. As a result, the value of the contingent cash consideration to be paid upon completing successive sales milestones increased and the value of the contingent stock consideration payable upon timing milestones was reduced; the resulting combined change to the total contingent consideration was not material. The initial valuation of the contingent consideration determined the fair value of the contingent stock consideration to be $4.2 million and the fair value of the contingent cash consideration to be $1.1 million, for the combined value of $5.3 million. The revision of the initial valuation of the contingent consideration, made within the measurement period, determined the fair value of the contingent stock consideration to be $2.7 million and the fair value of the contingent cash consideration to be $2.6 million, for the combined value of $5.3 million.</w:t>
      </w:r>
    </w:p>
    <w:p>
      <w:pPr>
        <w:spacing w:after="0" w:line="183"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Also subsequent to March 7, 2017 and prior to December 31, 2017, the Company completed its assessment of the tax effect on the net assets acquired by obtaining the independent study and report regarding the change in control in the previously outstanding stock of Essentialis. As a result of completing the study, the Company determined that, pursuant to Section 382 of the Internal Revenue Code, the utilization of Essentialis’s federal and state operating loss carryforwards were limited, which required the Company to record a net deferred tax liability in the amount of $1.7 million, deferred to future periods, as an element of the assets acquired. As a consequence of recording the net deferred tax liability, the Company’s valuation allowance was reduced by $1.7 million, which resulted in the provision for income tax benefit and an increase in the value of the intangible asset acquired.</w:t>
      </w:r>
    </w:p>
    <w:p>
      <w:pPr>
        <w:spacing w:after="0" w:line="165"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probability weighted milestone payments were discounted to determine the present value of future cash payments. The analysis utilized the weighted average cost of capital, or WACC, discount rate which was estimated to be 20%.</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fair value of the liability for the contingent consideration payable by the Company achieving the commercial sales milestones of $100 million and $200 million was initially established as $2.6 million at the time of the merger and $5.9 million at March 31, 2019, based on the Company’s assessment that it could reach the commercial sales milestones in 2024 and 2026,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Compensation Plan for Board Members</w:t>
      </w:r>
    </w:p>
    <w:p>
      <w:pPr>
        <w:spacing w:after="0" w:line="12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In 2017, the Compensation Committee of the Board of Directors recommended, and the Board approved a revised compensation plan pursuant to which all board fees are paid in common stock of the Company. Payment to the Board of Directors in shares of the Company’s common stock is made after the close of the quarter in which the compensation is earned. During the three months ended March 31, 2019 and 2018, the Company issued 21,415 and 49,519 shares, respectively, of common stock to its Board members for fees earned.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No Subsequent Events</w:t>
      </w:r>
    </w:p>
    <w:p>
      <w:pPr>
        <w:spacing w:after="0" w:line="229"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The Company has evaluated its subsequent events from March 31, 2019 through the date these condensed consolidated financial statements were issued and has determined that there are no subsequent events requiring disclosure in these condensed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w:t>
      </w:r>
    </w:p>
    <w:p>
      <w:pPr>
        <w:spacing w:after="0" w:line="12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i w:val="1"/>
          <w:iCs w:val="1"/>
          <w:color w:val="auto"/>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2018, and the related Management’s Discussion and Analysis of Financial Condition and Results of Operations, contained in the Company’s Form 10-K for the year ended December 31, 2018.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 xml:space="preserve">We were initially established as a diversified healthcare company that developed and commercialized innovative diagnostics, devices and therapeutics addressing unmet medical needs, which consisted of: precision metering of gas flow technology marketed as Serenz </w:t>
      </w:r>
      <w:r>
        <w:rPr>
          <w:rFonts w:ascii="Arial" w:cs="Arial" w:eastAsia="Arial" w:hAnsi="Arial"/>
          <w:sz w:val="15"/>
          <w:szCs w:val="15"/>
          <w:color w:val="auto"/>
        </w:rPr>
        <w:t>®</w:t>
      </w:r>
      <w:r>
        <w:rPr>
          <w:rFonts w:ascii="Arial" w:cs="Arial" w:eastAsia="Arial" w:hAnsi="Arial"/>
          <w:sz w:val="18"/>
          <w:szCs w:val="18"/>
          <w:color w:val="auto"/>
        </w:rPr>
        <w:t xml:space="preserve"> Allergy Relief, or Serenz; CoSense </w:t>
      </w:r>
      <w:r>
        <w:rPr>
          <w:rFonts w:ascii="Arial" w:cs="Arial" w:eastAsia="Arial" w:hAnsi="Arial"/>
          <w:sz w:val="15"/>
          <w:szCs w:val="15"/>
          <w:color w:val="auto"/>
        </w:rPr>
        <w:t>®</w:t>
      </w:r>
      <w:r>
        <w:rPr>
          <w:rFonts w:ascii="Arial" w:cs="Arial" w:eastAsia="Arial" w:hAnsi="Arial"/>
          <w:sz w:val="18"/>
          <w:szCs w:val="18"/>
          <w:color w:val="auto"/>
        </w:rPr>
        <w:t xml:space="preserve"> End-Tidal Carbon Monoxide (ETCO) Monitor, or CoSense, which measures ETCO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18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On December 22, 2016, we entered into the Merger Agreement with Essentialis. Essentialis’s efforts prior to the Merger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had tested DCCR as a treatment for PWS, a complex metabolic/neurobehavioral disorder. DCCR has orphan designation for the treatment of PWS in the U.S. as well as in the E.U. Consummation of the Merger was subject to various closing conditions, including our consummation of a financing of at least $8.0 million at, or substantially contemporaneous with, the closing of the Merger, which occurred on March 7, 2017 and the receipt of stockholder approval of the Merger at a special meeting of our stockholders, which was held on March 6, 2017. As a result, we now primarily focus on the development and commercialization of novel therapeutics for the treatment of rare diseases. Our current research and development efforts are primarily focused on advancing our lead candidate, DCCR tablets for the treatment of PWS, into late-stage clinical development.</w:t>
      </w:r>
    </w:p>
    <w:p>
      <w:pPr>
        <w:spacing w:after="0" w:line="18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Subsequent to March 7, 2017, we explored opportunities, and made a decision to divest, sell or otherwise dispose of the CoSense, NFI and Serenz businesses. Accordingly, and pursuant to ASC 205-20-45-10, the assets and liabilities related to the discontinued activities of CoSense, NFI and Serenz businesses are presented separately in the balance sheet as held for sale items, and the related operations reported herein for the CoSense, NFI and Serenz activities are reported as discontinued operations in the statements of operations until the time that the assets were disposed of. Our remaining ownership in Capnia is recorded as an investment and initially measured at fair value.</w:t>
      </w:r>
    </w:p>
    <w:p>
      <w:pPr>
        <w:spacing w:after="0" w:line="188"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Our previously wholly-owned subsidiary NFI also marketed innovative pulmonary resuscitation solutions for the inpatient and ambulatory neonatal markets. We sold NFI in a stock transaction that was completed on July 18, 2017, pursuant to the NFI Purchase Agreement with Neoforce Holdings, a wholly-owned subsidiary of Flexicare Medical Limited, a privately-held United Kingdom company, for $720,000 and adjustments for inventory and the current cash balances held at NFI.</w:t>
      </w:r>
    </w:p>
    <w:p>
      <w:pPr>
        <w:spacing w:after="0" w:line="18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On December 4, 2017, we and our then wholly-owned subsidiary Capnia, entered into a joint venture with OAHL with the purpose of developing and commercializing CoSense with the intent to transfer ownership of Capnia to OAHL. During October 2018, Capnia issued 1,690,322 shares of its common stock to OAHL, representing 53% of its outstanding shares, after which we no longer hold a controlling interest in Capnia. Accordingly, we deconsolidated Capnia’s financial statements from ours and our remaining minority interest in Capnia is reported as a Minority interest investment in our consolidated balance sheet.</w:t>
      </w:r>
    </w:p>
    <w:p>
      <w:pPr>
        <w:spacing w:after="0" w:line="18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Company has previously charged to expense all previously-held assets related to its Serenz operations, and there are no remaining Serenz assets, liabilities or operations related to the Company’s previous Serenz-related business.</w:t>
      </w:r>
    </w:p>
    <w:p>
      <w:pPr>
        <w:spacing w:after="0" w:line="17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On July 27, 2018, the FDA has granted Fast Track designation to DCCR for the treatment of PWS. We are currently conducting a Phase III clinical trial of DCCR for the treatment of PWS.</w:t>
      </w:r>
    </w:p>
    <w:p>
      <w:pPr>
        <w:spacing w:after="0" w:line="17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As of March 31, 2019, we had an accumulated deficit of $134.1 million, primarily as a result of research and development and general and administrative expenses. While we may in the future generate revenue from a variety of sources, potentially including sales of our neonatology products, therapeutic products, other diagnostic products, license fees, milestone payments, and research and development payments in connection with potential future strategic partnerships, we have, to date, generated approximately $2,000 of revenue only from the 2013 license agreement pertaining to Serenz, approximately $2.7 million in revenue from our neonatology products and approximately $0.2 million in government grants; these activities are reported as discontinued operations in our accompanying consolidated financial statements. We may never be successful in commercializing our novel therapeutic and 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ind w:right="380"/>
        <w:spacing w:after="0" w:line="342" w:lineRule="auto"/>
        <w:rPr>
          <w:sz w:val="20"/>
          <w:szCs w:val="20"/>
          <w:color w:val="auto"/>
        </w:rPr>
      </w:pPr>
      <w:r>
        <w:rPr>
          <w:rFonts w:ascii="Arial" w:cs="Arial" w:eastAsia="Arial" w:hAnsi="Arial"/>
          <w:sz w:val="16"/>
          <w:szCs w:val="16"/>
          <w:color w:val="auto"/>
        </w:rPr>
        <w:t>divesting, selling or otherwise disposing of our existing neonatology products or related therapeutic products. Accordingly, we expect to incur significant losses from operations for the foreseeable future, and there can be no assurance that we will ever generate significant revenue or profits.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2018, from continuing operations</w:t>
      </w:r>
    </w:p>
    <w:p>
      <w:pPr>
        <w:sectPr>
          <w:pgSz w:w="11900" w:h="16838" w:orient="portrait"/>
          <w:cols w:equalWidth="0" w:num="1">
            <w:col w:w="11420"/>
          </w:cols>
          <w:pgMar w:left="240" w:top="557" w:right="239" w:bottom="1440" w:gutter="0" w:footer="0" w:header="0"/>
        </w:sectPr>
      </w:pPr>
    </w:p>
    <w:p>
      <w:pPr>
        <w:spacing w:after="0" w:line="311" w:lineRule="exact"/>
        <w:rPr>
          <w:sz w:val="20"/>
          <w:szCs w:val="20"/>
          <w:color w:val="auto"/>
        </w:rPr>
      </w:pPr>
    </w:p>
    <w:p>
      <w:pPr>
        <w:jc w:val="center"/>
        <w:ind w:left="606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13970</wp:posOffset>
            </wp:positionV>
            <wp:extent cx="16122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6" w:lineRule="exact"/>
        <w:rPr>
          <w:sz w:val="20"/>
          <w:szCs w:val="20"/>
          <w:color w:val="auto"/>
        </w:rPr>
      </w:pPr>
    </w:p>
    <w:p>
      <w:pPr>
        <w:ind w:left="6340"/>
        <w:spacing w:after="0"/>
        <w:tabs>
          <w:tab w:leader="none" w:pos="77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6350</wp:posOffset>
            </wp:positionV>
            <wp:extent cx="16205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Amount</w:t>
      </w:r>
      <w:r>
        <w:rPr>
          <w:sz w:val="20"/>
          <w:szCs w:val="20"/>
          <w:color w:val="auto"/>
        </w:rPr>
        <w:tab/>
      </w:r>
      <w:r>
        <w:rPr>
          <w:rFonts w:ascii="Arial" w:cs="Arial" w:eastAsia="Arial" w:hAnsi="Arial"/>
          <w:sz w:val="12"/>
          <w:szCs w:val="12"/>
          <w:b w:val="1"/>
          <w:bCs w:val="1"/>
          <w:color w:val="auto"/>
        </w:rPr>
        <w:t>Percentage</w:t>
      </w:r>
    </w:p>
    <w:p>
      <w:pPr>
        <w:spacing w:after="0" w:line="23" w:lineRule="exact"/>
        <w:rPr>
          <w:sz w:val="20"/>
          <w:szCs w:val="20"/>
          <w:color w:val="auto"/>
        </w:rPr>
      </w:pPr>
    </w:p>
    <w:p>
      <w:pPr>
        <w:sectPr>
          <w:pgSz w:w="11900" w:h="16838" w:orient="portrait"/>
          <w:cols w:equalWidth="0" w:num="2">
            <w:col w:w="8280" w:space="720"/>
            <w:col w:w="2420"/>
          </w:cols>
          <w:pgMar w:left="240" w:top="557" w:right="2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4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4"/>
          </w:tcPr>
          <w:p>
            <w:pPr>
              <w:jc w:val="right"/>
              <w:ind w:right="110"/>
              <w:spacing w:after="0" w:line="155"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2,760</w:t>
            </w:r>
          </w:p>
        </w:tc>
        <w:tc>
          <w:tcPr>
            <w:tcW w:w="140" w:type="dxa"/>
            <w:vAlign w:val="bottom"/>
          </w:tcPr>
          <w:p>
            <w:pPr>
              <w:spacing w:after="0"/>
              <w:rPr>
                <w:sz w:val="19"/>
                <w:szCs w:val="19"/>
                <w:color w:val="auto"/>
              </w:rPr>
            </w:pP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1,180</w:t>
            </w:r>
          </w:p>
        </w:tc>
        <w:tc>
          <w:tcPr>
            <w:tcW w:w="260" w:type="dxa"/>
            <w:vAlign w:val="bottom"/>
          </w:tcPr>
          <w:p>
            <w:pPr>
              <w:spacing w:after="0"/>
              <w:rPr>
                <w:sz w:val="19"/>
                <w:szCs w:val="19"/>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1,580</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(222)</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500"/>
              <w:spacing w:after="0"/>
              <w:rPr>
                <w:sz w:val="20"/>
                <w:szCs w:val="20"/>
                <w:color w:val="auto"/>
              </w:rPr>
            </w:pPr>
            <w:r>
              <w:rPr>
                <w:rFonts w:ascii="Arial" w:cs="Arial" w:eastAsia="Arial" w:hAnsi="Arial"/>
                <w:sz w:val="18"/>
                <w:szCs w:val="18"/>
                <w:color w:val="auto"/>
              </w:rPr>
              <w:t>Operating loss</w:t>
            </w:r>
          </w:p>
        </w:tc>
        <w:tc>
          <w:tcPr>
            <w:tcW w:w="10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(4,978)</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(3,475)</w:t>
            </w:r>
          </w:p>
        </w:tc>
        <w:tc>
          <w:tcPr>
            <w:tcW w:w="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(1,503)</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Cease-use income</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(2,082)</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Loss from minority interest investment</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(190)</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740"/>
              <w:spacing w:after="0"/>
              <w:rPr>
                <w:sz w:val="20"/>
                <w:szCs w:val="20"/>
                <w:color w:val="auto"/>
              </w:rPr>
            </w:pPr>
            <w:r>
              <w:rPr>
                <w:rFonts w:ascii="Arial" w:cs="Arial" w:eastAsia="Arial" w:hAnsi="Arial"/>
                <w:sz w:val="18"/>
                <w:szCs w:val="18"/>
                <w:color w:val="auto"/>
              </w:rPr>
              <w:t>Total other income (expense)</w:t>
            </w:r>
          </w:p>
        </w:tc>
        <w:tc>
          <w:tcPr>
            <w:tcW w:w="10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(2,052)</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(2,237)</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(7,030)</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(3,290)</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(3,740)</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(514)</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w:t>
            </w:r>
          </w:p>
        </w:tc>
        <w:tc>
          <w:tcPr>
            <w:tcW w:w="26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(3,226)</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have yet not commenced commercialization of DCCR, our current sole novel therapeutic product, and accordingly, through March 31, 2019, have generated no revenue from continuing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Research and development expense of $2.8 million for the three months ended March 31, 2019 increased by $1.6 million over the three months ended March 31, 2018, resulting primarily from the initiation of the Phase III clinical trial in May 2018. As of March 31, 2019, the Company has 15 clinical trial sites initiated and, as a result, increased clinical site costs, consulting costs, lab costs, and manufacturing costs for DCCR production. The Company's efforts until May 2018 were focused on preparation of the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General and administrative expense of $2.0 million for the three months ended March 31, 2019 increased approximately $145,000 from the three months ended March 31, 2018. The increase is primarily a result of increased legal expense during the period, most of which related to intellectual property.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approximate $206,000 for the three months ended March 31, 2019 represents the change in the fair value of the additional consideration that we expect to pay Essentialis stockholders based on our assessment of the expected likelihood of achieving commercial sales milestones of $100 million and $200 million in future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right="80" w:firstLine="518"/>
        <w:spacing w:after="0" w:line="276" w:lineRule="auto"/>
        <w:rPr>
          <w:sz w:val="20"/>
          <w:szCs w:val="20"/>
          <w:color w:val="auto"/>
        </w:rPr>
      </w:pPr>
      <w:r>
        <w:rPr>
          <w:rFonts w:ascii="Arial" w:cs="Arial" w:eastAsia="Arial" w:hAnsi="Arial"/>
          <w:sz w:val="17"/>
          <w:szCs w:val="17"/>
          <w:color w:val="auto"/>
        </w:rPr>
        <w:t>Other expense of $2.1 million in the three months ended March 31, 2019, decreased by $2.2 million from other income during the three months ended March 31, 2018. This decrease was primarily due to a $1.9 million increase in the fair value of the Company’s outstanding warrants during the three months ended March 31, 2019 compared to a decrease of approximately $163,000 during the three months ended March 31, 2018, as well an approximate $190,000 loss recorded on the Company’s minority interest investment in Capnia, its former subsidiary. These decreases were slightly offset by approximately $38,000 more of interest income recorded during the three months ended March 31, 2019 compared to March 31, 2018.</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Discontinued Operations</w:t>
      </w:r>
    </w:p>
    <w:p>
      <w:pPr>
        <w:spacing w:after="0" w:line="121"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Discontinued operations during 2018 consist of our activities previously dedicated to the development and commercialization of innovative diagnostics, devices and therapeutics addressing unmet medical needs, which consisted of: precision metering of gas flow technology marketed as Serenz</w:t>
      </w:r>
      <w:r>
        <w:rPr>
          <w:rFonts w:ascii="Arial" w:cs="Arial" w:eastAsia="Arial" w:hAnsi="Arial"/>
          <w:sz w:val="14"/>
          <w:szCs w:val="14"/>
          <w:color w:val="auto"/>
        </w:rPr>
        <w:t>®</w:t>
      </w:r>
      <w:r>
        <w:rPr>
          <w:rFonts w:ascii="Arial" w:cs="Arial" w:eastAsia="Arial" w:hAnsi="Arial"/>
          <w:sz w:val="17"/>
          <w:szCs w:val="17"/>
          <w:color w:val="auto"/>
        </w:rPr>
        <w:t xml:space="preserve"> Allergy Relief, or Serenz; CoSense</w:t>
      </w:r>
      <w:r>
        <w:rPr>
          <w:rFonts w:ascii="Arial" w:cs="Arial" w:eastAsia="Arial" w:hAnsi="Arial"/>
          <w:sz w:val="14"/>
          <w:szCs w:val="14"/>
          <w:color w:val="auto"/>
        </w:rPr>
        <w:t>®</w:t>
      </w:r>
      <w:r>
        <w:rPr>
          <w:rFonts w:ascii="Arial" w:cs="Arial" w:eastAsia="Arial" w:hAnsi="Arial"/>
          <w:sz w:val="17"/>
          <w:szCs w:val="17"/>
          <w:color w:val="auto"/>
        </w:rPr>
        <w:t xml:space="preserve"> End-Tidal Carbon Monoxide (ETCO) Monitor, or CoSense, which measures ETCO and aids in the detection of excessive hemolysis, a condition in which red blood cells degrade rapidly; and, products that included temperature probes, scales, surgical tables and patient surfaces. In March 2017, we determined to divest, sell or otherwise dispose of the CoSense, Neo Force, Inc., and Serenz businesses in order to focus on the development and commercialization of novel therapeutics for the treatment of rare diseases. The discontinued operations for the development and commercialization of innovative diagnostic devices and therapeutics are summarized below.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2018, from discontinued operations</w:t>
      </w:r>
    </w:p>
    <w:p>
      <w:pPr>
        <w:sectPr>
          <w:pgSz w:w="11900" w:h="16838" w:orient="portrait"/>
          <w:cols w:equalWidth="0" w:num="1">
            <w:col w:w="11420"/>
          </w:cols>
          <w:pgMar w:left="240" w:top="341" w:right="239" w:bottom="1440" w:gutter="0" w:footer="0" w:header="0"/>
        </w:sectPr>
      </w:pPr>
    </w:p>
    <w:p>
      <w:pPr>
        <w:spacing w:after="0" w:line="311" w:lineRule="exact"/>
        <w:rPr>
          <w:sz w:val="20"/>
          <w:szCs w:val="20"/>
          <w:color w:val="auto"/>
        </w:rPr>
      </w:pPr>
    </w:p>
    <w:p>
      <w:pPr>
        <w:jc w:val="center"/>
        <w:ind w:left="606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13970</wp:posOffset>
            </wp:positionV>
            <wp:extent cx="16122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74" w:lineRule="exact"/>
        <w:rPr>
          <w:sz w:val="20"/>
          <w:szCs w:val="20"/>
          <w:color w:val="auto"/>
        </w:rPr>
      </w:pPr>
    </w:p>
    <w:p>
      <w:pPr>
        <w:ind w:left="6340"/>
        <w:spacing w:after="0"/>
        <w:tabs>
          <w:tab w:leader="none" w:pos="77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16122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6350</wp:posOffset>
            </wp:positionV>
            <wp:extent cx="16205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62"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Amount</w:t>
      </w:r>
      <w:r>
        <w:rPr>
          <w:sz w:val="20"/>
          <w:szCs w:val="20"/>
          <w:color w:val="auto"/>
        </w:rPr>
        <w:tab/>
      </w:r>
      <w:r>
        <w:rPr>
          <w:rFonts w:ascii="Arial" w:cs="Arial" w:eastAsia="Arial" w:hAnsi="Arial"/>
          <w:sz w:val="12"/>
          <w:szCs w:val="12"/>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20955</wp:posOffset>
            </wp:positionV>
            <wp:extent cx="16205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8280" w:space="720"/>
            <w:col w:w="242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4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gridSpan w:val="3"/>
          </w:tcPr>
          <w:p>
            <w:pPr>
              <w:ind w:left="380"/>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206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jc w:val="right"/>
              <w:ind w:right="2410"/>
              <w:spacing w:after="0"/>
              <w:rPr>
                <w:sz w:val="20"/>
                <w:szCs w:val="20"/>
                <w:color w:val="auto"/>
              </w:rPr>
            </w:pPr>
            <w:r>
              <w:rPr>
                <w:rFonts w:ascii="Arial" w:cs="Arial" w:eastAsia="Arial" w:hAnsi="Arial"/>
                <w:sz w:val="18"/>
                <w:szCs w:val="18"/>
                <w:color w:val="auto"/>
              </w:rPr>
              <w:t>Gross profit (loss)</w:t>
            </w:r>
          </w:p>
        </w:tc>
        <w:tc>
          <w:tcPr>
            <w:tcW w:w="15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79"/>
              </w:rPr>
              <w:t>n/a</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Expenses:</w:t>
            </w: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(401)</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(102)</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320" w:type="dxa"/>
            <w:vAlign w:val="bottom"/>
            <w:vMerge w:val="restart"/>
          </w:tcPr>
          <w:p>
            <w:pPr>
              <w:jc w:val="right"/>
              <w:ind w:right="2430"/>
              <w:spacing w:after="0"/>
              <w:rPr>
                <w:sz w:val="20"/>
                <w:szCs w:val="20"/>
                <w:color w:val="auto"/>
              </w:rPr>
            </w:pPr>
            <w:r>
              <w:rPr>
                <w:rFonts w:ascii="Arial" w:cs="Arial" w:eastAsia="Arial" w:hAnsi="Arial"/>
                <w:sz w:val="18"/>
                <w:szCs w:val="18"/>
                <w:color w:val="auto"/>
              </w:rPr>
              <w:t>Total expenses</w:t>
            </w:r>
          </w:p>
        </w:tc>
        <w:tc>
          <w:tcPr>
            <w:tcW w:w="1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514</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(514)</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 from discontinued operations</w:t>
            </w:r>
          </w:p>
        </w:tc>
        <w:tc>
          <w:tcPr>
            <w:tcW w:w="1580" w:type="dxa"/>
            <w:vAlign w:val="bottom"/>
            <w:vMerge w:val="restart"/>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vMerge w:val="continue"/>
            <w:shd w:val="clear" w:color="auto" w:fill="CFF0FC"/>
          </w:tcPr>
          <w:p>
            <w:pPr>
              <w:spacing w:after="0"/>
              <w:rPr>
                <w:sz w:val="19"/>
                <w:szCs w:val="19"/>
                <w:color w:val="auto"/>
              </w:rPr>
            </w:pPr>
          </w:p>
        </w:tc>
        <w:tc>
          <w:tcPr>
            <w:tcW w:w="1580" w:type="dxa"/>
            <w:vAlign w:val="bottom"/>
            <w:vMerge w:val="continue"/>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40" w:type="dxa"/>
            <w:vAlign w:val="bottom"/>
            <w:vMerge w:val="continue"/>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6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All discontinued operations activity during the three months ended March 31, 2018 related to Capnia and its CoSense products. During October 2018, Capnia issued 53% of its outstanding shares of common stock to OAHL, leaving us with a noncontrolling interest. Accordingly, we deconsolidated Capnia’s financial statements from ours and our remaining minority interest in Capnia is reported as a minority interest investment in our condensed consolidated balance sheet. As Capnia is no longer a consolidated entity of ours, there is no corresponding discontinued operations activity for the three months ended March 31,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We had a net loss of $7.0 million during the three months ended March 31, 2019 and an accumulated deficit of $134.1 million at March 31, 2019 from having incurred losses since our inception. We had $18.6 million of working capital at March 31, 2019 and used $3.7 million of cash in operating activities during the three months ended March 31, 2019. We have financed our operations principally through issuances of equity securities.</w:t>
      </w:r>
    </w:p>
    <w:p>
      <w:pPr>
        <w:spacing w:after="0" w:line="166" w:lineRule="exact"/>
        <w:rPr>
          <w:sz w:val="20"/>
          <w:szCs w:val="20"/>
          <w:color w:val="auto"/>
        </w:rPr>
      </w:pPr>
    </w:p>
    <w:p>
      <w:pPr>
        <w:ind w:right="900" w:firstLine="518"/>
        <w:spacing w:after="0" w:line="277" w:lineRule="auto"/>
        <w:rPr>
          <w:sz w:val="20"/>
          <w:szCs w:val="20"/>
          <w:color w:val="auto"/>
        </w:rPr>
      </w:pPr>
      <w:r>
        <w:rPr>
          <w:rFonts w:ascii="Arial" w:cs="Arial" w:eastAsia="Arial" w:hAnsi="Arial"/>
          <w:sz w:val="18"/>
          <w:szCs w:val="18"/>
          <w:color w:val="auto"/>
        </w:rPr>
        <w:t>We have continued to focus on expense control, including reducing our workforce, eliminating outside consultants, reducing legal fees and implementing a plan to allow Board members to receive common stock, in lieu of cash payments.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2" w:name="page23"/>
    <w:bookmarkEnd w:id="22"/>
    <w:p>
      <w:pPr>
        <w:ind w:firstLine="518"/>
        <w:spacing w:after="0" w:line="254" w:lineRule="auto"/>
        <w:rPr>
          <w:sz w:val="20"/>
          <w:szCs w:val="20"/>
          <w:color w:val="auto"/>
        </w:rPr>
      </w:pPr>
      <w:r>
        <w:rPr>
          <w:rFonts w:ascii="Arial" w:cs="Arial" w:eastAsia="Arial" w:hAnsi="Arial"/>
          <w:sz w:val="18"/>
          <w:szCs w:val="18"/>
          <w:color w:val="auto"/>
        </w:rPr>
        <w:t>We expect to continue incurring losses for the foreseeable future and may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quarterly report.</w:t>
      </w:r>
    </w:p>
    <w:p>
      <w:pPr>
        <w:spacing w:after="0" w:line="192"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under the assumption we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8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2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gridSpan w:val="4"/>
          </w:tcPr>
          <w:p>
            <w:pPr>
              <w:jc w:val="right"/>
              <w:ind w:right="710"/>
              <w:spacing w:after="0" w:line="155" w:lineRule="exact"/>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continuing operating activities</w:t>
            </w:r>
          </w:p>
        </w:tc>
        <w:tc>
          <w:tcPr>
            <w:tcW w:w="2880" w:type="dxa"/>
            <w:vAlign w:val="bottom"/>
            <w:gridSpan w:val="2"/>
            <w:shd w:val="clear" w:color="auto" w:fill="CFF0FC"/>
          </w:tcPr>
          <w:p>
            <w:pPr>
              <w:jc w:val="right"/>
              <w:ind w:right="84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(3,687)</w:t>
            </w:r>
          </w:p>
        </w:tc>
        <w:tc>
          <w:tcPr>
            <w:tcW w:w="1020" w:type="dxa"/>
            <w:vAlign w:val="bottom"/>
            <w:gridSpan w:val="2"/>
            <w:shd w:val="clear" w:color="auto" w:fill="CFF0FC"/>
          </w:tcPr>
          <w:p>
            <w:pPr>
              <w:jc w:val="right"/>
              <w:ind w:right="89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(2,033)</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Net cash used in discontinued operating activities</w:t>
            </w:r>
          </w:p>
        </w:tc>
        <w:tc>
          <w:tcPr>
            <w:tcW w:w="1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r>
      <w:tr>
        <w:trPr>
          <w:trHeight w:val="223"/>
        </w:trPr>
        <w:tc>
          <w:tcPr>
            <w:tcW w:w="60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in operating activities</w:t>
            </w:r>
          </w:p>
        </w:tc>
        <w:tc>
          <w:tcPr>
            <w:tcW w:w="18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(3,687)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(2,520)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continuing investing activities</w:t>
            </w:r>
          </w:p>
        </w:tc>
        <w:tc>
          <w:tcPr>
            <w:tcW w:w="18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used in investing activities</w:t>
            </w:r>
          </w:p>
        </w:tc>
        <w:tc>
          <w:tcPr>
            <w:tcW w:w="18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Net cash used in continuing financing activities</w:t>
            </w:r>
          </w:p>
        </w:tc>
        <w:tc>
          <w:tcPr>
            <w:tcW w:w="1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discontinued financing activities</w:t>
            </w:r>
          </w:p>
        </w:tc>
        <w:tc>
          <w:tcPr>
            <w:tcW w:w="18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FF0FC"/>
          </w:tcPr>
          <w:p>
            <w:pPr>
              <w:spacing w:after="0"/>
              <w:rPr>
                <w:sz w:val="19"/>
                <w:szCs w:val="19"/>
                <w:color w:val="auto"/>
              </w:rPr>
            </w:pPr>
          </w:p>
        </w:tc>
      </w:tr>
      <w:tr>
        <w:trPr>
          <w:trHeight w:val="223"/>
        </w:trPr>
        <w:tc>
          <w:tcPr>
            <w:tcW w:w="6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186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FF0FC"/>
            </w:tcBorders>
          </w:tcPr>
          <w:p>
            <w:pPr>
              <w:spacing w:after="0"/>
              <w:rPr>
                <w:sz w:val="19"/>
                <w:szCs w:val="19"/>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8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1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(3,697)</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(2,145)</w:t>
            </w: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18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w:t>
            </w: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8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4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(3,697)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(2,232)</w:t>
            </w:r>
          </w:p>
        </w:tc>
        <w:tc>
          <w:tcPr>
            <w:tcW w:w="12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During the three months ended March 31, 2019, operating activities used net cash of $3.7 million, which was primarily due to the loss from continuing operations of $7.0 million, adjusted for non-cash expenses of approximately $489,000 for depreciation and amortization, approximately $248,000 of expenses paid with common stock or equity awards, $2.1 million for the change in fair value of stock warrants and contingent consideration, and an approximate $190,000 operating loss on minority interest investment. Additionally, the usage of cash during the three months ended March 31, 2019 was reduced by approximately $291,000 due to increases in prepaid expenses, other current assets and other assets, amounts due from related parties, accounts payable, and accrued compensation and other current liabilities.</w:t>
      </w:r>
    </w:p>
    <w:p>
      <w:pPr>
        <w:spacing w:after="0" w:line="19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During the three months ended March 31, 2018, operating activities used net cash of $2.0 million, which was primarily due to the loss from continuing operations of $3.3 million, adjusted for non-cash expenses of approximately $492,000 for depreciation and amortization, approximately $423,000 of non-cash expenses paid with common stock or equity awards, and approximately $265,000 for the change in fair value of stock warrants and contingent consideration. There were also increases in prepaid expenses and other current assets and accounts payable and a decrease in accrued compensation and other current liabilities that offset the cash usage by a net of approximately $77,000.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Minimal cash was used for investing activities related to continuing operations in the three months ended March 31, 2019 for the costs of acquiring property and equipment. There were no investing activities during the three months ended March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color w:val="auto"/>
        </w:rPr>
        <w:t>There were no financing activities related to continued operations during the three months ended March 31, 2019. During the three months ended March 31, 2018 we paid approximately $112,000 of additional costs relating to the 2017 PIPE common stock and warrant issuance.</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2019, we had cash and cash equivalents of $19.4 million.</w:t>
      </w:r>
    </w:p>
    <w:p>
      <w:pPr>
        <w:spacing w:after="0" w:line="225"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We believe that we do not have sufficient capital resources to sustain operations through at least the next twelve months from the date of this filing. We expect to continue incurring losses for the foreseeable future and may be required to raise additional capital to pursue our therapeutic product development initiatives. These conditions raise substantial doubt about our ability to continue as a going concern for a period of one year from the date of this report.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There were no discontinued operations during the three months ended March 31, 2019, after the deconsolidation of Capnia in October 2018. During the three months ended March 31, 2018 we used net cash of $487,000 for discontinued operating activities, resulting primarily from the loss from discontinued operations of $514,000 partially offset by non-cash expenses associated with stock compensation.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investing activities related to discontinued operations during the three months ended March 31, 2019 or March 31,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There were no financing activities related to discontinued operations during the three months ended March 31, 2019. Net cash provided by financing activities related to discontinued operations was approximately $400,000 during the three months ended March 31, 2018, representing the cash received during the period from our joint venture partner to fund the operations of Capnia. Capnia was deconsolidated in October 2018 upon a transfer of a controlling interest in the entity to our joint venture partner, OAHL.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 xml:space="preserve">There have not been any material changes to our exposure to market risk during the three months ended March 31, 2019. For additional information regarding market risk, refer to the </w:t>
      </w:r>
      <w:r>
        <w:rPr>
          <w:rFonts w:ascii="Arial" w:cs="Arial" w:eastAsia="Arial" w:hAnsi="Arial"/>
          <w:sz w:val="17"/>
          <w:szCs w:val="17"/>
          <w:i w:val="1"/>
          <w:iCs w:val="1"/>
          <w:color w:val="auto"/>
        </w:rPr>
        <w:t>Qualitative and Quantitative Disclosures About Market Risk</w:t>
      </w:r>
      <w:r>
        <w:rPr>
          <w:rFonts w:ascii="Arial" w:cs="Arial" w:eastAsia="Arial" w:hAnsi="Arial"/>
          <w:sz w:val="17"/>
          <w:szCs w:val="17"/>
          <w:color w:val="auto"/>
        </w:rPr>
        <w:t xml:space="preserve"> section of the Form 10-K.</w:t>
      </w:r>
    </w:p>
    <w:p>
      <w:pPr>
        <w:spacing w:after="0" w:line="25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reports filed under the Securities Exchange Act of 1934, as amended, or the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58"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ind w:right="40"/>
        <w:spacing w:after="0" w:line="277" w:lineRule="auto"/>
        <w:rPr>
          <w:sz w:val="20"/>
          <w:szCs w:val="20"/>
          <w:color w:val="auto"/>
        </w:rPr>
      </w:pPr>
      <w:r>
        <w:rPr>
          <w:rFonts w:ascii="Arial" w:cs="Arial" w:eastAsia="Arial" w:hAnsi="Arial"/>
          <w:sz w:val="18"/>
          <w:szCs w:val="18"/>
          <w:color w:val="auto"/>
        </w:rPr>
        <w:t>Executive Officer and Chief Financial Officer have concluded that, as of the end of the period covered by this Quarterly Report on Form 10-Q, our disclosure controls and procedures were effective.</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There have been no changes to our internal control over financial reporting that occurred during the first fiscal quarter ended March 31, 2019, that have materially affected, or are reasonably likely to materially affect, our internal control over financial reporting.</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firstLine="518"/>
        <w:spacing w:after="0" w:line="320" w:lineRule="auto"/>
        <w:rPr>
          <w:sz w:val="20"/>
          <w:szCs w:val="20"/>
          <w:color w:val="auto"/>
        </w:rPr>
      </w:pPr>
      <w:r>
        <w:rPr>
          <w:rFonts w:ascii="Arial" w:cs="Arial" w:eastAsia="Arial" w:hAnsi="Arial"/>
          <w:sz w:val="15"/>
          <w:szCs w:val="15"/>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7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An investment in our securities has a high degree of risk. Before you invest you should carefully consider the risks and uncertainties. A description of factors that could materially affect our business, financial condition, or operating results is included under “Risk Factors” in Item 1A of Part I of our 2018 Annual Report on Form 10-K and is incorporated herein by reference. There have been no material changes to the risk factor disclosure since our 2018 Annual Report on Form 10-K. The risk factors described in our Form 10-K are not the only risks facing our company.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33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 xml:space="preserve">The Company’s current focus is on the development of </w:t>
      </w:r>
      <w:r>
        <w:rPr>
          <w:rFonts w:ascii="Arial" w:cs="Arial" w:eastAsia="Arial" w:hAnsi="Arial"/>
          <w:sz w:val="18"/>
          <w:szCs w:val="18"/>
          <w:color w:val="333333"/>
        </w:rPr>
        <w:t>Diazoxide Choline Controlled-Release (</w:t>
      </w:r>
      <w:r>
        <w:rPr>
          <w:rFonts w:ascii="Arial" w:cs="Arial" w:eastAsia="Arial" w:hAnsi="Arial"/>
          <w:sz w:val="18"/>
          <w:szCs w:val="18"/>
          <w:color w:val="auto"/>
        </w:rPr>
        <w:t xml:space="preserve">DCCR) for patients with </w:t>
      </w:r>
      <w:r>
        <w:rPr>
          <w:rFonts w:ascii="Arial" w:cs="Arial" w:eastAsia="Arial" w:hAnsi="Arial"/>
          <w:sz w:val="18"/>
          <w:szCs w:val="18"/>
          <w:color w:val="333333"/>
        </w:rPr>
        <w:t>Prader-Willi syndrome</w:t>
      </w:r>
      <w:r>
        <w:rPr>
          <w:rFonts w:ascii="Arial" w:cs="Arial" w:eastAsia="Arial" w:hAnsi="Arial"/>
          <w:sz w:val="18"/>
          <w:szCs w:val="18"/>
          <w:color w:val="auto"/>
        </w:rPr>
        <w:t xml:space="preserve"> </w:t>
      </w:r>
      <w:r>
        <w:rPr>
          <w:rFonts w:ascii="Arial" w:cs="Arial" w:eastAsia="Arial" w:hAnsi="Arial"/>
          <w:sz w:val="18"/>
          <w:szCs w:val="18"/>
          <w:color w:val="333333"/>
        </w:rPr>
        <w:t>(PWS). On July 30, 2018, the DCCR development program for PWS was granted Fast Track designation by the FDA</w:t>
      </w:r>
      <w:r>
        <w:rPr>
          <w:rFonts w:ascii="Arial" w:cs="Arial" w:eastAsia="Arial" w:hAnsi="Arial"/>
          <w:sz w:val="18"/>
          <w:szCs w:val="18"/>
          <w:color w:val="000000"/>
        </w:rPr>
        <w:t>.</w:t>
      </w:r>
    </w:p>
    <w:p>
      <w:pPr>
        <w:spacing w:after="0" w:line="62"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333333"/>
        </w:rPr>
        <w:t xml:space="preserve">DCCR is a once-a-day tablet formulation which is currently being evaluated in a Phase III program in approximately 105 patients being enrolled at multiple sites. The program consists of a three-month Phase III randomized, double-blind, placebo-controlled, parallel group study (also called C601 or DESTINY PWS) as well as a 9-month open-label safety extension study. All patients who complete the Phase III study are eligible to enroll into the open-label extension study (C602). The Company continues to enroll patients into its ongoing DESTINY </w:t>
      </w:r>
      <w:r>
        <w:rPr>
          <w:rFonts w:ascii="Arial" w:cs="Arial" w:eastAsia="Arial" w:hAnsi="Arial"/>
          <w:sz w:val="18"/>
          <w:szCs w:val="18"/>
          <w:color w:val="000000"/>
        </w:rPr>
        <w:t>PWS</w:t>
      </w:r>
      <w:r>
        <w:rPr>
          <w:rFonts w:ascii="Arial" w:cs="Arial" w:eastAsia="Arial" w:hAnsi="Arial"/>
          <w:sz w:val="18"/>
          <w:szCs w:val="18"/>
          <w:color w:val="333333"/>
        </w:rPr>
        <w:t xml:space="preserve"> study, which commenced in May 2018 and is evaluating DCCR tablets for the treatment of Prader-Willi syndrome (PWS). To date, approximately 90% of the patients who have completed the DESTINY PWS study have elected to enroll in the C602 </w:t>
      </w:r>
      <w:r>
        <w:rPr>
          <w:rFonts w:ascii="Arial" w:cs="Arial" w:eastAsia="Arial" w:hAnsi="Arial"/>
          <w:sz w:val="18"/>
          <w:szCs w:val="18"/>
          <w:color w:val="000000"/>
        </w:rPr>
        <w:t>study</w:t>
      </w:r>
      <w:r>
        <w:rPr>
          <w:rFonts w:ascii="Arial" w:cs="Arial" w:eastAsia="Arial" w:hAnsi="Arial"/>
          <w:sz w:val="18"/>
          <w:szCs w:val="18"/>
          <w:color w:val="333333"/>
        </w:rPr>
        <w:t>.</w:t>
      </w:r>
    </w:p>
    <w:p>
      <w:pPr>
        <w:spacing w:after="0" w:line="85" w:lineRule="exact"/>
        <w:rPr>
          <w:sz w:val="20"/>
          <w:szCs w:val="20"/>
          <w:color w:val="auto"/>
        </w:rPr>
      </w:pPr>
    </w:p>
    <w:p>
      <w:pPr>
        <w:ind w:right="760" w:firstLine="518"/>
        <w:spacing w:after="0" w:line="286" w:lineRule="auto"/>
        <w:rPr>
          <w:sz w:val="20"/>
          <w:szCs w:val="20"/>
          <w:color w:val="auto"/>
        </w:rPr>
      </w:pPr>
      <w:r>
        <w:rPr>
          <w:rFonts w:ascii="Arial" w:cs="Arial" w:eastAsia="Arial" w:hAnsi="Arial"/>
          <w:sz w:val="17"/>
          <w:szCs w:val="17"/>
          <w:color w:val="auto"/>
        </w:rPr>
        <w:t xml:space="preserve">At this time, </w:t>
      </w:r>
      <w:r>
        <w:rPr>
          <w:rFonts w:ascii="Arial" w:cs="Arial" w:eastAsia="Arial" w:hAnsi="Arial"/>
          <w:sz w:val="17"/>
          <w:szCs w:val="17"/>
          <w:color w:val="333333"/>
        </w:rPr>
        <w:t>14 trial sites have been activated in the U.S., with additional sites anticipated to be added. The most recent sites activated are</w:t>
      </w:r>
      <w:r>
        <w:rPr>
          <w:rFonts w:ascii="Arial" w:cs="Arial" w:eastAsia="Arial" w:hAnsi="Arial"/>
          <w:sz w:val="17"/>
          <w:szCs w:val="17"/>
          <w:color w:val="auto"/>
        </w:rPr>
        <w:t xml:space="preserve"> </w:t>
      </w:r>
      <w:r>
        <w:rPr>
          <w:rFonts w:ascii="Arial" w:cs="Arial" w:eastAsia="Arial" w:hAnsi="Arial"/>
          <w:sz w:val="17"/>
          <w:szCs w:val="17"/>
          <w:color w:val="333333"/>
        </w:rPr>
        <w:t>the National Institutes of Health in Bethesda, MD, Children’s Hospital Colorado in Aurora, CO, Nationwide Children’s Hospital in Columbus, OH, and University of California, Irvine, in Irvine, CA. Top-line data from the DESTINY PWS study is expected in late 2019.</w:t>
      </w:r>
    </w:p>
    <w:p>
      <w:pPr>
        <w:spacing w:after="0" w:line="5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333333"/>
        </w:rPr>
        <w:t>On March 14, 2019, the Data Safety Monitoring Board (DSMB), the independent group of experts monitoring the safety of the DESTINY PWS study, recommended the continuation of the study without modification, which supports the Company’s understanding of DCCR’s safety.</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 from</w:t>
            </w: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40" w:type="dxa"/>
            <w:vAlign w:val="bottom"/>
            <w:gridSpan w:val="28"/>
            <w:vMerge w:val="restart"/>
          </w:tcPr>
          <w:p>
            <w:pPr>
              <w:ind w:left="300"/>
              <w:spacing w:after="0"/>
              <w:rPr>
                <w:sz w:val="20"/>
                <w:szCs w:val="20"/>
                <w:color w:val="auto"/>
              </w:rPr>
            </w:pPr>
            <w:r>
              <w:rPr>
                <w:rFonts w:ascii="Arial" w:cs="Arial" w:eastAsia="Arial" w:hAnsi="Arial"/>
                <w:sz w:val="14"/>
                <w:szCs w:val="14"/>
                <w:b w:val="1"/>
                <w:bCs w:val="1"/>
                <w:color w:val="auto"/>
              </w:rPr>
              <w:t>Description of Document</w:t>
            </w:r>
          </w:p>
        </w:tc>
        <w:tc>
          <w:tcPr>
            <w:tcW w:w="160" w:type="dxa"/>
            <w:vAlign w:val="bottom"/>
          </w:tcPr>
          <w:p>
            <w:pPr>
              <w:spacing w:after="0"/>
              <w:rPr>
                <w:sz w:val="10"/>
                <w:szCs w:val="10"/>
                <w:color w:val="auto"/>
              </w:rPr>
            </w:pPr>
          </w:p>
        </w:tc>
        <w:tc>
          <w:tcPr>
            <w:tcW w:w="12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Registrant’s</w:t>
            </w:r>
          </w:p>
        </w:tc>
        <w:tc>
          <w:tcPr>
            <w:tcW w:w="1700" w:type="dxa"/>
            <w:vAlign w:val="bottom"/>
          </w:tcPr>
          <w:p>
            <w:pPr>
              <w:ind w:left="520"/>
              <w:spacing w:after="0" w:line="119" w:lineRule="exact"/>
              <w:rPr>
                <w:sz w:val="20"/>
                <w:szCs w:val="20"/>
                <w:color w:val="auto"/>
              </w:rPr>
            </w:pPr>
            <w:r>
              <w:rPr>
                <w:rFonts w:ascii="Arial" w:cs="Arial" w:eastAsia="Arial" w:hAnsi="Arial"/>
                <w:sz w:val="13"/>
                <w:szCs w:val="13"/>
                <w:b w:val="1"/>
                <w:bCs w:val="1"/>
                <w:color w:val="auto"/>
              </w:rPr>
              <w:t>Date Filed</w:t>
            </w:r>
          </w:p>
        </w:tc>
        <w:tc>
          <w:tcPr>
            <w:tcW w:w="100" w:type="dxa"/>
            <w:vAlign w:val="bottom"/>
          </w:tcPr>
          <w:p>
            <w:pPr>
              <w:spacing w:after="0"/>
              <w:rPr>
                <w:sz w:val="10"/>
                <w:szCs w:val="10"/>
                <w:color w:val="auto"/>
              </w:rPr>
            </w:pPr>
          </w:p>
        </w:tc>
        <w:tc>
          <w:tcPr>
            <w:tcW w:w="1240" w:type="dxa"/>
            <w:vAlign w:val="bottom"/>
            <w:gridSpan w:val="2"/>
          </w:tcPr>
          <w:p>
            <w:pPr>
              <w:ind w:left="340"/>
              <w:spacing w:after="0" w:line="119" w:lineRule="exact"/>
              <w:rPr>
                <w:sz w:val="20"/>
                <w:szCs w:val="20"/>
                <w:color w:val="auto"/>
              </w:rPr>
            </w:pPr>
            <w:r>
              <w:rPr>
                <w:rFonts w:ascii="Arial" w:cs="Arial" w:eastAsia="Arial" w:hAnsi="Arial"/>
                <w:sz w:val="13"/>
                <w:szCs w:val="13"/>
                <w:b w:val="1"/>
                <w:bCs w:val="1"/>
                <w:color w:val="auto"/>
              </w:rPr>
              <w:t>Exhibit</w:t>
            </w: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28"/>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4"/>
                <w:szCs w:val="14"/>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with the SEC</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Arial" w:cs="Arial" w:eastAsia="Arial" w:hAnsi="Arial"/>
                <w:sz w:val="18"/>
                <w:szCs w:val="18"/>
                <w:color w:val="0000EE"/>
                <w:w w:val="88"/>
              </w:rPr>
            </w:pPr>
            <w:hyperlink r:id="rId51">
              <w:r>
                <w:rPr>
                  <w:rFonts w:ascii="Arial" w:cs="Arial" w:eastAsia="Arial" w:hAnsi="Arial"/>
                  <w:sz w:val="18"/>
                  <w:szCs w:val="18"/>
                  <w:color w:val="0000EE"/>
                  <w:w w:val="88"/>
                </w:rPr>
                <w:t>Stock Purchase Agreement, dated as of July 18, 2017, and</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24, 2017</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between Soleno Therapeutics, Inc., a Delaware</w:t>
              </w:r>
            </w:hyperlink>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corporation, and NeoForce Holdings, Inc. a Delaware</w:t>
              </w:r>
            </w:hyperlink>
          </w:p>
        </w:tc>
        <w:tc>
          <w:tcPr>
            <w:tcW w:w="36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32"/>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corporation</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Arial" w:cs="Arial" w:eastAsia="Arial" w:hAnsi="Arial"/>
                <w:sz w:val="18"/>
                <w:szCs w:val="18"/>
                <w:color w:val="0000EE"/>
                <w:w w:val="87"/>
              </w:rPr>
            </w:pPr>
            <w:hyperlink r:id="rId52">
              <w:r>
                <w:rPr>
                  <w:rFonts w:ascii="Arial" w:cs="Arial" w:eastAsia="Arial" w:hAnsi="Arial"/>
                  <w:sz w:val="18"/>
                  <w:szCs w:val="18"/>
                  <w:color w:val="0000EE"/>
                  <w:w w:val="87"/>
                </w:rPr>
                <w:t>Joint Venture Agreement, dated as of December 4, 2017, by</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December 8, 2017</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4"/>
              </w:rPr>
            </w:pPr>
            <w:hyperlink r:id="rId52">
              <w:r>
                <w:rPr>
                  <w:rFonts w:ascii="Arial" w:cs="Arial" w:eastAsia="Arial" w:hAnsi="Arial"/>
                  <w:sz w:val="18"/>
                  <w:szCs w:val="18"/>
                  <w:color w:val="0000EE"/>
                  <w:w w:val="84"/>
                </w:rPr>
                <w:t>and among Soleno Therapeutics, Inc., Capnia, Inc., and</w:t>
              </w:r>
            </w:hyperlink>
          </w:p>
        </w:tc>
        <w:tc>
          <w:tcPr>
            <w:tcW w:w="300" w:type="dxa"/>
            <w:vAlign w:val="bottom"/>
            <w:tcBorders>
              <w:top w:val="single" w:sz="8" w:color="0000EE"/>
            </w:tcBorders>
            <w:gridSpan w:val="7"/>
          </w:tcPr>
          <w:p>
            <w:pPr>
              <w:spacing w:after="0"/>
              <w:rPr>
                <w:sz w:val="17"/>
                <w:szCs w:val="17"/>
                <w:color w:val="auto"/>
              </w:rPr>
            </w:pPr>
          </w:p>
        </w:tc>
        <w:tc>
          <w:tcPr>
            <w:tcW w:w="1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r:id="rId52">
              <w:r>
                <w:rPr>
                  <w:rFonts w:ascii="Arial" w:cs="Arial" w:eastAsia="Arial" w:hAnsi="Arial"/>
                  <w:sz w:val="18"/>
                  <w:szCs w:val="18"/>
                  <w:color w:val="0000EE"/>
                  <w:w w:val="87"/>
                </w:rPr>
                <w:t>OptAsia Healthcare Limited</w:t>
              </w:r>
            </w:hyperlink>
          </w:p>
        </w:tc>
        <w:tc>
          <w:tcPr>
            <w:tcW w:w="2260" w:type="dxa"/>
            <w:vAlign w:val="bottom"/>
            <w:gridSpan w:val="2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00" w:type="dxa"/>
            <w:vAlign w:val="bottom"/>
            <w:tcBorders>
              <w:bottom w:val="single" w:sz="8" w:color="0000EE"/>
            </w:tcBorders>
            <w:gridSpan w:val="26"/>
          </w:tcPr>
          <w:p>
            <w:pPr>
              <w:spacing w:after="0"/>
              <w:rPr>
                <w:rFonts w:ascii="Arial" w:cs="Arial" w:eastAsia="Arial" w:hAnsi="Arial"/>
                <w:sz w:val="18"/>
                <w:szCs w:val="18"/>
                <w:color w:val="0000EE"/>
                <w:w w:val="87"/>
              </w:rPr>
            </w:pPr>
            <w:hyperlink r:id="rId53">
              <w:r>
                <w:rPr>
                  <w:rFonts w:ascii="Arial" w:cs="Arial" w:eastAsia="Arial" w:hAnsi="Arial"/>
                  <w:sz w:val="18"/>
                  <w:szCs w:val="18"/>
                  <w:color w:val="0000EE"/>
                  <w:w w:val="87"/>
                </w:rPr>
                <w:t>PRC IP Purchase Agreement, dated as of December 4,</w:t>
              </w:r>
            </w:hyperlink>
          </w:p>
        </w:tc>
        <w:tc>
          <w:tcPr>
            <w:tcW w:w="300" w:type="dxa"/>
            <w:vAlign w:val="bottom"/>
            <w:gridSpan w:val="6"/>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December 8, 2017</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32"/>
          </w:tcPr>
          <w:p>
            <w:pPr>
              <w:spacing w:after="0" w:line="196" w:lineRule="exact"/>
              <w:rPr>
                <w:rFonts w:ascii="Arial" w:cs="Arial" w:eastAsia="Arial" w:hAnsi="Arial"/>
                <w:sz w:val="18"/>
                <w:szCs w:val="18"/>
                <w:color w:val="0000EE"/>
                <w:w w:val="95"/>
              </w:rPr>
            </w:pPr>
            <w:hyperlink r:id="rId53">
              <w:r>
                <w:rPr>
                  <w:rFonts w:ascii="Arial" w:cs="Arial" w:eastAsia="Arial" w:hAnsi="Arial"/>
                  <w:sz w:val="18"/>
                  <w:szCs w:val="18"/>
                  <w:color w:val="0000EE"/>
                  <w:w w:val="95"/>
                </w:rPr>
                <w:t>2017, by and between OptAsia Healthcare Limited and</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Capnia, Inc.</w:t>
              </w:r>
            </w:hyperlink>
          </w:p>
        </w:tc>
        <w:tc>
          <w:tcPr>
            <w:tcW w:w="26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Transition Services Agreement, dated as of December 4,</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December 8, 2017</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8"/>
              </w:rPr>
            </w:pPr>
            <w:hyperlink r:id="rId54">
              <w:r>
                <w:rPr>
                  <w:rFonts w:ascii="Arial" w:cs="Arial" w:eastAsia="Arial" w:hAnsi="Arial"/>
                  <w:sz w:val="18"/>
                  <w:szCs w:val="18"/>
                  <w:color w:val="0000EE"/>
                  <w:w w:val="88"/>
                </w:rPr>
                <w:t>2017, by and among Soleno Therapeutics, Inc., a</w:t>
              </w:r>
            </w:hyperlink>
          </w:p>
        </w:tc>
        <w:tc>
          <w:tcPr>
            <w:tcW w:w="540" w:type="dxa"/>
            <w:vAlign w:val="bottom"/>
            <w:tcBorders>
              <w:top w:val="single" w:sz="8" w:color="0000EE"/>
            </w:tcBorders>
            <w:gridSpan w:val="11"/>
          </w:tcPr>
          <w:p>
            <w:pPr>
              <w:spacing w:after="0"/>
              <w:rPr>
                <w:sz w:val="17"/>
                <w:szCs w:val="17"/>
                <w:color w:val="auto"/>
              </w:rPr>
            </w:pPr>
          </w:p>
        </w:tc>
        <w:tc>
          <w:tcPr>
            <w:tcW w:w="1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Delaware corporation, Capnia, Inc. and OptAsia</w:t>
              </w:r>
            </w:hyperlink>
          </w:p>
        </w:tc>
        <w:tc>
          <w:tcPr>
            <w:tcW w:w="72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32"/>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Healthcare, Ltd., a Hong Kong company</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Arial" w:cs="Arial" w:eastAsia="Arial" w:hAnsi="Arial"/>
                <w:sz w:val="18"/>
                <w:szCs w:val="18"/>
                <w:color w:val="0000EE"/>
                <w:w w:val="98"/>
              </w:rPr>
            </w:pPr>
            <w:hyperlink r:id="rId55">
              <w:r>
                <w:rPr>
                  <w:rFonts w:ascii="Arial" w:cs="Arial" w:eastAsia="Arial" w:hAnsi="Arial"/>
                  <w:sz w:val="18"/>
                  <w:szCs w:val="18"/>
                  <w:color w:val="0000EE"/>
                  <w:w w:val="98"/>
                </w:rPr>
                <w:t>Amended and Restated Certificate of Incorporation of</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August 7, 2014</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55">
              <w:r>
                <w:rPr>
                  <w:rFonts w:ascii="Arial" w:cs="Arial" w:eastAsia="Arial" w:hAnsi="Arial"/>
                  <w:sz w:val="18"/>
                  <w:szCs w:val="18"/>
                  <w:color w:val="0000EE"/>
                  <w:w w:val="88"/>
                </w:rPr>
                <w:t>Soleno Therapeutics, Inc.</w:t>
              </w:r>
            </w:hyperlink>
          </w:p>
        </w:tc>
        <w:tc>
          <w:tcPr>
            <w:tcW w:w="2040" w:type="dxa"/>
            <w:vAlign w:val="bottom"/>
            <w:tcBorders>
              <w:top w:val="single" w:sz="8" w:color="0000EE"/>
            </w:tcBorders>
            <w:gridSpan w:val="20"/>
          </w:tcPr>
          <w:p>
            <w:pPr>
              <w:spacing w:after="0"/>
              <w:rPr>
                <w:sz w:val="17"/>
                <w:szCs w:val="17"/>
                <w:color w:val="auto"/>
              </w:rPr>
            </w:pPr>
          </w:p>
        </w:tc>
        <w:tc>
          <w:tcPr>
            <w:tcW w:w="34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Arial" w:cs="Arial" w:eastAsia="Arial" w:hAnsi="Arial"/>
                <w:sz w:val="18"/>
                <w:szCs w:val="18"/>
                <w:color w:val="0000EE"/>
                <w:w w:val="93"/>
              </w:rPr>
            </w:pPr>
            <w:hyperlink r:id="rId56">
              <w:r>
                <w:rPr>
                  <w:rFonts w:ascii="Arial" w:cs="Arial" w:eastAsia="Arial" w:hAnsi="Arial"/>
                  <w:sz w:val="18"/>
                  <w:szCs w:val="18"/>
                  <w:color w:val="0000EE"/>
                  <w:w w:val="93"/>
                </w:rPr>
                <w:t>Amended and Restated Bylaws of Soleno Therapeutics,</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July 1, 2014</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0000EE"/>
            </w:tcBorders>
          </w:tcPr>
          <w:p>
            <w:pPr>
              <w:spacing w:after="0" w:line="196" w:lineRule="exact"/>
              <w:rPr>
                <w:rFonts w:ascii="Arial" w:cs="Arial" w:eastAsia="Arial" w:hAnsi="Arial"/>
                <w:sz w:val="18"/>
                <w:szCs w:val="18"/>
                <w:color w:val="0000EE"/>
                <w:w w:val="82"/>
              </w:rPr>
            </w:pPr>
            <w:hyperlink r:id="rId56">
              <w:r>
                <w:rPr>
                  <w:rFonts w:ascii="Arial" w:cs="Arial" w:eastAsia="Arial" w:hAnsi="Arial"/>
                  <w:sz w:val="18"/>
                  <w:szCs w:val="18"/>
                  <w:color w:val="0000EE"/>
                  <w:w w:val="82"/>
                </w:rPr>
                <w:t>Inc.</w:t>
              </w:r>
            </w:hyperlink>
          </w:p>
        </w:tc>
        <w:tc>
          <w:tcPr>
            <w:tcW w:w="3940" w:type="dxa"/>
            <w:vAlign w:val="bottom"/>
            <w:gridSpan w:val="31"/>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Arial" w:cs="Arial" w:eastAsia="Arial" w:hAnsi="Arial"/>
                <w:sz w:val="18"/>
                <w:szCs w:val="18"/>
                <w:color w:val="0000EE"/>
                <w:w w:val="99"/>
              </w:rPr>
            </w:pPr>
            <w:hyperlink r:id="rId57">
              <w:r>
                <w:rPr>
                  <w:rFonts w:ascii="Arial" w:cs="Arial" w:eastAsia="Arial" w:hAnsi="Arial"/>
                  <w:sz w:val="18"/>
                  <w:szCs w:val="18"/>
                  <w:color w:val="0000EE"/>
                  <w:w w:val="99"/>
                </w:rPr>
                <w:t>Certificate of Designation of Preferences, Rights and</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Limitations of Series A Convertible Preferred Stock.</w:t>
              </w:r>
            </w:hyperlink>
          </w:p>
        </w:tc>
        <w:tc>
          <w:tcPr>
            <w:tcW w:w="20" w:type="dxa"/>
            <w:vAlign w:val="bottom"/>
            <w:tcBorders>
              <w:top w:val="single" w:sz="8" w:color="0000EE"/>
            </w:tcBorders>
          </w:tcPr>
          <w:p>
            <w:pPr>
              <w:spacing w:after="0"/>
              <w:rPr>
                <w:sz w:val="17"/>
                <w:szCs w:val="17"/>
                <w:color w:val="auto"/>
              </w:rPr>
            </w:pPr>
          </w:p>
        </w:tc>
        <w:tc>
          <w:tcPr>
            <w:tcW w:w="42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Arial" w:cs="Arial" w:eastAsia="Arial" w:hAnsi="Arial"/>
                <w:sz w:val="18"/>
                <w:szCs w:val="18"/>
                <w:color w:val="0000EE"/>
                <w:w w:val="99"/>
              </w:rPr>
            </w:pPr>
            <w:hyperlink r:id="rId58">
              <w:r>
                <w:rPr>
                  <w:rFonts w:ascii="Arial" w:cs="Arial" w:eastAsia="Arial" w:hAnsi="Arial"/>
                  <w:sz w:val="18"/>
                  <w:szCs w:val="18"/>
                  <w:color w:val="0000EE"/>
                  <w:w w:val="99"/>
                </w:rPr>
                <w:t>Certificate of Designation of Preferences, Rights and</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6, 2016</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Limitations of Series B Convertible Preferred Stock</w:t>
              </w:r>
            </w:hyperlink>
          </w:p>
        </w:tc>
        <w:tc>
          <w:tcPr>
            <w:tcW w:w="60" w:type="dxa"/>
            <w:vAlign w:val="bottom"/>
            <w:tcBorders>
              <w:top w:val="single" w:sz="8" w:color="0000EE"/>
            </w:tcBorders>
            <w:gridSpan w:val="2"/>
          </w:tcPr>
          <w:p>
            <w:pPr>
              <w:spacing w:after="0"/>
              <w:rPr>
                <w:sz w:val="17"/>
                <w:szCs w:val="17"/>
                <w:color w:val="auto"/>
              </w:rPr>
            </w:pPr>
          </w:p>
        </w:tc>
        <w:tc>
          <w:tcPr>
            <w:tcW w:w="42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Arial" w:cs="Arial" w:eastAsia="Arial" w:hAnsi="Arial"/>
                <w:sz w:val="18"/>
                <w:szCs w:val="18"/>
                <w:color w:val="0000EE"/>
              </w:rPr>
            </w:pPr>
            <w:hyperlink r:id="rId59">
              <w:r>
                <w:rPr>
                  <w:rFonts w:ascii="Arial" w:cs="Arial" w:eastAsia="Arial" w:hAnsi="Arial"/>
                  <w:sz w:val="18"/>
                  <w:szCs w:val="18"/>
                  <w:color w:val="0000EE"/>
                </w:rPr>
                <w:t>Certificate of Amendment</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May 11, 2017</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tcBorders>
              <w:bottom w:val="single" w:sz="8" w:color="0000EE"/>
            </w:tcBorders>
            <w:gridSpan w:val="15"/>
          </w:tcPr>
          <w:p>
            <w:pPr>
              <w:spacing w:after="0"/>
              <w:rPr>
                <w:rFonts w:ascii="Arial" w:cs="Arial" w:eastAsia="Arial" w:hAnsi="Arial"/>
                <w:sz w:val="18"/>
                <w:szCs w:val="18"/>
                <w:color w:val="0000EE"/>
                <w:w w:val="92"/>
              </w:rPr>
            </w:pPr>
            <w:hyperlink r:id="rId60">
              <w:r>
                <w:rPr>
                  <w:rFonts w:ascii="Arial" w:cs="Arial" w:eastAsia="Arial" w:hAnsi="Arial"/>
                  <w:sz w:val="18"/>
                  <w:szCs w:val="18"/>
                  <w:color w:val="0000EE"/>
                  <w:w w:val="92"/>
                </w:rPr>
                <w:t>Certificate of Amendment to the Certificate of</w:t>
              </w:r>
            </w:hyperlink>
          </w:p>
        </w:tc>
        <w:tc>
          <w:tcPr>
            <w:tcW w:w="840" w:type="dxa"/>
            <w:vAlign w:val="bottom"/>
            <w:gridSpan w:val="17"/>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6, 2017</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60">
              <w:r>
                <w:rPr>
                  <w:rFonts w:ascii="Arial" w:cs="Arial" w:eastAsia="Arial" w:hAnsi="Arial"/>
                  <w:sz w:val="18"/>
                  <w:szCs w:val="18"/>
                  <w:color w:val="0000EE"/>
                  <w:w w:val="89"/>
                </w:rPr>
                <w:t>Incorporation</w:t>
              </w:r>
            </w:hyperlink>
          </w:p>
        </w:tc>
        <w:tc>
          <w:tcPr>
            <w:tcW w:w="3240" w:type="dxa"/>
            <w:vAlign w:val="bottom"/>
            <w:gridSpan w:val="28"/>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tcBorders>
              <w:bottom w:val="single" w:sz="8" w:color="0000EE"/>
            </w:tcBorders>
            <w:gridSpan w:val="11"/>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Form of the common stock certificate.</w:t>
              </w:r>
            </w:hyperlink>
          </w:p>
        </w:tc>
        <w:tc>
          <w:tcPr>
            <w:tcW w:w="1460" w:type="dxa"/>
            <w:vAlign w:val="bottom"/>
            <w:gridSpan w:val="21"/>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August 5, 2014</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Arial" w:cs="Arial" w:eastAsia="Arial" w:hAnsi="Arial"/>
                <w:sz w:val="18"/>
                <w:szCs w:val="18"/>
                <w:color w:val="0000EE"/>
                <w:w w:val="97"/>
              </w:rPr>
            </w:pPr>
            <w:hyperlink r:id="rId62">
              <w:r>
                <w:rPr>
                  <w:rFonts w:ascii="Arial" w:cs="Arial" w:eastAsia="Arial" w:hAnsi="Arial"/>
                  <w:sz w:val="18"/>
                  <w:szCs w:val="18"/>
                  <w:color w:val="0000EE"/>
                  <w:w w:val="97"/>
                </w:rPr>
                <w:t>Amended And Restated Investors’ Rights Agreement,</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July 1, 2014</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r:id="rId62">
              <w:r>
                <w:rPr>
                  <w:rFonts w:ascii="Arial" w:cs="Arial" w:eastAsia="Arial" w:hAnsi="Arial"/>
                  <w:sz w:val="18"/>
                  <w:szCs w:val="18"/>
                  <w:color w:val="0000EE"/>
                  <w:w w:val="89"/>
                </w:rPr>
                <w:t>dated March 20, 2008, by and among Soleno</w:t>
              </w:r>
            </w:hyperlink>
          </w:p>
        </w:tc>
        <w:tc>
          <w:tcPr>
            <w:tcW w:w="600" w:type="dxa"/>
            <w:vAlign w:val="bottom"/>
            <w:tcBorders>
              <w:top w:val="single" w:sz="8" w:color="0000EE"/>
            </w:tcBorders>
            <w:gridSpan w:val="11"/>
          </w:tcPr>
          <w:p>
            <w:pPr>
              <w:spacing w:after="0"/>
              <w:rPr>
                <w:sz w:val="17"/>
                <w:szCs w:val="17"/>
                <w:color w:val="auto"/>
              </w:rPr>
            </w:pPr>
          </w:p>
        </w:tc>
        <w:tc>
          <w:tcPr>
            <w:tcW w:w="34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32"/>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Therapeutics, Inc. and certain holders of the Soleno</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r:id="rId62">
              <w:r>
                <w:rPr>
                  <w:rFonts w:ascii="Arial" w:cs="Arial" w:eastAsia="Arial" w:hAnsi="Arial"/>
                  <w:sz w:val="18"/>
                  <w:szCs w:val="18"/>
                  <w:color w:val="0000EE"/>
                  <w:w w:val="89"/>
                </w:rPr>
                <w:t>Therapeutics, Inc.’s capital stock named therein.</w:t>
              </w:r>
            </w:hyperlink>
          </w:p>
        </w:tc>
        <w:tc>
          <w:tcPr>
            <w:tcW w:w="220" w:type="dxa"/>
            <w:vAlign w:val="bottom"/>
            <w:tcBorders>
              <w:top w:val="single" w:sz="8" w:color="0000EE"/>
            </w:tcBorders>
            <w:gridSpan w:val="4"/>
          </w:tcPr>
          <w:p>
            <w:pPr>
              <w:spacing w:after="0"/>
              <w:rPr>
                <w:sz w:val="17"/>
                <w:szCs w:val="17"/>
                <w:color w:val="auto"/>
              </w:rPr>
            </w:pPr>
          </w:p>
        </w:tc>
        <w:tc>
          <w:tcPr>
            <w:tcW w:w="52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Arial" w:cs="Arial" w:eastAsia="Arial" w:hAnsi="Arial"/>
                <w:sz w:val="18"/>
                <w:szCs w:val="18"/>
                <w:color w:val="0000EE"/>
              </w:rPr>
            </w:pPr>
            <w:hyperlink r:id="rId63">
              <w:r>
                <w:rPr>
                  <w:rFonts w:ascii="Arial" w:cs="Arial" w:eastAsia="Arial" w:hAnsi="Arial"/>
                  <w:sz w:val="18"/>
                  <w:szCs w:val="18"/>
                  <w:color w:val="0000EE"/>
                </w:rPr>
                <w:t>Form of Series A Warrant Agreement.</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August 5, 2014</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tcBorders>
              <w:bottom w:val="single" w:sz="8" w:color="0000EE"/>
            </w:tcBorders>
            <w:gridSpan w:val="13"/>
          </w:tcPr>
          <w:p>
            <w:pPr>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Form of the Series A Warrant certificate.</w:t>
              </w:r>
            </w:hyperlink>
          </w:p>
        </w:tc>
        <w:tc>
          <w:tcPr>
            <w:tcW w:w="1280" w:type="dxa"/>
            <w:vAlign w:val="bottom"/>
            <w:gridSpan w:val="19"/>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August 5, 2014</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Arial" w:cs="Arial" w:eastAsia="Arial" w:hAnsi="Arial"/>
                <w:sz w:val="18"/>
                <w:szCs w:val="18"/>
                <w:color w:val="0000EE"/>
              </w:rPr>
            </w:pPr>
            <w:hyperlink r:id="rId65">
              <w:r>
                <w:rPr>
                  <w:rFonts w:ascii="Arial" w:cs="Arial" w:eastAsia="Arial" w:hAnsi="Arial"/>
                  <w:sz w:val="18"/>
                  <w:szCs w:val="18"/>
                  <w:color w:val="0000EE"/>
                </w:rPr>
                <w:t>Form of Underwriters’ Compensation Warrant.</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August 5, 2014</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tcBorders>
              <w:right w:val="single" w:sz="8" w:color="0000EE"/>
            </w:tcBorders>
            <w:gridSpan w:val="7"/>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Arial" w:cs="Arial" w:eastAsia="Arial" w:hAnsi="Arial"/>
                <w:sz w:val="18"/>
                <w:szCs w:val="18"/>
                <w:color w:val="0000EE"/>
                <w:w w:val="93"/>
              </w:rPr>
            </w:pPr>
            <w:hyperlink r:id="rId66">
              <w:r>
                <w:rPr>
                  <w:rFonts w:ascii="Arial" w:cs="Arial" w:eastAsia="Arial" w:hAnsi="Arial"/>
                  <w:sz w:val="18"/>
                  <w:szCs w:val="18"/>
                  <w:color w:val="0000EE"/>
                  <w:w w:val="93"/>
                </w:rPr>
                <w:t>Form of Convertible Promissory Note issued in February</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2010 and March 2010 in connection with the 2010</w:t>
              </w:r>
            </w:hyperlink>
          </w:p>
        </w:tc>
        <w:tc>
          <w:tcPr>
            <w:tcW w:w="460" w:type="dxa"/>
            <w:vAlign w:val="bottom"/>
            <w:tcBorders>
              <w:top w:val="single" w:sz="8" w:color="0000EE"/>
            </w:tcBorders>
            <w:gridSpan w:val="11"/>
          </w:tcPr>
          <w:p>
            <w:pPr>
              <w:spacing w:after="0"/>
              <w:rPr>
                <w:sz w:val="17"/>
                <w:szCs w:val="17"/>
                <w:color w:val="auto"/>
              </w:rPr>
            </w:pPr>
          </w:p>
        </w:tc>
        <w:tc>
          <w:tcPr>
            <w:tcW w:w="1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convertible note financing.</w:t>
              </w:r>
            </w:hyperlink>
          </w:p>
        </w:tc>
        <w:tc>
          <w:tcPr>
            <w:tcW w:w="2280" w:type="dxa"/>
            <w:vAlign w:val="bottom"/>
            <w:gridSpan w:val="24"/>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tcBorders>
              <w:bottom w:val="single" w:sz="8" w:color="0000EE"/>
            </w:tcBorders>
            <w:gridSpan w:val="28"/>
          </w:tcPr>
          <w:p>
            <w:pPr>
              <w:spacing w:after="0"/>
              <w:rPr>
                <w:rFonts w:ascii="Arial" w:cs="Arial" w:eastAsia="Arial" w:hAnsi="Arial"/>
                <w:sz w:val="18"/>
                <w:szCs w:val="18"/>
                <w:color w:val="0000EE"/>
                <w:w w:val="88"/>
              </w:rPr>
            </w:pPr>
            <w:hyperlink r:id="rId67">
              <w:r>
                <w:rPr>
                  <w:rFonts w:ascii="Arial" w:cs="Arial" w:eastAsia="Arial" w:hAnsi="Arial"/>
                  <w:sz w:val="18"/>
                  <w:szCs w:val="18"/>
                  <w:color w:val="0000EE"/>
                  <w:w w:val="88"/>
                </w:rPr>
                <w:t>Form of Warrant to Purchase Shares issued in February</w:t>
              </w:r>
            </w:hyperlink>
          </w:p>
        </w:tc>
        <w:tc>
          <w:tcPr>
            <w:tcW w:w="200" w:type="dxa"/>
            <w:vAlign w:val="bottom"/>
            <w:gridSpan w:val="4"/>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jc w:val="right"/>
              <w:ind w:right="85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2010 and March 2010 in connection with the 2010</w:t>
              </w:r>
            </w:hyperlink>
          </w:p>
        </w:tc>
        <w:tc>
          <w:tcPr>
            <w:tcW w:w="58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32"/>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convertible note financing.</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Borders>
              <w:top w:val="single" w:sz="8" w:color="0000EE"/>
            </w:tcBorders>
            <w:gridSpan w:val="7"/>
          </w:tcPr>
          <w:p>
            <w:pPr>
              <w:spacing w:after="0"/>
              <w:rPr>
                <w:sz w:val="24"/>
                <w:szCs w:val="24"/>
                <w:color w:val="auto"/>
              </w:rPr>
            </w:pPr>
          </w:p>
        </w:tc>
        <w:tc>
          <w:tcPr>
            <w:tcW w:w="2260" w:type="dxa"/>
            <w:vAlign w:val="bottom"/>
            <w:gridSpan w:val="24"/>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1"/>
        </w:trPr>
        <w:tc>
          <w:tcPr>
            <w:tcW w:w="15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 from</w:t>
            </w: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140" w:type="dxa"/>
            <w:vAlign w:val="bottom"/>
            <w:gridSpan w:val="22"/>
            <w:vMerge w:val="restart"/>
          </w:tcPr>
          <w:p>
            <w:pPr>
              <w:jc w:val="right"/>
              <w:ind w:right="1400"/>
              <w:spacing w:after="0"/>
              <w:rPr>
                <w:sz w:val="20"/>
                <w:szCs w:val="20"/>
                <w:color w:val="auto"/>
              </w:rPr>
            </w:pPr>
            <w:r>
              <w:rPr>
                <w:rFonts w:ascii="Arial" w:cs="Arial" w:eastAsia="Arial" w:hAnsi="Arial"/>
                <w:sz w:val="14"/>
                <w:szCs w:val="14"/>
                <w:b w:val="1"/>
                <w:bCs w:val="1"/>
                <w:color w:val="auto"/>
              </w:rPr>
              <w:t>Description of Document</w:t>
            </w:r>
          </w:p>
        </w:tc>
        <w:tc>
          <w:tcPr>
            <w:tcW w:w="160" w:type="dxa"/>
            <w:vAlign w:val="bottom"/>
          </w:tcPr>
          <w:p>
            <w:pPr>
              <w:spacing w:after="0"/>
              <w:rPr>
                <w:sz w:val="10"/>
                <w:szCs w:val="10"/>
                <w:color w:val="auto"/>
              </w:rPr>
            </w:pPr>
          </w:p>
        </w:tc>
        <w:tc>
          <w:tcPr>
            <w:tcW w:w="12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Registrant’s</w:t>
            </w:r>
          </w:p>
        </w:tc>
        <w:tc>
          <w:tcPr>
            <w:tcW w:w="1700" w:type="dxa"/>
            <w:vAlign w:val="bottom"/>
          </w:tcPr>
          <w:p>
            <w:pPr>
              <w:ind w:left="520"/>
              <w:spacing w:after="0" w:line="119" w:lineRule="exact"/>
              <w:rPr>
                <w:sz w:val="20"/>
                <w:szCs w:val="20"/>
                <w:color w:val="auto"/>
              </w:rPr>
            </w:pPr>
            <w:r>
              <w:rPr>
                <w:rFonts w:ascii="Arial" w:cs="Arial" w:eastAsia="Arial" w:hAnsi="Arial"/>
                <w:sz w:val="13"/>
                <w:szCs w:val="13"/>
                <w:b w:val="1"/>
                <w:bCs w:val="1"/>
                <w:color w:val="auto"/>
              </w:rPr>
              <w:t>Date Filed</w:t>
            </w:r>
          </w:p>
        </w:tc>
        <w:tc>
          <w:tcPr>
            <w:tcW w:w="100" w:type="dxa"/>
            <w:vAlign w:val="bottom"/>
          </w:tcPr>
          <w:p>
            <w:pPr>
              <w:spacing w:after="0"/>
              <w:rPr>
                <w:sz w:val="10"/>
                <w:szCs w:val="10"/>
                <w:color w:val="auto"/>
              </w:rPr>
            </w:pPr>
          </w:p>
        </w:tc>
        <w:tc>
          <w:tcPr>
            <w:tcW w:w="12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Exhibit</w:t>
            </w: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2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4"/>
                <w:szCs w:val="14"/>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with the SEC</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380" w:type="dxa"/>
            <w:vAlign w:val="bottom"/>
          </w:tcPr>
          <w:p>
            <w:pPr>
              <w:ind w:left="36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Borders>
              <w:bottom w:val="single" w:sz="8" w:color="0000EE"/>
            </w:tcBorders>
            <w:gridSpan w:val="24"/>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Form of Convertible Promissory Note issued in November</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2010 in connection with the 2010 convertible note</w:t>
              </w:r>
            </w:hyperlink>
          </w:p>
        </w:tc>
        <w:tc>
          <w:tcPr>
            <w:tcW w:w="60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financing.</w:t>
              </w:r>
            </w:hyperlink>
          </w:p>
        </w:tc>
        <w:tc>
          <w:tcPr>
            <w:tcW w:w="3500" w:type="dxa"/>
            <w:vAlign w:val="bottom"/>
            <w:gridSpan w:val="2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Form of Warrant to Purchase Shares issued in November</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2010 in connection with the 2010 convertible note</w:t>
              </w:r>
            </w:hyperlink>
          </w:p>
        </w:tc>
        <w:tc>
          <w:tcPr>
            <w:tcW w:w="460" w:type="dxa"/>
            <w:vAlign w:val="bottom"/>
            <w:tcBorders>
              <w:top w:val="single" w:sz="8" w:color="0000EE"/>
            </w:tcBorders>
            <w:gridSpan w:val="7"/>
          </w:tcPr>
          <w:p>
            <w:pPr>
              <w:spacing w:after="0"/>
              <w:rPr>
                <w:sz w:val="17"/>
                <w:szCs w:val="17"/>
                <w:color w:val="auto"/>
              </w:rPr>
            </w:pPr>
          </w:p>
        </w:tc>
        <w:tc>
          <w:tcPr>
            <w:tcW w:w="1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financing.</w:t>
              </w:r>
            </w:hyperlink>
          </w:p>
        </w:tc>
        <w:tc>
          <w:tcPr>
            <w:tcW w:w="3500" w:type="dxa"/>
            <w:vAlign w:val="bottom"/>
            <w:gridSpan w:val="2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Borders>
              <w:bottom w:val="single" w:sz="8" w:color="0000EE"/>
            </w:tcBorders>
            <w:gridSpan w:val="18"/>
          </w:tcPr>
          <w:p>
            <w:pPr>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Form of Convertible Promissory Note issued in January</w:t>
              </w:r>
            </w:hyperlink>
          </w:p>
        </w:tc>
        <w:tc>
          <w:tcPr>
            <w:tcW w:w="200" w:type="dxa"/>
            <w:vAlign w:val="bottom"/>
            <w:gridSpan w:val="6"/>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2012 in connection with the 2012 convertible note</w:t>
              </w:r>
            </w:hyperlink>
          </w:p>
        </w:tc>
        <w:tc>
          <w:tcPr>
            <w:tcW w:w="60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financing.</w:t>
              </w:r>
            </w:hyperlink>
          </w:p>
        </w:tc>
        <w:tc>
          <w:tcPr>
            <w:tcW w:w="3500" w:type="dxa"/>
            <w:vAlign w:val="bottom"/>
            <w:gridSpan w:val="2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tcBorders>
              <w:bottom w:val="single" w:sz="8" w:color="0000EE"/>
            </w:tcBorders>
            <w:gridSpan w:val="17"/>
          </w:tcPr>
          <w:p>
            <w:pPr>
              <w:spacing w:after="0"/>
              <w:rPr>
                <w:rFonts w:ascii="Arial" w:cs="Arial" w:eastAsia="Arial" w:hAnsi="Arial"/>
                <w:sz w:val="18"/>
                <w:szCs w:val="18"/>
                <w:color w:val="0000EE"/>
                <w:w w:val="88"/>
              </w:rPr>
            </w:pPr>
            <w:hyperlink r:id="rId73">
              <w:r>
                <w:rPr>
                  <w:rFonts w:ascii="Arial" w:cs="Arial" w:eastAsia="Arial" w:hAnsi="Arial"/>
                  <w:sz w:val="18"/>
                  <w:szCs w:val="18"/>
                  <w:color w:val="0000EE"/>
                  <w:w w:val="88"/>
                </w:rPr>
                <w:t>Form of Warrant to Purchase Shares issued in January</w:t>
              </w:r>
            </w:hyperlink>
          </w:p>
        </w:tc>
        <w:tc>
          <w:tcPr>
            <w:tcW w:w="320" w:type="dxa"/>
            <w:vAlign w:val="bottom"/>
            <w:gridSpan w:val="7"/>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2012 in connection with Soleno Therapeutics, Inc.’s 2012</w:t>
              </w:r>
            </w:hyperlink>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convertible note financing.</w:t>
              </w:r>
            </w:hyperlink>
          </w:p>
        </w:tc>
        <w:tc>
          <w:tcPr>
            <w:tcW w:w="2280" w:type="dxa"/>
            <w:vAlign w:val="bottom"/>
            <w:gridSpan w:val="19"/>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tcBorders>
              <w:bottom w:val="single" w:sz="8" w:color="0000EE"/>
            </w:tcBorders>
            <w:gridSpan w:val="23"/>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Form of Convertible Promissory Note issued in July 2012</w:t>
              </w:r>
            </w:hyperlink>
          </w:p>
        </w:tc>
        <w:tc>
          <w:tcPr>
            <w:tcW w:w="40" w:type="dxa"/>
            <w:vAlign w:val="bottom"/>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and August 2012 in connection with the 2012 convertible</w:t>
              </w:r>
            </w:hyperlink>
          </w:p>
        </w:tc>
        <w:tc>
          <w:tcPr>
            <w:tcW w:w="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note financing.</w:t>
              </w:r>
            </w:hyperlink>
          </w:p>
        </w:tc>
        <w:tc>
          <w:tcPr>
            <w:tcW w:w="3140" w:type="dxa"/>
            <w:vAlign w:val="bottom"/>
            <w:gridSpan w:val="2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Borders>
              <w:bottom w:val="single" w:sz="8" w:color="0000EE"/>
            </w:tcBorders>
            <w:gridSpan w:val="19"/>
          </w:tcPr>
          <w:p>
            <w:pPr>
              <w:spacing w:after="0"/>
              <w:rPr>
                <w:rFonts w:ascii="Arial" w:cs="Arial" w:eastAsia="Arial" w:hAnsi="Arial"/>
                <w:sz w:val="18"/>
                <w:szCs w:val="18"/>
                <w:color w:val="0000EE"/>
                <w:w w:val="88"/>
              </w:rPr>
            </w:pPr>
            <w:hyperlink r:id="rId75">
              <w:r>
                <w:rPr>
                  <w:rFonts w:ascii="Arial" w:cs="Arial" w:eastAsia="Arial" w:hAnsi="Arial"/>
                  <w:sz w:val="18"/>
                  <w:szCs w:val="18"/>
                  <w:color w:val="0000EE"/>
                  <w:w w:val="88"/>
                </w:rPr>
                <w:t>Form of Warrant to Purchase Shares issued in July 2012</w:t>
              </w:r>
            </w:hyperlink>
          </w:p>
        </w:tc>
        <w:tc>
          <w:tcPr>
            <w:tcW w:w="180" w:type="dxa"/>
            <w:vAlign w:val="bottom"/>
            <w:gridSpan w:val="5"/>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and August 2012 in connection with the 2012 convertible</w:t>
              </w:r>
            </w:hyperlink>
          </w:p>
        </w:tc>
        <w:tc>
          <w:tcPr>
            <w:tcW w:w="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note financing.</w:t>
              </w:r>
            </w:hyperlink>
          </w:p>
        </w:tc>
        <w:tc>
          <w:tcPr>
            <w:tcW w:w="3140" w:type="dxa"/>
            <w:vAlign w:val="bottom"/>
            <w:gridSpan w:val="2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Arial" w:cs="Arial" w:eastAsia="Arial" w:hAnsi="Arial"/>
                <w:sz w:val="18"/>
                <w:szCs w:val="18"/>
                <w:color w:val="0000EE"/>
              </w:rPr>
            </w:pPr>
            <w:hyperlink r:id="rId76">
              <w:r>
                <w:rPr>
                  <w:rFonts w:ascii="Arial" w:cs="Arial" w:eastAsia="Arial" w:hAnsi="Arial"/>
                  <w:sz w:val="18"/>
                  <w:szCs w:val="18"/>
                  <w:color w:val="0000EE"/>
                </w:rPr>
                <w:t>Form of Convertible Promissory Note issued in April,</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4"/>
          </w:tcPr>
          <w:p>
            <w:pPr>
              <w:spacing w:after="0" w:line="196" w:lineRule="exact"/>
              <w:rPr>
                <w:rFonts w:ascii="Arial" w:cs="Arial" w:eastAsia="Arial" w:hAnsi="Arial"/>
                <w:sz w:val="18"/>
                <w:szCs w:val="18"/>
                <w:color w:val="0000EE"/>
                <w:w w:val="98"/>
              </w:rPr>
            </w:pPr>
            <w:hyperlink r:id="rId76">
              <w:r>
                <w:rPr>
                  <w:rFonts w:ascii="Arial" w:cs="Arial" w:eastAsia="Arial" w:hAnsi="Arial"/>
                  <w:sz w:val="18"/>
                  <w:szCs w:val="18"/>
                  <w:color w:val="0000EE"/>
                  <w:w w:val="98"/>
                </w:rPr>
                <w:t>August and October 2014 in connection with the 2014</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convertible note financing.</w:t>
              </w:r>
            </w:hyperlink>
          </w:p>
        </w:tc>
        <w:tc>
          <w:tcPr>
            <w:tcW w:w="1960" w:type="dxa"/>
            <w:vAlign w:val="bottom"/>
            <w:tcBorders>
              <w:top w:val="single" w:sz="8" w:color="0000EE"/>
            </w:tcBorders>
            <w:gridSpan w:val="12"/>
          </w:tcPr>
          <w:p>
            <w:pPr>
              <w:spacing w:after="0"/>
              <w:rPr>
                <w:sz w:val="17"/>
                <w:szCs w:val="17"/>
                <w:color w:val="auto"/>
              </w:rPr>
            </w:pPr>
          </w:p>
        </w:tc>
        <w:tc>
          <w:tcPr>
            <w:tcW w:w="32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Borders>
              <w:bottom w:val="single" w:sz="8" w:color="0000EE"/>
            </w:tcBorders>
            <w:gridSpan w:val="14"/>
          </w:tcPr>
          <w:p>
            <w:pPr>
              <w:spacing w:after="0"/>
              <w:rPr>
                <w:rFonts w:ascii="Arial" w:cs="Arial" w:eastAsia="Arial" w:hAnsi="Arial"/>
                <w:sz w:val="18"/>
                <w:szCs w:val="18"/>
                <w:color w:val="0000EE"/>
                <w:w w:val="89"/>
              </w:rPr>
            </w:pPr>
            <w:hyperlink r:id="rId77">
              <w:r>
                <w:rPr>
                  <w:rFonts w:ascii="Arial" w:cs="Arial" w:eastAsia="Arial" w:hAnsi="Arial"/>
                  <w:sz w:val="18"/>
                  <w:szCs w:val="18"/>
                  <w:color w:val="0000EE"/>
                  <w:w w:val="89"/>
                </w:rPr>
                <w:t>Form of Warrant to Purchase Shares issued in April,</w:t>
              </w:r>
            </w:hyperlink>
          </w:p>
        </w:tc>
        <w:tc>
          <w:tcPr>
            <w:tcW w:w="460" w:type="dxa"/>
            <w:vAlign w:val="bottom"/>
            <w:gridSpan w:val="10"/>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4"/>
          </w:tcPr>
          <w:p>
            <w:pPr>
              <w:spacing w:after="0" w:line="196" w:lineRule="exact"/>
              <w:rPr>
                <w:rFonts w:ascii="Arial" w:cs="Arial" w:eastAsia="Arial" w:hAnsi="Arial"/>
                <w:sz w:val="18"/>
                <w:szCs w:val="18"/>
                <w:color w:val="0000EE"/>
                <w:w w:val="98"/>
              </w:rPr>
            </w:pPr>
            <w:hyperlink r:id="rId77">
              <w:r>
                <w:rPr>
                  <w:rFonts w:ascii="Arial" w:cs="Arial" w:eastAsia="Arial" w:hAnsi="Arial"/>
                  <w:sz w:val="18"/>
                  <w:szCs w:val="18"/>
                  <w:color w:val="0000EE"/>
                  <w:w w:val="98"/>
                </w:rPr>
                <w:t>August and October 2014 in connection with the 2014</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convertible note financing.</w:t>
              </w:r>
            </w:hyperlink>
          </w:p>
        </w:tc>
        <w:tc>
          <w:tcPr>
            <w:tcW w:w="32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Form of unit certificate.</w:t>
              </w:r>
            </w:hyperlink>
          </w:p>
        </w:tc>
        <w:tc>
          <w:tcPr>
            <w:tcW w:w="200" w:type="dxa"/>
            <w:vAlign w:val="bottom"/>
            <w:tcBorders>
              <w:top w:val="single" w:sz="8" w:color="0000EE"/>
            </w:tcBorders>
          </w:tcPr>
          <w:p>
            <w:pPr>
              <w:spacing w:after="0"/>
              <w:rPr>
                <w:sz w:val="24"/>
                <w:szCs w:val="24"/>
                <w:color w:val="auto"/>
              </w:rPr>
            </w:pPr>
          </w:p>
        </w:tc>
        <w:tc>
          <w:tcPr>
            <w:tcW w:w="2300" w:type="dxa"/>
            <w:vAlign w:val="bottom"/>
            <w:gridSpan w:val="20"/>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August 5,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Borders>
              <w:bottom w:val="single" w:sz="8" w:color="0000EE"/>
            </w:tcBorders>
            <w:gridSpan w:val="8"/>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Form of Series B Warrant Agreement.</w:t>
              </w:r>
            </w:hyperlink>
          </w:p>
        </w:tc>
        <w:tc>
          <w:tcPr>
            <w:tcW w:w="1480" w:type="dxa"/>
            <w:vAlign w:val="bottom"/>
            <w:gridSpan w:val="16"/>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November 4,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Arial" w:cs="Arial" w:eastAsia="Arial" w:hAnsi="Arial"/>
                <w:sz w:val="18"/>
                <w:szCs w:val="18"/>
                <w:color w:val="0000EE"/>
              </w:rPr>
            </w:pPr>
            <w:hyperlink r:id="rId80">
              <w:r>
                <w:rPr>
                  <w:rFonts w:ascii="Arial" w:cs="Arial" w:eastAsia="Arial" w:hAnsi="Arial"/>
                  <w:sz w:val="18"/>
                  <w:szCs w:val="18"/>
                  <w:color w:val="0000EE"/>
                </w:rPr>
                <w:t>Form of the Series B Warrant certificate.</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November 4,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Arial" w:cs="Arial" w:eastAsia="Arial" w:hAnsi="Arial"/>
                <w:sz w:val="18"/>
                <w:szCs w:val="18"/>
                <w:color w:val="0000EE"/>
              </w:rPr>
            </w:pPr>
            <w:hyperlink r:id="rId81">
              <w:r>
                <w:rPr>
                  <w:rFonts w:ascii="Arial" w:cs="Arial" w:eastAsia="Arial" w:hAnsi="Arial"/>
                  <w:sz w:val="18"/>
                  <w:szCs w:val="18"/>
                  <w:color w:val="0000EE"/>
                </w:rPr>
                <w:t>Form of the Series C Warrant Agreement.</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S-4</w:t>
            </w:r>
          </w:p>
        </w:tc>
        <w:tc>
          <w:tcPr>
            <w:tcW w:w="1700" w:type="dxa"/>
            <w:vAlign w:val="bottom"/>
          </w:tcPr>
          <w:p>
            <w:pPr>
              <w:spacing w:after="0"/>
              <w:rPr>
                <w:sz w:val="20"/>
                <w:szCs w:val="20"/>
                <w:color w:val="auto"/>
              </w:rPr>
            </w:pPr>
            <w:r>
              <w:rPr>
                <w:rFonts w:ascii="Arial" w:cs="Arial" w:eastAsia="Arial" w:hAnsi="Arial"/>
                <w:sz w:val="18"/>
                <w:szCs w:val="18"/>
                <w:color w:val="auto"/>
              </w:rPr>
              <w:t>April 1,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tcBorders>
              <w:top w:val="single" w:sz="8" w:color="0000EE"/>
            </w:tcBorders>
            <w:gridSpan w:val="10"/>
          </w:tcPr>
          <w:p>
            <w:pPr>
              <w:spacing w:after="0"/>
              <w:rPr>
                <w:rFonts w:ascii="Arial" w:cs="Arial" w:eastAsia="Arial" w:hAnsi="Arial"/>
                <w:sz w:val="18"/>
                <w:szCs w:val="18"/>
                <w:color w:val="0000EE"/>
                <w:w w:val="92"/>
              </w:rPr>
            </w:pPr>
            <w:hyperlink r:id="rId82">
              <w:r>
                <w:rPr>
                  <w:rFonts w:ascii="Arial" w:cs="Arial" w:eastAsia="Arial" w:hAnsi="Arial"/>
                  <w:sz w:val="18"/>
                  <w:szCs w:val="18"/>
                  <w:color w:val="0000EE"/>
                  <w:w w:val="92"/>
                </w:rPr>
                <w:t>Form of the Series C Warrant certificate.</w:t>
              </w:r>
            </w:hyperlink>
          </w:p>
        </w:tc>
        <w:tc>
          <w:tcPr>
            <w:tcW w:w="1220" w:type="dxa"/>
            <w:vAlign w:val="bottom"/>
            <w:gridSpan w:val="14"/>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S-4</w:t>
            </w:r>
          </w:p>
        </w:tc>
        <w:tc>
          <w:tcPr>
            <w:tcW w:w="1700" w:type="dxa"/>
            <w:vAlign w:val="bottom"/>
          </w:tcPr>
          <w:p>
            <w:pPr>
              <w:spacing w:after="0"/>
              <w:rPr>
                <w:sz w:val="20"/>
                <w:szCs w:val="20"/>
                <w:color w:val="auto"/>
              </w:rPr>
            </w:pPr>
            <w:r>
              <w:rPr>
                <w:rFonts w:ascii="Arial" w:cs="Arial" w:eastAsia="Arial" w:hAnsi="Arial"/>
                <w:sz w:val="18"/>
                <w:szCs w:val="18"/>
                <w:color w:val="auto"/>
              </w:rPr>
              <w:t>April 1,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Arial" w:cs="Arial" w:eastAsia="Arial" w:hAnsi="Arial"/>
                <w:sz w:val="18"/>
                <w:szCs w:val="18"/>
                <w:color w:val="0000EE"/>
              </w:rPr>
            </w:pPr>
            <w:hyperlink r:id="rId83">
              <w:r>
                <w:rPr>
                  <w:rFonts w:ascii="Arial" w:cs="Arial" w:eastAsia="Arial" w:hAnsi="Arial"/>
                  <w:sz w:val="18"/>
                  <w:szCs w:val="18"/>
                  <w:color w:val="0000EE"/>
                </w:rPr>
                <w:t>Form of Series D Common Stock Purchase Warrant.</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Borders>
              <w:top w:val="single" w:sz="8" w:color="0000EE"/>
            </w:tcBorders>
            <w:gridSpan w:val="14"/>
          </w:tcPr>
          <w:p>
            <w:pPr>
              <w:spacing w:after="0"/>
              <w:rPr>
                <w:rFonts w:ascii="Arial" w:cs="Arial" w:eastAsia="Arial" w:hAnsi="Arial"/>
                <w:sz w:val="18"/>
                <w:szCs w:val="18"/>
                <w:color w:val="0000EE"/>
              </w:rPr>
            </w:pPr>
            <w:hyperlink r:id="rId84">
              <w:r>
                <w:rPr>
                  <w:rFonts w:ascii="Arial" w:cs="Arial" w:eastAsia="Arial" w:hAnsi="Arial"/>
                  <w:sz w:val="18"/>
                  <w:szCs w:val="18"/>
                  <w:color w:val="0000EE"/>
                </w:rPr>
                <w:t>Form of Placement Agent Warrant.</w:t>
              </w:r>
            </w:hyperlink>
          </w:p>
        </w:tc>
        <w:tc>
          <w:tcPr>
            <w:tcW w:w="460" w:type="dxa"/>
            <w:vAlign w:val="bottom"/>
            <w:gridSpan w:val="10"/>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Arial" w:cs="Arial" w:eastAsia="Arial" w:hAnsi="Arial"/>
                <w:sz w:val="18"/>
                <w:szCs w:val="18"/>
                <w:color w:val="0000EE"/>
              </w:rPr>
            </w:pPr>
            <w:hyperlink r:id="rId85">
              <w:r>
                <w:rPr>
                  <w:rFonts w:ascii="Arial" w:cs="Arial" w:eastAsia="Arial" w:hAnsi="Arial"/>
                  <w:sz w:val="18"/>
                  <w:szCs w:val="18"/>
                  <w:color w:val="0000EE"/>
                </w:rPr>
                <w:t>Form of Series D common stock Warrant Certificate.</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Borders>
              <w:bottom w:val="single" w:sz="8" w:color="0000EE"/>
            </w:tcBorders>
            <w:gridSpan w:val="22"/>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Form of Series A Convertible Preferred Stock Certificate.</w:t>
              </w:r>
            </w:hyperlink>
          </w:p>
        </w:tc>
        <w:tc>
          <w:tcPr>
            <w:tcW w:w="60" w:type="dxa"/>
            <w:vAlign w:val="bottom"/>
            <w:gridSpan w:val="2"/>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Arial" w:cs="Arial" w:eastAsia="Arial" w:hAnsi="Arial"/>
                <w:sz w:val="18"/>
                <w:szCs w:val="18"/>
                <w:color w:val="0000EE"/>
              </w:rPr>
            </w:pPr>
            <w:hyperlink r:id="rId87">
              <w:r>
                <w:rPr>
                  <w:rFonts w:ascii="Arial" w:cs="Arial" w:eastAsia="Arial" w:hAnsi="Arial"/>
                  <w:sz w:val="18"/>
                  <w:szCs w:val="18"/>
                  <w:color w:val="0000EE"/>
                </w:rPr>
                <w:t>Form of Placement Agent Warrant.</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6, 2016</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Form of Series B Convertible Preferred Stock Certificate.</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6, 2016</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Form of Common Stock Purchase Warrant</w:t>
              </w:r>
            </w:hyperlink>
          </w:p>
        </w:tc>
        <w:tc>
          <w:tcPr>
            <w:tcW w:w="1060" w:type="dxa"/>
            <w:vAlign w:val="bottom"/>
            <w:tcBorders>
              <w:top w:val="single" w:sz="8" w:color="0000EE"/>
            </w:tcBorders>
            <w:gridSpan w:val="9"/>
          </w:tcPr>
          <w:p>
            <w:pPr>
              <w:spacing w:after="0"/>
              <w:rPr>
                <w:sz w:val="24"/>
                <w:szCs w:val="24"/>
                <w:color w:val="auto"/>
              </w:rPr>
            </w:pPr>
          </w:p>
        </w:tc>
        <w:tc>
          <w:tcPr>
            <w:tcW w:w="80" w:type="dxa"/>
            <w:vAlign w:val="bottom"/>
            <w:gridSpan w:val="3"/>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December 13, 2017</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Arial" w:cs="Arial" w:eastAsia="Arial" w:hAnsi="Arial"/>
                <w:sz w:val="18"/>
                <w:szCs w:val="18"/>
                <w:color w:val="0000EE"/>
              </w:rPr>
            </w:pPr>
            <w:hyperlink r:id="rId90">
              <w:r>
                <w:rPr>
                  <w:rFonts w:ascii="Arial" w:cs="Arial" w:eastAsia="Arial" w:hAnsi="Arial"/>
                  <w:sz w:val="18"/>
                  <w:szCs w:val="18"/>
                  <w:color w:val="0000EE"/>
                </w:rPr>
                <w:t>Form of Common Stock Purchase Warrant</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December 19, 2018</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Form of Voting Agreement.</w:t>
              </w:r>
            </w:hyperlink>
          </w:p>
        </w:tc>
        <w:tc>
          <w:tcPr>
            <w:tcW w:w="1060" w:type="dxa"/>
            <w:vAlign w:val="bottom"/>
            <w:tcBorders>
              <w:top w:val="single" w:sz="8" w:color="0000EE"/>
            </w:tcBorders>
            <w:gridSpan w:val="5"/>
          </w:tcPr>
          <w:p>
            <w:pPr>
              <w:spacing w:after="0"/>
              <w:rPr>
                <w:sz w:val="24"/>
                <w:szCs w:val="24"/>
                <w:color w:val="auto"/>
              </w:rPr>
            </w:pPr>
          </w:p>
        </w:tc>
        <w:tc>
          <w:tcPr>
            <w:tcW w:w="1160" w:type="dxa"/>
            <w:vAlign w:val="bottom"/>
            <w:gridSpan w:val="13"/>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gridSpan w:val="25"/>
          </w:tcPr>
          <w:p>
            <w:pPr>
              <w:jc w:val="right"/>
              <w:ind w:right="4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8" w:name="page29"/>
    <w:bookmarkEnd w:id="28"/>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gridSpan w:val="23"/>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3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0" w:type="dxa"/>
            <w:vAlign w:val="bottom"/>
            <w:tcBorders>
              <w:top w:val="single" w:sz="8" w:color="auto"/>
              <w:bottom w:val="single" w:sz="8" w:color="0000EE"/>
            </w:tcBorders>
            <w:gridSpan w:val="5"/>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Form of Voting Agreement.</w:t>
              </w:r>
            </w:hyperlink>
          </w:p>
        </w:tc>
        <w:tc>
          <w:tcPr>
            <w:tcW w:w="2220" w:type="dxa"/>
            <w:vAlign w:val="bottom"/>
            <w:tcBorders>
              <w:top w:val="single" w:sz="8" w:color="auto"/>
            </w:tcBorders>
            <w:gridSpan w:val="2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bottom w:val="single" w:sz="8" w:color="0000EE"/>
            </w:tcBorders>
            <w:gridSpan w:val="5"/>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Form of Voting Agreement.</w:t>
              </w:r>
            </w:hyperlink>
          </w:p>
        </w:tc>
        <w:tc>
          <w:tcPr>
            <w:tcW w:w="22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6"/>
          </w:tcPr>
          <w:p>
            <w:pPr>
              <w:spacing w:after="0"/>
              <w:rPr>
                <w:rFonts w:ascii="Arial" w:cs="Arial" w:eastAsia="Arial" w:hAnsi="Arial"/>
                <w:sz w:val="18"/>
                <w:szCs w:val="18"/>
                <w:color w:val="0000EE"/>
              </w:rPr>
            </w:pPr>
            <w:hyperlink r:id="rId96">
              <w:r>
                <w:rPr>
                  <w:rFonts w:ascii="Arial" w:cs="Arial" w:eastAsia="Arial" w:hAnsi="Arial"/>
                  <w:sz w:val="18"/>
                  <w:szCs w:val="18"/>
                  <w:color w:val="0000EE"/>
                </w:rPr>
                <w:t>Form of Indemnification Agreement between the</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Registrant and each of its directors and executive officers.</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tcBorders>
              <w:bottom w:val="single" w:sz="8" w:color="0000EE"/>
            </w:tcBorders>
            <w:gridSpan w:val="14"/>
          </w:tcPr>
          <w:p>
            <w:pPr>
              <w:spacing w:after="0"/>
              <w:rPr>
                <w:rFonts w:ascii="Arial" w:cs="Arial" w:eastAsia="Arial" w:hAnsi="Arial"/>
                <w:sz w:val="18"/>
                <w:szCs w:val="18"/>
                <w:color w:val="0000EE"/>
                <w:w w:val="89"/>
              </w:rPr>
            </w:pPr>
            <w:hyperlink r:id="rId97">
              <w:r>
                <w:rPr>
                  <w:rFonts w:ascii="Arial" w:cs="Arial" w:eastAsia="Arial" w:hAnsi="Arial"/>
                  <w:sz w:val="18"/>
                  <w:szCs w:val="18"/>
                  <w:color w:val="0000EE"/>
                  <w:w w:val="89"/>
                </w:rPr>
                <w:t>1999 Incentive Stock Plan and forms of agreements</w:t>
              </w:r>
            </w:hyperlink>
          </w:p>
        </w:tc>
        <w:tc>
          <w:tcPr>
            <w:tcW w:w="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97">
              <w:r>
                <w:rPr>
                  <w:rFonts w:ascii="Arial" w:cs="Arial" w:eastAsia="Arial" w:hAnsi="Arial"/>
                  <w:sz w:val="18"/>
                  <w:szCs w:val="18"/>
                  <w:color w:val="0000EE"/>
                  <w:w w:val="84"/>
                </w:rPr>
                <w:t>thereunder.</w:t>
              </w:r>
            </w:hyperlink>
          </w:p>
        </w:tc>
        <w:tc>
          <w:tcPr>
            <w:tcW w:w="34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Borders>
              <w:bottom w:val="single" w:sz="8" w:color="0000EE"/>
            </w:tcBorders>
            <w:gridSpan w:val="16"/>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2010 Equity Incentive Plan and forms of agreements</w:t>
              </w:r>
            </w:hyperlink>
          </w:p>
        </w:tc>
        <w:tc>
          <w:tcPr>
            <w:tcW w:w="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98">
              <w:r>
                <w:rPr>
                  <w:rFonts w:ascii="Arial" w:cs="Arial" w:eastAsia="Arial" w:hAnsi="Arial"/>
                  <w:sz w:val="18"/>
                  <w:szCs w:val="18"/>
                  <w:color w:val="0000EE"/>
                  <w:w w:val="84"/>
                </w:rPr>
                <w:t>thereunder.</w:t>
              </w:r>
            </w:hyperlink>
          </w:p>
        </w:tc>
        <w:tc>
          <w:tcPr>
            <w:tcW w:w="34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Borders>
              <w:bottom w:val="single" w:sz="8" w:color="0000EE"/>
            </w:tcBorders>
            <w:gridSpan w:val="16"/>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2014 Equity Incentive Plan and forms of agreements</w:t>
              </w:r>
            </w:hyperlink>
          </w:p>
        </w:tc>
        <w:tc>
          <w:tcPr>
            <w:tcW w:w="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99">
              <w:r>
                <w:rPr>
                  <w:rFonts w:ascii="Arial" w:cs="Arial" w:eastAsia="Arial" w:hAnsi="Arial"/>
                  <w:sz w:val="18"/>
                  <w:szCs w:val="18"/>
                  <w:color w:val="0000EE"/>
                  <w:w w:val="84"/>
                </w:rPr>
                <w:t>thereunder.</w:t>
              </w:r>
            </w:hyperlink>
          </w:p>
        </w:tc>
        <w:tc>
          <w:tcPr>
            <w:tcW w:w="34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6"/>
          </w:tcPr>
          <w:p>
            <w:pPr>
              <w:spacing w:after="0"/>
              <w:rPr>
                <w:rFonts w:ascii="Arial" w:cs="Arial" w:eastAsia="Arial" w:hAnsi="Arial"/>
                <w:sz w:val="18"/>
                <w:szCs w:val="18"/>
                <w:color w:val="0000EE"/>
              </w:rPr>
            </w:pPr>
            <w:hyperlink r:id="rId100">
              <w:r>
                <w:rPr>
                  <w:rFonts w:ascii="Arial" w:cs="Arial" w:eastAsia="Arial" w:hAnsi="Arial"/>
                  <w:sz w:val="18"/>
                  <w:szCs w:val="18"/>
                  <w:color w:val="0000EE"/>
                </w:rPr>
                <w:t>2014 Employee Stock Purchase Plan and forms of</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agreements thereunder.</w:t>
              </w:r>
            </w:hyperlink>
          </w:p>
        </w:tc>
        <w:tc>
          <w:tcPr>
            <w:tcW w:w="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6"/>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Offer Letter, dated June 22, 2007, by and between Soleno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Therapeutics, Inc. and Ernest Mario, Ph.D.</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Borders>
              <w:bottom w:val="single" w:sz="8" w:color="0000EE"/>
            </w:tcBorders>
            <w:gridSpan w:val="17"/>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Employment Agreement, dated April 6, 2010, by and</w:t>
              </w:r>
            </w:hyperlink>
          </w:p>
        </w:tc>
        <w:tc>
          <w:tcPr>
            <w:tcW w:w="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between Soleno Therapeutics, Inc. and Anish Bhatnagar.</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Borders>
              <w:bottom w:val="single" w:sz="8" w:color="0000EE"/>
            </w:tcBorders>
            <w:gridSpan w:val="13"/>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Offer Letter, dated May 29, 2013, between Soleno</w:t>
              </w:r>
            </w:hyperlink>
          </w:p>
        </w:tc>
        <w:tc>
          <w:tcPr>
            <w:tcW w:w="6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Therapeutics, Inc. and Anthony Wondka.</w:t>
              </w:r>
            </w:hyperlink>
          </w:p>
        </w:tc>
        <w:tc>
          <w:tcPr>
            <w:tcW w:w="12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Borders>
              <w:bottom w:val="single" w:sz="8" w:color="0000EE"/>
            </w:tcBorders>
            <w:gridSpan w:val="25"/>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Offer Letter, dated April 17, 2014, by and between Soleno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6"/>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Therapeutics, Inc. and Antoun Nabhan.</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6"/>
          </w:tcPr>
          <w:p>
            <w:pPr>
              <w:spacing w:after="0"/>
              <w:rPr>
                <w:rFonts w:ascii="Arial" w:cs="Arial" w:eastAsia="Arial" w:hAnsi="Arial"/>
                <w:sz w:val="18"/>
                <w:szCs w:val="18"/>
                <w:color w:val="0000EE"/>
                <w:w w:val="93"/>
              </w:rPr>
            </w:pPr>
            <w:hyperlink r:id="rId105">
              <w:r>
                <w:rPr>
                  <w:rFonts w:ascii="Arial" w:cs="Arial" w:eastAsia="Arial" w:hAnsi="Arial"/>
                  <w:sz w:val="18"/>
                  <w:szCs w:val="18"/>
                  <w:color w:val="0000EE"/>
                  <w:w w:val="93"/>
                </w:rPr>
                <w:t>Asset Purchase Agreement dated May 11, 2010, by and</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between Soleno Therapeutics, Inc. and BioMedical Drug</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6"/>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Development Inc.</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6"/>
          </w:tcPr>
          <w:p>
            <w:pPr>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Convertible Note and Warrant Purchase Agreement, dated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8"/>
              </w:rPr>
            </w:pPr>
            <w:hyperlink r:id="rId106">
              <w:r>
                <w:rPr>
                  <w:rFonts w:ascii="Arial" w:cs="Arial" w:eastAsia="Arial" w:hAnsi="Arial"/>
                  <w:sz w:val="18"/>
                  <w:szCs w:val="18"/>
                  <w:color w:val="0000EE"/>
                  <w:w w:val="88"/>
                </w:rPr>
                <w:t>February 10, 2010, by and among Soleno Therapeutics,</w:t>
              </w:r>
            </w:hyperlink>
          </w:p>
        </w:tc>
        <w:tc>
          <w:tcPr>
            <w:tcW w:w="200" w:type="dxa"/>
            <w:vAlign w:val="bottom"/>
            <w:tcBorders>
              <w:top w:val="single" w:sz="8" w:color="0000EE"/>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Inc. and the investors named therein.</w:t>
              </w:r>
            </w:hyperlink>
          </w:p>
        </w:tc>
        <w:tc>
          <w:tcPr>
            <w:tcW w:w="15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Borders>
              <w:bottom w:val="single" w:sz="8" w:color="0000EE"/>
            </w:tcBorders>
            <w:gridSpan w:val="15"/>
          </w:tcPr>
          <w:p>
            <w:pPr>
              <w:spacing w:after="0"/>
              <w:rPr>
                <w:rFonts w:ascii="Arial" w:cs="Arial" w:eastAsia="Arial" w:hAnsi="Arial"/>
                <w:sz w:val="18"/>
                <w:szCs w:val="18"/>
                <w:color w:val="0000EE"/>
                <w:w w:val="92"/>
              </w:rPr>
            </w:pPr>
            <w:hyperlink r:id="rId107">
              <w:r>
                <w:rPr>
                  <w:rFonts w:ascii="Arial" w:cs="Arial" w:eastAsia="Arial" w:hAnsi="Arial"/>
                  <w:sz w:val="18"/>
                  <w:szCs w:val="18"/>
                  <w:color w:val="0000EE"/>
                  <w:w w:val="92"/>
                </w:rPr>
                <w:t>Amendment No. 1 to Convertible Note and Warrant</w:t>
              </w:r>
            </w:hyperlink>
          </w:p>
        </w:tc>
        <w:tc>
          <w:tcPr>
            <w:tcW w:w="4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6"/>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Purchase Agreement, Convertible Promissory Notes and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top w:val="single" w:sz="8" w:color="0000EE"/>
            </w:tcBorders>
            <w:gridSpan w:val="19"/>
          </w:tcPr>
          <w:p>
            <w:pPr>
              <w:spacing w:after="0" w:line="196" w:lineRule="exact"/>
              <w:rPr>
                <w:rFonts w:ascii="Arial" w:cs="Arial" w:eastAsia="Arial" w:hAnsi="Arial"/>
                <w:sz w:val="18"/>
                <w:szCs w:val="18"/>
                <w:color w:val="0000EE"/>
                <w:w w:val="87"/>
              </w:rPr>
            </w:pPr>
            <w:hyperlink r:id="rId107">
              <w:r>
                <w:rPr>
                  <w:rFonts w:ascii="Arial" w:cs="Arial" w:eastAsia="Arial" w:hAnsi="Arial"/>
                  <w:sz w:val="18"/>
                  <w:szCs w:val="18"/>
                  <w:color w:val="0000EE"/>
                  <w:w w:val="87"/>
                </w:rPr>
                <w:t>Warrants to Purchase Shares, dated November 10, 2010,</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340" w:type="dxa"/>
            <w:vAlign w:val="bottom"/>
            <w:tcBorders>
              <w:right w:val="single" w:sz="8" w:color="0000EE"/>
            </w:tcBorders>
            <w:gridSpan w:val="1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6"/>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by and among Soleno Therapeutics, Inc. and the investors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named therein.</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34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Borders>
              <w:bottom w:val="single" w:sz="8" w:color="0000EE"/>
            </w:tcBorders>
            <w:gridSpan w:val="15"/>
          </w:tcPr>
          <w:p>
            <w:pP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Amendment No. 2 to Convertible Note and Warrant</w:t>
              </w:r>
            </w:hyperlink>
          </w:p>
        </w:tc>
        <w:tc>
          <w:tcPr>
            <w:tcW w:w="4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6"/>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Purchase Agreement, Convertible Promissory Notes and</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6"/>
            <w:shd w:val="clear" w:color="auto" w:fill="0000EE"/>
          </w:tcPr>
          <w:p>
            <w:pPr>
              <w:spacing w:after="0" w:line="20" w:lineRule="exact"/>
              <w:rPr>
                <w:sz w:val="1"/>
                <w:szCs w:val="1"/>
                <w:color w:val="auto"/>
              </w:rPr>
            </w:pPr>
          </w:p>
        </w:tc>
        <w:tc>
          <w:tcPr>
            <w:tcW w:w="1340" w:type="dxa"/>
            <w:vAlign w:val="bottom"/>
            <w:tcBorders>
              <w:right w:val="single" w:sz="8" w:color="0000EE"/>
            </w:tcBorders>
            <w:gridSpan w:val="1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r:id="rId108">
              <w:r>
                <w:rPr>
                  <w:rFonts w:ascii="Arial" w:cs="Arial" w:eastAsia="Arial" w:hAnsi="Arial"/>
                  <w:sz w:val="18"/>
                  <w:szCs w:val="18"/>
                  <w:color w:val="0000EE"/>
                  <w:w w:val="87"/>
                </w:rPr>
                <w:t>Warrants to Purchase Shares, dated January 17, 2012, by</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and among Soleno Therapeutics, Inc. and the investors</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6"/>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named therein.</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340" w:type="dxa"/>
            <w:vAlign w:val="bottom"/>
            <w:gridSpan w:val="1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6"/>
          </w:tcPr>
          <w:p>
            <w:pPr>
              <w:spacing w:after="0"/>
              <w:rPr>
                <w:rFonts w:ascii="Arial" w:cs="Arial" w:eastAsia="Arial" w:hAnsi="Arial"/>
                <w:sz w:val="18"/>
                <w:szCs w:val="18"/>
                <w:color w:val="0000EE"/>
                <w:w w:val="89"/>
              </w:rPr>
            </w:pPr>
            <w:hyperlink r:id="rId109">
              <w:r>
                <w:rPr>
                  <w:rFonts w:ascii="Arial" w:cs="Arial" w:eastAsia="Arial" w:hAnsi="Arial"/>
                  <w:sz w:val="18"/>
                  <w:szCs w:val="18"/>
                  <w:color w:val="0000EE"/>
                  <w:w w:val="89"/>
                </w:rPr>
                <w:t>Convertible Note and Warrant Purchase Agreement, dated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top w:val="single" w:sz="8" w:color="0000EE"/>
            </w:tcBorders>
            <w:gridSpan w:val="24"/>
          </w:tcPr>
          <w:p>
            <w:pPr>
              <w:spacing w:after="0" w:line="196" w:lineRule="exact"/>
              <w:rPr>
                <w:rFonts w:ascii="Arial" w:cs="Arial" w:eastAsia="Arial" w:hAnsi="Arial"/>
                <w:sz w:val="18"/>
                <w:szCs w:val="18"/>
                <w:color w:val="0000EE"/>
                <w:w w:val="94"/>
              </w:rPr>
            </w:pPr>
            <w:hyperlink r:id="rId109">
              <w:r>
                <w:rPr>
                  <w:rFonts w:ascii="Arial" w:cs="Arial" w:eastAsia="Arial" w:hAnsi="Arial"/>
                  <w:sz w:val="18"/>
                  <w:szCs w:val="18"/>
                  <w:color w:val="0000EE"/>
                  <w:w w:val="94"/>
                </w:rPr>
                <w:t>January 16, 2012, by and among Soleno Therapeutics,</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Inc. and the investors named therein.</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Borders>
              <w:top w:val="single" w:sz="8" w:color="0000EE"/>
            </w:tcBorders>
            <w:gridSpan w:val="6"/>
          </w:tcPr>
          <w:p>
            <w:pPr>
              <w:spacing w:after="0"/>
              <w:rPr>
                <w:sz w:val="24"/>
                <w:szCs w:val="24"/>
                <w:color w:val="auto"/>
              </w:rPr>
            </w:pPr>
          </w:p>
        </w:tc>
        <w:tc>
          <w:tcPr>
            <w:tcW w:w="1560" w:type="dxa"/>
            <w:vAlign w:val="bottom"/>
            <w:gridSpan w:val="19"/>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4"/>
          <w:szCs w:val="14"/>
          <w:b w:val="1"/>
          <w:bCs w:val="1"/>
          <w:color w:val="auto"/>
        </w:rPr>
        <w:t>Incorporated by Reference from</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40" w:type="dxa"/>
            <w:vAlign w:val="bottom"/>
            <w:tcBorders>
              <w:top w:val="single" w:sz="8" w:color="auto"/>
            </w:tcBorders>
            <w:gridSpan w:val="2"/>
          </w:tcPr>
          <w:p>
            <w:pPr>
              <w:ind w:left="180"/>
              <w:spacing w:after="0" w:line="119" w:lineRule="exact"/>
              <w:rPr>
                <w:sz w:val="20"/>
                <w:szCs w:val="20"/>
                <w:color w:val="auto"/>
              </w:rPr>
            </w:pPr>
            <w:r>
              <w:rPr>
                <w:rFonts w:ascii="Arial" w:cs="Arial" w:eastAsia="Arial" w:hAnsi="Arial"/>
                <w:sz w:val="13"/>
                <w:szCs w:val="13"/>
                <w:b w:val="1"/>
                <w:bCs w:val="1"/>
                <w:color w:val="auto"/>
              </w:rPr>
              <w:t>Registrant’s</w:t>
            </w:r>
          </w:p>
        </w:tc>
        <w:tc>
          <w:tcPr>
            <w:tcW w:w="1700" w:type="dxa"/>
            <w:vAlign w:val="bottom"/>
            <w:tcBorders>
              <w:top w:val="single" w:sz="8" w:color="auto"/>
            </w:tcBorders>
          </w:tcPr>
          <w:p>
            <w:pPr>
              <w:ind w:left="520"/>
              <w:spacing w:after="0" w:line="119" w:lineRule="exact"/>
              <w:rPr>
                <w:sz w:val="20"/>
                <w:szCs w:val="20"/>
                <w:color w:val="auto"/>
              </w:rPr>
            </w:pPr>
            <w:r>
              <w:rPr>
                <w:rFonts w:ascii="Arial" w:cs="Arial" w:eastAsia="Arial" w:hAnsi="Arial"/>
                <w:sz w:val="13"/>
                <w:szCs w:val="13"/>
                <w:b w:val="1"/>
                <w:bCs w:val="1"/>
                <w:color w:val="auto"/>
              </w:rPr>
              <w:t>Date Filed</w:t>
            </w: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Exhibit</w:t>
            </w: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Filed</w:t>
            </w:r>
          </w:p>
        </w:tc>
      </w:tr>
      <w:tr>
        <w:trPr>
          <w:trHeight w:val="171"/>
        </w:trPr>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4"/>
                <w:szCs w:val="14"/>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with the SEC</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331"/>
        </w:trPr>
        <w:tc>
          <w:tcPr>
            <w:tcW w:w="124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6, 2016</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24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December 27, 2016</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24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July 1,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July 1,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0"/>
        </w:trPr>
        <w:tc>
          <w:tcPr>
            <w:tcW w:w="124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0"/>
        </w:trPr>
        <w:tc>
          <w:tcPr>
            <w:tcW w:w="124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1220" w:val="left"/>
          <w:tab w:leader="none" w:pos="302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June 10, 2014</w:t>
      </w:r>
      <w:r>
        <w:rPr>
          <w:sz w:val="20"/>
          <w:szCs w:val="20"/>
          <w:color w:val="auto"/>
        </w:rPr>
        <w:tab/>
      </w:r>
      <w:r>
        <w:rPr>
          <w:rFonts w:ascii="Arial" w:cs="Arial" w:eastAsia="Arial" w:hAnsi="Arial"/>
          <w:sz w:val="15"/>
          <w:szCs w:val="15"/>
          <w:color w:val="auto"/>
        </w:rPr>
        <w:t>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220" w:val="left"/>
          <w:tab w:leader="none" w:pos="302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June 10, 2014</w:t>
      </w:r>
      <w:r>
        <w:rPr>
          <w:sz w:val="20"/>
          <w:szCs w:val="20"/>
          <w:color w:val="auto"/>
        </w:rPr>
        <w:tab/>
      </w:r>
      <w:r>
        <w:rPr>
          <w:rFonts w:ascii="Arial" w:cs="Arial" w:eastAsia="Arial" w:hAnsi="Arial"/>
          <w:sz w:val="15"/>
          <w:szCs w:val="15"/>
          <w:color w:val="auto"/>
        </w:rPr>
        <w:t>10.14</w:t>
      </w:r>
    </w:p>
    <w:p>
      <w:pPr>
        <w:sectPr>
          <w:pgSz w:w="11900" w:h="16838" w:orient="portrait"/>
          <w:cols w:equalWidth="0" w:num="2">
            <w:col w:w="5840" w:space="160"/>
            <w:col w:w="5420"/>
          </w:cols>
          <w:pgMar w:left="240" w:top="333" w:right="239" w:bottom="1440" w:gutter="0" w:footer="0" w:header="0"/>
        </w:sectPr>
      </w:pPr>
    </w:p>
    <w:bookmarkStart w:id="29" w:name="page30"/>
    <w:bookmarkEnd w:id="29"/>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20" w:type="dxa"/>
            <w:vAlign w:val="bottom"/>
            <w:gridSpan w:val="22"/>
            <w:vMerge w:val="restart"/>
          </w:tcPr>
          <w:p>
            <w:pPr>
              <w:jc w:val="right"/>
              <w:ind w:right="14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2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380" w:type="dxa"/>
            <w:vAlign w:val="bottom"/>
            <w:tcBorders>
              <w:top w:val="single" w:sz="8" w:color="auto"/>
            </w:tcBorders>
          </w:tcPr>
          <w:p>
            <w:pPr>
              <w:jc w:val="right"/>
              <w:ind w:right="612"/>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20" w:type="dxa"/>
            <w:vAlign w:val="bottom"/>
            <w:tcBorders>
              <w:top w:val="single" w:sz="8" w:color="auto"/>
            </w:tcBorders>
            <w:gridSpan w:val="27"/>
          </w:tcPr>
          <w:p>
            <w:pPr>
              <w:spacing w:after="0"/>
              <w:rPr>
                <w:rFonts w:ascii="Arial" w:cs="Arial" w:eastAsia="Arial" w:hAnsi="Arial"/>
                <w:sz w:val="18"/>
                <w:szCs w:val="18"/>
                <w:color w:val="0000EE"/>
                <w:w w:val="96"/>
              </w:rPr>
            </w:pPr>
            <w:hyperlink r:id="rId111">
              <w:r>
                <w:rPr>
                  <w:rFonts w:ascii="Arial" w:cs="Arial" w:eastAsia="Arial" w:hAnsi="Arial"/>
                  <w:sz w:val="18"/>
                  <w:szCs w:val="18"/>
                  <w:color w:val="0000EE"/>
                  <w:w w:val="96"/>
                </w:rPr>
                <w:t>Omnibus Amendment to Convertible Note and Warrant</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Purchase Agreement, Convertible Promissory Notes and</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tcBorders>
              <w:bottom w:val="single" w:sz="8" w:color="0000EE"/>
            </w:tcBorders>
            <w:gridSpan w:val="24"/>
          </w:tcPr>
          <w:p>
            <w:pPr>
              <w:spacing w:after="0" w:line="196" w:lineRule="exact"/>
              <w:rPr>
                <w:rFonts w:ascii="Arial" w:cs="Arial" w:eastAsia="Arial" w:hAnsi="Arial"/>
                <w:sz w:val="18"/>
                <w:szCs w:val="18"/>
                <w:color w:val="0000EE"/>
                <w:w w:val="87"/>
              </w:rPr>
            </w:pPr>
            <w:hyperlink r:id="rId111">
              <w:r>
                <w:rPr>
                  <w:rFonts w:ascii="Arial" w:cs="Arial" w:eastAsia="Arial" w:hAnsi="Arial"/>
                  <w:sz w:val="18"/>
                  <w:szCs w:val="18"/>
                  <w:color w:val="0000EE"/>
                  <w:w w:val="87"/>
                </w:rPr>
                <w:t>Warrants to Purchase Shares, dated July 31, 2012, by and</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r:id="rId111">
              <w:r>
                <w:rPr>
                  <w:rFonts w:ascii="Arial" w:cs="Arial" w:eastAsia="Arial" w:hAnsi="Arial"/>
                  <w:sz w:val="18"/>
                  <w:szCs w:val="18"/>
                  <w:color w:val="0000EE"/>
                  <w:w w:val="88"/>
                </w:rPr>
                <w:t>among Soleno Therapeutics, Inc. and the investors named</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11">
              <w:r>
                <w:rPr>
                  <w:rFonts w:ascii="Arial" w:cs="Arial" w:eastAsia="Arial" w:hAnsi="Arial"/>
                  <w:sz w:val="18"/>
                  <w:szCs w:val="18"/>
                  <w:color w:val="0000EE"/>
                  <w:w w:val="86"/>
                </w:rPr>
                <w:t>therein.</w:t>
              </w:r>
            </w:hyperlink>
          </w:p>
        </w:tc>
        <w:tc>
          <w:tcPr>
            <w:tcW w:w="36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Borders>
              <w:bottom w:val="single" w:sz="8" w:color="0000EE"/>
            </w:tcBorders>
            <w:gridSpan w:val="20"/>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Omnibus Amendment to Convertible Promissory Notes</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and Warrants to Purchase Shares, dated April 28, 2014,</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by and among Soleno Therapeutics, Inc. and the investors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named therein.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7"/>
          </w:tcPr>
          <w:p>
            <w:pPr>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Convertible Note and Warrant Purchase Agreement, dated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April 28, 2014, by and among Soleno Therapeutics, Inc.</w:t>
              </w:r>
            </w:hyperlink>
          </w:p>
        </w:tc>
        <w:tc>
          <w:tcPr>
            <w:tcW w:w="80" w:type="dxa"/>
            <w:vAlign w:val="bottom"/>
            <w:tcBorders>
              <w:top w:val="single" w:sz="8" w:color="0000EE"/>
            </w:tcBorders>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and the investors named therein.</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7"/>
          </w:tcPr>
          <w:p>
            <w:pPr>
              <w:spacing w:after="0"/>
              <w:rPr>
                <w:rFonts w:ascii="Arial" w:cs="Arial" w:eastAsia="Arial" w:hAnsi="Arial"/>
                <w:sz w:val="18"/>
                <w:szCs w:val="18"/>
                <w:color w:val="0000EE"/>
                <w:w w:val="96"/>
              </w:rPr>
            </w:pPr>
            <w:hyperlink r:id="rId114">
              <w:r>
                <w:rPr>
                  <w:rFonts w:ascii="Arial" w:cs="Arial" w:eastAsia="Arial" w:hAnsi="Arial"/>
                  <w:sz w:val="18"/>
                  <w:szCs w:val="18"/>
                  <w:color w:val="0000EE"/>
                  <w:w w:val="96"/>
                </w:rPr>
                <w:t>Omnibus Amendment to Convertible Note and Warrant</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Purchase Agreement, Convertible Promissory Notes and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7"/>
              </w:rPr>
            </w:pPr>
            <w:hyperlink r:id="rId114">
              <w:r>
                <w:rPr>
                  <w:rFonts w:ascii="Arial" w:cs="Arial" w:eastAsia="Arial" w:hAnsi="Arial"/>
                  <w:sz w:val="18"/>
                  <w:szCs w:val="18"/>
                  <w:color w:val="0000EE"/>
                  <w:w w:val="87"/>
                </w:rPr>
                <w:t>Warrants to Purchase Shares, dated May 5, 2014, by and</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among Soleno Therapeutics, Inc. and the investors named</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14">
              <w:r>
                <w:rPr>
                  <w:rFonts w:ascii="Arial" w:cs="Arial" w:eastAsia="Arial" w:hAnsi="Arial"/>
                  <w:sz w:val="18"/>
                  <w:szCs w:val="18"/>
                  <w:color w:val="0000EE"/>
                  <w:w w:val="86"/>
                </w:rPr>
                <w:t>therein.</w:t>
              </w:r>
            </w:hyperlink>
          </w:p>
        </w:tc>
        <w:tc>
          <w:tcPr>
            <w:tcW w:w="36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Borders>
              <w:bottom w:val="single" w:sz="8" w:color="0000EE"/>
            </w:tcBorders>
            <w:gridSpan w:val="17"/>
          </w:tcPr>
          <w:p>
            <w:pPr>
              <w:spacing w:after="0"/>
              <w:rPr>
                <w:rFonts w:ascii="Arial" w:cs="Arial" w:eastAsia="Arial" w:hAnsi="Arial"/>
                <w:sz w:val="18"/>
                <w:szCs w:val="18"/>
                <w:color w:val="0000EE"/>
                <w:w w:val="88"/>
              </w:rPr>
            </w:pPr>
            <w:hyperlink r:id="rId115">
              <w:r>
                <w:rPr>
                  <w:rFonts w:ascii="Arial" w:cs="Arial" w:eastAsia="Arial" w:hAnsi="Arial"/>
                  <w:sz w:val="18"/>
                  <w:szCs w:val="18"/>
                  <w:color w:val="0000EE"/>
                  <w:w w:val="88"/>
                </w:rPr>
                <w:t>Sublease, dated May 20, 2014, by and among Soleno</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Therapeutics, Inc. and Silicon Valley Finance Group.</w:t>
              </w:r>
            </w:hyperlink>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7"/>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Offer Letter, dated June 24, 2014, by and between Soleno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Therapeutics, Inc. and David D. O’Toole.</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tcBorders>
              <w:bottom w:val="single" w:sz="8" w:color="0000EE"/>
            </w:tcBorders>
            <w:gridSpan w:val="19"/>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Loan Agreement by and between Soleno Therapeutics,</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Inc. and the investors named therein, dated September 29,</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ind w:left="120"/>
              <w:spacing w:after="0" w:line="196" w:lineRule="exact"/>
              <w:rPr>
                <w:rFonts w:ascii="Arial" w:cs="Arial" w:eastAsia="Arial" w:hAnsi="Arial"/>
                <w:sz w:val="18"/>
                <w:szCs w:val="18"/>
                <w:color w:val="0000EE"/>
                <w:w w:val="84"/>
              </w:rPr>
            </w:pPr>
            <w:hyperlink r:id="rId117">
              <w:r>
                <w:rPr>
                  <w:rFonts w:ascii="Arial" w:cs="Arial" w:eastAsia="Arial" w:hAnsi="Arial"/>
                  <w:sz w:val="18"/>
                  <w:szCs w:val="18"/>
                  <w:color w:val="0000EE"/>
                  <w:w w:val="84"/>
                </w:rPr>
                <w:t>2014.</w:t>
              </w:r>
            </w:hyperlink>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7"/>
          </w:tcPr>
          <w:p>
            <w:pPr>
              <w:spacing w:after="0"/>
              <w:rPr>
                <w:rFonts w:ascii="Arial" w:cs="Arial" w:eastAsia="Arial" w:hAnsi="Arial"/>
                <w:sz w:val="18"/>
                <w:szCs w:val="18"/>
                <w:color w:val="0000EE"/>
              </w:rPr>
            </w:pPr>
            <w:hyperlink r:id="rId118">
              <w:r>
                <w:rPr>
                  <w:rFonts w:ascii="Arial" w:cs="Arial" w:eastAsia="Arial" w:hAnsi="Arial"/>
                  <w:sz w:val="18"/>
                  <w:szCs w:val="18"/>
                  <w:color w:val="0000EE"/>
                </w:rPr>
                <w:t>Revised Second Tranche Closing Notice and Letter</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Amendment dated August 18, 2014 relating to the August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2014 Notes.</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tcBorders>
              <w:bottom w:val="single" w:sz="8" w:color="0000EE"/>
            </w:tcBorders>
            <w:gridSpan w:val="18"/>
          </w:tcPr>
          <w:p>
            <w:pPr>
              <w:spacing w:after="0"/>
              <w:rPr>
                <w:rFonts w:ascii="Arial" w:cs="Arial" w:eastAsia="Arial" w:hAnsi="Arial"/>
                <w:sz w:val="18"/>
                <w:szCs w:val="18"/>
                <w:color w:val="0000EE"/>
                <w:w w:val="89"/>
              </w:rPr>
            </w:pPr>
            <w:hyperlink r:id="rId119">
              <w:r>
                <w:rPr>
                  <w:rFonts w:ascii="Arial" w:cs="Arial" w:eastAsia="Arial" w:hAnsi="Arial"/>
                  <w:sz w:val="18"/>
                  <w:szCs w:val="18"/>
                  <w:color w:val="0000EE"/>
                  <w:w w:val="89"/>
                </w:rPr>
                <w:t>Second Tranche Subsequent Closing Notice and Letter</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Amendment dated October 22, 2014 relating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October 2014 Notes.</w:t>
              </w:r>
            </w:hyperlink>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Borders>
              <w:bottom w:val="single" w:sz="8" w:color="0000EE"/>
            </w:tcBorders>
            <w:gridSpan w:val="9"/>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Form of Warrant Exercise Agreement.</w:t>
              </w:r>
            </w:hyperlink>
          </w:p>
        </w:tc>
        <w:tc>
          <w:tcPr>
            <w:tcW w:w="14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7"/>
          </w:tcPr>
          <w:p>
            <w:pPr>
              <w:spacing w:after="0"/>
              <w:rPr>
                <w:rFonts w:ascii="Arial" w:cs="Arial" w:eastAsia="Arial" w:hAnsi="Arial"/>
                <w:sz w:val="18"/>
                <w:szCs w:val="18"/>
                <w:color w:val="0000EE"/>
              </w:rPr>
            </w:pPr>
            <w:hyperlink r:id="rId121">
              <w:r>
                <w:rPr>
                  <w:rFonts w:ascii="Arial" w:cs="Arial" w:eastAsia="Arial" w:hAnsi="Arial"/>
                  <w:sz w:val="18"/>
                  <w:szCs w:val="18"/>
                  <w:color w:val="0000EE"/>
                </w:rPr>
                <w:t>Advisory Agreement by and between Soleno</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Therapeutics, Inc. and Maxim Group LLC, dated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March 4, 2015.</w:t>
              </w:r>
            </w:hyperlink>
          </w:p>
        </w:tc>
        <w:tc>
          <w:tcPr>
            <w:tcW w:w="2420" w:type="dxa"/>
            <w:vAlign w:val="bottom"/>
            <w:tcBorders>
              <w:top w:val="single" w:sz="8" w:color="0000EE"/>
            </w:tcBorders>
            <w:gridSpan w:val="7"/>
          </w:tcPr>
          <w:p>
            <w:pPr>
              <w:spacing w:after="0"/>
              <w:rPr>
                <w:sz w:val="17"/>
                <w:szCs w:val="17"/>
                <w:color w:val="auto"/>
              </w:rPr>
            </w:pPr>
          </w:p>
        </w:tc>
        <w:tc>
          <w:tcPr>
            <w:tcW w:w="7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Borders>
              <w:bottom w:val="single" w:sz="8" w:color="0000EE"/>
            </w:tcBorders>
            <w:gridSpan w:val="15"/>
          </w:tcPr>
          <w:p>
            <w:pPr>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Agreement and First Amendment to Asset Purchase</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Agreement between the Company, BDDI and affiliate of</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BDDI, dated June 30, 2015</w:t>
              </w:r>
              <w:r>
                <w:rPr>
                  <w:rFonts w:ascii="Arial" w:cs="Arial" w:eastAsia="Arial" w:hAnsi="Arial"/>
                  <w:sz w:val="18"/>
                  <w:szCs w:val="18"/>
                  <w:color w:val="000000"/>
                </w:rPr>
                <w:t>.</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7"/>
            <w:shd w:val="clear" w:color="auto" w:fill="0000EE"/>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7"/>
          </w:tcPr>
          <w:p>
            <w:pPr>
              <w:spacing w:after="0"/>
              <w:rPr>
                <w:rFonts w:ascii="Arial" w:cs="Arial" w:eastAsia="Arial" w:hAnsi="Arial"/>
                <w:sz w:val="18"/>
                <w:szCs w:val="18"/>
                <w:color w:val="0000EE"/>
              </w:rPr>
            </w:pPr>
            <w:hyperlink r:id="rId123">
              <w:r>
                <w:rPr>
                  <w:rFonts w:ascii="Arial" w:cs="Arial" w:eastAsia="Arial" w:hAnsi="Arial"/>
                  <w:sz w:val="18"/>
                  <w:szCs w:val="18"/>
                  <w:color w:val="0000EE"/>
                </w:rPr>
                <w:t>Common Stock Purchase Agreement between the</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gridSpan w:val="13"/>
            <w:shd w:val="clear" w:color="auto" w:fill="0000EE"/>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Company and an affiliate of BDDI, dated June 30, 2015.</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gridSpan w:val="28"/>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4"/>
          <w:szCs w:val="14"/>
          <w:b w:val="1"/>
          <w:bCs w:val="1"/>
          <w:color w:val="auto"/>
        </w:rPr>
        <w:t>Incorporated by Reference from</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40" w:type="dxa"/>
            <w:vAlign w:val="bottom"/>
            <w:tcBorders>
              <w:top w:val="single" w:sz="8" w:color="auto"/>
            </w:tcBorders>
            <w:gridSpan w:val="2"/>
          </w:tcPr>
          <w:p>
            <w:pPr>
              <w:ind w:left="180"/>
              <w:spacing w:after="0" w:line="119" w:lineRule="exact"/>
              <w:rPr>
                <w:sz w:val="20"/>
                <w:szCs w:val="20"/>
                <w:color w:val="auto"/>
              </w:rPr>
            </w:pPr>
            <w:r>
              <w:rPr>
                <w:rFonts w:ascii="Arial" w:cs="Arial" w:eastAsia="Arial" w:hAnsi="Arial"/>
                <w:sz w:val="13"/>
                <w:szCs w:val="13"/>
                <w:b w:val="1"/>
                <w:bCs w:val="1"/>
                <w:color w:val="auto"/>
              </w:rPr>
              <w:t>Registrant’s</w:t>
            </w:r>
          </w:p>
        </w:tc>
        <w:tc>
          <w:tcPr>
            <w:tcW w:w="1700" w:type="dxa"/>
            <w:vAlign w:val="bottom"/>
            <w:tcBorders>
              <w:top w:val="single" w:sz="8" w:color="auto"/>
            </w:tcBorders>
          </w:tcPr>
          <w:p>
            <w:pPr>
              <w:ind w:left="520"/>
              <w:spacing w:after="0" w:line="119" w:lineRule="exact"/>
              <w:rPr>
                <w:sz w:val="20"/>
                <w:szCs w:val="20"/>
                <w:color w:val="auto"/>
              </w:rPr>
            </w:pPr>
            <w:r>
              <w:rPr>
                <w:rFonts w:ascii="Arial" w:cs="Arial" w:eastAsia="Arial" w:hAnsi="Arial"/>
                <w:sz w:val="13"/>
                <w:szCs w:val="13"/>
                <w:b w:val="1"/>
                <w:bCs w:val="1"/>
                <w:color w:val="auto"/>
              </w:rPr>
              <w:t>Date Filed</w:t>
            </w: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Exhibit</w:t>
            </w: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Filed</w:t>
            </w:r>
          </w:p>
        </w:tc>
      </w:tr>
      <w:tr>
        <w:trPr>
          <w:trHeight w:val="171"/>
        </w:trPr>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4"/>
                <w:szCs w:val="14"/>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with the SEC</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331"/>
        </w:trPr>
        <w:tc>
          <w:tcPr>
            <w:tcW w:w="124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02"/>
        </w:trPr>
        <w:tc>
          <w:tcPr>
            <w:tcW w:w="124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86"/>
        </w:trPr>
        <w:tc>
          <w:tcPr>
            <w:tcW w:w="124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0"/>
        </w:trPr>
        <w:tc>
          <w:tcPr>
            <w:tcW w:w="1240" w:type="dxa"/>
            <w:vAlign w:val="bottom"/>
            <w:gridSpan w:val="2"/>
          </w:tcPr>
          <w:p>
            <w:pPr>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June 10,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02"/>
        </w:trPr>
        <w:tc>
          <w:tcPr>
            <w:tcW w:w="124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July 1,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July 22,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September 29,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0"/>
        </w:trPr>
        <w:tc>
          <w:tcPr>
            <w:tcW w:w="124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November 4,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0"/>
        </w:trPr>
        <w:tc>
          <w:tcPr>
            <w:tcW w:w="1240" w:type="dxa"/>
            <w:vAlign w:val="bottom"/>
            <w:gridSpan w:val="2"/>
          </w:tcPr>
          <w:p>
            <w:pPr>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November 4, 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0"/>
        </w:trPr>
        <w:tc>
          <w:tcPr>
            <w:tcW w:w="124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March 5,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240" w:type="dxa"/>
            <w:vAlign w:val="bottom"/>
            <w:gridSpan w:val="2"/>
          </w:tcPr>
          <w:p>
            <w:pPr>
              <w:spacing w:after="0"/>
              <w:rPr>
                <w:sz w:val="20"/>
                <w:szCs w:val="20"/>
                <w:color w:val="auto"/>
              </w:rPr>
            </w:pPr>
            <w:r>
              <w:rPr>
                <w:rFonts w:ascii="Arial" w:cs="Arial" w:eastAsia="Arial" w:hAnsi="Arial"/>
                <w:sz w:val="18"/>
                <w:szCs w:val="18"/>
                <w:color w:val="auto"/>
              </w:rPr>
              <w:t>S-4</w:t>
            </w:r>
          </w:p>
        </w:tc>
        <w:tc>
          <w:tcPr>
            <w:tcW w:w="1700" w:type="dxa"/>
            <w:vAlign w:val="bottom"/>
          </w:tcPr>
          <w:p>
            <w:pPr>
              <w:spacing w:after="0"/>
              <w:rPr>
                <w:sz w:val="20"/>
                <w:szCs w:val="20"/>
                <w:color w:val="auto"/>
              </w:rPr>
            </w:pPr>
            <w:r>
              <w:rPr>
                <w:rFonts w:ascii="Arial" w:cs="Arial" w:eastAsia="Arial" w:hAnsi="Arial"/>
                <w:sz w:val="18"/>
                <w:szCs w:val="18"/>
                <w:color w:val="auto"/>
              </w:rPr>
              <w:t>April 1,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0"/>
        </w:trPr>
        <w:tc>
          <w:tcPr>
            <w:tcW w:w="124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7,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0"/>
        </w:trPr>
        <w:tc>
          <w:tcPr>
            <w:tcW w:w="1240" w:type="dxa"/>
            <w:vAlign w:val="bottom"/>
            <w:gridSpan w:val="2"/>
          </w:tcPr>
          <w:p>
            <w:pPr>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7,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2">
            <w:col w:w="5840" w:space="160"/>
            <w:col w:w="5420"/>
          </w:cols>
          <w:pgMar w:left="240" w:top="333"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 from</w:t>
            </w: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940" w:type="dxa"/>
            <w:vAlign w:val="bottom"/>
            <w:gridSpan w:val="28"/>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160" w:type="dxa"/>
            <w:vAlign w:val="bottom"/>
          </w:tcPr>
          <w:p>
            <w:pPr>
              <w:spacing w:after="0"/>
              <w:rPr>
                <w:sz w:val="10"/>
                <w:szCs w:val="10"/>
                <w:color w:val="auto"/>
              </w:rPr>
            </w:pPr>
          </w:p>
        </w:tc>
        <w:tc>
          <w:tcPr>
            <w:tcW w:w="12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Registrant’s</w:t>
            </w:r>
          </w:p>
        </w:tc>
        <w:tc>
          <w:tcPr>
            <w:tcW w:w="1700" w:type="dxa"/>
            <w:vAlign w:val="bottom"/>
          </w:tcPr>
          <w:p>
            <w:pPr>
              <w:ind w:left="520"/>
              <w:spacing w:after="0" w:line="119" w:lineRule="exact"/>
              <w:rPr>
                <w:sz w:val="20"/>
                <w:szCs w:val="20"/>
                <w:color w:val="auto"/>
              </w:rPr>
            </w:pPr>
            <w:r>
              <w:rPr>
                <w:rFonts w:ascii="Arial" w:cs="Arial" w:eastAsia="Arial" w:hAnsi="Arial"/>
                <w:sz w:val="13"/>
                <w:szCs w:val="13"/>
                <w:b w:val="1"/>
                <w:bCs w:val="1"/>
                <w:color w:val="auto"/>
              </w:rPr>
              <w:t>Date Filed</w:t>
            </w:r>
          </w:p>
        </w:tc>
        <w:tc>
          <w:tcPr>
            <w:tcW w:w="100" w:type="dxa"/>
            <w:vAlign w:val="bottom"/>
          </w:tcPr>
          <w:p>
            <w:pPr>
              <w:spacing w:after="0"/>
              <w:rPr>
                <w:sz w:val="10"/>
                <w:szCs w:val="10"/>
                <w:color w:val="auto"/>
              </w:rPr>
            </w:pPr>
          </w:p>
        </w:tc>
        <w:tc>
          <w:tcPr>
            <w:tcW w:w="12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Exhibit</w:t>
            </w: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28"/>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4"/>
                <w:szCs w:val="14"/>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with the SEC</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Borders>
              <w:bottom w:val="single" w:sz="8" w:color="0000EE"/>
            </w:tcBorders>
            <w:gridSpan w:val="29"/>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Registration Rights Agreement between the Company and</w:t>
              </w:r>
            </w:hyperlink>
          </w:p>
        </w:tc>
        <w:tc>
          <w:tcPr>
            <w:tcW w:w="20" w:type="dxa"/>
            <w:vAlign w:val="bottom"/>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27,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Aspire Capital Fund, LLC, dated July 24, 2015.</w:t>
              </w:r>
            </w:hyperlink>
          </w:p>
        </w:tc>
        <w:tc>
          <w:tcPr>
            <w:tcW w:w="780" w:type="dxa"/>
            <w:vAlign w:val="bottom"/>
            <w:gridSpan w:val="18"/>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Borders>
              <w:bottom w:val="single" w:sz="8" w:color="0000EE"/>
            </w:tcBorders>
            <w:gridSpan w:val="15"/>
          </w:tcPr>
          <w:p>
            <w:pPr>
              <w:spacing w:after="0"/>
              <w:rPr>
                <w:rFonts w:ascii="Arial" w:cs="Arial" w:eastAsia="Arial" w:hAnsi="Arial"/>
                <w:sz w:val="18"/>
                <w:szCs w:val="18"/>
                <w:color w:val="0000EE"/>
                <w:w w:val="88"/>
              </w:rPr>
            </w:pPr>
            <w:hyperlink r:id="rId126">
              <w:r>
                <w:rPr>
                  <w:rFonts w:ascii="Arial" w:cs="Arial" w:eastAsia="Arial" w:hAnsi="Arial"/>
                  <w:sz w:val="18"/>
                  <w:szCs w:val="18"/>
                  <w:color w:val="0000EE"/>
                  <w:w w:val="88"/>
                </w:rPr>
                <w:t>Common Stock Purchase Agreement between the</w:t>
              </w:r>
            </w:hyperlink>
          </w:p>
        </w:tc>
        <w:tc>
          <w:tcPr>
            <w:tcW w:w="640" w:type="dxa"/>
            <w:vAlign w:val="bottom"/>
            <w:gridSpan w:val="15"/>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27,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Company and Aspire Capital Fund, LLC, dated July 24,</w:t>
              </w:r>
            </w:hyperlink>
          </w:p>
        </w:tc>
        <w:tc>
          <w:tcPr>
            <w:tcW w:w="16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ind w:left="120"/>
              <w:spacing w:after="0" w:line="196" w:lineRule="exact"/>
              <w:rPr>
                <w:rFonts w:ascii="Arial" w:cs="Arial" w:eastAsia="Arial" w:hAnsi="Arial"/>
                <w:sz w:val="18"/>
                <w:szCs w:val="18"/>
                <w:color w:val="0000EE"/>
                <w:w w:val="84"/>
              </w:rPr>
            </w:pPr>
            <w:hyperlink r:id="rId126">
              <w:r>
                <w:rPr>
                  <w:rFonts w:ascii="Arial" w:cs="Arial" w:eastAsia="Arial" w:hAnsi="Arial"/>
                  <w:sz w:val="18"/>
                  <w:szCs w:val="18"/>
                  <w:color w:val="0000EE"/>
                  <w:w w:val="84"/>
                </w:rPr>
                <w:t>2015.</w:t>
              </w:r>
            </w:hyperlink>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Borders>
              <w:bottom w:val="single" w:sz="8" w:color="0000EE"/>
            </w:tcBorders>
            <w:gridSpan w:val="23"/>
          </w:tcPr>
          <w:p>
            <w:pPr>
              <w:spacing w:after="0"/>
              <w:rPr>
                <w:rFonts w:ascii="Arial" w:cs="Arial" w:eastAsia="Arial" w:hAnsi="Arial"/>
                <w:sz w:val="18"/>
                <w:szCs w:val="18"/>
                <w:color w:val="0000EE"/>
                <w:w w:val="88"/>
              </w:rPr>
            </w:pPr>
            <w:hyperlink r:id="rId127">
              <w:r>
                <w:rPr>
                  <w:rFonts w:ascii="Arial" w:cs="Arial" w:eastAsia="Arial" w:hAnsi="Arial"/>
                  <w:sz w:val="18"/>
                  <w:szCs w:val="18"/>
                  <w:color w:val="0000EE"/>
                  <w:w w:val="88"/>
                </w:rPr>
                <w:t>Engagement Letter dated September 17, 2015, between</w:t>
              </w:r>
            </w:hyperlink>
          </w:p>
        </w:tc>
        <w:tc>
          <w:tcPr>
            <w:tcW w:w="220" w:type="dxa"/>
            <w:vAlign w:val="bottom"/>
            <w:gridSpan w:val="7"/>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Soleno Therapeutics, Inc. and Maxim Group, LLC.</w:t>
              </w:r>
            </w:hyperlink>
          </w:p>
        </w:tc>
        <w:tc>
          <w:tcPr>
            <w:tcW w:w="52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Borders>
              <w:bottom w:val="single" w:sz="8" w:color="0000EE"/>
            </w:tcBorders>
            <w:gridSpan w:val="25"/>
          </w:tcPr>
          <w:p>
            <w:pPr>
              <w:spacing w:after="0"/>
              <w:rPr>
                <w:rFonts w:ascii="Arial" w:cs="Arial" w:eastAsia="Arial" w:hAnsi="Arial"/>
                <w:sz w:val="18"/>
                <w:szCs w:val="18"/>
                <w:color w:val="0000EE"/>
                <w:w w:val="88"/>
              </w:rPr>
            </w:pPr>
            <w:hyperlink r:id="rId128">
              <w:r>
                <w:rPr>
                  <w:rFonts w:ascii="Arial" w:cs="Arial" w:eastAsia="Arial" w:hAnsi="Arial"/>
                  <w:sz w:val="18"/>
                  <w:szCs w:val="18"/>
                  <w:color w:val="0000EE"/>
                  <w:w w:val="88"/>
                </w:rPr>
                <w:t>Securities Purchase Agreement dated October 12, 2015.</w:t>
              </w:r>
            </w:hyperlink>
          </w:p>
        </w:tc>
        <w:tc>
          <w:tcPr>
            <w:tcW w:w="180" w:type="dxa"/>
            <w:vAlign w:val="bottom"/>
            <w:gridSpan w:val="5"/>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0"/>
          </w:tcPr>
          <w:p>
            <w:pPr>
              <w:spacing w:after="0"/>
              <w:rPr>
                <w:rFonts w:ascii="Arial" w:cs="Arial" w:eastAsia="Arial" w:hAnsi="Arial"/>
                <w:sz w:val="18"/>
                <w:szCs w:val="18"/>
                <w:color w:val="0000EE"/>
              </w:rPr>
            </w:pPr>
            <w:hyperlink r:id="rId129">
              <w:r>
                <w:rPr>
                  <w:rFonts w:ascii="Arial" w:cs="Arial" w:eastAsia="Arial" w:hAnsi="Arial"/>
                  <w:sz w:val="18"/>
                  <w:szCs w:val="18"/>
                  <w:color w:val="0000EE"/>
                </w:rPr>
                <w:t>Form of Registration Rights Agreement.</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Borders>
              <w:top w:val="single" w:sz="8" w:color="0000EE"/>
            </w:tcBorders>
            <w:gridSpan w:val="9"/>
          </w:tcPr>
          <w:p>
            <w:pPr>
              <w:spacing w:after="0"/>
              <w:rPr>
                <w:rFonts w:ascii="Arial" w:cs="Arial" w:eastAsia="Arial" w:hAnsi="Arial"/>
                <w:sz w:val="18"/>
                <w:szCs w:val="18"/>
                <w:color w:val="0000EE"/>
              </w:rPr>
            </w:pPr>
            <w:hyperlink r:id="rId130">
              <w:r>
                <w:rPr>
                  <w:rFonts w:ascii="Arial" w:cs="Arial" w:eastAsia="Arial" w:hAnsi="Arial"/>
                  <w:sz w:val="18"/>
                  <w:szCs w:val="18"/>
                  <w:color w:val="0000EE"/>
                </w:rPr>
                <w:t>Form of Lock-Up Agreement.</w:t>
              </w:r>
            </w:hyperlink>
          </w:p>
        </w:tc>
        <w:tc>
          <w:tcPr>
            <w:tcW w:w="1320" w:type="dxa"/>
            <w:vAlign w:val="bottom"/>
            <w:gridSpan w:val="21"/>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October 15,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0"/>
          </w:tcPr>
          <w:p>
            <w:pPr>
              <w:spacing w:after="0"/>
              <w:rPr>
                <w:rFonts w:ascii="Arial" w:cs="Arial" w:eastAsia="Arial" w:hAnsi="Arial"/>
                <w:sz w:val="18"/>
                <w:szCs w:val="18"/>
                <w:color w:val="0000EE"/>
                <w:w w:val="99"/>
              </w:rPr>
            </w:pPr>
            <w:hyperlink r:id="rId131">
              <w:r>
                <w:rPr>
                  <w:rFonts w:ascii="Arial" w:cs="Arial" w:eastAsia="Arial" w:hAnsi="Arial"/>
                  <w:sz w:val="18"/>
                  <w:szCs w:val="18"/>
                  <w:color w:val="0000EE"/>
                  <w:w w:val="99"/>
                </w:rPr>
                <w:t>Amendment No. 1 to Securities Purchase Agreement</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December 22, 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dated October 29, 2015.</w:t>
              </w:r>
            </w:hyperlink>
          </w:p>
        </w:tc>
        <w:tc>
          <w:tcPr>
            <w:tcW w:w="42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Borders>
              <w:bottom w:val="single" w:sz="8" w:color="0000EE"/>
            </w:tcBorders>
            <w:gridSpan w:val="24"/>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Transfer and Distribution Agreement: United States: by</w:t>
              </w:r>
            </w:hyperlink>
          </w:p>
        </w:tc>
        <w:tc>
          <w:tcPr>
            <w:tcW w:w="200" w:type="dxa"/>
            <w:vAlign w:val="bottom"/>
            <w:gridSpan w:val="6"/>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January 28, 2016</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r:id="rId132">
              <w:r>
                <w:rPr>
                  <w:rFonts w:ascii="Arial" w:cs="Arial" w:eastAsia="Arial" w:hAnsi="Arial"/>
                  <w:sz w:val="18"/>
                  <w:szCs w:val="18"/>
                  <w:color w:val="0000EE"/>
                  <w:w w:val="88"/>
                </w:rPr>
                <w:t>and between Soleno Therapeutics, Inc. and Bemes, Inc.</w:t>
              </w:r>
            </w:hyperlink>
          </w:p>
        </w:tc>
        <w:tc>
          <w:tcPr>
            <w:tcW w:w="22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30"/>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signed January 26, 2016.</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0"/>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Engagement Letter dated June 26, 2016, between Soleno</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6, 2016</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Therapeutics, Inc. and Maxim Group, LLC.</w:t>
              </w:r>
            </w:hyperlink>
          </w:p>
        </w:tc>
        <w:tc>
          <w:tcPr>
            <w:tcW w:w="940" w:type="dxa"/>
            <w:vAlign w:val="bottom"/>
            <w:tcBorders>
              <w:top w:val="single" w:sz="8" w:color="0000EE"/>
            </w:tcBorders>
            <w:gridSpan w:val="17"/>
          </w:tcPr>
          <w:p>
            <w:pPr>
              <w:spacing w:after="0"/>
              <w:rPr>
                <w:sz w:val="17"/>
                <w:szCs w:val="17"/>
                <w:color w:val="auto"/>
              </w:rPr>
            </w:pPr>
          </w:p>
        </w:tc>
        <w:tc>
          <w:tcPr>
            <w:tcW w:w="14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Borders>
              <w:bottom w:val="single" w:sz="8" w:color="0000EE"/>
            </w:tcBorders>
            <w:gridSpan w:val="18"/>
          </w:tcPr>
          <w:p>
            <w:pPr>
              <w:spacing w:after="0"/>
              <w:rPr>
                <w:rFonts w:ascii="Arial" w:cs="Arial" w:eastAsia="Arial" w:hAnsi="Arial"/>
                <w:sz w:val="18"/>
                <w:szCs w:val="18"/>
                <w:color w:val="0000EE"/>
                <w:w w:val="87"/>
              </w:rPr>
            </w:pPr>
            <w:hyperlink r:id="rId134">
              <w:r>
                <w:rPr>
                  <w:rFonts w:ascii="Arial" w:cs="Arial" w:eastAsia="Arial" w:hAnsi="Arial"/>
                  <w:sz w:val="18"/>
                  <w:szCs w:val="18"/>
                  <w:color w:val="0000EE"/>
                  <w:w w:val="87"/>
                </w:rPr>
                <w:t>Securities Purchase Agreement dated June 29, 2016.</w:t>
              </w:r>
            </w:hyperlink>
          </w:p>
        </w:tc>
        <w:tc>
          <w:tcPr>
            <w:tcW w:w="440" w:type="dxa"/>
            <w:vAlign w:val="bottom"/>
            <w:gridSpan w:val="12"/>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6, 2016</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0"/>
          </w:tcPr>
          <w:p>
            <w:pPr>
              <w:spacing w:after="0"/>
              <w:rPr>
                <w:rFonts w:ascii="Arial" w:cs="Arial" w:eastAsia="Arial" w:hAnsi="Arial"/>
                <w:sz w:val="18"/>
                <w:szCs w:val="18"/>
                <w:color w:val="0000EE"/>
                <w:w w:val="96"/>
              </w:rPr>
            </w:pPr>
            <w:hyperlink r:id="rId135">
              <w:r>
                <w:rPr>
                  <w:rFonts w:ascii="Arial" w:cs="Arial" w:eastAsia="Arial" w:hAnsi="Arial"/>
                  <w:sz w:val="18"/>
                  <w:szCs w:val="18"/>
                  <w:color w:val="0000EE"/>
                  <w:w w:val="96"/>
                </w:rPr>
                <w:t>Form of Registration Rights Agreement dated June 29,</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6, 2016</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ind w:left="120"/>
              <w:spacing w:after="0" w:line="196" w:lineRule="exact"/>
              <w:rPr>
                <w:rFonts w:ascii="Arial" w:cs="Arial" w:eastAsia="Arial" w:hAnsi="Arial"/>
                <w:sz w:val="18"/>
                <w:szCs w:val="18"/>
                <w:color w:val="0000EE"/>
                <w:w w:val="84"/>
              </w:rPr>
            </w:pPr>
            <w:hyperlink r:id="rId135">
              <w:r>
                <w:rPr>
                  <w:rFonts w:ascii="Arial" w:cs="Arial" w:eastAsia="Arial" w:hAnsi="Arial"/>
                  <w:sz w:val="18"/>
                  <w:szCs w:val="18"/>
                  <w:color w:val="0000EE"/>
                  <w:w w:val="84"/>
                </w:rPr>
                <w:t>2016.</w:t>
              </w:r>
            </w:hyperlink>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0"/>
          </w:tcPr>
          <w:p>
            <w:pPr>
              <w:spacing w:after="0"/>
              <w:rPr>
                <w:rFonts w:ascii="Arial" w:cs="Arial" w:eastAsia="Arial" w:hAnsi="Arial"/>
                <w:sz w:val="18"/>
                <w:szCs w:val="18"/>
                <w:color w:val="0000EE"/>
                <w:w w:val="99"/>
              </w:rPr>
            </w:pPr>
            <w:hyperlink r:id="rId136">
              <w:r>
                <w:rPr>
                  <w:rFonts w:ascii="Arial" w:cs="Arial" w:eastAsia="Arial" w:hAnsi="Arial"/>
                  <w:sz w:val="18"/>
                  <w:szCs w:val="18"/>
                  <w:color w:val="0000EE"/>
                  <w:w w:val="99"/>
                </w:rPr>
                <w:t>Amendment No. 1 to Securities Purchase Agreement</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S-1/A</w:t>
            </w:r>
          </w:p>
        </w:tc>
        <w:tc>
          <w:tcPr>
            <w:tcW w:w="1700" w:type="dxa"/>
            <w:vAlign w:val="bottom"/>
          </w:tcPr>
          <w:p>
            <w:pPr>
              <w:spacing w:after="0"/>
              <w:rPr>
                <w:sz w:val="20"/>
                <w:szCs w:val="20"/>
                <w:color w:val="auto"/>
              </w:rPr>
            </w:pPr>
            <w:r>
              <w:rPr>
                <w:rFonts w:ascii="Arial" w:cs="Arial" w:eastAsia="Arial" w:hAnsi="Arial"/>
                <w:sz w:val="18"/>
                <w:szCs w:val="18"/>
                <w:color w:val="auto"/>
              </w:rPr>
              <w:t>September 20, 2016</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r:id="rId136">
              <w:r>
                <w:rPr>
                  <w:rFonts w:ascii="Arial" w:cs="Arial" w:eastAsia="Arial" w:hAnsi="Arial"/>
                  <w:sz w:val="18"/>
                  <w:szCs w:val="18"/>
                  <w:color w:val="0000EE"/>
                  <w:w w:val="87"/>
                </w:rPr>
                <w:t>dated September 20, 2016.</w:t>
              </w:r>
            </w:hyperlink>
          </w:p>
        </w:tc>
        <w:tc>
          <w:tcPr>
            <w:tcW w:w="1880" w:type="dxa"/>
            <w:vAlign w:val="bottom"/>
            <w:tcBorders>
              <w:top w:val="single" w:sz="8" w:color="0000EE"/>
            </w:tcBorders>
            <w:gridSpan w:val="14"/>
          </w:tcPr>
          <w:p>
            <w:pPr>
              <w:spacing w:after="0"/>
              <w:rPr>
                <w:sz w:val="17"/>
                <w:szCs w:val="17"/>
                <w:color w:val="auto"/>
              </w:rPr>
            </w:pPr>
          </w:p>
        </w:tc>
        <w:tc>
          <w:tcPr>
            <w:tcW w:w="42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Borders>
              <w:bottom w:val="single" w:sz="8" w:color="0000EE"/>
            </w:tcBorders>
            <w:gridSpan w:val="28"/>
          </w:tcPr>
          <w:p>
            <w:pPr>
              <w:spacing w:after="0"/>
              <w:rPr>
                <w:rFonts w:ascii="Arial" w:cs="Arial" w:eastAsia="Arial" w:hAnsi="Arial"/>
                <w:sz w:val="18"/>
                <w:szCs w:val="18"/>
                <w:color w:val="0000EE"/>
                <w:w w:val="89"/>
              </w:rPr>
            </w:pPr>
            <w:hyperlink r:id="rId137">
              <w:r>
                <w:rPr>
                  <w:rFonts w:ascii="Arial" w:cs="Arial" w:eastAsia="Arial" w:hAnsi="Arial"/>
                  <w:sz w:val="18"/>
                  <w:szCs w:val="18"/>
                  <w:color w:val="0000EE"/>
                  <w:w w:val="89"/>
                </w:rPr>
                <w:t>Agreement and Plan of Merger and Reorganization, dated</w:t>
              </w:r>
            </w:hyperlink>
          </w:p>
        </w:tc>
        <w:tc>
          <w:tcPr>
            <w:tcW w:w="60" w:type="dxa"/>
            <w:vAlign w:val="bottom"/>
            <w:gridSpan w:val="2"/>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December 27, 2016</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as of December 22, 2016, by and among Soleno</w:t>
              </w:r>
            </w:hyperlink>
          </w:p>
        </w:tc>
        <w:tc>
          <w:tcPr>
            <w:tcW w:w="720" w:type="dxa"/>
            <w:vAlign w:val="bottom"/>
            <w:gridSpan w:val="17"/>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Therapeutics, Inc., a Delaware corporation, Essentialis,</w:t>
              </w:r>
            </w:hyperlink>
          </w:p>
        </w:tc>
        <w:tc>
          <w:tcPr>
            <w:tcW w:w="24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30"/>
          </w:tcPr>
          <w:p>
            <w:pPr>
              <w:spacing w:after="0" w:line="196" w:lineRule="exact"/>
              <w:rPr>
                <w:rFonts w:ascii="Arial" w:cs="Arial" w:eastAsia="Arial" w:hAnsi="Arial"/>
                <w:sz w:val="18"/>
                <w:szCs w:val="18"/>
                <w:color w:val="0000EE"/>
                <w:w w:val="96"/>
              </w:rPr>
            </w:pPr>
            <w:hyperlink r:id="rId137">
              <w:r>
                <w:rPr>
                  <w:rFonts w:ascii="Arial" w:cs="Arial" w:eastAsia="Arial" w:hAnsi="Arial"/>
                  <w:sz w:val="18"/>
                  <w:szCs w:val="18"/>
                  <w:color w:val="0000EE"/>
                  <w:w w:val="96"/>
                </w:rPr>
                <w:t>Inc., a Delaware corporation, Company E Merger Sub,</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Inc., a Delaware corporation and a wholly-owned</w:t>
              </w:r>
            </w:hyperlink>
          </w:p>
        </w:tc>
        <w:tc>
          <w:tcPr>
            <w:tcW w:w="24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30"/>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subsidiary of Soleno Therapeutics, and Neil Cowen as the</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stockholders’ representative.</w:t>
              </w:r>
            </w:hyperlink>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Borders>
              <w:bottom w:val="single" w:sz="8" w:color="0000EE"/>
            </w:tcBorders>
            <w:gridSpan w:val="29"/>
          </w:tcPr>
          <w:p>
            <w:pPr>
              <w:spacing w:after="0"/>
              <w:rPr>
                <w:rFonts w:ascii="Arial" w:cs="Arial" w:eastAsia="Arial" w:hAnsi="Arial"/>
                <w:sz w:val="18"/>
                <w:szCs w:val="18"/>
                <w:color w:val="0000EE"/>
                <w:w w:val="89"/>
              </w:rPr>
            </w:pPr>
            <w:hyperlink r:id="rId138">
              <w:r>
                <w:rPr>
                  <w:rFonts w:ascii="Arial" w:cs="Arial" w:eastAsia="Arial" w:hAnsi="Arial"/>
                  <w:sz w:val="18"/>
                  <w:szCs w:val="18"/>
                  <w:color w:val="0000EE"/>
                  <w:w w:val="89"/>
                </w:rPr>
                <w:t>Registration Rights Agreement between the Company and</w:t>
              </w:r>
            </w:hyperlink>
          </w:p>
        </w:tc>
        <w:tc>
          <w:tcPr>
            <w:tcW w:w="20" w:type="dxa"/>
            <w:vAlign w:val="bottom"/>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February 1, 2017</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Aspire Capital Fund, LLC, dated January 27, 2017.</w:t>
              </w:r>
            </w:hyperlink>
          </w:p>
        </w:tc>
        <w:tc>
          <w:tcPr>
            <w:tcW w:w="52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0"/>
          </w:tcPr>
          <w:p>
            <w:pPr>
              <w:spacing w:after="0"/>
              <w:rPr>
                <w:rFonts w:ascii="Arial" w:cs="Arial" w:eastAsia="Arial" w:hAnsi="Arial"/>
                <w:sz w:val="18"/>
                <w:szCs w:val="18"/>
                <w:color w:val="0000EE"/>
              </w:rPr>
            </w:pPr>
            <w:hyperlink r:id="rId139">
              <w:r>
                <w:rPr>
                  <w:rFonts w:ascii="Arial" w:cs="Arial" w:eastAsia="Arial" w:hAnsi="Arial"/>
                  <w:sz w:val="18"/>
                  <w:szCs w:val="18"/>
                  <w:color w:val="0000EE"/>
                </w:rPr>
                <w:t>Common Stock Purchase Agreement between the</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February 1, 2017</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Company and Aspire Capital Fund, LLC, dated</w:t>
              </w:r>
            </w:hyperlink>
          </w:p>
        </w:tc>
        <w:tc>
          <w:tcPr>
            <w:tcW w:w="140" w:type="dxa"/>
            <w:vAlign w:val="bottom"/>
            <w:tcBorders>
              <w:top w:val="single" w:sz="8" w:color="0000EE"/>
            </w:tcBorders>
            <w:gridSpan w:val="3"/>
          </w:tcPr>
          <w:p>
            <w:pPr>
              <w:spacing w:after="0"/>
              <w:rPr>
                <w:sz w:val="17"/>
                <w:szCs w:val="17"/>
                <w:color w:val="auto"/>
              </w:rPr>
            </w:pPr>
          </w:p>
        </w:tc>
        <w:tc>
          <w:tcPr>
            <w:tcW w:w="660" w:type="dxa"/>
            <w:vAlign w:val="bottom"/>
            <w:gridSpan w:val="16"/>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39">
              <w:r>
                <w:rPr>
                  <w:rFonts w:ascii="Arial" w:cs="Arial" w:eastAsia="Arial" w:hAnsi="Arial"/>
                  <w:sz w:val="18"/>
                  <w:szCs w:val="18"/>
                  <w:color w:val="0000EE"/>
                  <w:w w:val="87"/>
                </w:rPr>
                <w:t>January 27, 2017.</w:t>
              </w:r>
            </w:hyperlink>
          </w:p>
        </w:tc>
        <w:tc>
          <w:tcPr>
            <w:tcW w:w="2940" w:type="dxa"/>
            <w:vAlign w:val="bottom"/>
            <w:gridSpan w:val="28"/>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Borders>
              <w:bottom w:val="single" w:sz="8" w:color="0000EE"/>
            </w:tcBorders>
            <w:gridSpan w:val="20"/>
          </w:tcPr>
          <w:p>
            <w:pPr>
              <w:spacing w:after="0"/>
              <w:rPr>
                <w:rFonts w:ascii="Arial" w:cs="Arial" w:eastAsia="Arial" w:hAnsi="Arial"/>
                <w:sz w:val="18"/>
                <w:szCs w:val="18"/>
                <w:color w:val="0000EE"/>
                <w:w w:val="88"/>
              </w:rPr>
            </w:pPr>
            <w:hyperlink r:id="rId51">
              <w:r>
                <w:rPr>
                  <w:rFonts w:ascii="Arial" w:cs="Arial" w:eastAsia="Arial" w:hAnsi="Arial"/>
                  <w:sz w:val="18"/>
                  <w:szCs w:val="18"/>
                  <w:color w:val="0000EE"/>
                  <w:w w:val="88"/>
                </w:rPr>
                <w:t>Stock Purchase Agreement made by and between the</w:t>
              </w:r>
            </w:hyperlink>
          </w:p>
        </w:tc>
        <w:tc>
          <w:tcPr>
            <w:tcW w:w="400" w:type="dxa"/>
            <w:vAlign w:val="bottom"/>
            <w:gridSpan w:val="10"/>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July 24, 2017</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30"/>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Company and NeoForce Holdings, Inc. a Delaware</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51">
              <w:r>
                <w:rPr>
                  <w:rFonts w:ascii="Arial" w:cs="Arial" w:eastAsia="Arial" w:hAnsi="Arial"/>
                  <w:sz w:val="18"/>
                  <w:szCs w:val="18"/>
                  <w:color w:val="0000EE"/>
                  <w:w w:val="89"/>
                </w:rPr>
                <w:t>corporation dated July 18, 2017</w:t>
              </w:r>
            </w:hyperlink>
          </w:p>
        </w:tc>
        <w:tc>
          <w:tcPr>
            <w:tcW w:w="1400" w:type="dxa"/>
            <w:vAlign w:val="bottom"/>
            <w:tcBorders>
              <w:top w:val="single" w:sz="8" w:color="0000EE"/>
            </w:tcBorders>
            <w:gridSpan w:val="8"/>
          </w:tcPr>
          <w:p>
            <w:pPr>
              <w:spacing w:after="0"/>
              <w:rPr>
                <w:sz w:val="17"/>
                <w:szCs w:val="17"/>
                <w:color w:val="auto"/>
              </w:rPr>
            </w:pPr>
          </w:p>
        </w:tc>
        <w:tc>
          <w:tcPr>
            <w:tcW w:w="54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gridSpan w:val="30"/>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1"/>
        </w:trPr>
        <w:tc>
          <w:tcPr>
            <w:tcW w:w="15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 from</w:t>
            </w: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520" w:type="dxa"/>
            <w:vAlign w:val="bottom"/>
            <w:gridSpan w:val="15"/>
            <w:vMerge w:val="restart"/>
          </w:tcPr>
          <w:p>
            <w:pPr>
              <w:jc w:val="right"/>
              <w:ind w:right="1400"/>
              <w:spacing w:after="0"/>
              <w:rPr>
                <w:sz w:val="20"/>
                <w:szCs w:val="20"/>
                <w:color w:val="auto"/>
              </w:rPr>
            </w:pPr>
            <w:r>
              <w:rPr>
                <w:rFonts w:ascii="Arial" w:cs="Arial" w:eastAsia="Arial" w:hAnsi="Arial"/>
                <w:sz w:val="14"/>
                <w:szCs w:val="14"/>
                <w:b w:val="1"/>
                <w:bCs w:val="1"/>
                <w:color w:val="auto"/>
              </w:rPr>
              <w:t>Description of Document</w:t>
            </w:r>
          </w:p>
        </w:tc>
        <w:tc>
          <w:tcPr>
            <w:tcW w:w="160" w:type="dxa"/>
            <w:vAlign w:val="bottom"/>
          </w:tcPr>
          <w:p>
            <w:pPr>
              <w:spacing w:after="0"/>
              <w:rPr>
                <w:sz w:val="10"/>
                <w:szCs w:val="10"/>
                <w:color w:val="auto"/>
              </w:rPr>
            </w:pPr>
          </w:p>
        </w:tc>
        <w:tc>
          <w:tcPr>
            <w:tcW w:w="12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Registrant’s</w:t>
            </w:r>
          </w:p>
        </w:tc>
        <w:tc>
          <w:tcPr>
            <w:tcW w:w="1700" w:type="dxa"/>
            <w:vAlign w:val="bottom"/>
          </w:tcPr>
          <w:p>
            <w:pPr>
              <w:ind w:left="520"/>
              <w:spacing w:after="0" w:line="119" w:lineRule="exact"/>
              <w:rPr>
                <w:sz w:val="20"/>
                <w:szCs w:val="20"/>
                <w:color w:val="auto"/>
              </w:rPr>
            </w:pPr>
            <w:r>
              <w:rPr>
                <w:rFonts w:ascii="Arial" w:cs="Arial" w:eastAsia="Arial" w:hAnsi="Arial"/>
                <w:sz w:val="13"/>
                <w:szCs w:val="13"/>
                <w:b w:val="1"/>
                <w:bCs w:val="1"/>
                <w:color w:val="auto"/>
              </w:rPr>
              <w:t>Date Filed</w:t>
            </w:r>
          </w:p>
        </w:tc>
        <w:tc>
          <w:tcPr>
            <w:tcW w:w="100" w:type="dxa"/>
            <w:vAlign w:val="bottom"/>
          </w:tcPr>
          <w:p>
            <w:pPr>
              <w:spacing w:after="0"/>
              <w:rPr>
                <w:sz w:val="10"/>
                <w:szCs w:val="10"/>
                <w:color w:val="auto"/>
              </w:rPr>
            </w:pPr>
          </w:p>
        </w:tc>
        <w:tc>
          <w:tcPr>
            <w:tcW w:w="12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Exhibit</w:t>
            </w:r>
          </w:p>
        </w:tc>
        <w:tc>
          <w:tcPr>
            <w:tcW w:w="1140" w:type="dxa"/>
            <w:vAlign w:val="bottom"/>
          </w:tcPr>
          <w:p>
            <w:pPr>
              <w:ind w:left="420"/>
              <w:spacing w:after="0" w:line="119" w:lineRule="exact"/>
              <w:rPr>
                <w:sz w:val="20"/>
                <w:szCs w:val="20"/>
                <w:color w:val="auto"/>
              </w:rPr>
            </w:pPr>
            <w:r>
              <w:rPr>
                <w:rFonts w:ascii="Arial" w:cs="Arial" w:eastAsia="Arial" w:hAnsi="Arial"/>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15"/>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4"/>
                <w:szCs w:val="14"/>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with the SEC</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380" w:type="dxa"/>
            <w:vAlign w:val="bottom"/>
          </w:tcPr>
          <w:p>
            <w:pPr>
              <w:ind w:left="280"/>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Borders>
              <w:bottom w:val="single" w:sz="8" w:color="0000EE"/>
            </w:tcBorders>
            <w:gridSpan w:val="18"/>
          </w:tcPr>
          <w:p>
            <w:pPr>
              <w:spacing w:after="0"/>
              <w:rPr>
                <w:rFonts w:ascii="Arial" w:cs="Arial" w:eastAsia="Arial" w:hAnsi="Arial"/>
                <w:sz w:val="18"/>
                <w:szCs w:val="18"/>
                <w:color w:val="0000EE"/>
                <w:w w:val="89"/>
              </w:rPr>
            </w:pPr>
            <w:hyperlink r:id="rId52">
              <w:r>
                <w:rPr>
                  <w:rFonts w:ascii="Arial" w:cs="Arial" w:eastAsia="Arial" w:hAnsi="Arial"/>
                  <w:sz w:val="18"/>
                  <w:szCs w:val="18"/>
                  <w:color w:val="0000EE"/>
                  <w:w w:val="89"/>
                </w:rPr>
                <w:t>Joint Venture Agreement dated as of December 4, 2017 by</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December 8, 2017</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18"/>
          </w:tcPr>
          <w:p>
            <w:pPr>
              <w:spacing w:after="0" w:line="196" w:lineRule="exact"/>
              <w:rPr>
                <w:rFonts w:ascii="Arial" w:cs="Arial" w:eastAsia="Arial" w:hAnsi="Arial"/>
                <w:sz w:val="18"/>
                <w:szCs w:val="18"/>
                <w:color w:val="0000EE"/>
                <w:w w:val="94"/>
              </w:rPr>
            </w:pPr>
            <w:hyperlink r:id="rId52">
              <w:r>
                <w:rPr>
                  <w:rFonts w:ascii="Arial" w:cs="Arial" w:eastAsia="Arial" w:hAnsi="Arial"/>
                  <w:sz w:val="18"/>
                  <w:szCs w:val="18"/>
                  <w:color w:val="0000EE"/>
                  <w:w w:val="94"/>
                </w:rPr>
                <w:t>and among Soleno Therapeutics, Inc., Capnia, Inc., and</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OptAsia Healthcare Limited</w:t>
              </w:r>
            </w:hyperlink>
          </w:p>
        </w:tc>
        <w:tc>
          <w:tcPr>
            <w:tcW w:w="1940" w:type="dxa"/>
            <w:vAlign w:val="bottom"/>
            <w:tcBorders>
              <w:top w:val="single" w:sz="8" w:color="0000EE"/>
            </w:tcBorders>
            <w:gridSpan w:val="9"/>
          </w:tcPr>
          <w:p>
            <w:pPr>
              <w:spacing w:after="0"/>
              <w:rPr>
                <w:sz w:val="17"/>
                <w:szCs w:val="17"/>
                <w:color w:val="auto"/>
              </w:rPr>
            </w:pPr>
          </w:p>
        </w:tc>
        <w:tc>
          <w:tcPr>
            <w:tcW w:w="24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18"/>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Securities Purchase Agreement, dated as of December 11,</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December 13, 2017</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ind w:left="120"/>
              <w:spacing w:after="0" w:line="196" w:lineRule="exact"/>
              <w:rPr>
                <w:rFonts w:ascii="Arial" w:cs="Arial" w:eastAsia="Arial" w:hAnsi="Arial"/>
                <w:sz w:val="18"/>
                <w:szCs w:val="18"/>
                <w:color w:val="0000EE"/>
                <w:w w:val="84"/>
              </w:rPr>
            </w:pPr>
            <w:hyperlink r:id="rId142">
              <w:r>
                <w:rPr>
                  <w:rFonts w:ascii="Arial" w:cs="Arial" w:eastAsia="Arial" w:hAnsi="Arial"/>
                  <w:sz w:val="18"/>
                  <w:szCs w:val="18"/>
                  <w:color w:val="0000EE"/>
                  <w:w w:val="84"/>
                </w:rPr>
                <w:t>2017</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18"/>
          </w:tcPr>
          <w:p>
            <w:pPr>
              <w:spacing w:after="0"/>
              <w:rPr>
                <w:rFonts w:ascii="Arial" w:cs="Arial" w:eastAsia="Arial" w:hAnsi="Arial"/>
                <w:sz w:val="18"/>
                <w:szCs w:val="18"/>
                <w:color w:val="0000EE"/>
                <w:w w:val="94"/>
              </w:rPr>
            </w:pPr>
            <w:hyperlink r:id="rId143">
              <w:r>
                <w:rPr>
                  <w:rFonts w:ascii="Arial" w:cs="Arial" w:eastAsia="Arial" w:hAnsi="Arial"/>
                  <w:sz w:val="18"/>
                  <w:szCs w:val="18"/>
                  <w:color w:val="0000EE"/>
                  <w:w w:val="94"/>
                </w:rPr>
                <w:t>Confidential Consulting Agreement, dated September 5,</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June 4, 2018</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2017 by and between FLG Partners, LLC and the</w:t>
              </w:r>
            </w:hyperlink>
          </w:p>
        </w:tc>
        <w:tc>
          <w:tcPr>
            <w:tcW w:w="18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43">
              <w:r>
                <w:rPr>
                  <w:rFonts w:ascii="Arial" w:cs="Arial" w:eastAsia="Arial" w:hAnsi="Arial"/>
                  <w:sz w:val="18"/>
                  <w:szCs w:val="18"/>
                  <w:color w:val="0000EE"/>
                  <w:w w:val="88"/>
                </w:rPr>
                <w:t>Company</w:t>
              </w:r>
            </w:hyperlink>
          </w:p>
        </w:tc>
        <w:tc>
          <w:tcPr>
            <w:tcW w:w="2840" w:type="dxa"/>
            <w:vAlign w:val="bottom"/>
            <w:tcBorders>
              <w:top w:val="single" w:sz="8" w:color="0000EE"/>
            </w:tcBorders>
            <w:gridSpan w:val="4"/>
          </w:tcPr>
          <w:p>
            <w:pPr>
              <w:spacing w:after="0"/>
              <w:rPr>
                <w:sz w:val="17"/>
                <w:szCs w:val="17"/>
                <w:color w:val="auto"/>
              </w:rPr>
            </w:pPr>
          </w:p>
        </w:tc>
        <w:tc>
          <w:tcPr>
            <w:tcW w:w="68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tcBorders>
              <w:bottom w:val="single" w:sz="8" w:color="0000EE"/>
            </w:tcBorders>
            <w:gridSpan w:val="17"/>
          </w:tcPr>
          <w:p>
            <w:pPr>
              <w:spacing w:after="0"/>
              <w:rPr>
                <w:rFonts w:ascii="Arial" w:cs="Arial" w:eastAsia="Arial" w:hAnsi="Arial"/>
                <w:sz w:val="18"/>
                <w:szCs w:val="18"/>
                <w:color w:val="0000EE"/>
                <w:w w:val="88"/>
              </w:rPr>
            </w:pPr>
            <w:hyperlink r:id="rId144">
              <w:r>
                <w:rPr>
                  <w:rFonts w:ascii="Arial" w:cs="Arial" w:eastAsia="Arial" w:hAnsi="Arial"/>
                  <w:sz w:val="18"/>
                  <w:szCs w:val="18"/>
                  <w:color w:val="0000EE"/>
                  <w:w w:val="88"/>
                </w:rPr>
                <w:t>Securities Purchase Agreement, dated as of December 19,</w:t>
              </w:r>
            </w:hyperlink>
          </w:p>
        </w:tc>
        <w:tc>
          <w:tcPr>
            <w:tcW w:w="40" w:type="dxa"/>
            <w:vAlign w:val="bottom"/>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8-K</w:t>
            </w:r>
          </w:p>
        </w:tc>
        <w:tc>
          <w:tcPr>
            <w:tcW w:w="1700" w:type="dxa"/>
            <w:vAlign w:val="bottom"/>
          </w:tcPr>
          <w:p>
            <w:pPr>
              <w:spacing w:after="0"/>
              <w:rPr>
                <w:sz w:val="20"/>
                <w:szCs w:val="20"/>
                <w:color w:val="auto"/>
              </w:rPr>
            </w:pPr>
            <w:r>
              <w:rPr>
                <w:rFonts w:ascii="Arial" w:cs="Arial" w:eastAsia="Arial" w:hAnsi="Arial"/>
                <w:sz w:val="18"/>
                <w:szCs w:val="18"/>
                <w:color w:val="auto"/>
              </w:rPr>
              <w:t>December 19, 2018</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ind w:left="120"/>
              <w:spacing w:after="0" w:line="196" w:lineRule="exact"/>
              <w:rPr>
                <w:rFonts w:ascii="Arial" w:cs="Arial" w:eastAsia="Arial" w:hAnsi="Arial"/>
                <w:sz w:val="18"/>
                <w:szCs w:val="18"/>
                <w:color w:val="0000EE"/>
                <w:w w:val="84"/>
              </w:rPr>
            </w:pPr>
            <w:hyperlink r:id="rId144">
              <w:r>
                <w:rPr>
                  <w:rFonts w:ascii="Arial" w:cs="Arial" w:eastAsia="Arial" w:hAnsi="Arial"/>
                  <w:sz w:val="18"/>
                  <w:szCs w:val="18"/>
                  <w:color w:val="0000EE"/>
                  <w:w w:val="84"/>
                </w:rPr>
                <w:t>2018</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18"/>
          </w:tcPr>
          <w:p>
            <w:pPr>
              <w:spacing w:after="0"/>
              <w:rPr>
                <w:rFonts w:ascii="Arial" w:cs="Arial" w:eastAsia="Arial" w:hAnsi="Arial"/>
                <w:sz w:val="18"/>
                <w:szCs w:val="18"/>
                <w:color w:val="0000EE"/>
              </w:rPr>
            </w:pPr>
            <w:hyperlink r:id="rId145">
              <w:r>
                <w:rPr>
                  <w:rFonts w:ascii="Arial" w:cs="Arial" w:eastAsia="Arial" w:hAnsi="Arial"/>
                  <w:sz w:val="18"/>
                  <w:szCs w:val="18"/>
                  <w:color w:val="0000EE"/>
                </w:rPr>
                <w:t>Employment Agreement with Kristen Yen.</w:t>
              </w:r>
            </w:hyperlink>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S-1</w:t>
            </w:r>
          </w:p>
        </w:tc>
        <w:tc>
          <w:tcPr>
            <w:tcW w:w="1700" w:type="dxa"/>
            <w:vAlign w:val="bottom"/>
          </w:tcPr>
          <w:p>
            <w:pPr>
              <w:spacing w:after="0"/>
              <w:rPr>
                <w:sz w:val="20"/>
                <w:szCs w:val="20"/>
                <w:color w:val="auto"/>
              </w:rPr>
            </w:pPr>
            <w:r>
              <w:rPr>
                <w:rFonts w:ascii="Arial" w:cs="Arial" w:eastAsia="Arial" w:hAnsi="Arial"/>
                <w:sz w:val="18"/>
                <w:szCs w:val="18"/>
                <w:color w:val="auto"/>
              </w:rPr>
              <w:t>March 29, 2019</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Certification of Principal Executive Officer Required</w:t>
              </w:r>
            </w:hyperlink>
          </w:p>
        </w:tc>
        <w:tc>
          <w:tcPr>
            <w:tcW w:w="34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Under Rule 13a-14(a) and 15d-14(a) of the Securities and</w:t>
              </w:r>
            </w:hyperlink>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Exchange Act of 1934, as amended</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Certification of Principal Financial and Accounting</w:t>
              </w:r>
            </w:hyperlink>
          </w:p>
        </w:tc>
        <w:tc>
          <w:tcPr>
            <w:tcW w:w="52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Officer Required Under Rule 13a-14(a) and 15d-14(a) of</w:t>
              </w:r>
            </w:hyperlink>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18"/>
          </w:tcPr>
          <w:p>
            <w:pPr>
              <w:spacing w:after="0" w:line="196"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the Securities and Exchange Act of 1934, as amended</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Borders>
              <w:top w:val="single" w:sz="8" w:color="0000EE"/>
            </w:tcBorders>
            <w:gridSpan w:val="10"/>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Certification of Principal Executive Officer Required</w:t>
              </w:r>
            </w:hyperlink>
          </w:p>
        </w:tc>
        <w:tc>
          <w:tcPr>
            <w:tcW w:w="36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18"/>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Under Rule 13a-14(b) of the Securities and Exchange Act</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of 1934, as amended, and 18 U.S.C. §1350</w:t>
              </w:r>
            </w:hyperlink>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Certification of Principal Financial and Accounting</w:t>
              </w:r>
            </w:hyperlink>
          </w:p>
        </w:tc>
        <w:tc>
          <w:tcPr>
            <w:tcW w:w="52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18"/>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Officer Required Under Rule 13a-14(b) of the Securities</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and Exchange Act of 1934, as amended, and 18 U.S.C.</w:t>
              </w:r>
            </w:hyperlink>
          </w:p>
        </w:tc>
        <w:tc>
          <w:tcPr>
            <w:tcW w:w="100" w:type="dxa"/>
            <w:vAlign w:val="bottom"/>
            <w:tcBorders>
              <w:top w:val="single" w:sz="8" w:color="0000EE"/>
            </w:tcBorders>
            <w:gridSpan w:val="3"/>
          </w:tcPr>
          <w:p>
            <w:pPr>
              <w:spacing w:after="0"/>
              <w:rPr>
                <w:sz w:val="17"/>
                <w:szCs w:val="17"/>
                <w:color w:val="auto"/>
              </w:rPr>
            </w:pPr>
          </w:p>
        </w:tc>
        <w:tc>
          <w:tcPr>
            <w:tcW w:w="1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3"/>
          </w:tcPr>
          <w:p>
            <w:pPr>
              <w:ind w:left="120"/>
              <w:spacing w:after="0" w:line="196" w:lineRule="exact"/>
              <w:rPr>
                <w:rFonts w:ascii="Arial" w:cs="Arial" w:eastAsia="Arial" w:hAnsi="Arial"/>
                <w:sz w:val="18"/>
                <w:szCs w:val="18"/>
                <w:color w:val="0000EE"/>
                <w:w w:val="83"/>
              </w:rPr>
            </w:pPr>
            <w:hyperlink w:anchor="page37">
              <w:r>
                <w:rPr>
                  <w:rFonts w:ascii="Arial" w:cs="Arial" w:eastAsia="Arial" w:hAnsi="Arial"/>
                  <w:sz w:val="18"/>
                  <w:szCs w:val="18"/>
                  <w:color w:val="0000EE"/>
                  <w:w w:val="83"/>
                </w:rPr>
                <w:t>§1350</w:t>
              </w:r>
            </w:hyperlink>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780" w:type="dxa"/>
            <w:vAlign w:val="bottom"/>
            <w:gridSpan w:val="1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Arial" w:cs="Arial" w:eastAsia="Arial" w:hAnsi="Arial"/>
                <w:sz w:val="18"/>
                <w:szCs w:val="18"/>
                <w:color w:val="auto"/>
                <w:w w:val="95"/>
              </w:rPr>
              <w:t>XBRL Taxonomy Extension Label Linkbase Document.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gridSpan w:val="19"/>
          </w:tcPr>
          <w:p>
            <w:pPr>
              <w:jc w:val="right"/>
              <w:ind w:right="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32" w:name="page33"/>
    <w:bookmarkEnd w:id="32"/>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Date: May 13, 2019</w:t>
      </w:r>
      <w:r>
        <w:rPr>
          <w:sz w:val="20"/>
          <w:szCs w:val="20"/>
          <w:color w:val="auto"/>
        </w:rPr>
        <w:tab/>
      </w:r>
      <w:r>
        <w:rPr>
          <w:rFonts w:ascii="Arial" w:cs="Arial" w:eastAsia="Arial" w:hAnsi="Arial"/>
          <w:sz w:val="18"/>
          <w:szCs w:val="18"/>
          <w:b w:val="1"/>
          <w:bCs w:val="1"/>
          <w:color w:val="auto"/>
        </w:rPr>
        <w:t>SOLENO THERAPEUTICS, INC.</w:t>
      </w:r>
    </w:p>
    <w:p>
      <w:pPr>
        <w:spacing w:after="0" w:line="22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Jonathan Wolter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Jonathan Wolter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37649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4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(authorized officer and principal financial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accounting officer)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00"/>
          </w:cols>
          <w:pgMar w:left="240" w:top="351" w:right="8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Anish Bhatnagar, M.D.,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60" w:firstLine="6"/>
        <w:spacing w:after="0" w:line="264" w:lineRule="auto"/>
        <w:tabs>
          <w:tab w:leader="none" w:pos="76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340" w:firstLine="6"/>
        <w:spacing w:after="0" w:line="277" w:lineRule="auto"/>
        <w:tabs>
          <w:tab w:leader="none" w:pos="76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Wolter,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60" w:firstLine="6"/>
        <w:spacing w:after="0" w:line="264" w:lineRule="auto"/>
        <w:tabs>
          <w:tab w:leader="none" w:pos="76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340" w:firstLine="6"/>
        <w:spacing w:after="0" w:line="277" w:lineRule="auto"/>
        <w:tabs>
          <w:tab w:leader="none" w:pos="765"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Wolter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Wolter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Quarterly Report of Soleno Therapeutics, Inc. (the “Company”) on Form 10-Q for the fiscal quarter March 31, 2019,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73" w:lineRule="exact"/>
        <w:rPr>
          <w:sz w:val="20"/>
          <w:szCs w:val="20"/>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connection with the Quarterly Report of Soleno Therapeutics, Inc. (the “Company”) on Form 10-Q for the fiscal quarter ended March 31, 2019, as filed with the Securities and Exchange Commission (the “Report”), Jonathan Wolter, Chief Financial Officer of the Company does hereby certify, pursuant to 18 U.S.C. Section 1350, as adopted pursuant to Section 906 of the Sarbanes-Oxley Act of 2002, that:</w:t>
      </w:r>
    </w:p>
    <w:p>
      <w:pPr>
        <w:spacing w:after="0" w:line="73" w:lineRule="exact"/>
        <w:rPr>
          <w:sz w:val="20"/>
          <w:szCs w:val="20"/>
          <w:color w:val="auto"/>
        </w:rPr>
      </w:pPr>
    </w:p>
    <w:p>
      <w:pPr>
        <w:ind w:left="1540" w:hanging="506"/>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Wolter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Wolter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92" Type="http://schemas.openxmlformats.org/officeDocument/2006/relationships/image" Target="media/image46.png"/><Relationship Id="rId93" Type="http://schemas.openxmlformats.org/officeDocument/2006/relationships/image" Target="media/image47.png"/><Relationship Id="rId110" Type="http://schemas.openxmlformats.org/officeDocument/2006/relationships/image" Target="media/image48.png"/><Relationship Id="rId124" Type="http://schemas.openxmlformats.org/officeDocument/2006/relationships/image" Target="media/image49.png"/><Relationship Id="rId140" Type="http://schemas.openxmlformats.org/officeDocument/2006/relationships/image" Target="media/image50.png"/><Relationship Id="rId141" Type="http://schemas.openxmlformats.org/officeDocument/2006/relationships/image" Target="media/image51.png"/><Relationship Id="rId146" Type="http://schemas.openxmlformats.org/officeDocument/2006/relationships/image" Target="media/image52.png"/><Relationship Id="rId147" Type="http://schemas.openxmlformats.org/officeDocument/2006/relationships/image" Target="media/image53.png"/><Relationship Id="rId148" Type="http://schemas.openxmlformats.org/officeDocument/2006/relationships/image" Target="media/image54.png"/><Relationship Id="rId149" Type="http://schemas.openxmlformats.org/officeDocument/2006/relationships/image" Target="media/image55.png"/><Relationship Id="rId150" Type="http://schemas.openxmlformats.org/officeDocument/2006/relationships/image" Target="media/image56.png"/><Relationship Id="rId151" Type="http://schemas.openxmlformats.org/officeDocument/2006/relationships/image" Target="media/image57.png"/><Relationship Id="rId152" Type="http://schemas.openxmlformats.org/officeDocument/2006/relationships/image" Target="media/image58.png"/><Relationship Id="rId51" Type="http://schemas.openxmlformats.org/officeDocument/2006/relationships/hyperlink" Target="http://www.sec.gov/Archives/edgar/data/1484565/000162828017007221/ehx21.htm" TargetMode="External"/><Relationship Id="rId52" Type="http://schemas.openxmlformats.org/officeDocument/2006/relationships/hyperlink" Target="http://www.sec.gov/Archives/edgar/data/1484565/000162828017012274/ex21soleno-captainjvagreem.htm" TargetMode="External"/><Relationship Id="rId53" Type="http://schemas.openxmlformats.org/officeDocument/2006/relationships/hyperlink" Target="http://www.sec.gov/Archives/edgar/data/1484565/000162828017012274/ex22ippurchaseagreement.htm" TargetMode="External"/><Relationship Id="rId54" Type="http://schemas.openxmlformats.org/officeDocument/2006/relationships/hyperlink" Target="http://www.sec.gov/Archives/edgar/data/1484565/000162828017012274/ex23soleno-transitionservi.htm" TargetMode="External"/><Relationship Id="rId55" Type="http://schemas.openxmlformats.org/officeDocument/2006/relationships/hyperlink" Target="http://www.sec.gov/Archives/edgar/data/1484565/000119312514300848/d711637dex32.htm" TargetMode="External"/><Relationship Id="rId56" Type="http://schemas.openxmlformats.org/officeDocument/2006/relationships/hyperlink" Target="http://www.sec.gov/Archives/edgar/data/1484565/000119312514256995/d711637dex34.htm" TargetMode="External"/><Relationship Id="rId57" Type="http://schemas.openxmlformats.org/officeDocument/2006/relationships/hyperlink" Target="http://www.sec.gov/Archives/edgar/data/1484565/000119312515344002/d67111dex31.htm" TargetMode="External"/><Relationship Id="rId58" Type="http://schemas.openxmlformats.org/officeDocument/2006/relationships/hyperlink" Target="http://www.sec.gov/Archives/edgar/data/1484565/000119312516642505/d221558dex31.htm" TargetMode="External"/><Relationship Id="rId59" Type="http://schemas.openxmlformats.org/officeDocument/2006/relationships/hyperlink" Target="http://www.sec.gov/Archives/edgar/data/1484565/000162828017005427/exhibit31.htm" TargetMode="External"/><Relationship Id="rId60" Type="http://schemas.openxmlformats.org/officeDocument/2006/relationships/hyperlink" Target="http://www.sec.gov/Archives/edgar/data/1484565/000162828017009761/soleno-certificateofamendm.htm" TargetMode="External"/><Relationship Id="rId61" Type="http://schemas.openxmlformats.org/officeDocument/2006/relationships/hyperlink" Target="http://www.sec.gov/Archives/edgar/data/1484565/000119312514293949/d711637dex41.htm" TargetMode="External"/><Relationship Id="rId62" Type="http://schemas.openxmlformats.org/officeDocument/2006/relationships/hyperlink" Target="http://www.sec.gov/Archives/edgar/data/1484565/000119312514256995/d711637dex42.htm" TargetMode="External"/><Relationship Id="rId63" Type="http://schemas.openxmlformats.org/officeDocument/2006/relationships/hyperlink" Target="http://www.sec.gov/Archives/edgar/data/1484565/000119312514293949/d711637dex43.htm" TargetMode="External"/><Relationship Id="rId64" Type="http://schemas.openxmlformats.org/officeDocument/2006/relationships/hyperlink" Target="http://www.sec.gov/Archives/edgar/data/1484565/000119312514293949/d711637dex44.htm" TargetMode="External"/><Relationship Id="rId65" Type="http://schemas.openxmlformats.org/officeDocument/2006/relationships/hyperlink" Target="http://www.sec.gov/Archives/edgar/data/1484565/000119312514293949/d711637dex45.htm" TargetMode="External"/><Relationship Id="rId66" Type="http://schemas.openxmlformats.org/officeDocument/2006/relationships/hyperlink" Target="http://www.sec.gov/Archives/edgar/data/1484565/000119312514231812/d711637dex46.htm" TargetMode="External"/><Relationship Id="rId67" Type="http://schemas.openxmlformats.org/officeDocument/2006/relationships/hyperlink" Target="http://www.sec.gov/Archives/edgar/data/1484565/000119312514231812/d711637dex47.htm" TargetMode="External"/><Relationship Id="rId70" Type="http://schemas.openxmlformats.org/officeDocument/2006/relationships/hyperlink" Target="http://www.sec.gov/Archives/edgar/data/1484565/000119312514231812/d711637dex48.htm" TargetMode="External"/><Relationship Id="rId71" Type="http://schemas.openxmlformats.org/officeDocument/2006/relationships/hyperlink" Target="http://www.sec.gov/Archives/edgar/data/1484565/000119312514231812/d711637dex49.htm" TargetMode="External"/><Relationship Id="rId72" Type="http://schemas.openxmlformats.org/officeDocument/2006/relationships/hyperlink" Target="http://www.sec.gov/Archives/edgar/data/1484565/000119312514231812/d711637dex410.htm" TargetMode="External"/><Relationship Id="rId73" Type="http://schemas.openxmlformats.org/officeDocument/2006/relationships/hyperlink" Target="http://www.sec.gov/Archives/edgar/data/1484565/000119312514231812/d711637dex411.htm" TargetMode="External"/><Relationship Id="rId74" Type="http://schemas.openxmlformats.org/officeDocument/2006/relationships/hyperlink" Target="http://www.sec.gov/Archives/edgar/data/1484565/000119312514231812/d711637dex412.htm" TargetMode="External"/><Relationship Id="rId75" Type="http://schemas.openxmlformats.org/officeDocument/2006/relationships/hyperlink" Target="http://www.sec.gov/Archives/edgar/data/1484565/000119312514231812/d711637dex413.htm" TargetMode="External"/><Relationship Id="rId76" Type="http://schemas.openxmlformats.org/officeDocument/2006/relationships/hyperlink" Target="http://www.sec.gov/Archives/edgar/data/1484565/000119312514231812/d711637dex414.htm" TargetMode="External"/><Relationship Id="rId77" Type="http://schemas.openxmlformats.org/officeDocument/2006/relationships/hyperlink" Target="http://www.sec.gov/Archives/edgar/data/1484565/000119312514231812/d711637dex415.htm" TargetMode="External"/><Relationship Id="rId78" Type="http://schemas.openxmlformats.org/officeDocument/2006/relationships/hyperlink" Target="http://www.sec.gov/Archives/edgar/data/1484565/000119312514293949/d711637dex416.htm" TargetMode="External"/><Relationship Id="rId79" Type="http://schemas.openxmlformats.org/officeDocument/2006/relationships/hyperlink" Target="http://www.sec.gov/Archives/edgar/data/1484565/000119312514396517/d711637dex417.htm" TargetMode="External"/><Relationship Id="rId80" Type="http://schemas.openxmlformats.org/officeDocument/2006/relationships/hyperlink" Target="http://www.sec.gov/Archives/edgar/data/1484565/000119312514396517/d711637dex418.htm" TargetMode="External"/><Relationship Id="rId81" Type="http://schemas.openxmlformats.org/officeDocument/2006/relationships/hyperlink" Target="http://www.sec.gov/Archives/edgar/data/1484565/000119312515114723/d893037dex419.htm" TargetMode="External"/><Relationship Id="rId82" Type="http://schemas.openxmlformats.org/officeDocument/2006/relationships/hyperlink" Target="http://www.sec.gov/Archives/edgar/data/1484565/000119312515114723/d893037dex420.htm" TargetMode="External"/><Relationship Id="rId83" Type="http://schemas.openxmlformats.org/officeDocument/2006/relationships/hyperlink" Target="http://www.sec.gov/Archives/edgar/data/1484565/000119312515344002/d67111dex41.htm" TargetMode="External"/><Relationship Id="rId84" Type="http://schemas.openxmlformats.org/officeDocument/2006/relationships/hyperlink" Target="http://www.sec.gov/Archives/edgar/data/1484565/000119312515344002/d67111dex42.htm" TargetMode="External"/><Relationship Id="rId85" Type="http://schemas.openxmlformats.org/officeDocument/2006/relationships/hyperlink" Target="http://www.sec.gov/Archives/edgar/data/1484565/000119312515344002/d67111dex43.htm" TargetMode="External"/><Relationship Id="rId86" Type="http://schemas.openxmlformats.org/officeDocument/2006/relationships/hyperlink" Target="http://www.sec.gov/Archives/edgar/data/1484565/000119312515344002/d67111dex44.htm" TargetMode="External"/><Relationship Id="rId87" Type="http://schemas.openxmlformats.org/officeDocument/2006/relationships/hyperlink" Target="http://www.sec.gov/Archives/edgar/data/1484565/000119312516642505/d221558dex41.htm" TargetMode="External"/><Relationship Id="rId88" Type="http://schemas.openxmlformats.org/officeDocument/2006/relationships/hyperlink" Target="http://www.sec.gov/Archives/edgar/data/1484565/000119312516642505/d221558dex42.htm" TargetMode="External"/><Relationship Id="rId89" Type="http://schemas.openxmlformats.org/officeDocument/2006/relationships/hyperlink" Target="http://www.sec.gov/Archives/edgar/data/1484565/000148456517000004/ex41commonstockwarrant.htm" TargetMode="External"/><Relationship Id="rId90" Type="http://schemas.openxmlformats.org/officeDocument/2006/relationships/hyperlink" Target="http://www.sec.gov/Archives/edgar/data/1484565/000119312518353226/d653435dex41.htm" TargetMode="External"/><Relationship Id="rId91" Type="http://schemas.openxmlformats.org/officeDocument/2006/relationships/hyperlink" Target="http://www.sec.gov/Archives/edgar/data/1484565/000119312515344002/d67111dex91.htm" TargetMode="External"/><Relationship Id="rId94" Type="http://schemas.openxmlformats.org/officeDocument/2006/relationships/hyperlink" Target="http://www.sec.gov/Archives/edgar/data/1484565/000119312516642505/d221558dex91.htm" TargetMode="External"/><Relationship Id="rId95" Type="http://schemas.openxmlformats.org/officeDocument/2006/relationships/hyperlink" Target="http://www.sec.gov/Archives/edgar/data/1484565/000119312516803934/d282262dex101.htm" TargetMode="External"/><Relationship Id="rId96" Type="http://schemas.openxmlformats.org/officeDocument/2006/relationships/hyperlink" Target="http://www.sec.gov/Archives/edgar/data/1484565/000119312514231812/d711637dex101.htm" TargetMode="External"/><Relationship Id="rId97" Type="http://schemas.openxmlformats.org/officeDocument/2006/relationships/hyperlink" Target="http://www.sec.gov/Archives/edgar/data/1484565/000119312514231812/d711637dex102.htm" TargetMode="External"/><Relationship Id="rId98" Type="http://schemas.openxmlformats.org/officeDocument/2006/relationships/hyperlink" Target="http://www.sec.gov/Archives/edgar/data/1484565/000119312514231812/d711637dex103.htm" TargetMode="External"/><Relationship Id="rId99" Type="http://schemas.openxmlformats.org/officeDocument/2006/relationships/hyperlink" Target="http://www.sec.gov/Archives/edgar/data/1484565/000119312514256995/d711637dex104.htm" TargetMode="External"/><Relationship Id="rId100" Type="http://schemas.openxmlformats.org/officeDocument/2006/relationships/hyperlink" Target="http://www.sec.gov/Archives/edgar/data/1484565/000119312514256995/d711637dex105.htm" TargetMode="External"/><Relationship Id="rId101" Type="http://schemas.openxmlformats.org/officeDocument/2006/relationships/hyperlink" Target="http://www.sec.gov/Archives/edgar/data/1484565/000119312514231812/d711637dex106.htm" TargetMode="External"/><Relationship Id="rId102" Type="http://schemas.openxmlformats.org/officeDocument/2006/relationships/hyperlink" Target="http://www.sec.gov/Archives/edgar/data/1484565/000119312514231812/d711637dex107.htm" TargetMode="External"/><Relationship Id="rId103" Type="http://schemas.openxmlformats.org/officeDocument/2006/relationships/hyperlink" Target="http://www.sec.gov/Archives/edgar/data/1484565/000119312514231812/d711637dex108.htm" TargetMode="External"/><Relationship Id="rId104" Type="http://schemas.openxmlformats.org/officeDocument/2006/relationships/hyperlink" Target="http://www.sec.gov/Archives/edgar/data/1484565/000119312514231812/d711637dex109.htm" TargetMode="External"/><Relationship Id="rId105" Type="http://schemas.openxmlformats.org/officeDocument/2006/relationships/hyperlink" Target="http://www.sec.gov/Archives/edgar/data/1484565/000119312514231812/d711637dex1010.htm" TargetMode="External"/><Relationship Id="rId106" Type="http://schemas.openxmlformats.org/officeDocument/2006/relationships/hyperlink" Target="http://www.sec.gov/Archives/edgar/data/1484565/000119312514231812/d711637dex1011.htm" TargetMode="External"/><Relationship Id="rId107" Type="http://schemas.openxmlformats.org/officeDocument/2006/relationships/hyperlink" Target="http://www.sec.gov/Archives/edgar/data/1484565/000119312514231812/d711637dex1012.htm" TargetMode="External"/><Relationship Id="rId108" Type="http://schemas.openxmlformats.org/officeDocument/2006/relationships/hyperlink" Target="http://www.sec.gov/Archives/edgar/data/1484565/000119312514231812/d711637dex1013.htm" TargetMode="External"/><Relationship Id="rId109" Type="http://schemas.openxmlformats.org/officeDocument/2006/relationships/hyperlink" Target="http://www.sec.gov/Archives/edgar/data/1484565/000119312514231812/d711637dex1014.htm" TargetMode="External"/><Relationship Id="rId111" Type="http://schemas.openxmlformats.org/officeDocument/2006/relationships/hyperlink" Target="http://www.sec.gov/Archives/edgar/data/1484565/000119312514231812/d711637dex1015.htm" TargetMode="External"/><Relationship Id="rId112" Type="http://schemas.openxmlformats.org/officeDocument/2006/relationships/hyperlink" Target="http://www.sec.gov/Archives/edgar/data/1484565/000119312514231812/d711637dex1016.htm" TargetMode="External"/><Relationship Id="rId113" Type="http://schemas.openxmlformats.org/officeDocument/2006/relationships/hyperlink" Target="http://www.sec.gov/Archives/edgar/data/1484565/000119312514231812/d711637dex1017.htm" TargetMode="External"/><Relationship Id="rId114" Type="http://schemas.openxmlformats.org/officeDocument/2006/relationships/hyperlink" Target="http://www.sec.gov/Archives/edgar/data/1484565/000119312514231812/d711637dex1018.htm" TargetMode="External"/><Relationship Id="rId115" Type="http://schemas.openxmlformats.org/officeDocument/2006/relationships/hyperlink" Target="http://www.sec.gov/Archives/edgar/data/1484565/000119312514256995/d711637dex1019.htm" TargetMode="External"/><Relationship Id="rId116" Type="http://schemas.openxmlformats.org/officeDocument/2006/relationships/hyperlink" Target="http://www.sec.gov/Archives/edgar/data/1484565/000119312514274666/d711637dex1020.htm" TargetMode="External"/><Relationship Id="rId117" Type="http://schemas.openxmlformats.org/officeDocument/2006/relationships/hyperlink" Target="http://www.sec.gov/Archives/edgar/data/1484565/000119312514357384/d711637dex1021.htm" TargetMode="External"/><Relationship Id="rId118" Type="http://schemas.openxmlformats.org/officeDocument/2006/relationships/hyperlink" Target="http://www.sec.gov/Archives/edgar/data/1484565/000119312514396517/d711637dex1022.htm" TargetMode="External"/><Relationship Id="rId119" Type="http://schemas.openxmlformats.org/officeDocument/2006/relationships/hyperlink" Target="http://www.sec.gov/Archives/edgar/data/1484565/000119312514396517/d711637dex1023.htm" TargetMode="External"/><Relationship Id="rId120" Type="http://schemas.openxmlformats.org/officeDocument/2006/relationships/hyperlink" Target="http://www.sec.gov/Archives/edgar/data/1484565/000119312515078868/d886135dex101.htm" TargetMode="External"/><Relationship Id="rId121" Type="http://schemas.openxmlformats.org/officeDocument/2006/relationships/hyperlink" Target="http://www.sec.gov/Archives/edgar/data/1484565/000119312515114723/d893037dex1025.htm" TargetMode="External"/><Relationship Id="rId122" Type="http://schemas.openxmlformats.org/officeDocument/2006/relationships/hyperlink" Target="http://www.sec.gov/Archives/edgar/data/1484565/000119312515246752/d72536dex101.htm" TargetMode="External"/><Relationship Id="rId123" Type="http://schemas.openxmlformats.org/officeDocument/2006/relationships/hyperlink" Target="http://www.sec.gov/Archives/edgar/data/1484565/000119312515246752/d72536dex102.htm" TargetMode="External"/><Relationship Id="rId125" Type="http://schemas.openxmlformats.org/officeDocument/2006/relationships/hyperlink" Target="http://www.sec.gov/Archives/edgar/data/1484565/000119312515264172/d151899dex41.htm" TargetMode="External"/><Relationship Id="rId126" Type="http://schemas.openxmlformats.org/officeDocument/2006/relationships/hyperlink" Target="http://www.sec.gov/Archives/edgar/data/1484565/000119312515264172/d151899dex101.htm" TargetMode="External"/><Relationship Id="rId127" Type="http://schemas.openxmlformats.org/officeDocument/2006/relationships/hyperlink" Target="http://www.sec.gov/Archives/edgar/data/1484565/000119312515344002/d67111dex11.htm" TargetMode="External"/><Relationship Id="rId128" Type="http://schemas.openxmlformats.org/officeDocument/2006/relationships/hyperlink" Target="http://www.sec.gov/Archives/edgar/data/1484565/000119312515344002/d67111dex101.htm" TargetMode="External"/><Relationship Id="rId129" Type="http://schemas.openxmlformats.org/officeDocument/2006/relationships/hyperlink" Target="http://www.sec.gov/Archives/edgar/data/1484565/000119312515344002/d67111dex102.htm" TargetMode="External"/><Relationship Id="rId130" Type="http://schemas.openxmlformats.org/officeDocument/2006/relationships/hyperlink" Target="http://www.sec.gov/Archives/edgar/data/1484565/000119312515344002/d67111dex103.htm" TargetMode="External"/><Relationship Id="rId131" Type="http://schemas.openxmlformats.org/officeDocument/2006/relationships/hyperlink" Target="http://www.sec.gov/Archives/edgar/data/1484565/000119312515410913/d83264dex1033.htm" TargetMode="External"/><Relationship Id="rId132" Type="http://schemas.openxmlformats.org/officeDocument/2006/relationships/hyperlink" Target="http://www.sec.gov/Archives/edgar/data/1484565/000119312516441799/d77178dex101.htm" TargetMode="External"/><Relationship Id="rId133" Type="http://schemas.openxmlformats.org/officeDocument/2006/relationships/hyperlink" Target="http://www.sec.gov/Archives/edgar/data/1484565/000119312516642505/d221558dex11.htm" TargetMode="External"/><Relationship Id="rId134" Type="http://schemas.openxmlformats.org/officeDocument/2006/relationships/hyperlink" Target="http://www.sec.gov/Archives/edgar/data/1484565/000119312516642505/d221558dex101.htm" TargetMode="External"/><Relationship Id="rId135" Type="http://schemas.openxmlformats.org/officeDocument/2006/relationships/hyperlink" Target="http://www.sec.gov/Archives/edgar/data/1484565/000119312516642505/d221558dex102.htm" TargetMode="External"/><Relationship Id="rId136" Type="http://schemas.openxmlformats.org/officeDocument/2006/relationships/hyperlink" Target="http://www.sec.gov/Archives/edgar/data/1484565/000119312516714955/d217110dex1039.htm" TargetMode="External"/><Relationship Id="rId137" Type="http://schemas.openxmlformats.org/officeDocument/2006/relationships/hyperlink" Target="http://www.sec.gov/Archives/edgar/data/1484565/000119312516803934/d282262dex21.htm" TargetMode="External"/><Relationship Id="rId138" Type="http://schemas.openxmlformats.org/officeDocument/2006/relationships/hyperlink" Target="http://www.sec.gov/Archives/edgar/data/1484565/000119312517027623/d336318dex1051.htm" TargetMode="External"/><Relationship Id="rId139" Type="http://schemas.openxmlformats.org/officeDocument/2006/relationships/hyperlink" Target="http://www.sec.gov/Archives/edgar/data/1484565/000119312517027623/d336318dex1052.htm" TargetMode="External"/><Relationship Id="rId142" Type="http://schemas.openxmlformats.org/officeDocument/2006/relationships/hyperlink" Target="http://www.sec.gov/Archives/edgar/data/1484565/000148456517000004/ex101securitiespurchaseagr.htm" TargetMode="External"/><Relationship Id="rId143" Type="http://schemas.openxmlformats.org/officeDocument/2006/relationships/hyperlink" Target="http://www.sec.gov/Archives/edgar/data/1484565/000119312518182178/d781173dex101.htm" TargetMode="External"/><Relationship Id="rId144" Type="http://schemas.openxmlformats.org/officeDocument/2006/relationships/hyperlink" Target="http://www.sec.gov/Archives/edgar/data/1484565/000119312518353226/d653435dex101.htm" TargetMode="External"/><Relationship Id="rId145" Type="http://schemas.openxmlformats.org/officeDocument/2006/relationships/hyperlink" Target="http://www.sec.gov/Archives/edgar/data/1484565/000156459019010146/slno-ex1048_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2019-12-28T11:51:48Z</dcterms:created>
  <dcterms:modified xsi:type="dcterms:W3CDTF">2019-12-28T11:51:48Z</dcterms:modified>
</cp:coreProperties>
</file>