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1005840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39370</wp:posOffset>
            </wp:positionV>
            <wp:extent cx="21088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6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47625</wp:posOffset>
            </wp:positionV>
            <wp:extent cx="2108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8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5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47" w:lineRule="exact"/>
        <w:rPr>
          <w:sz w:val="24"/>
          <w:szCs w:val="24"/>
          <w:color w:val="auto"/>
        </w:rPr>
      </w:pPr>
    </w:p>
    <w:tbl>
      <w:tblPr>
        <w:tblLayout w:type="fixed"/>
        <w:tblInd w:w="394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580" w:type="dxa"/>
            <w:vAlign w:val="bottom"/>
            <w:tcBorders>
              <w:bottom w:val="single" w:sz="8" w:color="auto"/>
            </w:tcBorders>
          </w:tcPr>
          <w:p>
            <w:pPr>
              <w:spacing w:after="0"/>
              <w:rPr>
                <w:sz w:val="13"/>
                <w:szCs w:val="13"/>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580" w:type="dxa"/>
            <w:vAlign w:val="bottom"/>
            <w:tcBorders>
              <w:bottom w:val="single" w:sz="8" w:color="auto"/>
            </w:tcBorders>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9"/>
        </w:trPr>
        <w:tc>
          <w:tcPr>
            <w:tcW w:w="268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Commission File No.: 001-36593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23495</wp:posOffset>
            </wp:positionV>
            <wp:extent cx="21088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33" w:lineRule="exact"/>
        <w:rPr>
          <w:sz w:val="24"/>
          <w:szCs w:val="24"/>
          <w:color w:val="auto"/>
        </w:rPr>
      </w:pPr>
    </w:p>
    <w:tbl>
      <w:tblPr>
        <w:tblLayout w:type="fixed"/>
        <w:tblInd w:w="1720" w:type="dxa"/>
        <w:tblCellMar>
          <w:top w:w="0" w:type="dxa"/>
          <w:left w:w="0" w:type="dxa"/>
          <w:bottom w:w="0" w:type="dxa"/>
          <w:right w:w="0" w:type="dxa"/>
        </w:tblCellMar>
      </w:tblPr>
      <w:tr>
        <w:trPr>
          <w:trHeight w:val="351"/>
        </w:trPr>
        <w:tc>
          <w:tcPr>
            <w:tcW w:w="2240" w:type="dxa"/>
            <w:vAlign w:val="bottom"/>
          </w:tcPr>
          <w:p>
            <w:pPr>
              <w:spacing w:after="0"/>
              <w:rPr>
                <w:sz w:val="24"/>
                <w:szCs w:val="24"/>
                <w:color w:val="auto"/>
              </w:rPr>
            </w:pPr>
          </w:p>
        </w:tc>
        <w:tc>
          <w:tcPr>
            <w:tcW w:w="5020" w:type="dxa"/>
            <w:vAlign w:val="bottom"/>
            <w:gridSpan w:val="2"/>
          </w:tcPr>
          <w:p>
            <w:pPr>
              <w:ind w:left="60"/>
              <w:spacing w:after="0"/>
              <w:rPr>
                <w:sz w:val="20"/>
                <w:szCs w:val="20"/>
                <w:color w:val="auto"/>
              </w:rPr>
            </w:pPr>
            <w:r>
              <w:rPr>
                <w:rFonts w:ascii="Times New Roman" w:cs="Times New Roman" w:eastAsia="Times New Roman" w:hAnsi="Times New Roman"/>
                <w:sz w:val="29"/>
                <w:szCs w:val="29"/>
                <w:b w:val="1"/>
                <w:bCs w:val="1"/>
                <w:color w:val="auto"/>
              </w:rPr>
              <w:t>Soleno Therapeutics, Inc.</w:t>
            </w:r>
          </w:p>
        </w:tc>
      </w:tr>
      <w:tr>
        <w:trPr>
          <w:trHeight w:val="190"/>
        </w:trPr>
        <w:tc>
          <w:tcPr>
            <w:tcW w:w="2240" w:type="dxa"/>
            <w:vAlign w:val="bottom"/>
          </w:tcPr>
          <w:p>
            <w:pPr>
              <w:spacing w:after="0"/>
              <w:rPr>
                <w:sz w:val="16"/>
                <w:szCs w:val="16"/>
                <w:color w:val="auto"/>
              </w:rPr>
            </w:pPr>
          </w:p>
        </w:tc>
        <w:tc>
          <w:tcPr>
            <w:tcW w:w="5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50"/>
        </w:trPr>
        <w:tc>
          <w:tcPr>
            <w:tcW w:w="224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700" w:type="dxa"/>
            <w:vAlign w:val="bottom"/>
          </w:tcPr>
          <w:p>
            <w:pPr>
              <w:spacing w:after="0"/>
              <w:rPr>
                <w:sz w:val="4"/>
                <w:szCs w:val="4"/>
                <w:color w:val="auto"/>
              </w:rPr>
            </w:pPr>
          </w:p>
        </w:tc>
      </w:tr>
      <w:tr>
        <w:trPr>
          <w:trHeight w:val="149"/>
        </w:trPr>
        <w:tc>
          <w:tcPr>
            <w:tcW w:w="22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50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77-0523891</w:t>
            </w:r>
          </w:p>
        </w:tc>
      </w:tr>
      <w:tr>
        <w:trPr>
          <w:trHeight w:val="135"/>
        </w:trPr>
        <w:tc>
          <w:tcPr>
            <w:tcW w:w="224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320" w:type="dxa"/>
            <w:vAlign w:val="bottom"/>
          </w:tcPr>
          <w:p>
            <w:pPr>
              <w:spacing w:after="0"/>
              <w:rPr>
                <w:sz w:val="11"/>
                <w:szCs w:val="11"/>
                <w:color w:val="auto"/>
              </w:rPr>
            </w:pPr>
          </w:p>
        </w:tc>
        <w:tc>
          <w:tcPr>
            <w:tcW w:w="1700" w:type="dxa"/>
            <w:vAlign w:val="bottom"/>
          </w:tcPr>
          <w:p>
            <w:pPr>
              <w:jc w:val="center"/>
              <w:ind w:left="6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2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320" w:type="dxa"/>
            <w:vAlign w:val="bottom"/>
          </w:tcPr>
          <w:p>
            <w:pPr>
              <w:spacing w:after="0"/>
              <w:rPr>
                <w:sz w:val="14"/>
                <w:szCs w:val="14"/>
                <w:color w:val="auto"/>
              </w:rPr>
            </w:pPr>
          </w:p>
        </w:tc>
        <w:tc>
          <w:tcPr>
            <w:tcW w:w="1700" w:type="dxa"/>
            <w:vAlign w:val="bottom"/>
          </w:tcPr>
          <w:p>
            <w:pPr>
              <w:jc w:val="center"/>
              <w:ind w:left="65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52"/>
        </w:trPr>
        <w:tc>
          <w:tcPr>
            <w:tcW w:w="22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100 Marine Parkway, Suite 400</w:t>
            </w:r>
          </w:p>
        </w:tc>
        <w:tc>
          <w:tcPr>
            <w:tcW w:w="33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148"/>
        </w:trPr>
        <w:tc>
          <w:tcPr>
            <w:tcW w:w="224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Redwood City, California</w:t>
            </w:r>
          </w:p>
        </w:tc>
        <w:tc>
          <w:tcPr>
            <w:tcW w:w="5020" w:type="dxa"/>
            <w:vAlign w:val="bottom"/>
            <w:gridSpan w:val="2"/>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94065</w:t>
            </w:r>
          </w:p>
        </w:tc>
      </w:tr>
      <w:tr>
        <w:trPr>
          <w:trHeight w:val="166"/>
        </w:trPr>
        <w:tc>
          <w:tcPr>
            <w:tcW w:w="22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320" w:type="dxa"/>
            <w:vAlign w:val="bottom"/>
          </w:tcPr>
          <w:p>
            <w:pPr>
              <w:spacing w:after="0"/>
              <w:rPr>
                <w:sz w:val="14"/>
                <w:szCs w:val="14"/>
                <w:color w:val="auto"/>
              </w:rPr>
            </w:pPr>
          </w:p>
        </w:tc>
        <w:tc>
          <w:tcPr>
            <w:tcW w:w="1700" w:type="dxa"/>
            <w:vAlign w:val="bottom"/>
          </w:tcPr>
          <w:p>
            <w:pPr>
              <w:jc w:val="center"/>
              <w:ind w:left="65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(650) 213-8444</w:t>
      </w:r>
    </w:p>
    <w:p>
      <w:pPr>
        <w:spacing w:after="0" w:line="12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53"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4960" w:type="dxa"/>
            <w:vAlign w:val="bottom"/>
            <w:tcBorders>
              <w:top w:val="single" w:sz="8" w:color="auto"/>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3960" w:type="dxa"/>
            <w:vAlign w:val="bottom"/>
            <w:tcBorders>
              <w:top w:val="single" w:sz="8" w:color="auto"/>
              <w:bottom w:val="single" w:sz="8" w:color="auto"/>
              <w:right w:val="single" w:sz="8" w:color="auto"/>
            </w:tcBorders>
          </w:tcPr>
          <w:p>
            <w:pPr>
              <w:jc w:val="center"/>
              <w:ind w:right="717"/>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28"/>
        </w:trPr>
        <w:tc>
          <w:tcPr>
            <w:tcW w:w="4960" w:type="dxa"/>
            <w:vAlign w:val="bottom"/>
            <w:tcBorders>
              <w:left w:val="single" w:sz="8" w:color="auto"/>
              <w:bottom w:val="single" w:sz="8" w:color="auto"/>
              <w:right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Common Stock, $0.001 par value</w:t>
            </w:r>
          </w:p>
        </w:tc>
        <w:tc>
          <w:tcPr>
            <w:tcW w:w="1580" w:type="dxa"/>
            <w:vAlign w:val="bottom"/>
            <w:tcBorders>
              <w:bottom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w w:val="94"/>
              </w:rPr>
              <w:t>SLNO</w:t>
            </w: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960" w:type="dxa"/>
            <w:vAlign w:val="bottom"/>
            <w:tcBorders>
              <w:bottom w:val="single" w:sz="8" w:color="auto"/>
              <w:right w:val="single" w:sz="8" w:color="auto"/>
            </w:tcBorders>
          </w:tcPr>
          <w:p>
            <w:pPr>
              <w:jc w:val="center"/>
              <w:ind w:right="697"/>
              <w:spacing w:after="0" w:line="129" w:lineRule="exact"/>
              <w:rPr>
                <w:sz w:val="20"/>
                <w:szCs w:val="20"/>
                <w:color w:val="auto"/>
              </w:rPr>
            </w:pPr>
            <w:r>
              <w:rPr>
                <w:rFonts w:ascii="Times New Roman" w:cs="Times New Roman" w:eastAsia="Times New Roman" w:hAnsi="Times New Roman"/>
                <w:sz w:val="13"/>
                <w:szCs w:val="13"/>
                <w:color w:val="auto"/>
                <w:w w:val="95"/>
              </w:rPr>
              <w:t>NASDAQ</w:t>
            </w:r>
          </w:p>
        </w:tc>
      </w:tr>
      <w:tr>
        <w:trPr>
          <w:trHeight w:val="288"/>
        </w:trPr>
        <w:tc>
          <w:tcPr>
            <w:tcW w:w="496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38"/>
        </w:trPr>
        <w:tc>
          <w:tcPr>
            <w:tcW w:w="3980" w:type="dxa"/>
            <w:vAlign w:val="bottom"/>
          </w:tcPr>
          <w:p>
            <w:pPr>
              <w:spacing w:after="0"/>
              <w:rPr>
                <w:sz w:val="11"/>
                <w:szCs w:val="11"/>
                <w:color w:val="auto"/>
              </w:rPr>
            </w:pPr>
          </w:p>
        </w:tc>
        <w:tc>
          <w:tcPr>
            <w:tcW w:w="2580" w:type="dxa"/>
            <w:vAlign w:val="bottom"/>
            <w:tcBorders>
              <w:bottom w:val="single" w:sz="8" w:color="auto"/>
            </w:tcBorders>
            <w:gridSpan w:val="3"/>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960" w:type="dxa"/>
            <w:vAlign w:val="bottom"/>
          </w:tcPr>
          <w:p>
            <w:pPr>
              <w:spacing w:after="0"/>
              <w:rPr>
                <w:sz w:val="11"/>
                <w:szCs w:val="11"/>
                <w:color w:val="auto"/>
              </w:rPr>
            </w:pPr>
          </w:p>
        </w:tc>
      </w:tr>
      <w:tr>
        <w:trPr>
          <w:trHeight w:val="190"/>
        </w:trPr>
        <w:tc>
          <w:tcPr>
            <w:tcW w:w="6560" w:type="dxa"/>
            <w:vAlign w:val="bottom"/>
            <w:gridSpan w:val="4"/>
          </w:tcPr>
          <w:p>
            <w:pPr>
              <w:ind w:left="520"/>
              <w:spacing w:after="0"/>
              <w:rPr>
                <w:sz w:val="20"/>
                <w:szCs w:val="20"/>
                <w:color w:val="auto"/>
              </w:rPr>
            </w:pPr>
            <w:r>
              <w:rPr>
                <w:rFonts w:ascii="Times New Roman" w:cs="Times New Roman" w:eastAsia="Times New Roman" w:hAnsi="Times New Roman"/>
                <w:sz w:val="13"/>
                <w:szCs w:val="13"/>
                <w:color w:val="auto"/>
                <w:w w:val="98"/>
              </w:rPr>
              <w:t>Indicate by check mark if the registrant is a well-known seasoned issuer, as defined in Rule 405 of the Securities Act.</w:t>
            </w:r>
          </w:p>
        </w:tc>
        <w:tc>
          <w:tcPr>
            <w:tcW w:w="4680" w:type="dxa"/>
            <w:vAlign w:val="bottom"/>
            <w:gridSpan w:val="2"/>
          </w:tcPr>
          <w:p>
            <w:pP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r>
        <w:trPr>
          <w:trHeight w:val="205"/>
        </w:trPr>
        <w:tc>
          <w:tcPr>
            <w:tcW w:w="6560" w:type="dxa"/>
            <w:vAlign w:val="bottom"/>
            <w:gridSpan w:val="4"/>
          </w:tcPr>
          <w:p>
            <w:pPr>
              <w:ind w:left="520"/>
              <w:spacing w:after="0"/>
              <w:rPr>
                <w:sz w:val="20"/>
                <w:szCs w:val="20"/>
                <w:color w:val="auto"/>
              </w:rPr>
            </w:pPr>
            <w:r>
              <w:rPr>
                <w:rFonts w:ascii="Times New Roman" w:cs="Times New Roman" w:eastAsia="Times New Roman" w:hAnsi="Times New Roman"/>
                <w:sz w:val="13"/>
                <w:szCs w:val="13"/>
                <w:color w:val="auto"/>
                <w:w w:val="96"/>
              </w:rPr>
              <w:t>Indicate by check mark if the registrant is not required to file reports pursuant to Section 13 or Section 15(d) of the Act.</w:t>
            </w:r>
          </w:p>
        </w:tc>
        <w:tc>
          <w:tcPr>
            <w:tcW w:w="4680" w:type="dxa"/>
            <w:vAlign w:val="bottom"/>
            <w:gridSpan w:val="2"/>
          </w:tcPr>
          <w:p>
            <w:pPr>
              <w:ind w:left="10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bl>
    <w:p>
      <w:pPr>
        <w:ind w:right="80" w:firstLine="509"/>
        <w:spacing w:after="0" w:line="15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 232.405 of this chapter) during the</w:t>
      </w:r>
    </w:p>
    <w:p>
      <w:pPr>
        <w:sectPr>
          <w:pgSz w:w="11900" w:h="16838" w:orient="portrait"/>
          <w:cols w:equalWidth="0" w:num="1">
            <w:col w:w="11240"/>
          </w:cols>
          <w:pgMar w:left="320" w:top="1440" w:right="339" w:bottom="1440" w:gutter="0" w:footer="0" w:header="0"/>
        </w:sectPr>
      </w:pP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No</w:t>
      </w:r>
    </w:p>
    <w:p>
      <w:pPr>
        <w:spacing w:after="0" w:line="20" w:lineRule="exact"/>
        <w:rPr>
          <w:sz w:val="24"/>
          <w:szCs w:val="24"/>
          <w:color w:val="auto"/>
        </w:rPr>
      </w:pPr>
      <w:r>
        <w:rPr>
          <w:sz w:val="24"/>
          <w:szCs w:val="24"/>
          <w:color w:val="auto"/>
        </w:rPr>
        <w:br w:type="column"/>
      </w:r>
    </w:p>
    <w:p>
      <w:pPr>
        <w:spacing w:after="0" w:line="87" w:lineRule="exact"/>
        <w:rPr>
          <w:sz w:val="20"/>
          <w:szCs w:val="20"/>
          <w:color w:val="auto"/>
        </w:rPr>
      </w:pPr>
      <w:r>
        <w:rPr>
          <w:rFonts w:ascii="MS PGothic" w:cs="MS PGothic" w:eastAsia="MS PGothic" w:hAnsi="MS PGothic"/>
          <w:sz w:val="10"/>
          <w:szCs w:val="10"/>
          <w:color w:val="auto"/>
        </w:rPr>
        <w:t>☐</w:t>
      </w:r>
    </w:p>
    <w:p>
      <w:pPr>
        <w:spacing w:after="0" w:line="68" w:lineRule="exact"/>
        <w:rPr>
          <w:sz w:val="24"/>
          <w:szCs w:val="24"/>
          <w:color w:val="auto"/>
        </w:rPr>
      </w:pPr>
    </w:p>
    <w:p>
      <w:pPr>
        <w:sectPr>
          <w:pgSz w:w="11900" w:h="16838" w:orient="portrait"/>
          <w:cols w:equalWidth="0" w:num="5">
            <w:col w:w="5100" w:space="120"/>
            <w:col w:w="200" w:space="60"/>
            <w:col w:w="120" w:space="120"/>
            <w:col w:w="140" w:space="80"/>
            <w:col w:w="5300"/>
          </w:cols>
          <w:pgMar w:left="320" w:top="1440" w:right="339" w:bottom="1440" w:gutter="0" w:footer="0" w:header="0"/>
          <w:type w:val="continuous"/>
        </w:sectPr>
      </w:pPr>
    </w:p>
    <w:p>
      <w:pPr>
        <w:ind w:right="220" w:firstLine="509"/>
        <w:spacing w:after="0" w:line="22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type w:val="continuous"/>
        </w:sectPr>
      </w:pP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86"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86"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49"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1" w:lineRule="exact"/>
        <w:rPr>
          <w:sz w:val="24"/>
          <w:szCs w:val="24"/>
          <w:color w:val="auto"/>
        </w:rPr>
      </w:pPr>
    </w:p>
    <w:p>
      <w:pPr>
        <w:sectPr>
          <w:pgSz w:w="11900" w:h="16838" w:orient="portrait"/>
          <w:cols w:equalWidth="0" w:num="4">
            <w:col w:w="1820" w:space="720"/>
            <w:col w:w="5180" w:space="720"/>
            <w:col w:w="1800" w:space="720"/>
            <w:col w:w="280"/>
          </w:cols>
          <w:pgMar w:left="320" w:top="1440" w:right="339" w:bottom="1440" w:gutter="0" w:footer="0" w:header="0"/>
          <w:type w:val="continuous"/>
        </w:sectPr>
      </w:pPr>
    </w:p>
    <w:p>
      <w:pPr>
        <w:ind w:right="400" w:firstLine="509"/>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240" w:firstLine="509"/>
        <w:spacing w:after="0" w:line="15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80" w:firstLine="509"/>
        <w:spacing w:after="0" w:line="15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140" w:firstLine="544"/>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ind w:left="520"/>
        <w:spacing w:after="0" w:line="150" w:lineRule="exact"/>
        <w:tabs>
          <w:tab w:leader="none" w:pos="5820" w:val="left"/>
          <w:tab w:leader="none" w:pos="634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31" w:lineRule="exact"/>
        <w:rPr>
          <w:sz w:val="24"/>
          <w:szCs w:val="24"/>
          <w:color w:val="auto"/>
        </w:rPr>
      </w:pPr>
    </w:p>
    <w:p>
      <w:pPr>
        <w:jc w:val="both"/>
        <w:ind w:right="180" w:firstLine="509"/>
        <w:spacing w:after="0" w:line="224" w:lineRule="auto"/>
        <w:rPr>
          <w:sz w:val="20"/>
          <w:szCs w:val="20"/>
          <w:color w:val="auto"/>
        </w:rPr>
      </w:pPr>
      <w:r>
        <w:rPr>
          <w:rFonts w:ascii="Times New Roman" w:cs="Times New Roman" w:eastAsia="Times New Roman" w:hAnsi="Times New Roman"/>
          <w:sz w:val="13"/>
          <w:szCs w:val="13"/>
          <w:color w:val="auto"/>
        </w:rPr>
        <w:t>The aggregate market value of stock held by non-affiliates of the registrant on June 30, 2025, based on the closing price of $83.78 for shares of the registrant’s Common Stock as reported by the Nasdaq Capital Market, was approximately $4.1 billion. Shares of Common Stock held by each executive officer, director and beneficial holder of 5% or more of the outstanding Common Stock have been excluded in that such persons may be deemed affiliates.</w:t>
      </w:r>
    </w:p>
    <w:p>
      <w:pPr>
        <w:spacing w:after="0" w:line="1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As of February 19, 2026, there were 51,624,384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71120</wp:posOffset>
            </wp:positionV>
            <wp:extent cx="2108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11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8" w:lineRule="exact"/>
        <w:rPr>
          <w:sz w:val="24"/>
          <w:szCs w:val="24"/>
          <w:color w:val="auto"/>
        </w:rPr>
      </w:pPr>
    </w:p>
    <w:p>
      <w:pPr>
        <w:ind w:right="20" w:firstLine="509"/>
        <w:spacing w:after="0" w:line="257" w:lineRule="auto"/>
        <w:rPr>
          <w:sz w:val="20"/>
          <w:szCs w:val="20"/>
          <w:color w:val="auto"/>
        </w:rPr>
      </w:pPr>
      <w:r>
        <w:rPr>
          <w:rFonts w:ascii="Times New Roman" w:cs="Times New Roman" w:eastAsia="Times New Roman" w:hAnsi="Times New Roman"/>
          <w:sz w:val="12"/>
          <w:szCs w:val="12"/>
          <w:color w:val="auto"/>
        </w:rPr>
        <w:t>Portions of the registrant’s Definitive Proxy Statement to be filed with the Commission pursuant to Regulation 14A in connection with the registrant’s 2026 Annual Meeting of Stockholders, to be filed subsequent to the date hereof, are incorporated by reference into Part III of this Report. Such Definitive Proxy Statement will be filed with the Securities and Exchange Commission not later than 120 days after the conclusion of the registrant’s fiscal year ended December 31, 2025. Except with respect to information specifically incorporated by reference in this Form 10-K, the Proxy Statement is not deemed to be filed as part of this Form 10-K.</w:t>
      </w:r>
    </w:p>
    <w:p>
      <w:pPr>
        <w:spacing w:after="0" w:line="97" w:lineRule="exact"/>
        <w:rPr>
          <w:sz w:val="24"/>
          <w:szCs w:val="24"/>
          <w:color w:val="auto"/>
        </w:rPr>
      </w:pPr>
    </w:p>
    <w:p>
      <w:pPr>
        <w:ind w:left="2340"/>
        <w:spacing w:after="0"/>
        <w:tabs>
          <w:tab w:leader="none" w:pos="3240" w:val="left"/>
          <w:tab w:leader="none" w:pos="4840" w:val="left"/>
          <w:tab w:leader="none" w:pos="5920" w:val="left"/>
          <w:tab w:leader="none" w:pos="7360" w:val="left"/>
          <w:tab w:leader="none" w:pos="8400" w:val="left"/>
        </w:tabs>
        <w:rPr>
          <w:sz w:val="20"/>
          <w:szCs w:val="20"/>
          <w:color w:val="auto"/>
        </w:rPr>
      </w:pPr>
      <w:r>
        <w:rPr>
          <w:rFonts w:ascii="Times New Roman" w:cs="Times New Roman" w:eastAsia="Times New Roman" w:hAnsi="Times New Roman"/>
          <w:sz w:val="13"/>
          <w:szCs w:val="13"/>
          <w:color w:val="auto"/>
        </w:rPr>
        <w:t>Auditor Name:</w:t>
        <w:tab/>
        <w:t>CBIZ CPAs P.C.</w:t>
      </w:r>
      <w:r>
        <w:rPr>
          <w:sz w:val="20"/>
          <w:szCs w:val="20"/>
          <w:color w:val="auto"/>
        </w:rPr>
        <w:tab/>
      </w:r>
      <w:r>
        <w:rPr>
          <w:rFonts w:ascii="Times New Roman" w:cs="Times New Roman" w:eastAsia="Times New Roman" w:hAnsi="Times New Roman"/>
          <w:sz w:val="13"/>
          <w:szCs w:val="13"/>
          <w:color w:val="auto"/>
        </w:rPr>
        <w:t>Auditor Location:</w:t>
        <w:tab/>
        <w:t>San Francisco, CA</w:t>
      </w:r>
      <w:r>
        <w:rPr>
          <w:sz w:val="20"/>
          <w:szCs w:val="20"/>
          <w:color w:val="auto"/>
        </w:rPr>
        <w:tab/>
      </w:r>
      <w:r>
        <w:rPr>
          <w:rFonts w:ascii="Times New Roman" w:cs="Times New Roman" w:eastAsia="Times New Roman" w:hAnsi="Times New Roman"/>
          <w:sz w:val="13"/>
          <w:szCs w:val="13"/>
          <w:color w:val="auto"/>
        </w:rPr>
        <w:t>Auditor Firm ID:</w:t>
        <w:tab/>
        <w:t>199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1052830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20" w:type="dxa"/>
            <w:vAlign w:val="bottom"/>
            <w:gridSpan w:val="14"/>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rPr>
              <w:t>Soleno Therapeutics, Inc.</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60" w:type="dxa"/>
            <w:vAlign w:val="bottom"/>
            <w:gridSpan w:val="15"/>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140" w:type="dxa"/>
            <w:vAlign w:val="bottom"/>
          </w:tcPr>
          <w:p>
            <w:pPr>
              <w:spacing w:after="0"/>
              <w:rPr>
                <w:sz w:val="18"/>
                <w:szCs w:val="18"/>
                <w:color w:val="auto"/>
              </w:rPr>
            </w:pPr>
          </w:p>
        </w:tc>
      </w:tr>
      <w:tr>
        <w:trPr>
          <w:trHeight w:val="238"/>
        </w:trPr>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60" w:type="dxa"/>
            <w:vAlign w:val="bottom"/>
            <w:gridSpan w:val="15"/>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114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60" w:type="dxa"/>
            <w:vAlign w:val="bottom"/>
            <w:gridSpan w:val="11"/>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140" w:type="dxa"/>
            <w:vAlign w:val="bottom"/>
          </w:tcPr>
          <w:p>
            <w:pPr>
              <w:spacing w:after="0"/>
              <w:rPr>
                <w:sz w:val="24"/>
                <w:szCs w:val="24"/>
                <w:color w:val="auto"/>
              </w:rPr>
            </w:pPr>
          </w:p>
        </w:tc>
      </w:tr>
      <w:tr>
        <w:trPr>
          <w:trHeight w:val="418"/>
        </w:trPr>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1140" w:type="dxa"/>
            <w:vAlign w:val="bottom"/>
          </w:tcPr>
          <w:p>
            <w:pPr>
              <w:spacing w:after="0"/>
              <w:rPr>
                <w:sz w:val="24"/>
                <w:szCs w:val="24"/>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42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600" w:type="dxa"/>
            <w:vAlign w:val="bottom"/>
            <w:tcBorders>
              <w:top w:val="single" w:sz="8" w:color="0000FF"/>
            </w:tcBorders>
            <w:gridSpan w:val="2"/>
          </w:tcPr>
          <w:p>
            <w:pPr>
              <w:spacing w:after="0"/>
              <w:rPr>
                <w:sz w:val="17"/>
                <w:szCs w:val="17"/>
                <w:color w:val="auto"/>
              </w:rPr>
            </w:pPr>
          </w:p>
        </w:tc>
        <w:tc>
          <w:tcPr>
            <w:tcW w:w="4160" w:type="dxa"/>
            <w:vAlign w:val="bottom"/>
            <w:gridSpan w:val="9"/>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9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900" w:type="dxa"/>
            <w:vAlign w:val="bottom"/>
            <w:gridSpan w:val="17"/>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940" w:type="dxa"/>
            <w:vAlign w:val="bottom"/>
            <w:gridSpan w:val="23"/>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24"/>
                <w:szCs w:val="24"/>
                <w:color w:val="auto"/>
              </w:rPr>
            </w:pPr>
          </w:p>
        </w:tc>
        <w:tc>
          <w:tcPr>
            <w:tcW w:w="8200" w:type="dxa"/>
            <w:vAlign w:val="bottom"/>
            <w:gridSpan w:val="27"/>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24"/>
                <w:szCs w:val="24"/>
                <w:color w:val="auto"/>
              </w:rPr>
            </w:pPr>
          </w:p>
        </w:tc>
        <w:tc>
          <w:tcPr>
            <w:tcW w:w="7600" w:type="dxa"/>
            <w:vAlign w:val="bottom"/>
            <w:gridSpan w:val="20"/>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560"/>
        </w:trPr>
        <w:tc>
          <w:tcPr>
            <w:tcW w:w="114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60" w:type="dxa"/>
            <w:vAlign w:val="bottom"/>
            <w:gridSpan w:val="11"/>
          </w:tcPr>
          <w:p>
            <w:pPr>
              <w:jc w:val="center"/>
              <w:ind w:right="4100"/>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8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bottom w:val="single" w:sz="8" w:color="0000EE"/>
            </w:tcBorders>
          </w:tcPr>
          <w:p>
            <w:pPr>
              <w:spacing w:after="0"/>
              <w:rPr>
                <w:sz w:val="24"/>
                <w:szCs w:val="24"/>
                <w:color w:val="auto"/>
              </w:rPr>
            </w:pPr>
          </w:p>
        </w:tc>
        <w:tc>
          <w:tcPr>
            <w:tcW w:w="8140" w:type="dxa"/>
            <w:vAlign w:val="bottom"/>
            <w:gridSpan w:val="25"/>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w:t>
            </w:r>
          </w:p>
        </w:tc>
        <w:tc>
          <w:tcPr>
            <w:tcW w:w="2560" w:type="dxa"/>
            <w:vAlign w:val="bottom"/>
            <w:gridSpan w:val="4"/>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00" w:type="dxa"/>
            <w:vAlign w:val="bottom"/>
            <w:gridSpan w:val="10"/>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89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1140" w:type="dxa"/>
            <w:vAlign w:val="bottom"/>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480" w:type="dxa"/>
            <w:vAlign w:val="bottom"/>
            <w:gridSpan w:val="3"/>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180" w:type="dxa"/>
            <w:vAlign w:val="bottom"/>
            <w:gridSpan w:val="19"/>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24"/>
                <w:szCs w:val="24"/>
                <w:color w:val="auto"/>
              </w:rPr>
            </w:pPr>
          </w:p>
        </w:tc>
        <w:tc>
          <w:tcPr>
            <w:tcW w:w="7620" w:type="dxa"/>
            <w:vAlign w:val="bottom"/>
            <w:gridSpan w:val="21"/>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20" w:type="dxa"/>
            <w:vAlign w:val="bottom"/>
            <w:tcBorders>
              <w:bottom w:val="single" w:sz="8" w:color="0000EE"/>
            </w:tcBorders>
          </w:tcPr>
          <w:p>
            <w:pPr>
              <w:spacing w:after="0"/>
              <w:rPr>
                <w:sz w:val="24"/>
                <w:szCs w:val="24"/>
                <w:color w:val="auto"/>
              </w:rPr>
            </w:pPr>
          </w:p>
        </w:tc>
        <w:tc>
          <w:tcPr>
            <w:tcW w:w="4040" w:type="dxa"/>
            <w:vAlign w:val="bottom"/>
            <w:gridSpan w:val="6"/>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533"/>
        </w:trPr>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60" w:type="dxa"/>
            <w:vAlign w:val="bottom"/>
            <w:gridSpan w:val="13"/>
          </w:tcPr>
          <w:p>
            <w:pPr>
              <w:jc w:val="center"/>
              <w:ind w:right="4000"/>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114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60" w:type="dxa"/>
            <w:vAlign w:val="bottom"/>
          </w:tcPr>
          <w:p>
            <w:pPr>
              <w:spacing w:after="0"/>
              <w:rPr>
                <w:sz w:val="24"/>
                <w:szCs w:val="24"/>
                <w:color w:val="auto"/>
              </w:rPr>
            </w:pPr>
          </w:p>
        </w:tc>
        <w:tc>
          <w:tcPr>
            <w:tcW w:w="760" w:type="dxa"/>
            <w:vAlign w:val="bottom"/>
            <w:tcBorders>
              <w:top w:val="single" w:sz="8" w:color="0000FF"/>
            </w:tcBorders>
            <w:gridSpan w:val="6"/>
          </w:tcPr>
          <w:p>
            <w:pPr>
              <w:spacing w:after="0"/>
              <w:rPr>
                <w:sz w:val="24"/>
                <w:szCs w:val="24"/>
                <w:color w:val="auto"/>
              </w:rPr>
            </w:pPr>
          </w:p>
        </w:tc>
        <w:tc>
          <w:tcPr>
            <w:tcW w:w="4040" w:type="dxa"/>
            <w:vAlign w:val="bottom"/>
            <w:gridSpan w:val="6"/>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89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1140" w:type="dxa"/>
            <w:vAlign w:val="bottom"/>
          </w:tcPr>
          <w:p>
            <w:pPr>
              <w:spacing w:after="0" w:line="20" w:lineRule="exact"/>
              <w:rPr>
                <w:sz w:val="1"/>
                <w:szCs w:val="1"/>
                <w:color w:val="auto"/>
              </w:rPr>
            </w:pPr>
          </w:p>
        </w:tc>
        <w:tc>
          <w:tcPr>
            <w:tcW w:w="1820" w:type="dxa"/>
            <w:vAlign w:val="bottom"/>
            <w:tcBorders>
              <w:right w:val="single" w:sz="8" w:color="0000EE"/>
            </w:tcBorders>
            <w:gridSpan w:val="1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660" w:type="dxa"/>
            <w:vAlign w:val="bottom"/>
            <w:gridSpan w:val="2"/>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500" w:type="dxa"/>
            <w:vAlign w:val="bottom"/>
            <w:gridSpan w:val="5"/>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89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412"/>
        </w:trPr>
        <w:tc>
          <w:tcPr>
            <w:tcW w:w="114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0" w:type="dxa"/>
            <w:vAlign w:val="bottom"/>
            <w:gridSpan w:val="12"/>
          </w:tcPr>
          <w:p>
            <w:pPr>
              <w:jc w:val="center"/>
              <w:ind w:right="4060"/>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114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42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00" w:type="dxa"/>
            <w:vAlign w:val="bottom"/>
            <w:tcBorders>
              <w:top w:val="single" w:sz="8" w:color="0000FF"/>
            </w:tcBorders>
            <w:gridSpan w:val="4"/>
          </w:tcPr>
          <w:p>
            <w:pPr>
              <w:spacing w:after="0"/>
              <w:rPr>
                <w:sz w:val="24"/>
                <w:szCs w:val="24"/>
                <w:color w:val="auto"/>
              </w:rPr>
            </w:pPr>
          </w:p>
        </w:tc>
        <w:tc>
          <w:tcPr>
            <w:tcW w:w="4060" w:type="dxa"/>
            <w:vAlign w:val="bottom"/>
            <w:gridSpan w:val="7"/>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1769"/>
        </w:trPr>
        <w:tc>
          <w:tcPr>
            <w:tcW w:w="114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or the Exchange Act, particularly in Part I, Item 1: “Business,” Part I, Item 1A: “Risk Factors” and Part 2, Item 7: “Management’s Discussion and Analysis of Financial Condition and Results of Operations.” These statements are often identified by the use of words such as “may,” “will,” “expect,” “believe,” “anticipate,” “intend,” “could,” “should,” “estimate,” “plan” or “continue,” and similar expressions or variations. All statements other than statements of historical fact could be deemed forward-looking, including, but not limited to: any statements regarding the marketing and commercialization of VYKAT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XR (diazoxide choline) extended-release tablets (formerly known as DCCR), any statements regarding the timing of any regulatory process or ultimate approvals and determining a path forward for DCCR for the treatment of Prader-Willi syndrome outside of the United States; any plans or projections regarding the commercialization of DCCR outside of the United States; any projections of financial information; any statements about our research and development pipeline; any statements about historical results that may suggest trends for our business; any statements of the plans, strategies, and objectives of management for future operations; any statements of expectation or belief regarding future events, technology developments, our products, product sales, expenses, liquidity, cash flow, market growth rates or enforceability of our intellectual property rights and related litigation expenses; and any statements of assumptions underlying any of the foregoing. Such forward-looking statements are subject to risks, uncertainties and other factors that could cause actual results and the timing of certain events to differ materially from future results expressed or implied by such forward-looking statements. Accordingly, we caution you not to place undue reliance on these statements. Particular uncertainties that could affect future results include: our ability to maintain profitability; our ability to obtain substantial additional capital that may be necessary to maintain or expand our business; our ability to maintain internal control over financial reporting; our dependence on, and need to attract and retain, key management and other personnel; our ability to obtain, protect and enforce our intellectual property rights; potential advantages that our competitors and potential competitors may have in securing funding or developing products; business interruptions such as earthquakes and other natural disasters; our ability to comply with laws and regulations; potential product liability claims; and our ability to use our net operating loss carryforwards to offset future taxable income. For a discussion of some of the factors that could cause actual results to differ materially from our forward-looking statements, see the discussion on risk factors that appear in Part I, Item 1A: “Risk Factors” of this Annual Report on Form 10-K and other risks and uncertainties detailed in this and our other reports and filings with the Securities and Exchange Commission, or SEC.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140" w:firstLine="714"/>
        <w:spacing w:after="0" w:line="243" w:lineRule="auto"/>
        <w:rPr>
          <w:sz w:val="20"/>
          <w:szCs w:val="20"/>
          <w:color w:val="auto"/>
        </w:rPr>
      </w:pPr>
      <w:r>
        <w:rPr>
          <w:rFonts w:ascii="Times New Roman" w:cs="Times New Roman" w:eastAsia="Times New Roman" w:hAnsi="Times New Roman"/>
          <w:sz w:val="18"/>
          <w:szCs w:val="18"/>
          <w:color w:val="auto"/>
        </w:rPr>
        <w:t>We are a biopharmaceutical company developing novel therapeutics for the treatment of rare diseases. On March 26, 2025, we announced that our lead product candidate, VYKAT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XR (diazoxide choline) extended-release tablets, formerly known as DCCR, had been approved by the U.S. Food and Drug Administration (FDA). VYKAT XR is indicated to treat hyperphagia in adults and pediatric patients four years of age and older with Prader-Willi syndrome (PWS). On April 14, 2025, we announced that prescriptions of VYKAT XR had been delivered to the first individuals living with PWS who had been prescribed the medication and began recognizing revenue from the sales of VYKAT XR during the three months ended June 30, 2025. We are incorporated in the State of Delaware and headquartered in Redwood City, California.</w:t>
      </w:r>
    </w:p>
    <w:p>
      <w:pPr>
        <w:spacing w:after="0" w:line="73" w:lineRule="exact"/>
        <w:rPr>
          <w:sz w:val="20"/>
          <w:szCs w:val="20"/>
          <w:color w:val="auto"/>
        </w:rPr>
      </w:pPr>
    </w:p>
    <w:p>
      <w:pPr>
        <w:ind w:firstLine="666"/>
        <w:spacing w:after="0" w:line="258" w:lineRule="auto"/>
        <w:rPr>
          <w:sz w:val="20"/>
          <w:szCs w:val="20"/>
          <w:color w:val="auto"/>
        </w:rPr>
      </w:pPr>
      <w:r>
        <w:rPr>
          <w:rFonts w:ascii="Times New Roman" w:cs="Times New Roman" w:eastAsia="Times New Roman" w:hAnsi="Times New Roman"/>
          <w:sz w:val="18"/>
          <w:szCs w:val="18"/>
          <w:color w:val="auto"/>
        </w:rPr>
        <w:t>VYKAT XR contains diazoxide choline, a potent ATP-sensitive potassium (K</w:t>
      </w:r>
      <w:r>
        <w:rPr>
          <w:rFonts w:ascii="Times New Roman" w:cs="Times New Roman" w:eastAsia="Times New Roman" w:hAnsi="Times New Roman"/>
          <w:sz w:val="20"/>
          <w:szCs w:val="20"/>
          <w:color w:val="auto"/>
          <w:vertAlign w:val="subscript"/>
        </w:rPr>
        <w:t>ATP</w:t>
      </w:r>
      <w:r>
        <w:rPr>
          <w:rFonts w:ascii="Times New Roman" w:cs="Times New Roman" w:eastAsia="Times New Roman" w:hAnsi="Times New Roman"/>
          <w:sz w:val="18"/>
          <w:szCs w:val="18"/>
          <w:color w:val="auto"/>
        </w:rPr>
        <w:t>) channel activator. The K</w:t>
      </w:r>
      <w:r>
        <w:rPr>
          <w:rFonts w:ascii="Times New Roman" w:cs="Times New Roman" w:eastAsia="Times New Roman" w:hAnsi="Times New Roman"/>
          <w:sz w:val="20"/>
          <w:szCs w:val="20"/>
          <w:color w:val="auto"/>
          <w:vertAlign w:val="subscript"/>
        </w:rPr>
        <w:t>ATP</w:t>
      </w:r>
      <w:r>
        <w:rPr>
          <w:rFonts w:ascii="Times New Roman" w:cs="Times New Roman" w:eastAsia="Times New Roman" w:hAnsi="Times New Roman"/>
          <w:sz w:val="18"/>
          <w:szCs w:val="18"/>
          <w:color w:val="auto"/>
        </w:rPr>
        <w:t xml:space="preserve"> channels play a central role in the regulation of a number of physiological processes which may otherwise be dysregulated, contributing to the pathophysiology of several diseases. In the context of the underlying genetic or structural defects in PWS, these pathophysiological processes may cumulatively contribute to increases in appetite and aggressive food seeking, lack of satiety, accumulation of excess body fat and the establishment and perpetuation of the obese state. Its proposed mode of action, with targets in the brain, pancreas and fat tissue, has the potential to broadly impact complex diseases like PWS to reduce appetite, reduce food seeking, decrease insulin and leptin resistance, and reduce body fat. We believe that it has the potential to reduce other problematic behaviors in PWS.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VYKAT XR (Diazoxide Choline) Extended-Release Tablets</w:t>
      </w:r>
    </w:p>
    <w:p>
      <w:pPr>
        <w:spacing w:after="0" w:line="121" w:lineRule="exact"/>
        <w:rPr>
          <w:sz w:val="20"/>
          <w:szCs w:val="20"/>
          <w:color w:val="auto"/>
        </w:rPr>
      </w:pPr>
    </w:p>
    <w:p>
      <w:pPr>
        <w:ind w:right="200" w:firstLine="509"/>
        <w:spacing w:after="0" w:line="217" w:lineRule="auto"/>
        <w:rPr>
          <w:sz w:val="20"/>
          <w:szCs w:val="20"/>
          <w:color w:val="auto"/>
        </w:rPr>
      </w:pPr>
      <w:r>
        <w:rPr>
          <w:rFonts w:ascii="Times New Roman" w:cs="Times New Roman" w:eastAsia="Times New Roman" w:hAnsi="Times New Roman"/>
          <w:sz w:val="18"/>
          <w:szCs w:val="18"/>
          <w:color w:val="auto"/>
        </w:rPr>
        <w:t>VYKAT XR consists of the active ingredient diazoxide choline, a choline salt of diazoxide, which is a benzothiadiazine. Once solubilized from the formulation, diazoxide choline is rapidly converted to diazoxide prior to absorption. It is believed to act by stimulating ion flux through K</w:t>
      </w:r>
      <w:r>
        <w:rPr>
          <w:rFonts w:ascii="Times New Roman" w:cs="Times New Roman" w:eastAsia="Times New Roman" w:hAnsi="Times New Roman"/>
          <w:sz w:val="24"/>
          <w:szCs w:val="24"/>
          <w:color w:val="auto"/>
          <w:vertAlign w:val="subscript"/>
        </w:rPr>
        <w:t>ATP</w:t>
      </w:r>
      <w:r>
        <w:rPr>
          <w:rFonts w:ascii="Times New Roman" w:cs="Times New Roman" w:eastAsia="Times New Roman" w:hAnsi="Times New Roman"/>
          <w:sz w:val="18"/>
          <w:szCs w:val="18"/>
          <w:color w:val="auto"/>
        </w:rPr>
        <w:t xml:space="preserve"> channels and appears to act on signs and symptoms of PWS in a variety of ways. Activating the K</w:t>
      </w:r>
      <w:r>
        <w:rPr>
          <w:rFonts w:ascii="Times New Roman" w:cs="Times New Roman" w:eastAsia="Times New Roman" w:hAnsi="Times New Roman"/>
          <w:sz w:val="24"/>
          <w:szCs w:val="24"/>
          <w:color w:val="auto"/>
          <w:vertAlign w:val="subscript"/>
        </w:rPr>
        <w:t>ATP</w:t>
      </w:r>
      <w:r>
        <w:rPr>
          <w:rFonts w:ascii="Times New Roman" w:cs="Times New Roman" w:eastAsia="Times New Roman" w:hAnsi="Times New Roman"/>
          <w:sz w:val="18"/>
          <w:szCs w:val="18"/>
          <w:color w:val="auto"/>
        </w:rPr>
        <w:t xml:space="preserve"> channel in NPY/AgRP neurons in the hypothalamus may reduce secretion of neuropeptide Y (NPY) and Agouti-related peptile (AgRP), contributing to a reduction in hyperphagia. Activating the K</w:t>
      </w:r>
      <w:r>
        <w:rPr>
          <w:rFonts w:ascii="Times New Roman" w:cs="Times New Roman" w:eastAsia="Times New Roman" w:hAnsi="Times New Roman"/>
          <w:sz w:val="24"/>
          <w:szCs w:val="24"/>
          <w:color w:val="auto"/>
          <w:vertAlign w:val="subscript"/>
        </w:rPr>
        <w:t>ATP</w:t>
      </w:r>
      <w:r>
        <w:rPr>
          <w:rFonts w:ascii="Times New Roman" w:cs="Times New Roman" w:eastAsia="Times New Roman" w:hAnsi="Times New Roman"/>
          <w:sz w:val="18"/>
          <w:szCs w:val="18"/>
          <w:color w:val="auto"/>
        </w:rPr>
        <w:t xml:space="preserve"> channel in the dorsal motor nucleus of vagus may potentiate the effects of leptin, insulin and -melanocortin stimulating hormone to reduce hyperinsulinemia and impact appetite and satiety. Activating the K</w:t>
      </w:r>
      <w:r>
        <w:rPr>
          <w:rFonts w:ascii="Times New Roman" w:cs="Times New Roman" w:eastAsia="Times New Roman" w:hAnsi="Times New Roman"/>
          <w:sz w:val="24"/>
          <w:szCs w:val="24"/>
          <w:color w:val="auto"/>
          <w:vertAlign w:val="subscript"/>
        </w:rPr>
        <w:t>ATP</w:t>
      </w:r>
      <w:r>
        <w:rPr>
          <w:rFonts w:ascii="Times New Roman" w:cs="Times New Roman" w:eastAsia="Times New Roman" w:hAnsi="Times New Roman"/>
          <w:sz w:val="18"/>
          <w:szCs w:val="18"/>
          <w:color w:val="auto"/>
        </w:rPr>
        <w:t xml:space="preserve"> in pancreatic ß-cells can reduce the secretion of insulin, and further reduce the accumulation of excess body fat and the progression to insulin resistance. Activating the K</w:t>
      </w:r>
      <w:r>
        <w:rPr>
          <w:rFonts w:ascii="Times New Roman" w:cs="Times New Roman" w:eastAsia="Times New Roman" w:hAnsi="Times New Roman"/>
          <w:sz w:val="24"/>
          <w:szCs w:val="24"/>
          <w:color w:val="auto"/>
          <w:vertAlign w:val="subscript"/>
        </w:rPr>
        <w:t>ATP</w:t>
      </w:r>
      <w:r>
        <w:rPr>
          <w:rFonts w:ascii="Times New Roman" w:cs="Times New Roman" w:eastAsia="Times New Roman" w:hAnsi="Times New Roman"/>
          <w:sz w:val="18"/>
          <w:szCs w:val="18"/>
          <w:color w:val="auto"/>
        </w:rPr>
        <w:t xml:space="preserve"> channel in adipocytes has the potential to decrease de-novo triglyceride synthesis and increase ß-oxidation of fat, reducing fat mass.</w:t>
      </w:r>
    </w:p>
    <w:p>
      <w:pPr>
        <w:spacing w:after="0" w:line="20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VYKAT XR was formulated with the goals of improving the safety and bioavailability of orally-administered diazoxide and reducing the frequency of dosing required by current diazoxide formulations. Diazoxide choline has been formulated into an extended-release tablet that provides lower peak plasma concentration compared to diazoxide oral suspension and allows for the gradual release of diazoxide choline from VYKAT XR, making it suitable for once-a-day dosing. The gradual release and absorption of diazoxide achieved using VYKAT XR results in consistent intraday circulating drug levels potentially reducing the adverse events often associated with transiently high circulating drug levels and providing efficacy at lower diazoxide-equivalent doses.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Prader-Willi Syndrome (PWS)</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4" w:name="page5"/>
    <w:bookmarkEnd w:id="4"/>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PWS is a rare, complex genetic neurobehavioral/metabolic disorder caused by the absence of normally active paternally expressed genes from the chromosome 15q11-q13 region. PWS is an imprinted condition with 60-65% of the cases due to a de novo deletion in the paternally inherited chromosome 15 11-q13 region, 30-35% from maternal uniparental disomy 15 (UPD), where the affected individual inherited 2 copies of the chromosome from their mother and no copy from their father, and the remaining 2-5% from either microdeletions or epimutations of the imprinting center (i.e., imprinting defects; IDs). The Committee on Genetics of the American Academy of Pediatrics has found that PWS affects both genders equally and occurs in people from all geographic regions, The Prader-Willi Syndrome Association USA estimates that PWS occurs in one in every 15,000 live births. The mortality rate among patients with PWS has been estimated at 3% a year across all ages and 7% in those over 30 years of age. The mean age of death reported from a 40-year mortality study in the U.S. was 29.5 ± 15 years (range: 2 months—67 years).</w:t>
      </w:r>
    </w:p>
    <w:p>
      <w:pPr>
        <w:spacing w:after="0" w:line="8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to hyperphagia, typical behavioral disturbances associated with PWS include skin picking, difficulty with change in routine, obsessive and compulsive behaviors, anxiety and mood fluctuations. The majority of older adolescents and adults with PWS display some degree of aggressive or threatening behaviors including being verbally aggressive, seeking to intimidate others, being physically aggressive including attacking others, destroying property, throwing temper tantrums and directing rage or anger at others.</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PWS was typically thought of as a genetic obesity. However, many patients with PWS today may not be obese because of increasing awareness among families and caregivers leading to significant control of access to food and its intake. However, patients remain hyperphagic and will typically have a higher body fat and lower lean body mass content compared to similarly obese individuals. They are prone to cardiometabolic issues such as abnormal lipid profiles, diabetes and hypertension associated with obesity once it is established. Other complications in PWS patients include greater risk for autistic symptomatology, psychosis, sleep disorders, distress, food stealing, withdrawal, sulking, nail-biting, hoarding and overeating, and more pronounced attention-deficit hyperactivity disorder symptoms, insistence on sameness, and their association with maladaptive conduct problems. Cognitively, most individuals with PWS function in the mild intellectual disability range with a mean IQ in the 60s to low 70s. The combination of food-related preoccupations and numerous maladaptive behaviors make it difficult for individuals with PWS to perform to their IQ potential. Some older adolescents and many adults reach a stage at which they can no longer be effectively managed in the home and therefore transition to institutional care.</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Unmet Medical Needs in PWS</w:t>
      </w:r>
    </w:p>
    <w:p>
      <w:pPr>
        <w:spacing w:after="0" w:line="121"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On March 26, 2025, VYKAT XR was approved by the FDA for the treatment of patients with PWS ages 4 years and older who have hyperphagia. Currently, the only other approved treatment in the U.S. related to PWS is growth hormone which addresses the growth failure associated with PWS but has no effect on hyperphagia. A global patient survey conducted by the Foundation for Prader-Willi Research (n=779), found that 96.5% of respondents rated reducing hunger and 91.2% rated improving behavior around food as a very important or the most important symptom to be relieved by a new treatment. Physical function and body composition symptoms for which a high percentage of respondents indicated were very important or most important included: 92.9% indicated improving metabolic health (reduces fat / increases muscle) and 81.3% indicated the related symptom of improving activity and stamina. The behavioral and cognitive symptoms rated by respondents as very or most important were: 85.2% indicated reduction of obsessive/compulsive behavior, 84.6% indicated improvements to intellect/development, and 83.2% indicated reduction of temper outburst severity and frequency.</w:t>
      </w:r>
    </w:p>
    <w:p>
      <w:pPr>
        <w:spacing w:after="0" w:line="1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Therefore, there are clear unmet needs in patients with PWS to reduce hyperphagia, improve behaviors around food, and to reduce other behavioral and cognitive impacts of this complex disease. In addition, improving metabolic health is also an important unmet need.</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An estimated 300,000 to 400,000 individuals worldwide have PWS with a birth incidence ranging from 1 in 15,000 to 1 in 25,000. Based on an analysis of claims data (Medicare, Medicaid, pharmacy and medical benefit claims), we have identified approximately 10,000 people who have received a PWS-specific treatment or had a PWS-specific ICD10 claim in 2022 or 2023. We believe that the number of identified patients with PWS is growing at a rate that is higher than the rate of general population because of improved rates of diagnosis. VYKAT XR is the first treatment for hyperphagia in patients with PWS to reach the market in the U.S. and may therefore be likely to be used in a large proportion of patients.</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 w:name="page6"/>
    <w:bookmarkEnd w:id="5"/>
    <w:p>
      <w:pPr>
        <w:spacing w:after="0" w:line="2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majority of the PWS population in the U.S. is diagnosed shortly after birth through an affordable genetic test, and the patient, as well as their treating physician, are captured in a commercially available reimbursement claims database. Patients with PWS are typically treated by a multi-disciplinary team led by a pediatric or adult endocrinologist and many families and patients receive care at larger clinics that devote specific resources to caring for people with PWS. The PWS care teams with the largest volumes are often in university-associated hospitals or children’s hospitals and a portion of adults with PWS live in residential group home settings. Due to these factors, we believe we have positioned ourselves to launch VYKAT XR through our commercial organization in a targeted and efficient manner. We have a field force of approximately 65 individuals, including approximately 28 rare disease specialists, 16 clinical nurse educators, 6 regional access directors and 15 remote or hybrid lead generation specialists.</w:t>
      </w:r>
    </w:p>
    <w:p>
      <w:pPr>
        <w:spacing w:after="0" w:line="10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believe a comparable concentration of care exists in Europe, Japan and other major markets which may allow us to market VYKAT XR without a partner; however, we may identify commercialization partners for VYKAT XR for many markets. The final decisions on commercialization strategy outside the U.S. will be made at a later date.</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Pricing</w:t>
      </w:r>
    </w:p>
    <w:p>
      <w:pPr>
        <w:spacing w:after="0" w:line="121" w:lineRule="exact"/>
        <w:rPr>
          <w:sz w:val="20"/>
          <w:szCs w:val="20"/>
          <w:color w:val="auto"/>
        </w:rPr>
      </w:pPr>
    </w:p>
    <w:p>
      <w:pPr>
        <w:ind w:firstLine="509"/>
        <w:spacing w:after="0" w:line="236" w:lineRule="auto"/>
        <w:rPr>
          <w:sz w:val="20"/>
          <w:szCs w:val="20"/>
          <w:color w:val="auto"/>
        </w:rPr>
      </w:pPr>
      <w:r>
        <w:rPr>
          <w:rFonts w:ascii="Times New Roman" w:cs="Times New Roman" w:eastAsia="Times New Roman" w:hAnsi="Times New Roman"/>
          <w:sz w:val="18"/>
          <w:szCs w:val="18"/>
          <w:color w:val="auto"/>
        </w:rPr>
        <w:t>VYKAT XR is sold based on weight-based pricing, with a list price of $6.0976 per milligram. It is our philosophy that those in need of VYKAT XR have access to VYKAT XR. We offer several programs through SOLENO ONE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to provide patients and caregivers education and resources including financial assistance in certain situations, consequently any actual out-of-pocket costs vary significantly with insurance.</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and characterized by rapid technological change. We face competition in each of the aspects of our business from other pharmaceutical and biotechnology companies, as well as academic research institutions, clinical reference laboratories and governmental agencies that are pursuing research or development activities similar to ours. Our competitors may succeed in developing products faster than we do and obtaining approvals from the FDA or other regulatory agencies for those products earlier than we do. In addition, our competitors may develop products that are more effective than those we develop or commercialize products more effectively and profitably than we do.</w:t>
      </w:r>
    </w:p>
    <w:p>
      <w:pPr>
        <w:spacing w:after="0" w:line="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Currently, the only other approved products for patients with PWS in the U.S. are forms of somatropin, which are approved only for growth failure due to PWS. There are no other approved products to address PWS-associated hyperphagia and behaviors, or for any other abnormalities associated with the disease. However, to our knowledge, there are a number of therapeutic products at various stages of clinical development for the treatment of PWS, including for hyperphagia, by Aardvark Therapeutics, Bright Minds Biosciences, Consynance, Harmony Biosciences, Neuren Pharmaceuticals, OT4B, Palobiofarma and Rhythm Pharmaceuticals.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our ability to successfully compete with these potentially competitive drug candidates will depend on, among other things:</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efficacy and safety of VYKAT XR;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product acceptance by physicians and other healthcare providers and secure coverage and adequate reimbursement for</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VYKAT XR;</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collaborators, to manufacture and sell commercial quantities of VYKAT XR;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regulatory approvals of VYKAT XR outside of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skills of our employees and our ability to recruit and retain skilled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intellectual property;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86"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substantial capital resources to fund commercialization activities.</w:t>
      </w:r>
    </w:p>
    <w:p>
      <w:pPr>
        <w:spacing w:after="0" w:line="333"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expect that our principal competition for VYKAT XR will include drugs currently in various stages of clinical development specifically for the treatment of PWS and hyperphagia, but may also include drugs approved for other indications, such as appetite suppression.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Product Supply</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do not own or operate manufacturing or distribution facilities or resources for production and distribution of VYKAT XR. Instead, we have multiple contractual agreements in place with third-party organizations who, on our behalf, manufacture, store and distribute commercial supplies of VYKAT XR. We have selected well-established and reputable global contract manufacturing organizations (CMOs) for our active pharmaceutical ingredient (API) and drug product manufacturing, that have good regulatory standing, large manufacturing capacities, and multiple manufacturing sites within their business footprint. We employ highly skilled personnel with both technical and manufacturing experience to diligently manage the activities at our CMOs. Our quality department audits these suppliers on a periodic basis. Our commercial suppliers are subject to routine inspection by regulatory agencies. We work closely with our third-party manufacturers to ensure compliance with current good manufacturing practices (cGMP), and other stringent regulatory requirements enforced by the FDA and foreign regulatory agencies in other territories, as applicable.</w:t>
      </w:r>
    </w:p>
    <w:p>
      <w:pPr>
        <w:spacing w:after="0" w:line="84"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We store API at third-party facilities in the United States, and provide appropriate amounts to third-party drug product CMOs in the United States who then manufacture, package and label our specified quantities of finished commercial VYKAT XR and clinical goods for our drug candidates. Our third-party CMOs also need to obtain materials such as reagents, excipients and components to manufacture our API and finished drug products. Within our supply chain, we have established safety stock amounts for both our API and drug product, and store those quantities in multiple locations. The quantities that we store are based on our business needs and take into account scenarios for demand, production lead times, potential supply interruptions and shelf life for our API and drug product. We believe that our current manufacturing network has the appropriate capacity to produce sufficient commercial quantities of VYKAT XR for the foreseeable future.</w:t>
      </w:r>
    </w:p>
    <w:p>
      <w:pPr>
        <w:spacing w:after="0" w:line="8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manufacturing process for pharmaceutical products is highly regulated and regulators may shut down manufacturing facilities that they believe do not comply with regulations, legislations, and/or guidelines. We and our third-party manufacturers are subject to cGMPs, which are extensive regulations governing manufacturing processes, stability testing, record keeping, and quality standards as defined by the FDA and the EMA. Similar regulations and requirements are in effect in other countries.</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utilize a third party logistics provider (3PL) with multiple locations to provide shipping and warehousing services for our commercial supply of VYKAT XR. We have also entered into a non-exclusive agreement with a specialty pharmacy who purchases and dispenses VYKAT XR to patients pursuant to prescriptions provided by health care providers.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DCCR Patent Portfolio</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patent portfolio consists of issued U.S. patents and pending U.S. applications. The 20-year expiration dates of our issued U.S. patents are between 2026 to 2035. We also have issued patents in Europe, Canada, Japan, China, India, Israel, Hong Kong, Australia, Malaysia, Mexico, New Zealand, Singapore, Indonesia, Korea, and Eurasia. We are prosecuting numerous patent applications in major pharmaceutical markets around the world. Our portfolio covers various aspects of our core technologies including compositions, methods of manufacturing, pharmaceutical formulations, and methods of treating aspects of PWS and Smith-Magenis syndrome (SMS).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 Pharmaceuticals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operations and activities are subject to extensive regulation by government authorities in the U.S. and in other countries in which we elect to develop and/or commercialize our products. Our drug products and product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candidates are subject to rigorous regulation. Federal and state statutes and regulations govern the testing, manufacture, safety, efficacy, labeling, storage, record keeping, approval, advertising and promotion of our products. As a result of these regulations, product development and product approval processes are very expensive and time-consuming.</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 country’s regulatory agency, such as the FDA in the U.S., or a region’s agency, such as the EMA for the E.U., must approve a drug before it can be sold in the respective country or countries. The general process for drug development and approval in the U.S. is summarized below. Many other countries, including countries in the E.U., U.K. and Japan, have very similar regulatory development and approval processes.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Nonclinical Testing</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Before a drug candidate can be tested in humans, it must be studied in laboratory experiments and in animals to generate data to support the drug candidate’s potential for wanted and unwanted effects. Additional nonclinical testing may be required during the clinical development process for products intended for long-term use, such as reproductive toxicology, juvenile toxicology studies and carcinogenicity studies in two species.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Investigational New Drug Application (IND)</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results of initial nonclinical tests, together with manufacturing information, analytical data and a proposed clinical trial protocol and other information, are submitted as part of an IND to the FDA. If the FDA does not identify significant issues during the initial 30-day IND review, the proposed clinical trial can proceed. Each clinical trial protocol and/or amendment, new nonclinical data, and/or new or revised manufacturing information must be submitted to the IND, and the FDA has 30 days to complete its review of each submission.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These clinical trials involve three separate phases that often overlap, can take many years and are very expensive. These three phases, which are subject to considerable regulation, are as follows:</w:t>
      </w:r>
    </w:p>
    <w:p>
      <w:pPr>
        <w:spacing w:after="0" w:line="160"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Phase 1 Studies</w:t>
      </w:r>
      <w:r>
        <w:rPr>
          <w:rFonts w:ascii="Times New Roman" w:cs="Times New Roman" w:eastAsia="Times New Roman" w:hAnsi="Times New Roman"/>
          <w:sz w:val="17"/>
          <w:szCs w:val="17"/>
          <w:color w:val="auto"/>
        </w:rPr>
        <w:t>. During Phase 1 studies, researchers test a new drug in healthy volunteers. In most cases, 20 to 80 healthy volunteers participate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Phase 1. Phase 1 studies are closely monitored and gather information about how a drug interacts with the human body. Researchers adjust dosing schemes based on animal data to find out how much of a drug the body can tolerate and what its acute side effects are. As a Phase 1 trial continues, researchers answer research questions related to how it works in the body, the side effects associated with increased dosage, and early information about how effective it is to determine how best to administer the drug to limit risks and maximize possible benefits. This is important to the design of Phase 2 studies.</w:t>
      </w:r>
    </w:p>
    <w:p>
      <w:pPr>
        <w:spacing w:after="0" w:line="1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Phase 2 Studies</w:t>
      </w:r>
      <w:r>
        <w:rPr>
          <w:rFonts w:ascii="Times New Roman" w:cs="Times New Roman" w:eastAsia="Times New Roman" w:hAnsi="Times New Roman"/>
          <w:sz w:val="18"/>
          <w:szCs w:val="18"/>
          <w:color w:val="auto"/>
        </w:rPr>
        <w:t>. In Phase 2 studies, researchers administer the drug to a group of people with the disease or condition for which the drug is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Typically involving up to a few hundred patients, these studies are not large enough to show whether the drug will be beneficial. The use of new study designs, such as adaptive designs, can decrease the number of patients required. Instead, Phase 2 studies provide researchers with additional safety data. Researchers use these data to refine research questions, develop research methods, identify target doses, and design new Phase 3 research protocols.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Phase 3 Studies</w:t>
      </w:r>
      <w:r>
        <w:rPr>
          <w:rFonts w:ascii="Times New Roman" w:cs="Times New Roman" w:eastAsia="Times New Roman" w:hAnsi="Times New Roman"/>
          <w:sz w:val="18"/>
          <w:szCs w:val="18"/>
          <w:color w:val="auto"/>
        </w:rPr>
        <w:t>. Researchers design Phase 3 studies to demonstrate whether or not a product offers a treatment benefit to a specific population.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Sometimes known as pivotal studies, these studies generally involve a larger number of participants than do Phase 2 studies. Phase 3 studies provide most of the safety data. In Phase 3 studies, it is possible that less common side effects might have gone undetected. Because these studies are larger and longer in duration, the results are more likely to show long-term or rare side effects.</w:t>
      </w:r>
    </w:p>
    <w:p>
      <w:pPr>
        <w:spacing w:after="0" w:line="18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For each clinical trial, an institutional review board (IRB) or independent ethics committee (IEC), covering each site proposing to conduct a clinical trial must review and approve the plan for any clinical trial and written informed consent or assent information for subjects before the trial commences at that site and it must monitor the study until completed. The FDA, other heath authority, the IRB/IEC, or the sponsor may suspend a clinical trial at any time on various grounds, including a finding that the subjects or patients are being exposed to an unacceptable health risk or for failure to comply with the IRB/IEC’s requirements, or may impose other conditions.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Clinical trials involve the administration of an investigational drug to human subjects under the supervision of qualified investigators in accordance with good clinical practices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180"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When we believe that the data from our clinical trials show an adequate level of safety and efficacy, we would intend to submit an application to market the drug for a particular use, an NDA with the FDA. The FDA may hold a public hearing where an independent advisory committee of expert advisors asks additional questions and makes recommendations regarding the drug candidate. This committee is asked by the FDA to provide its perspective and make recommendations that are not binding, but are generally followed by the FDA. If the FDA determines that the compound is safe and effective for a particular use, it will approve the application, allowing the drug product to be marketed in the U.S. and sold for that use. It is not unusual, however, for the FDA to reject an application because it believes that the risks of the drug candidate outweigh the purported benefit or because it does not believe that the data submitted are reliable or conclusive. The FDA may also issue a Complete Response Letter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 Further, FDA’s “real-time” release of newly issued Complete Response Letters associated with withdrawn or abandoned applications, if applicable to any of our product candidates, can materially impact our business and competitive advantage.</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the drug candidate is approved, the FDA may also require additional studies, or PMRs. These include studies to explore scientific questions to further characterize safety or efficacy of the drug candidate. The FDA may also require us to provide additional data or information, improve our manufacturing processes, procedures analytical methods or facilities or may require extensive surveillance to monitor the safety or benefits of our product candidates if it determines that our filing does not contain adequate evidence of the safety and benefits of the drug. In addition, even if the FDA approves a drug, it could limit the uses of the drug. The FDA can withdraw approvals if it does not believe that we are complying with regulatory standards or if problems are uncovered or occur after approval.</w:t>
      </w:r>
    </w:p>
    <w:p>
      <w:pPr>
        <w:spacing w:after="0" w:line="1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addition to obtaining FDA approval for our drug, the manufacturing facilities of the companies who manufacture our drugs for us must also be approved. These facilities are subject to periodic inspections by the FDA. The FDA must also approve foreign establishments that manufacture products to be sold in the U.S. and these facilities are subject to periodic regulatory inspection.</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Once approved, the FDA may withdraw product approval if ongoing regulatory requirements are not met or if safety problems are identified after the product reaches the market. In addition, the FDA has the authority to prevent or limit further marketing of a product based on the results of PMRs.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submit and obtain FDA approval of a new or supplemental NDA, which may require the development of additional data or conduct of additional pre-clinical studies and clinical trials.</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the FDA and may be eligible for accelerated review and priority approval.</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Drugs that are developed for rare diseases (i.e., in the U.S., the disease or condition has a prevalence of less than 200,000 persons; in the E.U., the prevalence of the condition must be not more than 5 in 10,000) can be designated as “Orphan Drugs”. In the U.S., orphan-designated drugs are granted up to 7-year market exclusivity. In response to the court decision 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14 F.4th 1299 (11th Cir. 2021), in January 2023, the FDA published a notice in the Federal Register to clarify that while the agency complies with the court’s order in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the FDA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The Consolidated Appropriations Act of 2026, signed into law in February 2026, codified this longstanding FDA interpretation of the Orphan Drug Act, allowing the FDA to approve multiple versions of the same orphan drug for different subindications and subpopulations.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Ongoing Regulation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subject to periodic unannounced inspections by the FDA and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compliance.</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Once approved, the FDA may withdraw the approval for a product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for approved drugs, may result in, among other things:</w:t>
      </w:r>
    </w:p>
    <w:p>
      <w:pPr>
        <w:spacing w:after="0" w:line="75"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drug and device products that are placed on the market. The Federal Trade Commission (FTC) also regulates the promotion and advertising of consumer products. While physicians may prescribe drugs and devices for off label uses, manufacturers may only promote for the approved indications and in accordance with the provisions of the approved label. Noncompliance may result in warning letters, fines or additional restrictions on subsequent advertising and promotional materials. Manufacturers may not promote a drug that is still under development and has not been approved by the FDA. The FDA and other agencies actively enforce the laws and regulations prohibiting the promotion of off label uses, and a company that is found to have improperly promoted off label uses may be subject to significant liability.</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Drugs are also subject to extensive regulation outside of the U.S. In the E.U., there is a centralized approval procedure that authorizes marketing of a product in all countries of the E.U. through a single application and review process. After receiving regulatory approval through the E.U. registration procedures, separate pricing and reimbursement approvals are also required in member countries. The E.U. also has requirements for approval of manufacturing facilities for all products that are approved for sale by the European regulatory authorities.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Government Regulations</w:t>
      </w:r>
    </w:p>
    <w:p>
      <w:pPr>
        <w:spacing w:after="0" w:line="121"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Pharmaceutical companies are subject to additional healthcare regulation and enforcement by the federal government and by authorities in the states and foreign jurisdictions in which they conduct their business, which may constrain the financial arrangements and relationships through which we conduct research, as well as sell, market and distribute any products for which we obtain marketing approval. Such laws include, without limitation, federal and state anti-kickback, fraud and abuse, false claims, data privacy and security and physician and other health care provider transparency laws and regulations. If our significant operations are found to be in violation of any of such laws or any other governmental regulations that apply, they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w:t>
      </w:r>
    </w:p>
    <w:p>
      <w:pPr>
        <w:spacing w:after="0" w:line="2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Sales of any approved products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country-by-country and a plan-by-plan basis. These third-party payors are increasingly reducing reimbursements for drugs.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11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United States government and other governments have shown significant interest in pursuing health care reform. Any government-adopted reform measures could adversely impact the pricing of health care products and services in the United States or internationally and the amount of reimbursement available from governmental agencies or other third-party payors. For example, the Patient Protection and Affordable Care Act (the ACA) which was enacted in the United States in 2010, substantially changed the way healthcare is financed by both governmental and private insurers, and significantly affected the pharmaceutical industry. The ACA contains a number of provisions, including those governing enrollment in federal healthcare programs, reimbursement adjustments and changes to fraud and abuse laws. Since its enactment, there have been judicial, executive, and Congressional challenges to certain aspects of the ACA. On June 17, 2021, the United States Supreme Court dismissed the most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judicial challenge to the ACA without specifically ruling on the constitutionality of the ACA. Thus, the ACA will remain in force in its current form.</w:t>
      </w:r>
    </w:p>
    <w:p>
      <w:pPr>
        <w:spacing w:after="0" w:line="117"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including reductions of Medicare payments to providers through 2032. The American Rescue Plan Act of 2021 eliminated the statutory Medicaid drug rebate cap. Elimination of this cap may require pharmaceutical manufacturers to pay more in rebates than they receive from the sale of products, which could have a material impact on our business. Under the Inflation Reduction Act of 2022 (IRA), among other things, the law requires manufacturers of certain drugs to engage in price negotiations with Medicare, with prices that can be negotiated subject to a cap; imposes rebates under Medicare Part B and Medicare Part D to penalize price increases that outpace inflation; and replaces the Part D coverage gap discount program with a new discounting program. The IRA permits the Secretary of the Department of Health and Human Services to implement many of these provisions through guidance, as opposed to regulation, for the initial years. Only high-expenditure single-source drugs that have been approved for at least seven years (11 years for single-source biologics) can qualify for negotiation, with the negotiated price taking effect two years after the selection year. Various industry stakeholders have initiated lawsuits against the federal government asserting that the price negotiation provisions of the IRA are unconstitutional. Further, the current administration has issued executive orders focused on decreasing prescription drug prices, including directing the Secretary of HHS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U.S.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measures that use most-favored-nation pricing targets for prescription drugs or that increase generic and biosimilar drug entry sooner than expected can have a material adverse effect on our industry, ability to set adequate pricing for new drugs to recover R&amp;D costs, ability to attract potential investors and potential buyers in the future, or the pricing of our approved product in the U.S. and in foreign countries. The impact of any future healthcare measures and agency rules, including those implemented by the current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206"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Moreover, there has been recent heightened governmental scrutiny over the manner in which manufacturers set prices for their marketed products, which is likely to continue.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has authorized the state of Florida to develop a drug importation program to import certain prescription drugs from Canada for a limited period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if approved, or additional pricing pressures.</w:t>
      </w:r>
    </w:p>
    <w:p>
      <w:pPr>
        <w:spacing w:after="0" w:line="18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Similar political, economic, and regulatory developments are occurring in the European Union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94"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could restrict or regulate post-approval activities and affect the ability of pharmaceutical companies to commercialize their products. In international markets, reimbursement and healthcare payment systems vary significantly by country, and many countries have instituted price ceilings on specific products and therapies.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HIPAA and Other Privacy Laws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Health Insurance Portability and Accountability Act (HIPAA), established for the first-time comprehensive protection for the privacy and security of health information. The HIPAA standards apply to three types of organizations, or “Covered Entities”: health plans, healthcare clearing houses, and healthcare providers which conduct certain healthcare transactions electronically. Covered Entities and their Business Associates must have in place administrative, physical, and technical standards to guard against the misuse of individually identifiable health information. Because we are a healthcare provider and we conduct certain healthcare transactions electronically, we are presently a Covered Entity, and we must have in place the administrative, physical, and technical safeguards required by HIPAA, the Health Information Technology for Economic and Clinical Health Act of 2009 (HITECH Act) and their implementing regulations. Additionally, some state laws impose privacy protections more stringent than HIPAA. Most of the institutions and physicians from which we obtain biological specimens that we use in our research and validation work are Covered Entities and must obtain proper authorization from their patients for the subsequent use of those samples and associated clinical information. We may perform future activities that may implicate HIPAA, such as providing clinical laboratory testing services or entering into specific kinds of relationships with a Covered Entity or a Business Associate of a Covered Entity.</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we or our operations are found to be in violation of HIPAA, HITECH or their implementing regulations, we may be subject to penalties, including civil and criminal penalties, fines, and exclusion from participation in U.S. federal or state health care programs, and the curtailment or restructuring of our operations. HITECH increased the civil and criminal penalties that may be imposed against Covered Entities, their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activities must also comply with other applicable privacy laws. For example, there are also international privacy laws that impose restrictions on the access, use, and disclosure of health information. All of these laws may impact our business. Our failure to comply with these privacy laws or significant changes in the laws restricting our ability to obtain tissue samples and associated patient information could significantly impact our business and our future business plans.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Billing and Fraud and Abuse Laws</w:t>
      </w:r>
    </w:p>
    <w:p>
      <w:pPr>
        <w:spacing w:after="0" w:line="119"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Antifraud Laws/Overpayments</w:t>
      </w:r>
      <w:r>
        <w:rPr>
          <w:rFonts w:ascii="Times New Roman" w:cs="Times New Roman" w:eastAsia="Times New Roman" w:hAnsi="Times New Roman"/>
          <w:sz w:val="18"/>
          <w:szCs w:val="18"/>
          <w:color w:val="auto"/>
        </w:rPr>
        <w:t>. As participants in federal and state healthcare programs, we are subject to numerous federal and state antifraud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abuse laws. Many of these antifraud laws are broad in scope, and neither the courts nor government agencies have extensively interpreted these laws. Prohibitions under some of these laws include:</w:t>
      </w:r>
    </w:p>
    <w:p>
      <w:pPr>
        <w:spacing w:after="0" w:line="6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or causing the submission of, false claims or false information to government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deceptive or fraudulent conduct;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medically unnecessary procedures;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in defrauding private sector health insurers.</w:t>
      </w:r>
    </w:p>
    <w:p>
      <w:pPr>
        <w:spacing w:after="0" w:line="22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could be subject to substantial penalties for violations of these laws, including denial of payment and refunds, suspension of payments from Medicare, Medicaid or other federal healthcare programs and exclusion from participation in the federal healthcare programs, as well as civil monetary and criminal penalties and imprisonment. One of these statutes, the False Claims Act, is a key enforcement tool used by the government to combat healthcare fraud. The False Claims Act imposes liability on any person who, among other things, knowingly presents, or causes to be presented, a false or fraudulent claim for payment by a federal healthcare program. Violations under the Anti-Kickback Statute, discussed further below, can implicate violations under the False Claims Act. Liability under the False Claims Act can result in treble damages and imposition of penalties. For example, civil penalties of up to $25,595 may be imposed per violation, adjusted each year for inflation, and each use of our product could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potentially be part of a different claim submitted to the government. Separately, the HHS office of the Office of Inspector General, or OIG, can exclude providers found liable under the False Claims Act from participating in federally funded healthcare programs, including Medicare and Medicaid. The steep penalties that may be imposed under this statute may be disproportionate to the relatively small dollar amounts of the claims made by these providers for reimbursement. In addition, even the threat of being excluded from participation in federal healthcare programs can have significant financial consequences on a provider.</w:t>
      </w:r>
    </w:p>
    <w:p>
      <w:pPr>
        <w:spacing w:after="0" w:line="183"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Numerous federal and state agencies enforce the antifraud and abuse laws. In addition, private insurers may also bring private actions. In some circumstances, private whistleblowers are authorized to bring fraud suits on behalf of the government against providers and are entitled to receive a portion of any final recovery.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Anti-Kickback Laws and the Sunshine Act</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Self-Referral law</w:t>
      </w:r>
      <w:r>
        <w:rPr>
          <w:rFonts w:ascii="Times New Roman" w:cs="Times New Roman" w:eastAsia="Times New Roman" w:hAnsi="Times New Roman"/>
          <w:sz w:val="18"/>
          <w:szCs w:val="18"/>
          <w:color w:val="auto"/>
        </w:rPr>
        <w:t>. We are subject to a federal “self-referral” law, commonly referred to as the “Stark” law, which provides that physicians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personally or through a family member, have ownership interests in or compensation arrangements with a laboratory are prohibited from making a referral to that laboratory for laboratory tests reimbursable by Medicare, and also prohibits laboratories from submitting a claim for Medicare payments for laboratory tests referred by physicians who, personally or through a family member, have ownership interests in or compensation arrangements with the testing laboratory. The Stark law contains a number of specific exceptions which, if met, permit physicians who have ownership or compensation arrangements with a testing laboratory to make referrals to that laboratory and permit the laboratory to submit claims for Medicare payments for laboratory tests performed pursuant to such referrals.</w:t>
      </w:r>
    </w:p>
    <w:p>
      <w:pPr>
        <w:spacing w:after="0" w:line="18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comparable state laws, some of which apply to all payers regardless of source of payment, and do not contain identical exceptions to the Stark law. For example, we are subject to a North Carolina self-referral law that prohibits a physician investor from referring to us any patients covered by private, employer-funded or state and federal employee health plans. The North Carolina self-referral law contains few exceptions for physician investors in securities that have not been acquired through public trading but will generally permit us to accept referrals from physician investors who buy their shares in the public market.</w:t>
      </w:r>
    </w:p>
    <w:p>
      <w:pPr>
        <w:spacing w:after="0" w:line="18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several stockholders who are physicians in a position to make referrals to us. We have included within our compliance plan procedures to identify requests for testing services from physician investors and we do not bill Medicare, or any other federal program, or seek reimbursement from other third-party payers, for these tests.</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Providers are subject to sanctions for claims submitted for each service that is furnished based on a referral prohibited under the federal self-referral laws. These sanctions include denial of payment and refunds, civil monetary payments and exclusion from participation in federal healthcare programs and civil monetary penalties, and they may also include penalties for applicable violations of the False Claims Act, which may require payment of up to three times the actual damages sustained by the government, plus civil penalties of $14,308 to $28,618 for each separate false claim. Similarly, sanctions for violations under the North Carolina self-referral laws include refunds and monetary penalties.</w:t>
      </w:r>
    </w:p>
    <w:p>
      <w:pPr>
        <w:spacing w:after="0" w:line="1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Anti-Kickback Statute</w:t>
      </w:r>
      <w:r>
        <w:rPr>
          <w:rFonts w:ascii="Times New Roman" w:cs="Times New Roman" w:eastAsia="Times New Roman" w:hAnsi="Times New Roman"/>
          <w:sz w:val="18"/>
          <w:szCs w:val="18"/>
          <w:color w:val="auto"/>
        </w:rPr>
        <w:t>. The federal Anti-Kickback Statute prohibits persons from knowingly and willfully soliciting, receiving, offering or paying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remuneration, directly or indirectly, to induce either the referral of an individual, or the furnishing, recommending, or arranging for a good or service, for which payment may be made under a federal healthcare program, such as the Medicare and Medicaid programs. The term “remuneration” has been broadly interpreted to include anything of value. The reach of the Anti-Kickback Statute was also broadened by the Patient Protection and Affordable Care Act of 2010 (PPACA), which, among other things, amends the intent requirement of the federal Anti-Kickback Statute and certain criminal healthcare fraud statutes. Pursuant to the statutory amendment, a person or entity does not need to have actual knowledge of this statute or specific intent to violate it in order to have committed a violation. In addition, PPACA provides that a claim including items or services resulting from a violation of the federal Anti-Kickback Statute constitutes a false or fraudulent claim for purposes of the False Claims Act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 Sanctions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1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violations of the federal Anti-Kickback Statute may include imprisonment and other criminal penalties, civil monetary penalties and exclusion from participation in federal healthcare programs.</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Many states have also adopted laws similar to the federal Anti-Kickback Statute, some of which apply to the referral of patients for healthcare items or services reimbursed by any source, not only the Medicare and Medicaid programs, and do not contain identical safe harbors.</w:t>
      </w:r>
    </w:p>
    <w:p>
      <w:pPr>
        <w:spacing w:after="0" w:line="16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of the laws described above or any other governmental regulations that apply to us, we may be subject to penalties, including civil and criminal penalties, damages, fines, exclusion from participation in U.S. federal or state health care programs, and the curtailment or restructuring of our operations. To the extent that any product we make is sold in a foreign country in the future,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 To reduce the risks associated with these various laws and governmental regulations, we have implemented a compliance plan.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Drug manufacturers are also subject to the Physician Payment Sunshine Act, or the Open Payments Act, which was enacted as part of the Affordable Care Act, requires all applicable manufacturers that participate in Medicare, Medicaid or the Children’s Health Insurance Program to report annually to the Secretary of the Department of Health and Human Services payments and other transfers of value made in the previous year by that entity, or by a third party as directed by that entity, to covered recipients, including physicians, certain non-physician healthcare professionals, and teaching hospitals, as defined by law, or to third parties on behalf of such covered recipients, as well as ownership and investment interests held by physicians and their immediate family members. Failure to comply with the reporting requirements can result in significant civil monetary penalties. Additionally, there are criminal penalties if an entity intentionally makes false statements in such reports. We are subject to the Sunshine Act and the information we disclose may lead to greater scrutiny. Additionally, similar reporting requirements have also been enacted on the state level domestically, and an increasing number of countries worldwide either have adopted or are considering adopting similar laws requiring transparency of interactions with health care professionals.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we had 182 full-time employees. None of our employees is represented by a labor union or covered by collective bargaining agreements. We consider our relationship with our employees to be good.</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5" w:name="page16"/>
    <w:bookmarkEnd w:id="15"/>
    <w:p>
      <w:pPr>
        <w:spacing w:after="0" w:line="8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We are committed to providing a work environment that is free of discrimination and harassment. We are an equal-opportunity employer and make employment decisions on the basis of a person’s qualifications and the needs of our business. We believe in the richness and quality of a working environment that is informed by people from all walks of life and strive to create a diverse and genuinely inclusive environment. We are committed to ensuring our team members are treated with fairness and respect. We believe that a cooperative work environment, based in trust and mutual respect, is essential to our success. As new employees join us, they learn more about our policies and culture through new hire orientation and onboarding, our Employee Handbook, Code of Conduct, and compliance trainings.</w:t>
      </w:r>
    </w:p>
    <w:p>
      <w:pPr>
        <w:spacing w:after="0" w:line="8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offer an attractive mix of compensation and benefit plans to support our employees and their families’ physical, mental, and financial well-being. We believe that we employ a fair and merit-based total compensation system for our employees. Employees are generally eligible for medical, dental, vision and other comprehensive benefits.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Available Information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principal corporate offices are located at 100 Marine Parkway, Suite 400, Redwood City, California 94065 and our telephone number is (650) 213-8444. We were incorporated in Delaware on August 25, 1999. Our internet address is www.soleno.life. We make available on our website, free of charge, our Annual Report on Form 10-K, Quarterly Reports on Form 10-Q, Current Reports on Form 8-K and any amendments to those reports, as soon as reasonably practicable after we electronically file such materials with, or furnish it to, the Securities Exchange and Commission. Our Securities Exchange and Commission reports can be accessed through the Investor Relations section of our internet website. The information found on our internet website is not part of this or any other report we file with or furnish to the Securities Exchange and Commission.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240" w:firstLine="509"/>
        <w:spacing w:after="0" w:line="261" w:lineRule="auto"/>
        <w:rPr>
          <w:sz w:val="20"/>
          <w:szCs w:val="20"/>
          <w:color w:val="auto"/>
        </w:rPr>
      </w:pPr>
      <w:r>
        <w:rPr>
          <w:rFonts w:ascii="Times New Roman" w:cs="Times New Roman" w:eastAsia="Times New Roman" w:hAnsi="Times New Roman"/>
          <w:sz w:val="18"/>
          <w:szCs w:val="18"/>
          <w:color w:val="auto"/>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risks and uncertainties that you should consider before investing in our company, as fully described below. The principal factors and uncertainties that make investing in our company risky include, among others:</w:t>
      </w:r>
    </w:p>
    <w:p>
      <w:pPr>
        <w:spacing w:after="0" w:line="51"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commercialization history as a company and, until recently, have incurred significant losses since our inception;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just begun to generate product revenue and are dependent upon the success of VYKAT XR;</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VYKAT XR may fail to achieve the degree of market acceptance by physicians, patients, caregivers, healthcare payers and others in the medical community necessary for commercial success;</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expand our development, regulatory and sales and marketing capabilities, and as a result, we may encounter difficulties in managing our growth, which could disrupt our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rights may prove to be an inadequate barrier to competition;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significant increased costs as a result of operating as a public company, and our management has devoted and will be required to continue to devote substantial time to new compliance initiatives;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recently have been and may be in the future become subject to short-selling campaigns, activist investors and securities litigation, which are expensive and could divert management attention; and</w:t>
      </w:r>
    </w:p>
    <w:p>
      <w:pPr>
        <w:spacing w:after="0" w:line="53"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commercialization history as a company and, until recently, have incurred significant losses since our inception.</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historically been a clinical-stage company with no approved therapeutic products or revenues from the sale of therapeutic products. Following FDA approval on March 26, 2025, we have begun to commercialize our first product, VYKAT XR, to treat hyperphagia in patients four years and older who have Prader-Willi syndrome (PWS). Evaluating our performance, viability or future success will be more difficult than if we had a longer operating history or prior approved products for sale on the market. Following approval of VYKAT XR, we will continue to incur significant research and development, general and administrative expenses and will incur substantial commercial expenses related to our operations.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immediate future financial results will depend primarily on our success in launching, selling and supporting our sole commercial product, VYKAT XR. This will require us to be successful in a range of activities, including manufacturing, marketing and selling VYKAT XR. We are only in the preliminary stages of some of these activities and may not succeed in the long-term. We may not be able to sustain growth or increase profitability on a quarterly or annual basis. Our failure to achieve sustained profitability would depress the value of</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7" w:name="page18"/>
    <w:bookmarkEnd w:id="17"/>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company and could impair our ability to raise capital, expand our business, diversify our planned products, market our current and planned products, or continue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just begun to generate product revenue and are dependent upon the success of VYKAT XR.</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To date, we have invested substantially all of our efforts and financial resources in the development and commercialization of VYKAT XR for the treatment of PWS, a rare complex genetic neurobehavioral/metabolic disease. We began to generate revenue from the commercialization of VYKAT XR in the three months ended June 30, 2025. Our ability to generate revenue from product sales from VYKAT XR depends on a number of additional factors, including our ability to:</w:t>
      </w:r>
    </w:p>
    <w:p>
      <w:pPr>
        <w:spacing w:after="0" w:line="72" w:lineRule="exact"/>
        <w:rPr>
          <w:sz w:val="20"/>
          <w:szCs w:val="20"/>
          <w:color w:val="auto"/>
        </w:rPr>
      </w:pPr>
    </w:p>
    <w:p>
      <w:pPr>
        <w:ind w:left="1020" w:right="7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maintain an infrastructure capable of supporting product sales, marketing, and distribution of VYKAT XR in the U.S. and territories where we pursue commercialization directly;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VYKAT XR by patients, caregivers and the medical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and efficacy profile of VYKAT XR;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 a commercially viable price for VYKAT XR;</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reliable third parties, and ensure adequate and legally compliant manufacturing to maintain that supply;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third-party payers, including government and private payers;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suitable distribution partners to help us market, sell and distribute VYKAT XR in other markets;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applications to, obtain regulatory approval from, and complete any post-marketing requirements of,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and enforce our intellectual property rights, obtain and maintain regulatory exclusivity and avoid third-party patent interference, intellectual property challenges, including any potential challenges to our Orange Book patent listings in the U.S., or intellectual property infringement claims;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17"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Even if we are able to generate significant revenue from the sale of VYKAT XR, we may not be able to sustain profitability and may need to obtain additional funding to continue operations. If we are unable to sustain profitability on a continuing basis, then we may be unable to continue our operations at planned levels and be forced to reduce or shut down our operations.</w:t>
      </w:r>
    </w:p>
    <w:p>
      <w:pPr>
        <w:spacing w:after="0" w:line="64"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below our guidance.</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In addition to the risks related to a company launching its first commercial drug described elsewhere in this "Risk Factors" section, the success of a new drug product is inherently difficult to predict and we may not recognize revenue as quickly, consistently or in the amounts that we, analysts or investors anticipate.</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Additionally,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addition, we measure compensation cost for stock-based awards made to employees at the grant date of the award, based on the fair value of the award as determined by our Board, and recognize the cost as an expense over the employee’s requisite service period. As the variables that we use as a basis for valuing these awards change over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8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time, including our underlying stock price and stock price volatility, the magnitude of the expense that we must recognize may vary significantly. Furthermore, our operating results may fluctuate due to a variety of other factors, many of which are outside of our control and may be difficult to predict, including the following:</w:t>
      </w:r>
    </w:p>
    <w:p>
      <w:pPr>
        <w:spacing w:after="0" w:line="56"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risk of initiating sales and marketing activities;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products may vary depending on FDA and other regulatory requirements, the quantity of production and the terms of our agreements with manufacturers;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planned products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 of our industry, including consolidation among our competitors or potential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may fluctuate significantly and be difficult to predict;</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future products, if approved, and existing and potential future drugs that compete with our planned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offerings that compete with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inside and outside of the U.S., either independently or working with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the timing of enrollment;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timing and outcomes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in the U.S. or globally, of any of our planned products;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planned products, which will change from time to time;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licensing or other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global economic environment.</w:t>
      </w:r>
    </w:p>
    <w:p>
      <w:pPr>
        <w:spacing w:after="0" w:line="117"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We may engage in strategic transactions that could impact our liquidity, increase our expenses and present significant distractions to our management.</w:t>
      </w:r>
    </w:p>
    <w:p>
      <w:pPr>
        <w:spacing w:after="0" w:line="13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 w:name="page20"/>
    <w:bookmarkEnd w:id="19"/>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financial results. For example, these transactions may entail numerous operational and financial risks, including:</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and contingent liabilities;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acquire and develop acquired products, product candidates or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likelihood of payment of milestones or royalties;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expenditures, including additional research, development and sales and marketing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w:t>
      </w:r>
    </w:p>
    <w:p>
      <w:pPr>
        <w:spacing w:after="0" w:line="11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spacing w:after="0" w:line="118" w:lineRule="exact"/>
        <w:rPr>
          <w:sz w:val="20"/>
          <w:szCs w:val="20"/>
          <w:color w:val="auto"/>
        </w:rPr>
      </w:pPr>
    </w:p>
    <w:p>
      <w:pPr>
        <w:ind w:right="1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enter into strategic transactions on a timely basis or on acceptable terms, which may impact our development and commercialization plans.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relied, and expect to continue to rely, on strategic transactions, which include in-licensing, out-licensing, purchases and sales of assets, and other ventures. The terms of any additional strategic transaction that we may enter into may 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product revenue. Furthermore, there is no assurance that any such transaction will be successful or that we will derive an economic benefit as a result.</w:t>
      </w:r>
    </w:p>
    <w:p>
      <w:pPr>
        <w:spacing w:after="0" w:line="13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are in the early stages of commercializing VYKAT XR, our current sole novel therapeutic product, and accordingly, have just begun to generate revenue from operations during 2025. We had a net income of $20.9 million during the year ended December 31, 2025 and an accumulated deficit of $431.4 million at December 31, 2025 as a result of losses incurred prior to 2025.</w:t>
      </w:r>
    </w:p>
    <w:p>
      <w:pPr>
        <w:spacing w:after="0" w:line="68"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Although we are currently cash flow positive, we may not be able to sustain profitability, and therefore we may need to raise additional capital, either through debt or equity financings to achieve our business plan objectives, including ongoing expenses related to scaling of a sales and marketing organization to support the launch of VYKAT XR and our ongoing regulatory activities necessary to obtain marketing approvals outside of the United</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States. Our ability to obtain additional financing will depend on a number of factors, including, among others, the other risks described in this "Risk Factors" section. If any one of these risks are realized, we may not be able to obtain additional funding, in which case, our business could be jeopardized and we may not be able to continue our operations or pursue our strategic plans. If we are forced to scale down, limit or cease operations, our stockholders could lose all of their investment.</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To the extent that we are unsuccessful raising sufficient capital, we may need to curtail or cease our operations and implement a plan to extend payables or reduce overhead until sufficient additional capital is raised to support further operations. There can be no assurance that such a plan will be successful. If adequate funds are not available, we may be required to curtail our operations significantly or to obtain funds on unfavorable terms, through dilutive financings or entering into arrangements with collaborative partners or others that may require us to relinquish rights to certain of our assets that we would not otherwise relinquish. If we issue equity or convertible debt securities to raise additional funds, our existing stockholders will experience further dilution, and the new equity or debt securities may have rights, preferences and privileges senior to those of our existing stockholders. If we incur debt, our fixed payment obligations, liabilities and leverage relative to our equity capitalization would increase, which could increase the cost of future capital. Further, the terms of any debt securities we issue or borrowings we incur, if available, could impose significant restrictions on our operations, such as limitations on our ability to incur additional debt or issue additional equity or other operating restrictions that could adversely affect our ability to conduct our business, and any such debt could be secured by any or all of our assets pledged as collateral. Additionally, we may incur substantial costs in pursuing future capital, including investment banking, legal and accounting fees, printing and distribution expenses and other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significant amount of debt, which may affect our ability to operate our business and secure additional financing in the future.</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2025, we had $50.0 million outstanding under our loan and security agreement with Oxford Financing LLC and its affiliates (collectively, Oxford). Under the terms of the loan agreement with Oxford, following FDA approval of VYKAT XR, an additional $50 million became available through September 30, 2025, but was not drawn. Following the amendment of our loan and security agreement in November 2025, the final three tranches of an aggregate of $100 million may be made available upon mutual consent with Oxford. As a result of a milestone achieved in 2025, the loan carries an interest-only period of 60 months and a total term of 72 months. Subject to certain conditions, the term loans accrue interest at a floating rate equal to (a) 1-month term SOFR plus (b) 5.50%. Our debt with Oxford is collateralized by substantially all of our assets and contains customary financial and operating covenants limiting our ability to, among other things, dispose of assets, undergo a change in control, merge or consolidate, enter into certain transactions with affiliates, make acquisitions, incur debt, incur liens, pay dividends, repurchase stock and make investments, in each case subject to certain exceptions. The covenants in our loan agreement with Oxford, as well as in any future financing agreements into which we may enter, may restrict our ability to finance our operations and engage in, expand or otherwise pursue our business activities and strategies. Our ability to comply with these covenants may be affected by events beyond our control and future breaches of any of these covenants could result in a default under the loan agreement. If not waived, future defaults could cause all of the outstanding indebtedness under the loan agreement to become immediately due and payable and terminate commitments to extend further credit. 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VYKAT XR</w:t>
      </w:r>
    </w:p>
    <w:p>
      <w:pPr>
        <w:spacing w:after="0" w:line="17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VYKAT XR may fail to achieve the degree of market acceptance by physicians, patients, caregivers, healthcare payers and others in the medical community necessary for sustained commercial success.</w:t>
      </w:r>
    </w:p>
    <w:p>
      <w:pPr>
        <w:spacing w:after="0" w:line="5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VYKAT XR may fail to gain sufficient market acceptance by physicians, hospital administrators, patients, caregivers, healthcare payers and others in the medical community. The degree of market acceptance of VYKAT XR will depend on a number of factors, including the following:</w:t>
      </w:r>
    </w:p>
    <w:p>
      <w:pPr>
        <w:spacing w:after="0" w:line="5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severity of any side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effectiveness and potential advantages compared to alternative treatments;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86"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we charge for VYKAT XR;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educate the physician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change their current treatment practices;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or caregivers' perception of the efficacy of VYKAT XR and interest in remaining on-drug long-term;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or effectiveness of marketing and distribution support of partners;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or reimbursement.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opportunity for VYKAT XR is smaller than we believe it is, then our revenues may be adversely affected, and our business may suffer.</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PWS is a rare disease, and as such, our projections of both the number of people who have this disease, as well as the subset of people with PWS who could be prescribed VYKAT XR, are estimates based on data analysis of the reported patient population. If our estimates of the prevalence of PWS, the number of patients who may benefit from treatment with VYKAT XR, or the number of patients willing to stay on treatment indefinitely prove to be incorrect, the market opportunity for VYKAT XR may be smaller than we believe it is, our prospects for generating revenue may be adversely affected and our business may suffer.</w:t>
      </w:r>
    </w:p>
    <w:p>
      <w:pPr>
        <w:spacing w:after="0" w:line="11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execute our sales and marketing strategy for VYKAT XR or are unable to gain acceptance in the market, we may be unable to generate sufficient revenue to sustain our business.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Although we believe that VYKAT XR represents a promising commercial opportunity, VYKAT XR may never gain significant acceptance in the marketplace and therefore may never generate substantial revenue or sustainable profits for us. We will need to establish a market for VYKAT XR globally and build these markets through physician education, awareness programs, and other marketing efforts. Gaining acceptance in medical communities depends on a variety of factors, including clinical data published or reported in reputable contexts, the provisions of the approved label for VYKAT XR, and word-of-mouth between physicians. The process of publication in leading medical journals is subject to a peer review process and peer reviewers may not consider the results of our studies sufficiently novel or worthy of publication. Failure to have our trials published in peer-reviewed journals may limit the adoption of our products. Our ability to successfully market our products will depend on numerous factors, including:</w:t>
      </w:r>
    </w:p>
    <w:p>
      <w:pPr>
        <w:spacing w:after="0" w:line="81" w:lineRule="exact"/>
        <w:rPr>
          <w:sz w:val="20"/>
          <w:szCs w:val="20"/>
          <w:color w:val="auto"/>
        </w:rPr>
      </w:pPr>
    </w:p>
    <w:p>
      <w:pPr>
        <w:ind w:left="1020" w:right="6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clinical utility trials of such products in collaboration with key thought leaders to demonstrate our products’ value in informing important medical decisions such as treatment selection;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distribution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healthcare providers believe VYKAT XR provides clinical utility which outweighs potential side effects; and</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health insurers, government health programs and other payers will cover and pay for VYKAT XR and, if so, whether they will adequately reimburse us.</w:t>
      </w:r>
    </w:p>
    <w:p>
      <w:pPr>
        <w:spacing w:after="0" w:line="5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may rely on third parties, who we do not control, to distribute and sell VYKAT XR. If these distributors are not committed to VYKAT XR or otherwise run into their own financial or other difficulties, it may result in failure to achieve widespread market acceptance of VYKAT XR, and would materially harm our business, financial condition and results of operations.</w:t>
      </w:r>
    </w:p>
    <w:p>
      <w:pPr>
        <w:spacing w:after="0" w:line="6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build our sales, marketing, distribution, training and support functions or enter into agreements with third parties to perform these functions, we will not be able to effectively commercialize VYKAT XR and may not sustain profitability.</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achieve commercial success for VYKAT XR, we will need to establish and maintain a robust sales and marketing organization. We have built a targeted sales, marketing, training and support infrastructure to market VYKAT XR in the U.S. and to establish relationships with collaborations to market, distribute and support VYKAT XR outside of the U.S. There are risks involved with establishing our own sales, marketing, distribution, training and support capabilities. For example, recruiting and training sales and marketing personnel is expensive and time-consuming and could impact any product launch. Additionally, commercialization of therapeutic products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removal of our promotional materials from the market, or the removal of our approved products from the marketplace by regulatory authorities.</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VYKAT XR on our own include:</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adequate numbers of physicians to prescribe VYKAT XR or any future products;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our competitors to commercialize products at or about the time when our product candidates would be coming to market.</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successfully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VYKAT XR ourselves. In addition, we may not be successful in entering into arrangements with third parties to sell, market and distribute VYKAT XR or may be unable to do so on terms that are favorable to us. We likely will have little control over such third parties, and any of them may fail to devote the necessary resources and attention to commercialize VYKAT XR effectively. If we do not establish sales, marketing, distribution, training and support capabilities successfully, either on our own or in collaboration with third parties, we will not be successful in commercializing VYKAT XR and achieving sustainable profitability, and our business would be harmed.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physicians decide not to prescribe VYKAT XR, we may be unable to generate sufficient revenue to sustain our business.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To generate demand for VYKAT XR, we will need to educate physicians and other health care professionals on the clinical utility and benefits that VYKAT XR provides through published papers, presentations at scientific conferences, educational programs and one-on-one education sessions by members of our sales force. In addition, we will need support of physicians, hospital administrators, patients, healthcare payers and others in the medical community that the clinical and economic utility of VYKAT XR justifies payment at adequate pricing levels. We will also need to continue to train physicians on how to appropriately on how to treat and monitor patients with VYKAT XR in accordance with its approved label, and may find that some physicians are unwilling or unable to dedicate the necessary time or resources to appropriately treat patients with VYKAT XR. We may need to hire additional commercial, scientific, technical and other personnel to support this process.</w:t>
      </w:r>
    </w:p>
    <w:p>
      <w:pPr>
        <w:spacing w:after="0" w:line="13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attempt to form partnerships with respect to VYKAT XR, but we may not be able to do so, which may cause us to alter our development and commercialization plans and may cause us to terminate any such programs.</w:t>
      </w:r>
    </w:p>
    <w:p>
      <w:pPr>
        <w:spacing w:after="0" w:line="5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may form strategic alliances, create joint ventures or collaborations, or enter into licensing agreements with third parties that we believe will more effectively provide resources to develop and commercialize VYKAT XR.</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If we attempt to seek appropriate strategic partners, we may face significant competition, and the negotiation process to secure favorable terms is time-consuming and complex. We may not be successful in our efforts to</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3" w:name="page24"/>
    <w:bookmarkEnd w:id="2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 such a strategic partnership for any future products and programs on terms that are acceptable to us, or at all.</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Any delays in identifying suitable collaborators and entering into agreements to develop or commercialize VYKAT XR could negatively impact the development or commercialization of VYKAT XR, particularly in geographic regions like Europe, where we have limited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products or bring them to market, and our business may be materially and adversely affected.</w:t>
      </w:r>
    </w:p>
    <w:p>
      <w:pPr>
        <w:spacing w:after="0" w:line="1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VYKAT XR may cause serious adverse events or side effects or have other properties that could limit the commercial desirability or result in significant negative consequences following commercialization.</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Undesirable side effects caused by VYKAT XR could result in a number of potentially significant negative consequences could result, including:</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and caregivers could discontinue use of VYKAT XR after starting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may be reluctant to continue prescribing VYKAT XR if they have had a negative experience with a patient on VYKAT XR;</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approvals of VYKAT XR and we may be forced to recall VYKAT XR and suspend the marketing of VYKAT XR;</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that could diminish the usage or otherwise limit the commercial success of VYKAT XR;</w:t>
      </w:r>
    </w:p>
    <w:p>
      <w:pPr>
        <w:spacing w:after="0" w:line="53"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bodies may issue safety alerts, Dear Healthcare Provider letters, press releases or other communications containing warnings about VYKAT XR;</w:t>
      </w:r>
    </w:p>
    <w:p>
      <w:pPr>
        <w:spacing w:after="0" w:line="53" w:lineRule="exact"/>
        <w:rPr>
          <w:rFonts w:ascii="Times New Roman" w:cs="Times New Roman" w:eastAsia="Times New Roman" w:hAnsi="Times New Roman"/>
          <w:sz w:val="18"/>
          <w:szCs w:val="18"/>
          <w:color w:val="auto"/>
        </w:rPr>
      </w:pPr>
    </w:p>
    <w:p>
      <w:pPr>
        <w:jc w:val="both"/>
        <w:ind w:left="1020" w:right="54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more intensive monitoring or the establishment of Risk Evaluation Mitigation Strategy or a comparable foreign regulatory authority may require a similar strategy that may, for instance, restrict distribution of our products and impose burdensome implementation requirements on us;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VYKAT XR is administered or conduct additional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submit a Citizen Petition to the FDA asking for the FDA to request that we voluntarily recall VYKAT XR;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VYKAT XR. We currently hold $10.0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Additionally, in August 2025, the FDA began daily publication of adverse event data from the FDA's Adverse Event Reporting System (FAERS). The FAERS database includes spontaneous and voluntary reports from patients, caregivers and doctors, as well as mandatory manufacturer reports that companies are required to submit to the FDA, including expedited (15-day) alerts and periodic safety updates. A report in FAERS does not establish that a drug caused an adverse event and the adverse event could have been caused by the patient's underlying disease, other medications, or other factors. Reports frequently lack crucial clinical details like a patient's full medical history, the exact drug dosage, and the case narrative. Because of these limitations, FAERS data cannot be used to determine the frequency or likelihood of adverse events. It is difficult for external researchers and the public to interpret the significance of new reports, which can lead to a misinterpretation of the safety signals reported and a decrease in public confidence in a drug.</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which may result in others discovering, developing or commercializing products more successfully than we do.</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Alternative product candidates are being developed by our competitors and we will likely face competition with respect to any planned products that we may seek to develop or commercialize in the future, from major pharmaceutical companies, specialty pharmaceutical companies, and biotechnology companies worldwide. These companies may reduce prices for their competing drugs in an effort to gain or retain market share and undermine the value our products might otherwise be able to offer to payers.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trial sites and patient registration for clinical trials, as well as in acquiring technologies complementary to, or necessary for, our programs.</w:t>
      </w:r>
    </w:p>
    <w:p>
      <w:pPr>
        <w:spacing w:after="0" w:line="6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There has recently been increased activity in the development of drugs to treat the symptoms of PWS. We are aware of several other current or proposed clinical trials evaluating PWS therapies, including with glucagon-like peptide-1 (GLP-1) receptors in patients with PWS.</w:t>
      </w:r>
    </w:p>
    <w:p>
      <w:pPr>
        <w:spacing w:after="0" w:line="10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engage partners in commercializing VYKAT XR, they may become subject to unfavorable pricing regulations, third-party reimbursement practices or healthcare reform initiatives, thereby harming our business.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payers, such as private health insurers and health maintenance organizations, decide which medications they will pay for and establish reimbursement levels. A primary trend in the U.S. healthcare industry and elsewhere is cost containment. Government authorities and these third-party payers have attempted to control costs by limiting coverage, establish "most-favored-nation" policies, and the amount of reimbursement for particular medications. We cannot be sure that reimbursement will be available for any product that we commercialize in a particular geography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our products in specific geographies.</w:t>
      </w:r>
    </w:p>
    <w:p>
      <w:pPr>
        <w:spacing w:after="0" w:line="8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U.S., eligibility for reimbursement does not imply that any product will be paid for in all cases or at a rate that covers our costs, including research, development, manufacturing, sales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payers and by any future relaxation of laws that presently restrict imports of products from countries where they may be sold at lower prices than in the U.S. Third-party payers often rely upon Medicare coverage policy and payment limitations in setting their own reimbursement policies.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8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inability to promptly obtain coverage and profitable payment rates from both government funded and private payers for new products that we develop could have a material adverse effect on our operating results, our ability to raise capital needed to commercialize products and our overall financial condition. In some foreign countries, including major markets in Europe and Japan, the pricing of prescription pharmaceuticals is subject to governmental control. In these countries, pricing negotiations with governmental authorities can take longer than twelve months after the receipt of regulatory marketing approval for a product in many cases. To obtain reimbursement or pricing approval in some countries, we may be required to conduct a clinical trial that compares the cost-effectiveness of our product to other available therapies. Our business could be materially harmed if reimbursement of our products, if any, is unavailable or limited in scope or amount or if pricing is set at unsatisfactory levels.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obtain regulatory approval for our products in the E.U. or other jurisdictions our business would be harmed.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required to obtain regulatory approval for each indication we are seeking before we can market and sell our products in a particular jurisdiction, for such indication. Our ability to obtain regulatory approval of our products depends on, among other things, successful completion of clinical trials by demonstrating efficacy with statistical significance and clinical meaning, and safety in humans. The results of our current and future clinical trials may not meet the European Medicines Agency (EMA) or other regulatory agencies’ requirements to approve our products for marketing under any specific indication, and these regulatory agencies may otherwise determine that our third parties’ manufacturing processes, validation, and/ or facilities are insufficient to support approval. As such, we may need to conduct more clinical trials than we currently anticipate or upgrade the manufacturing processes and facilities, which may require significant additional time and expense, and may delay or prevent approval. If we fail to obtain regulatory approval in a timely manner, our commercialization of our products outside of the United States would be delayed and our business would be harmed.</w:t>
      </w:r>
    </w:p>
    <w:p>
      <w:pPr>
        <w:spacing w:after="0" w:line="13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will expose us to business, regulatory, political, operational, financial and economic risks associated with doing business outside of the U.S.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business strategy contemplates international expansion, including partnering with distributors, and introducing VYKAT XR and other planned products outside the U.S. In May 2025, we announced that our E.U. marketing authorization application (MAA) for diazoxide choline prolonged-release tablets (which we market in the U.S. as VYKAT XR) for the treatment of adults and children four years and older with PWS who have hyperphagia had been validated by the European Medicines Agency (EMA). We are currently in the process of addressing the EMA's written comments regarding our MAA and there is no guarantee that the EMA will approve our MAA. Even if we are successful in obtaining E.U. marketing authorization, the expansion of our commercial activities in the E.U. will increase our compliance costs and exposure to potential liabilities under E.U. laws. Additionally, doing business internationally involves a number of risks, including:</w:t>
      </w:r>
    </w:p>
    <w:p>
      <w:pPr>
        <w:spacing w:after="0" w:line="81" w:lineRule="exact"/>
        <w:rPr>
          <w:sz w:val="20"/>
          <w:szCs w:val="20"/>
          <w:color w:val="auto"/>
        </w:rPr>
      </w:pPr>
    </w:p>
    <w:p>
      <w:pPr>
        <w:ind w:left="1020" w:right="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export and import restrictions, tariffs, employment laws, regulatory requirements and other governmental approvals, permits and licenses;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by us or our distributors to obtain regulatory approvals for the sale or use of our current products and our planned future products in various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foreign operations, including hiring and maintaining a foreign employee base;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government payer systems, multiple payer-reimbursement regimes or self-pay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products, including infrastructure conditions and transportation delays;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our distributors do not execute successfully;</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enforcing contracts and collecting accounts receivable, and exposure to foreign currency exchange rate fluctuations;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or lack of them in certain jurisdictions, forcing more reliance on our trade secrets, if available;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86" w:lineRule="exact"/>
        <w:rPr>
          <w:sz w:val="20"/>
          <w:szCs w:val="20"/>
          <w:color w:val="auto"/>
        </w:rPr>
      </w:pPr>
    </w:p>
    <w:p>
      <w:pPr>
        <w:ind w:left="1020" w:right="2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might illegally distribute and sell counterfeit or unfit versions of our products, which do not meet our rigorous manufacturing, distribution and testing standards;</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that is stolen from warehouses or while in-transit, and that is subsequently improperly stored and sold through unauthorized channels, could adversely impact patient safety, our reputation and our business;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including the outbreak of hostilities in the Ukraine and the Middle East, outbreak of disease, boycotts, curtailment of trade and other business restrictions; and</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Foreign Corrupt Practices Act, including its books and records provisions and its anti-bribery provisions, by maintaining accurate information and control over sales activities and distributors’ activities.</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Any of these risks, if encountered, could significantly harm our future international expansion and operations and, consequently, have a material adverse effect on our financial condition, results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operation of our business</w:t>
      </w:r>
    </w:p>
    <w:p>
      <w:pPr>
        <w:spacing w:after="0" w:line="1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expand our development, regulatory and sales and marketing capabilities, and as a result, we may encounter difficulties in managing our growth, which could disrupt our operations.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we had 182 employees, up from 92 and 33 full-time employees as of December 31, 2024 and December 31, 2023, respectively. We have experienced significant growth in the number of our employees and the scope of our operations, particularly in the areas of sales and marketing, quality assurance, product development, regulatory affairs and drug development. To manage this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growth, we may not be able to effectively manage the 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w:t>
      </w:r>
    </w:p>
    <w:p>
      <w:pPr>
        <w:spacing w:after="0" w:line="8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maintaining, motivating and integrating additional employees with the expertise and experience we will require;</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while complying with our contractual obligations to licensors, licensees, contractors and other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additional relationships with various strategic partners, distributors, licensors, suppliers and other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managerial, development, operational and finance reporting systems and procedures;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clinical trials effectively, which we anticipate being conducted at numerous clinical sites;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facilities.</w:t>
      </w:r>
    </w:p>
    <w:p>
      <w:pPr>
        <w:spacing w:after="0" w:line="11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failure to accomplish any of these tasks could prevent us from successfully growing. Any inability to manage growth could delay the execution of our business plans or disrupt our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members of our executive management team could adversely affect our business.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success in implementing our business strategy depends largely on the skills, experience and performance of key members of our executive management team and others in key management positions. The collective efforts of each of these persons, and others working with them as a team, are critical to us as we continue to develop our commercial, financial, business development and research and development functions. As a result of the difficulty in locating qualified new management, the loss or incapacity of existing members of our executive management team could adversely affect our operations. If we were to lose one or more of these key employees, we could experience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8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difficulties in finding qualified successors, competing effectively, developing our technologies and implementing our business strategy. We do not currently maintain “key person” life insurance on any of our employees.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1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businesses, we may not succeed in attracting or retaining the personnel we require to continue and grow our operations.</w:t>
      </w:r>
    </w:p>
    <w:p>
      <w:pPr>
        <w:spacing w:after="0" w:line="7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development or commercialization agreements we may enter into for our products may place the development or distribution of these products outside our control, may require us to relinquish important rights, or may otherwise be on terms unfavorable to us.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may enter into distribution or commercialization agreements with third parties with respect to our products. Our likely collaborators for any distribution, marketing, licensing or other collaboration arrangements include large and mid-size companies, regional and national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products are subject to numerous risks, which may include the following:</w:t>
      </w:r>
    </w:p>
    <w:p>
      <w:pPr>
        <w:spacing w:after="0" w:line="117"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any such collaborations;</w:t>
      </w:r>
    </w:p>
    <w:p>
      <w:pPr>
        <w:spacing w:after="0" w:line="117" w:lineRule="exact"/>
        <w:rPr>
          <w:rFonts w:ascii="Times New Roman" w:cs="Times New Roman" w:eastAsia="Times New Roman" w:hAnsi="Times New Roman"/>
          <w:sz w:val="18"/>
          <w:szCs w:val="18"/>
          <w:color w:val="auto"/>
        </w:rPr>
      </w:pPr>
    </w:p>
    <w:p>
      <w:pPr>
        <w:jc w:val="both"/>
        <w:ind w:left="1020" w:right="3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products, or may elect not to continue or renew efforts based on clinical trial results, changes in their strategic focus for a variety of reasons, potentially including the acquisition of competitive products, availability of funding, and mergers or acquisitions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abandon a product, repeat or conduct new clinical trials or require a new engineering iteration of a product for clinical testing;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53" w:lineRule="exact"/>
        <w:rPr>
          <w:rFonts w:ascii="Times New Roman" w:cs="Times New Roman" w:eastAsia="Times New Roman" w:hAnsi="Times New Roman"/>
          <w:sz w:val="18"/>
          <w:szCs w:val="18"/>
          <w:color w:val="auto"/>
        </w:rPr>
      </w:pPr>
    </w:p>
    <w:p>
      <w:pPr>
        <w:ind w:left="1020" w:right="68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causes the delay or termination of the research, development or commercialization of our products or that results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right="9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products; and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86" w:lineRule="exact"/>
        <w:rPr>
          <w:sz w:val="20"/>
          <w:szCs w:val="20"/>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Any termination or disruption of collaborations could result in delays in the development of products, increases in our costs to develop the products or the termination of development of a product.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intend to do business outside the U.S., we will be subject to additional risks.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variety of risks associated with international operations could materially adversely affect our business, including:</w:t>
      </w:r>
    </w:p>
    <w:p>
      <w:pPr>
        <w:spacing w:after="0" w:line="117"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wars, trade barriers, trade restrictions, export or import sanctions,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including the outbreak of hostilities in the Ukraine, the Middle East, outbreaks of disease, or natural disasters including earthquakes, typhoons, floods and fires.</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particular, there is currently significant uncertainty about the future relationship between the United States and various other countries with respect to trade policies, treaties, tariffs, taxes and other limitations on cross-border operations. Since beginning his second term in office, President Trump has made and continues to make significant additional changes in U.S. trade policy and may continue to take future actions that could negatively impact U.S. trade. Such trade policies and tariff implementations, and any related retaliatory trade policies and tariff implementations by foreign governments, may result in any materials that we import to the U.S. from countries subject to tariffs becoming more expensive or increase the price of VYKAT XR in other countries, which could have a material adverse impact on our business, financial condition and results of operations. We cannot predict what actions may ultimately be taken with respect to trade relations between the United States and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 results of operations would be materially and adversely affected.</w:t>
      </w:r>
    </w:p>
    <w:p>
      <w:pPr>
        <w:spacing w:after="0" w:line="13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costs as a result of operating as a public company, and our management has devoted and will be required to continue to devote substantial time to new compliance initiatives.</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Nasdaq. The expenses of being a public company are material, and compliance with the various reporting and other requirements applicable to public companies requires considerable time and attention of management. For example, the Sarbanes-Oxley Act (SOX) and the rules of the SEC and national securities exchanges have imposed various requirements on public companies, including requiring establishment and maintenance of effective disclosure and financial controls. Our management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our Board committees, or as executive officers.</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SOX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SOX (Section 404). We currently do not have an internal audit group, and we will need to hire additional accounting and financial staff with appropriate public company experience and technical accounting knowledge.</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in a timely manner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This, in turn, could have an adverse impact on trading prices for our common stock, and could adversely affect our ability to access the capital markets.</w:t>
      </w:r>
    </w:p>
    <w:p>
      <w:pPr>
        <w:spacing w:after="0" w:line="13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by Section 404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 requirements of Section 404, which requires annual assessments by management of the effectiveness of our internal control over financial reporting. Effective December 31, 2024, we no longer qualified as a smaller reporting company and the reduced compliance requirements to smaller reporting companies no longer apply to us. As such, our auditor was required to attest to the effectiveness of our internal control over financial reporting beginning with our annual report on Form 10-K for the year ended December 31, 2024. We must implement and maintain substantial internal control systems and procedures to satisfy the reporting requirements under the Securities Exchange Act of 1934. 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stock listing on Nasdaq to be suspended or terminated, which could have a negative effect on the trading price of our common stock.</w:t>
      </w:r>
    </w:p>
    <w:p>
      <w:pPr>
        <w:spacing w:after="0" w:line="12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 or any subsequent testing by our independent registered public accounting firm in connection with Section 404, may reveal deficiencies in our internal controls over financial reporting that are deemed to be significant deficiencies or material weaknesses or that may require prospective or retroactive changes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our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Ineffective internal controls could also cause investors to lose confidence in our reported financial information, which could have a negative effect on the trading price of our common stock.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13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implementation of the new revenue accounting standard,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spacing w:after="0" w:line="136" w:lineRule="exact"/>
        <w:rPr>
          <w:sz w:val="20"/>
          <w:szCs w:val="20"/>
          <w:color w:val="auto"/>
        </w:rPr>
      </w:pPr>
    </w:p>
    <w:p>
      <w:pPr>
        <w:jc w:val="both"/>
        <w:ind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 the future we may identify material weaknesses, fail to remediate our current material weakness or otherwise fail to maintain an effective system of internal controls, which may result in material misstatements of our financial statements or cause us to fail to meet our periodic reporting obligations.</w:t>
      </w:r>
    </w:p>
    <w:p>
      <w:pPr>
        <w:spacing w:after="0" w:line="2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the past, our management has concluded that our disclosure controls and procedures and our internal control over financial reporting were not effective at the reasonable assurance level. While these material weaknesses have been remediated, if we discover additional weaknesses in our system of internal financial and accounting controls and procedures, our consolidated financial statements may contain material misstatements, and we could be required to restate our financial results.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Nasdaq Capital Market or any other securities exchange on which it is then listed. Failure to remedy any material weakness in our internal control over financial reporting, or to implement or maintain other effective control systems required of public companies, could also restrict our future access to the capital markets.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an interruption in supply from a material sole source supplier, our business may be harmed.</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internally to manufacture or distribute VYKAT XR. We are currently dependent on sole source suppliers to produce raw materials, active pharmaceutical ingredients (APIs), the finished drug product and the associated packaging for VYKAT XR. If there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is an interruption in supply from these sole source suppliers, for any reason, there can be no assurance that we will be able to obtain adequate quantities of the raw materials within a reasonable time or at commercially reasonable prices. Interruptions in supplies due to pricing, timing, availability, or other issues with our sole source suppliers could have a negative impact on our contract manufacturer's ability to manufacture VYKAT XR, which in turn could adversely affect the commercialization of VYKAT XR.</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Regardless of whether a sole source supplier enters into a written supply arrangement with us, such supplier could still delay, suspend, or terminate supply of raw materials to us for a number of reasons, including manufacturing or quality issues, payment disputes with us, or bankruptcy or insolvency situations.</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Manufacturing or quality assurance difficulties at our contractors and suppliers, the failure or refusal of a supplier or contract manufacturer to supply contracted quantities, or increases in demand on a supplier with constrained capacity could result in delays and disruptions in the manufacturing, distribution, and sale of VYKAT XR, leading to lost revenue or reduced market opportunities. Supply constraints may also lead to pauses, discontinuations, or other product availability issues, which could have a material adverse effect on our consolidated results of operations and cash flows. Further, cost inflation and transportation and logistics challenges in the future may cause delays in, and increase costs related to, procurement activity, and supplier or contract manufacturer arrangements.</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If a sole source supplier ceases supply of drug substance, drug product or labeled finished product, there is no guarantee that we will find an alternative supplier on terms acceptable to us, or at all. Finding alternative suppliers may not be feasible or could take a significant amount of time and involve significant expense due to the nature of VYKAT XR. Further the qualification process for a new vendor could take months or years, and any such delay in qualification could significantly harm our business.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United States, we rely on one specialty pharmacy to dispense VYKAT XR, deliver customer support, and provide us with related services, and our business could be harmed and we could be subject to liabilities if these services are performed inadequately or in a manner that does not comply with applicable laws and regulations.</w:t>
      </w:r>
    </w:p>
    <w:p>
      <w:pPr>
        <w:spacing w:after="0" w:line="6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VYKAT XR sales in the United States have initially been through a single specialty pharmacy and therefore our sales of VYKAT XR are highly dependent on the performance of this specialty pharmacy. A specialty pharmacy is a pharmacy that specializes in the dispensing of medications which often require a high level of patient education and ongoing management. The use of a specialty pharmacy involves risks, including, but not limited to, risks that a specialty pharmacy:</w:t>
      </w:r>
    </w:p>
    <w:p>
      <w:pPr>
        <w:spacing w:after="0" w:line="180"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effectively dispense or support VYKAT XR;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properly administer copay mitigation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provide us with accurate or timely information regarding their inventories or the number of patients who are using VYKAT XR;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provide timely and accurate information regarding product adverse events or product complaints;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devote the resources necessary to dispense VYKAT XR in a manner that meets patient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unable to satisfy financial obligations to us or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loses the required licenses to distribute VYKAT XR;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operations.</w:t>
      </w:r>
    </w:p>
    <w:p>
      <w:pPr>
        <w:spacing w:after="0" w:line="11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If a specialty pharmacy partner does not fulfill its contractual obligations to us or fails to adequately dispense VYKAT XR and deliver customer support, our product sales and business could be harmed or we could be subject to legal or regulatory liabilities or sanctions. Furthermore, arrangements between manufacturers and specialty pharmacies can be subject to government scrutiny and challenge under fraud and abuse laws if not structured properly.</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certain components of our clinical trials, and those third parties may not perform satisfactorily, including failing to meet deadlines for the completion of such studies.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6"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rely on third parties, such as contract research organizations, investigational product packaging, labeling and distribution, laboratories, medical institutions and clinical investigators and staff, to perform various functions for our clinical trials. Our reliance on these third parties for clinical development activities reduces our control over these activities but does not relieve us of our responsibilities. We remain responsible for ensuring that each of our clinical trials is conducted in accordance with the general investigational plan and protocols for the study. Moreover, the FDA and other regulatory agencies require us and third parties involved in the set-up, conduct, analysis and reporting of the clinical trials to comply with regulations and with standards, commonly referred to as good clinical practices (GCPs), to assure that data and reported results are credible and accurate and that the rights, integrity and confidentiality of patients in clinical trials are protected. Our clinical investigators are also required to comply with GCPs. 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part on our avoiding infringement and other violations of the patents and proprietary rights of third parties. Patent and other intellectual property litigation is prevalent in our industry. There is a substantial amount of litigation, both within and outside the U.S., involving patent and other intellectual property rights in the biotechnology and pharmaceutical industries, including patent infringement lawsuits, interferences, derivation and administrative law proceedings, inter partes review and post-grant review before the U.S. Patent and Trademark Office (USPTO), as well as oppositions and similar processes in foreign jurisdictions.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As the biotechnology and pharmaceutical industries expand and more patents are issued, and as we gain greater visibility and market exposure, the risk increases that our commercialization of VYKAT XR or other business activities may be subject to claims of infringement of the patent and other proprietary rights of third parties or requests for inter partes review and post-grant review. Third parties may assert that we are infringing their patents or employing their proprietary technology without authorization. We may become party to, or be threatened with, future adversarial proceedings or litigation regarding intellectual property rights with respect to our products.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intellectual property licensed to us and could require us to pay significant royalties and other fees.</w:t>
      </w:r>
    </w:p>
    <w:p>
      <w:pPr>
        <w:spacing w:after="0" w:line="87"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Also, there may be third-party patents or patent applications with claims to materials, formulations, methods of manufacture or methods for treatment related to the use or manufacture of VYKAT XR. Because patent applications can take many years to issue, there may be currently pending patent applications which may later result in issued patents that our product may infringe.</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third parties may obtain patent rights in the future and claim that use of our products infringes upon these rights. If any third-party patents were held by a court of competent jurisdiction to cover the manufacturing process of VYKAT XR, any molecules formed during the manufacturing process or any final product itself, the holders of any such patents may be able to block our ability to continue to commercialize VYKAT XR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our product unless we obtained a license or until such patent expires. In either case, such a license may not be available on commercially reasonable terms or at all. In addition, we may be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could be forced, including by court order, to cease commercializing the infringing product. In addition, we could be found liable for monetary damages. A finding of infringement could prevent us from commercializing our planned products or force us to cease some of our business operations, which could materially harm our business.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which may be impossible or require substantial time and monetary expenditure. We cannot predict whether any such license would be available at all or whether it would be available on commercially reasonable terms.</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we are successful in defending against intellectual property claims, litigation or other legal proceedings relating to such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w:t>
      </w:r>
    </w:p>
    <w:p>
      <w:pPr>
        <w:spacing w:after="0" w:line="134"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commercialize our products may be materially adversely affected if we are unable to obtain and maintain effective intellectual property rights for our planned products, or if the scope of the intellectual property protection is not sufficiently broad.</w:t>
      </w:r>
    </w:p>
    <w:p>
      <w:pPr>
        <w:spacing w:after="0" w:line="5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and other intellectual property protection in the U.S. and in other countries with respect to our proprietary products.</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patent position of pharmaceutical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products or which effectively prevent others from commercializing competitive products. The laws of foreign countries may not protect our rights to the same extent as the laws of the U.S. For example, many countries restrict the patentability of methods of treatment of the human body.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 As a result of these and other factors, the issuance, scope, validity, enforceability and commercial value of our patent rights are highly uncertain. Our pending and future patent applications may not result in patents being issued which protect products, in whole or in part, or which effectively prevent others from commercializing competitive products. Changes in either the patent laws or interpretation of the patent laws in the U.S. and other countries may diminish the value of the patents we rely on or narrow the scope of our patent protection.</w:t>
      </w:r>
    </w:p>
    <w:p>
      <w:pPr>
        <w:spacing w:after="0" w:line="8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Moreover, we may be subject to a third-party pre-issuance submission of prior art to the USPTO or become involved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8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infringing third-party patent rights. In addition, if the breadth or strength of protection provided by our patents and patent applications is threatened, it could dissuade companies from collaborating with us to license, develop or commercialize VYKAT XR.</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VYKAT XR, we may be open to competition from generic versions of VYKAT XR.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w:t>
      </w:r>
    </w:p>
    <w:p>
      <w:pPr>
        <w:spacing w:after="0" w:line="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scope, validity, enforceability, and commercial value of trademark rights are also uncertain. Pending and future trademark applications may not be successful.</w:t>
      </w:r>
    </w:p>
    <w:p>
      <w:pPr>
        <w:spacing w:after="0" w:line="10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legal proceedings to protect or enforce our intellectual property rights, which could be expensive, time-consuming, or unsuccessful.</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Competitors may infringe or otherwise violate the patents we rely on, or our other intellectual property rights including trademarks. To counter infringement or unauthorized use, we may be required to file infringement claims, which can be expensive and time-consuming, and there can be no assurance that such efforts will be successful. Our ability to enforce our patents and other intellectual property rights also depends on the laws of individual countries and each country’s practices regarding the enforcement of intellectual property rights and may also be impacted by regulatory actions taken by governmental authorities that affect our ability to use and maintain our intellectual property rights. The loss of patent protection or regulatory exclusivity on VYKAT XR or future products, including potential challenges to our Orange Book patent listings in the U.S., could materially impact our business, results of operations, financial condition and prospects.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or defense proceedings could put one or more patents at risk of being invalidated or interpreted narrowly and could put our patent applications at risk of not issuing. In patent litigation in the U.S., defendant counterclaims alleging invalidity or unenforceability are commonplace. Grounds for a validity challenge could be an alleged failure to meet any of several statutory requirements, including lack of novelty, obviousness, non-enablement, written description, or lack of patentable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vaccine candidates. Such a loss of patent protection could harm our business.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may not be able to prevent misappropriation of our intellectual property rights, particularly in countries where the laws may not protect those rights as fully as in the U.S.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the USPTO, or any foreign patent authority may be necessary to determine the priority of inventions or other matters of inventorship with respect to patents and patent applications. We may become involved in proceedings, including oppositions, interferences, derivation proceedings, interparty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w:t>
      </w:r>
    </w:p>
    <w:p>
      <w:pPr>
        <w:spacing w:after="0" w:line="8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Additionally, the U.S. Congress and certain state legislatures in the U.S. have also passed, or have proposed passing, legislation that could adversely impact our ability to settle patent litigations. For example, the State of California has enacted legislation that creates a presumption, with certain exceptions and safe harbors, that various types of patent litigation settlements are anti-competitive, and imposes substantial monetary penalties on companies and individuals who do not comply. The enforcement of this law has been preliminarily enjoined on constitutional grounds, but such legislation still creates a risk of significant potential exposure for settling patent litigations and, in turn, makes it more difficult to settle in the first place, which could have a material adverse effect on our business. VYKAT XR is listed in the Orange Book and can be cited by potential generic competitors in support of approval of an abbreviated new drug application (ANDA). An ANDA provides for the marketing of a drug product that has the same active ingredients in the same strengths and dosage form as the listed drug and has been shown to be bioequivalent to the listed drug. Other than the requirement for bioequivalence testing, ANDA applicants are not required to conduct, or submit results of, pre-clinical or clinical tests to prove the safety or effectiveness of their drug product. Drugs approved in this way are commonly referred to as “generic equivalents” to the listed drug and can often be substituted by pharmacists under prescriptions written for the original listed drug.</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ANDA applicant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section viii statement certifying that its proposed ANDA label does not contain (or carves out) any language regarding the patented method-of-use rather than certify to a listed method-of-use patent. If the ANDA applicant does not challenge the listed patents, the ANDA application will not be approved until all the listed patents claiming the referenced product have expired.</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receive a Paragraph IV certification asserting that the new product will not infringe our listed patents for VYKAT XR, or that such patents are invalid. Upon receipt of such a Paragraph IV certification, we would have 45 days from the receipt of such a certification to initiate a patent infringement lawsuit.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7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ANDA application also will not be approved until any applicable non-patent exclusivity, such as Orphan Exclusivity, listed in the Orange Book for the referenced product has expired.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8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including potential challenges to our Orange Book patent listings in the U.S.,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w:t>
      </w:r>
    </w:p>
    <w:p>
      <w:pPr>
        <w:spacing w:after="0" w:line="13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harming our business and competitive position.</w:t>
      </w:r>
    </w:p>
    <w:p>
      <w:pPr>
        <w:spacing w:after="0" w:line="51"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or enforce our intellectual property rights throughout the world.</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and trademarks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ongoing conflict in Ukraine and related sanctions could significantly devalue our Russian, Belarusian, and Eurasian patents and/or patent applications. Recent Russian decrees may also significantly limit our ability to enforce Russian patents. We cannot predict when or how this situation will change.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5540" w:right="200" w:hanging="5023"/>
        <w:spacing w:after="0" w:line="783" w:lineRule="auto"/>
        <w:tabs>
          <w:tab w:leader="none" w:pos="10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current and planned products, but that are not covered by claims in our patents;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line="86" w:lineRule="exact"/>
        <w:rPr>
          <w:sz w:val="20"/>
          <w:szCs w:val="20"/>
          <w:color w:val="auto"/>
        </w:rPr>
      </w:pPr>
    </w:p>
    <w:p>
      <w:pPr>
        <w:ind w:left="1020" w:right="2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filers of our patents that we developed or purchased might not have been the first to make the inventions covered by the claims contained in such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an invention;</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may not lead to issued patents;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may not provide us with any competitive advantages, or may be held invalid, unenforceable or not properly listable in the Orange Book in the U.S.,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167"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or applications will be due to be paid by us to the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spacing w:after="0" w:line="13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U.S.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 be viewed in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has significantly impacted European patents, including those granted before the introduction of such a system. Under the unitary patent system, European applications have the option, upon grant of a patent, of becoming a Unitary Patent which will be subject to the jurisdiction of the Unitary Patent Court (UPC). Patents granted before the implementation of the UPC have the ability to opt out of the jurisdiction of the UPC and remain as national patents in the UPC countries. Patents that remain under the jurisdiction of the UPC</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Additionally, recent reforms and changes at government agencies of the U.S.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spacing w:after="0" w:line="13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 patent term extension in the U.S. under the Hatch-Waxman Act and in foreign countries under similar legislation, thereby potentially extending the term of our marketing exclusivity for our planned products, our business may be materially harmed.</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8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employ individuals who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Additionally, while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These and other claims that we have misappropriated the confidential information or trade secrets of third parties can have a similar negative impact on our business to the infringement claims discussed above.</w:t>
      </w:r>
    </w:p>
    <w:p>
      <w:pPr>
        <w:spacing w:after="0" w:line="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Additionally, we may also be subject to claims that former employers or other third parties have an ownership interest in our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3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expensive, time consuming and uncertain, and we may not be successful in obtaining approvals for our planned products.</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import, export, marketing and distribution of our products are subject to extensive regulation by the FDA in the U.S. and other regulatory authorities in other countries, and these regulations differ from country to country. We are not permitted to market our planned products until we have received the requisite approval or clearance from the appropriate authorities. In March 2025, we announced that the FDA has approved VYKAT XR in the U.S. for the treatment of hyperphagia in adults and pediatric patients 4 years of age and older with PWS. In May 2025, we announced that our MAA for diazoxide choline prolonged-release tablets (which we market in the U.S. as VYKAT XR) for the treatment of adults and children four years and older with PWS who have hyperphagia had been validated by the EMA. We are currently in the process of addressing the EMA's written comments regarding our MAA and there is no guarantee that the EMA will approve our MAA.</w:t>
      </w:r>
    </w:p>
    <w:p>
      <w:pPr>
        <w:spacing w:after="0" w:line="8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Obtaining approvals from regulatory authorities can be a lengthy, expensive and uncertain process. In addition, failure to comply with FDA and other applicable U.S. and foreign regulatory requirements may subject us to administrative or judicially imposed sanctions, including the following:</w:t>
      </w:r>
    </w:p>
    <w:p>
      <w:pPr>
        <w:spacing w:after="0" w:line="5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or criminal penalties and fines;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accept or approve applications for marketing approval of new drugs or biologics or supplements to approved applications filed by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operations, including costly new manufacturing requirements;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or detention of our products or import bans.</w:t>
      </w:r>
    </w:p>
    <w:p>
      <w:pPr>
        <w:spacing w:after="0" w:line="11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Prior to receiving approval to commercialize any of our planned products in the U.S. or abroad, we will be required to demonstrate with substantial evidence from well-controlled clinical trials, and to the satisfaction of the FDA and other regulatory authorities abroad, that such planned products are safe and effective for their intended uses. Results from preclinical studies and clinical trials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trials of our planned products and result in the FDA or other regulatory authorities denying approval of our planned products for any or all targeted indications.</w:t>
      </w:r>
    </w:p>
    <w:p>
      <w:pPr>
        <w:spacing w:after="0" w:line="8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Regulatory approval from the FDA, EMA or a comparable foreign regulatory authority is not guaranteed, and the approval process is expensive and may take several years. The FDA, EMA and comparable regulatory authorities also have substantial discretion in the approval process. Despite the time and expense exerted, failure can occur at any stage, and we could encounter problems that cause us to abandon or repeat clinical trials or perform additional preclinical studies and clinical trials. The number of preclinical studies and clinical trials that will be required for FDA approval, EMA approval or approval from comparable regulatory authorities varies depending on the planned product, the disease or condition that the planned product is designed to address and the regulations applicable to any particular planned product. The FDA, EMA and comparable regulatory authorities can delay, limit or deny approval of a planned product for many reasons, including, but not limited to, the following:</w:t>
      </w:r>
    </w:p>
    <w:p>
      <w:pPr>
        <w:spacing w:after="0" w:line="7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planned product may not be deemed safe or effective;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officials may not find the data from preclinical studies and clinical trials sufficient;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might not approve our or our third-party manufacturer’s processes or facilities;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8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change its approval policies or adopt new regulations.</w:t>
      </w:r>
    </w:p>
    <w:p>
      <w:pPr>
        <w:spacing w:after="0" w:line="11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any current or planned products fail to demonstrate safety and effectiveness in clinical trials or do not gain regulatory approval, our business and results of operations will be materially and adversely harmed.</w:t>
      </w:r>
    </w:p>
    <w:p>
      <w:pPr>
        <w:spacing w:after="0" w:line="5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EMA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disagree with the design, implementation or results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reject some or all of our data from clinical trials due to concerns related to bias, unblinding before statistical analysis plan is finalized, and/or reliability of data when the analysis is considered exploratory and not planned prospectively;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not accept data pooled from different studies, especially if the studies features are not sufficiently similar;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finds that our data are not adequate to support the safety and efficacy of our product candidate for the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disagree with our statistical analysis plans;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determine that our product candidates are not safe and effective or have undesirable or unintended side effects, toxicities or other characteristics that preclude our obtaining marketing approval or prevent or limit commercial use;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population studied in the clinical trial may not be sufficiently broad or representative to assure efficacy and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disagree with our interpretation of data from nonclinical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not meet the statutory standard for substantial evidence of effectiveness or may fail to demonstrate statistical significance on the primary endpoint;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regulatory authorities that our product candidate’s risk-benefit ratio for its proposed indication is acceptable;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priorities, reduction in staffing, large staff turnover or inadequate funding for the regulatory authorities could hinder those agencies from performing normal business functions and increase the time necessary for regulatory submissions to be reviewed and approved, or decrease the likelihood of an approval;</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fail to approve the manufacturing processes, test procedures and specifications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regulatory authorities may significantly change in a manner rendering our clinical data insufficient for approval or resulting in delays in our regulatory approval.</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even if we obtain approval of a product candidate, regulatory authorities may approve a product candidate for fewer or more limited indications than we initially request, or may impose significant limitations in the form of narrow indications, warnings, contraindications, or risk evaluation mitigation measures. Regulatory authorities may not approve the price we intend to charge for a product candidate, may grant approval contingent on the performance of costly post-marketing clinical trials or other post-marketing studies, or may approve a product candidate with a label that does not include the labeling claims necessary or desirable for the successful commercialization of a product candidate. Any of the foregoing scenarios could seriously harm our business.</w:t>
      </w:r>
    </w:p>
    <w:p>
      <w:pPr>
        <w:spacing w:after="0" w:line="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Further, under the current administration and new leadership at the U.S. Department of Health and Human Services (HHS) and the FDA, executive orders and layoffs due to the reduction in force initiative, government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shutdowns and other measures implemented by the U.S. government may impact the normal operations of the FDA as well as other federal agencies. The FDA may lack adequate staff and resources to meet current review, approval, and inspection schedules, which could delay our anticipated timelines. In January 2025, an executive order entitled “Unleashing Prosperity Through Deregulation”, was issued which calls for at least 10 existing regulations to be repealed whenever an executive department or agency publicly proposes for notice and comment or otherwise promulgates a new regulation. Recent developments at the FDA include announcement of a new Commissioner’s National Priority Voucher program for companies supporting certain U.S. national health priorities and interests. To the extent our competitors are selected for this new voucher pilot program and obtain faster approvals, our competitive position may be harmed. Further, the FDA’s “real-time” release of newly issued Complete Response Letters associated with withdrawn or abandoned applications, if applicable to any of our product candidates, can materially impact our business and competitive advantage. It is unclear how our industry and our clinical programs and operations will be impacted by policies and regulations implemented under the current administration and FDA leadership, or other executive orders. There is significant uncertainty in the industry and how federal agencies like the FDA will change in the coming years under the current administration. To the extent new policies and other agency changes lead to disruptions in the FDA’s operations, our correspondence and regulatory review processes with the FDA may be materially delayed.</w:t>
      </w:r>
    </w:p>
    <w:p>
      <w:pPr>
        <w:spacing w:after="0" w:line="13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become available.</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Furthermore,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investors or regulatory authorities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3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w:t>
      </w:r>
    </w:p>
    <w:p>
      <w:pPr>
        <w:spacing w:after="0" w:line="5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Once marketing approval has been obtained, the approved product and its manufacturer are subject to continual review by the FDA or non-U.S. regulatory authorities, including, among other things, recordkeeping, periodic reporting, product sampling and distribution, advertising and promotion and reporting of adverse experiences with the product. The drug name will also be subject to review and approval by the FDA and other non-U.S. regulatory authorities, and may not be the same in all geographies, which may cause confusion.</w:t>
      </w:r>
    </w:p>
    <w:p>
      <w:pPr>
        <w:spacing w:after="0" w:line="72"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Future approvals may contain requirements for potentially costly post-marketing follow-up studies to monitor the safety and effectiveness of the approved product. In addition, we are subject to extensive and ongoing regulatory requirements by the FDA, EMA and other regulatory authorities with regard to the labeling, packaging, adverse event reporting, storage, advertising, promotion and recordkeeping for our products.</w:t>
      </w:r>
    </w:p>
    <w:p>
      <w:pPr>
        <w:spacing w:after="0" w:line="6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 addition, we are required to comply with cGMP and foreign regulations regarding the manufacture of our drugs, which include requirements related to quality control and quality assurance as well as the corresponding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maintenance of records and documentation. Further, regulatory authorities must approve these manufacturing facilities before they can be used to manufacture drug products, and these facilities are subject to continual review and periodic inspections by the FDA, EMA and other regulatory authorities for compliance with cGMP and foreign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 Changes to the manufacturing process are strictly regulated and generally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 of production and quality control to maintain cGMP compliance. In addition, in June 2024, the U.S. Supreme Court in Loper Bright Enterprises v. Raimondo reversed its longstanding approach under the Chevron doctrine, which gave deference to regulatory agencies in litigation against the FDA and other agencies. As a result, more companies may bring lawsuits against the FDA to challenge longstanding decisions and policies of the FDA, which could undermine the FDA’s authority, lead to uncertainties in the industry, and disrupt the FDA’s normal operations, which could delay the FDA’s review of our future marketing applications.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72"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For example, drugs that are developed for rare diseases can be designated as Orphan Drugs. In the U.S., the disease or condition has an incidence of less than 200,000 persons and in the E.U. the prevalence of the condition must be not more than 5 in 10,000 persons.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and potentially benefit from 10 years of market exclusivity (which period of market exclusivity may be extended by two years for orphan medicinal products that have also complied with an agreed pediatric investigation plan), during which time the EMA is generally precluded from approving a MAA for a similar medicinal product. Applicants must first satisfy the orphan designation criteria and apply for orphan designation before making the application for marketing authorization. The applicant must then successfully maintain the orphan designation at the time of the MAA in order to qualify for 10 years of orphan market exclusivity. It is important to note that the regulatory protection afforded to medicinal products such as data exclusivity, marketing protection, market exclusivity for orphan indications and pediatric extension are currently under review at the E.U. level. The protection currently afforded in the E.U. could be reduced in the future.</w:t>
      </w:r>
    </w:p>
    <w:p>
      <w:pPr>
        <w:spacing w:after="0" w:line="84"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While the Catalyst Pharms., Inc. v. Becerra, 14 F.4th 1299 (11th Cir. 2021) decision created uncertainty in the application of the orphan drug exclusivity, on January 24, 2023, the FDA published a notice in the Federal Register to clarify that while the agency complies with the court’s order in Catalyst, the FDA intends to continue to apply its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3" w:name="page44"/>
    <w:bookmarkEnd w:id="43"/>
    <w:p>
      <w:pPr>
        <w:spacing w:after="0" w:line="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longstanding interpretation of the regulations to matters outside of the scope of the Catalyst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The Consolidated Appropriations Act of 2026, signed into law in February 2026, codified this longstanding FDA interpretation of the Orphan Drug Act, allowing the FDA to approve multiple versions of the same orphan drug for different subindications and subpopulations.</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 orphan exclusivity in the U.S. and other jurisdictions may be lost if the FDA or comparable foreign regulatory authorities later determines that the request for designation was materially defective or if we are unable to ensure that we will be able to manufacture sufficient quantities of the product to meet the needs of patients with the rare disease or condition. In the U.S. and other jurisdictions, orphan drug exclusivity may not effectively protect an approved product from competition because different drugs with different active moieties may be approved for the same condition. Even after an orphan drug is approved, regulatory authorities can subsequently approve the same drug with the same active moiety for the same condition if the applicable regulatory authorities conclude that the later drug is clinically superior in that it is shown to be safer, more effective or makes a major contribution to patient care or the manufacturer of the product with orphan exclusivity is unable to maintain sufficient product quantity.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approvals in foreign jurisdictions will prevent us from marketing our products internationally.</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may seek distribution and marketing partners for our current products outside the U.S. and may market planned products in international markets. In May 2025, we announced that our MAA for diazoxide choline prolonged-release tablets (which we market in the U.S. as VYKAT XR) for the treatment of adults and children four years and older with PWS who have hyperphagia had been validated by the EMA. We are currently in the process of addressing the EMA's written comments regarding our MAA and there is no guarantee that the EMA will approve our MAA. If we obtain E.U. marketing authorization, the expansion of our commercial activities in the E.U. will increase our compliance costs and exposure to potential liabilities under E.U. laws.</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After receiving regulatory approval through any of the E.U. registration procedures, separate pricing and reimbursement approvals are also required in each Member State. During the time of MAA assessment and following approval of an MAA by the EMA, the applicant is subject to oversight and inspection in pharmacovigilance (Good Vigilance Practice - GVP), clinical trials (Good Clinical Practice - GCP), manufacturing and distribution (Good Manufacturing and Good Distribution Practices- GMP &amp; GDP) and as a Marketing Authorisation Holder.</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have had limited interactions with foreign regulatory authorities. The approval procedures vary among countries and can involve additional clinical testing, and the time required to obtain approval may differ from that required to obtain FDA approval. Moreover, clinical trials or manufacturing processes conducted in one country may not be accepted by regulatory authorities in other countries. Approval by the FDA does not ensure approval by regulatory authorities in other countries or regions,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our commercial success.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(PPACA), was enacted in 2010. The PPACA contains a number of provisions, including those governing enrollments in federal healthcare programs, reimbursement changes and fraud and abuse measures, all of which will impact existing government healthcare programs and will result in the development of new programs. The PPACA, among other things: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6"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result in the imposition of injunctions;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collection of rebates for drugs paid by Medicaid managed care organizations; and</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manufacturers to participate in a coverage gap discount program, under which they must agree to offer 50% point-of-sale discounts off negotiated prices of applicable branded drugs to eligible beneficiaries during their coverage gap period, as a condition for the manufacturer’s outpatient drugs to be covered under Medicare Part D.</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PPACA. In June 2021, the U.S. Supreme Court dismissed the most recent judicial challenge to the PPACA without specifically ruling on the constitutionality of the ACA. Thus, the ACA remains in force in its current form. Any changes to the PPACA are likely to have an impact on our results of operations and may have a material adverse effect on our results of operations. We cannot predict what other health care programs and regulations will ultimately be implemented at the federal or state level or the effect of any future legislation or regulation in the U.S. may have on our business.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PPACA was enacted. For example, the American Taxpayer Relief Act of 2012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which will remain in effect through 2032, unless Congress takes further action. We cannot predict how any additional legislative changes or changes in presidential administrations will affect our business.</w:t>
      </w:r>
    </w:p>
    <w:p>
      <w:pPr>
        <w:spacing w:after="0" w:line="75" w:lineRule="exact"/>
        <w:rPr>
          <w:sz w:val="20"/>
          <w:szCs w:val="20"/>
          <w:color w:val="auto"/>
        </w:rPr>
      </w:pPr>
    </w:p>
    <w:p>
      <w:pPr>
        <w:jc w:val="both"/>
        <w:ind w:right="360" w:firstLine="509"/>
        <w:spacing w:after="0" w:line="289" w:lineRule="auto"/>
        <w:rPr>
          <w:sz w:val="20"/>
          <w:szCs w:val="20"/>
          <w:color w:val="auto"/>
        </w:rPr>
      </w:pPr>
      <w:r>
        <w:rPr>
          <w:rFonts w:ascii="Times New Roman" w:cs="Times New Roman" w:eastAsia="Times New Roman" w:hAnsi="Times New Roman"/>
          <w:sz w:val="17"/>
          <w:szCs w:val="17"/>
          <w:color w:val="auto"/>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payers of healthcare services to contain or reduce costs of health care may adversely affect:</w:t>
      </w:r>
    </w:p>
    <w:p>
      <w:pPr>
        <w:spacing w:after="0" w:line="50"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maintain profitability;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have initiated lawsuits against the federal government asserting that the price negotiation provisions of the IRA are unconstitutional. The current administration has issued executive orders focused on decreasing prescription drug prices, including directing the Secretary of HHS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U.S. In November 2025, CMS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measures that use most-favored-nation pricing targets for prescription drugs, including the use of international pricing reference to set drug prices in the U.S., or that increase generic and biosimilar drug entry sooner than expected, can have a material adverse effect on our industry, the ability to set adequate pricing for new drugs to recover R&amp;D costs, and the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U.S. Such cost containment policies and executive orders could substantially and negatively impact the prices we may charge for any approved products, which could harm our valuation, ability to generate revenue and sustain profitability. In addition, the One Big Beautiful Bill Act (OBBBA), which was signed into law in July 2025, includes provisions that will impact the United States healthcare system in various ways, including budget cuts to Medicaid and introducing new participant work and eligibility requirements for Medicaid coverage, which are expected to significantly change the administration and applicability of Medicaid coverage. The OBBBA also expanded exemptions for orphan designated drugs for Medicare drug price negotiations, which is expected to incentivize development of orphan designated drugs or increase competition for drug development in orphan diseases or conditions. Although the full impact of the OBBBA on the healthcare system and our business is uncertain, the resulting changes may increase the cost and complexity of completing clinical development of and launching any product candidates for which we may receive regulatory approval or increase our competition in the marketplace, any of which could adversely affect our business and prospects. The impact of ongoing and future judicial challenges, as well as future legislative, executive, and administrative actions and healthcare measures and agency rules implemented by the government on us and the pharmaceutical industry as a whole is unclear. To the extent changes lead to disruptions in federal agencies, greater uncertainty in the industry, or impose more constraints on drug pricing, such as the introduction of the most-favored nation pricing or international reference pricing, our business may be materially impacted. The implementation of cost containment measures or other healthcare reforms may negatively impact the valuation of our company or prevent us from being able to generate revenue, sustain profitability, or commercialize our product candidates if approved.</w:t>
      </w:r>
    </w:p>
    <w:p>
      <w:pPr>
        <w:spacing w:after="0" w:line="9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individual states in the U.S.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Further, the FDA has authorized the State of Florida to develop a program to import certain prescription drugs from Canada for a limited time-period to help reduce drug costs, provided that Florida’s Agency for Health Care Administration meets the requirements set forth by the FDA. Other states may follow Florida. The implementation of cost containment measures or other healthcare reforms may prevent us from being able to generate revenue, sustain profitability or commercialize our products or product candidates.</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Further, changes in regulatory requirements and guidance may occur and we may need to amend clinical trial protocols of ongoing studies to reflect these changes. Amendments may require us to resubmit our clinical trial protocols IRBs for reexamination, which may impact the costs, timing or successful completion of a clinical trial.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trials and the drug approval process. Data from clinical trials may receive greater scrutiny with respect to safety, which may make the FDA or other regulatory authorities more likely to terminate or suspend clinical trials before completion or require longer or additional clinical trials that may result in substantial additional expense and a delay or failure in obtaining approval or approval for a more limited indication than originally sought.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12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healthcare regulations, we could face substantial penalties and our business, operations and financial condition could be adversely affected.</w:t>
      </w:r>
    </w:p>
    <w:p>
      <w:pPr>
        <w:spacing w:after="0" w:line="5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Even though we do not, and will not, control referrals of healthcare services or bill directly to Medicare, Medicaid or other third-party payers, certain U.S.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w:t>
      </w:r>
    </w:p>
    <w:p>
      <w:pPr>
        <w:spacing w:after="0" w:line="72" w:lineRule="exact"/>
        <w:rPr>
          <w:sz w:val="20"/>
          <w:szCs w:val="20"/>
          <w:color w:val="auto"/>
        </w:rPr>
      </w:pPr>
    </w:p>
    <w:p>
      <w:pPr>
        <w:ind w:left="102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program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71"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indirectly, to induce either the referral of an individual, for an item or service or the purchasing or ordering of a good or service, for which payment may be made under federal healthcare programs, such as the Medicare and Medicaid programs;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spacing w:after="0" w:line="6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laws that prohibit executing a scheme to defraud any healthcare benefit program or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Portability and Accountability Act (HIPAA), as amended by the Health Information Technology for Economic and Clinical Health Act of 2009 (HITECH Act), which governs the conduct of certain electronic healthcare transactions and protects the security and privacy of protected health information; and</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payer, including commercial insurers.</w:t>
      </w:r>
    </w:p>
    <w:p>
      <w:pPr>
        <w:spacing w:after="0" w:line="54"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w:t>
      </w:r>
    </w:p>
    <w:p>
      <w:pPr>
        <w:spacing w:after="0" w:line="72" w:lineRule="exact"/>
        <w:rPr>
          <w:sz w:val="20"/>
          <w:szCs w:val="20"/>
          <w:color w:val="auto"/>
        </w:rPr>
      </w:pPr>
    </w:p>
    <w:p>
      <w:pPr>
        <w:ind w:right="160" w:firstLine="509"/>
        <w:spacing w:after="0" w:line="263"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3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other customers, and third-party payers are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Now that we have begun commercializing VYKAT XR, we are subject to additional healthcare statutory and regulatory requirements and enforcement by the federal government and the states and foreign governments in which we conduct our business. Healthcare providers, physicians, and third-party payers play a primary role in the recommendation and prescription of VYKAT XR. Our arrangements with third-party payors and customers may expose us to broadly applicable fraud and abuse and other healthcare laws and regulations that may constrain the business or financial arrangements and relationships through which we market, sell, and distribute VYKAT XR. Restrictions under applicable federal and state healthcare laws and regulations include, but are not limited to, the Anti-Kickback Statute, the False Claims Act, HIPAA and the HITECH Act.</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comply with applicable healthcare laws and regulations could involve substantial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statutes, regulations or case law involving applicable fraud and abuse, privacy or data protection,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civil, criminal, and administrative penalties, damages, fines, other damages, imprisonment, exclusion from government funded healthcare programs, such as Medicare and Medicaid, and the curtailment or restructuring of our operations. If any of the physicians or other providers or entities with whom we do business is found not to be in compliance with applicable laws, they may be subject to criminal, civil or administrative sanctions, including exclusions from government funded healthcare programs.</w:t>
      </w:r>
    </w:p>
    <w:p>
      <w:pPr>
        <w:spacing w:after="0" w:line="13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laws regarding privacy, data protection, and data security that could entail substantial compliance costs, while the failure to comply could subject us to significant liability.</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Privacy, data protection, and data security have become significant issues in the U.S., Europe, and other jurisdictions where we conduct or may in the future conduct our operations. The regulatory framework for the collection, use, safeguarding, sharing, and transfer of health and other personal information is rapidly evolving worldwide and is likely to remain in flux for the foreseeable future. The scope and interpretation of the laws that are or may be applicable to us are often uncertain, subject to differing interpretations, and may be inconsistent among different jurisdictions.</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U.S., HIPAA, as amended by the HITECH Act, imposes on covered entities certain requirements relating to the privacy, security, and transmission of individually identifiable health information. The legislation also increased the civil and criminal penalties that may be assessed for violations and gave state attorneys general the authority to file civil actions in federal courts to enforce the HIPAA rules. In addition, for clinical trials conducted in the U.S., any personal information that is collected is further regulated by the Federal Policy for the Protection of Human Subjects. Privacy laws are also being enacted or considered at the state level, including significant new legislation in California, the California Consumer Privacy Act, as amended by the California Privacy Rights Act. While there is currently an exception for protected health information subject to HIPAA and clinical trial regulations, these and other state privacy laws may impact our business activities, and there continues to be uncertainty about how these laws will be interpreted and enforced. Other states have passed privacy legislation, including general privacy legislation similar to the CCPA, and legislation such as Washington’s My Health, My Data Act, that also may impact our business activities, in the future and additional states are evaluating similar legislation. In the event we enroll subjects in clinical trials in the E.U. or other jurisdictions, or otherwise acquire or process personal data of individuals in those jurisdictions, we may be subject to additional restrictions and obligations relating to the collection, use, storage, transfer, and other processing of this data. Our activities in the European Economic Area (EEA), for example, are governed by the E.U. General Data Protection Regulation (GDPR).</w:t>
      </w:r>
    </w:p>
    <w:p>
      <w:pPr>
        <w:spacing w:after="0" w:line="8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may need to take additional steps, such as new contractual negotiations or modifications to our policies or practices relating to cross-border transfers of personal data, to comply with these restrictions and obligations. More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generally, laws and regulations governing privacy and data protection exist in many other countries around the world, and these laws (which are evolving and expanding) create complicated and potentially inconsistent obligations that may impact our business.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increasing number, complexity, and potential inconsistency of current and future laws and regulations relating to privacy, data protection, and data security in the U.S. and other countries make our compliance obligations more difficult and costly. If we fail to comply with applicable laws and regulations or experience a breach of security that results in unauthorized disclosure of personal information - or if a third party with whom we share personal information or who processes such information for us fails to comply with applicable requirements or experiences a security breach or incident- or if any of these is reported or perceived to have occurred, it could lead to government investigations, enforcement actions, and other proceedings, as well as civil claims and litigation against us. We could incur substantial costs to defend against any such claims or proceedings and may also be held liable for significant fines, penalties, and monetary judgments. Any of the foregoing could have a material adverse effect on our business, results of operations, reputation,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purchasers of our securities could incur substantial losses.</w:t>
      </w:r>
    </w:p>
    <w:p>
      <w:pPr>
        <w:spacing w:after="0" w:line="121"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7"/>
          <w:szCs w:val="17"/>
          <w:color w:val="auto"/>
        </w:rPr>
        <w:t>Our stock price has been and is likely to continue to be volatile. Since the approval of VYKAT XR in March 2025, our stock price has closed as high as $88.49 and as low as $37.24. The stock market in general, and the market for biotechnology companies in particular, have experienced extreme volatility that has often been unrelated to the operating performance of particular companies. As a result of this volatility, investors may not be able to sell their common stock at or above the purchase price. The market price for our common stock may be influenced by many factors, including the following:</w:t>
      </w:r>
    </w:p>
    <w:p>
      <w:pPr>
        <w:spacing w:after="0" w:line="56"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sustain profitability from sales of VYKAT XR;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other clinical trials of our products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 especially changes in laws or regulations applicable to our products;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commercialization partners,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products, clinical trials, manufacturing process or sales and marketing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products or planned products;</w:t>
      </w:r>
    </w:p>
    <w:p>
      <w:pPr>
        <w:spacing w:after="0" w:line="117" w:lineRule="exact"/>
        <w:rPr>
          <w:rFonts w:ascii="Times New Roman" w:cs="Times New Roman" w:eastAsia="Times New Roman" w:hAnsi="Times New Roman"/>
          <w:sz w:val="18"/>
          <w:szCs w:val="18"/>
          <w:color w:val="auto"/>
        </w:rPr>
      </w:pPr>
    </w:p>
    <w:p>
      <w:pPr>
        <w:ind w:left="1020" w:right="8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collaborations, including but not limited to those with our sources of manufacturing supply and our commercialization partners;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ability to bring our manufacturing processes to scale in a cost-effective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in foreign jurisdictions;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86"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those due to inflation;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described in this “Risk Factors” section.</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12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the perception that future sales may occur, may cause the market price of our common stock to decline, even if our business is doing well.</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the future, we may issue additional shares of common stock or other equity or debt securities convertible into common stock in connection with a financing, acquisition, litigation settlement, employee arrangement or otherwise. Any such issuance could result in substantial dilution to our existing stockholders and could cause our stock price to decline.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 forwards and certain other tax attributes will be limited.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utilize our federal net operating loss, carryforwards and federal tax credit will be limited under Sections 382 and 383 of the Internal Revenue Code of 1986, as amended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The Company has completed a Section 382 analysis from January 1, 2024 through June 30, 2025 and determined that a change in ownership has occurred on June 30, 2024. As a result, the net operating loss carryforwards and tax credit carryforwards may be subject to annual limitations before being applied to reduce future income tax liabilities. For years ended after June 30, 2025, the utilization of net operating losses and tax credit carryforwards are subject to further limitation in the event an additional ownership change were to occur for tax purposes. In addition, we raised capital in May 2024 and July 2025 that may further limit our ability to utilize our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w:t>
      </w:r>
    </w:p>
    <w:p>
      <w:pPr>
        <w:spacing w:after="0" w:line="13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inaccurate or unfavorable research, about our business, our stock price and trading volume could decline.</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continue to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7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recently have been and may be in the future become subject to short-selling campaigns, activist investors and securities litigation, which are expensive and could divert management attention.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4"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We have recently experienced volatility in the market price of our common stock caused by a short-selling campaign, which may lead to securities class action litigation or additional short-selling or activist investor activities. This has resulted and may continue to result in substantial costs and divert management's attention from other business concerns, any of which could seriously harm our business.</w:t>
      </w:r>
    </w:p>
    <w:p>
      <w:pPr>
        <w:spacing w:after="0" w:line="176"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There has recently been a concerted effort by an activist short seller to spread negative information about us and VYKAT XR in order to gain a market advantage. 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18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publication of this type of commentary regarding the Company and VYKAT XR by a short seller in August 2025 resulted in a decline in the market price of our common stock. Publication of incomplete or misleading information about the Company and VYKAT XR may also result in provider concerns, patient discontinuations, payer questions, increased insurance premiums and shareholder lawsuits, the uncertainty and expense of which could adversely impact our reputation, business, financial condition, and operating results. No assurance can be made that we will not continue to be the target of such commentary or that declines in the market price of our common stock will not occur in the future in connection with such commentary by this short seller or otherwise.</w:t>
      </w:r>
    </w:p>
    <w:p>
      <w:pPr>
        <w:spacing w:after="0" w:line="1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51"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Because our Board is responsible for appointing the members of our management team, these provisions could in turn affect any attempt by our stockholders to replace current members of our management team. Among others, these provisions include the following:</w:t>
      </w:r>
    </w:p>
    <w:p>
      <w:pPr>
        <w:spacing w:after="0" w:line="81" w:lineRule="exact"/>
        <w:rPr>
          <w:sz w:val="20"/>
          <w:szCs w:val="20"/>
          <w:color w:val="auto"/>
        </w:rPr>
      </w:pPr>
    </w:p>
    <w:p>
      <w:pPr>
        <w:ind w:left="1020" w:right="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is divided into three classes with staggered three-year terms which may delay or prevent a change of our management or a change in control;</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has the right to elect directors to fill a vacancy created by the expansion of our Board or the resignation, death or removal of a director, which will prevent stockholders from being able to fill vacancies on our Board;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the chairman of our board, the chief executive officer or the president;</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prohibits cumulative voting in the election of directors, which limits the ability of minority stockholders to elect director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of our certificate of incorporation and bylaws require the approval of 66 2/3% of our outstanding voting securities;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required to provide advance notice and additional disclosures in order to nominate individuals for election to our Board or to propose matters that can be acted upon at a stockholders’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86" w:lineRule="exact"/>
        <w:rPr>
          <w:sz w:val="20"/>
          <w:szCs w:val="20"/>
          <w:color w:val="auto"/>
        </w:rPr>
      </w:pPr>
    </w:p>
    <w:p>
      <w:pPr>
        <w:ind w:left="1020" w:right="340"/>
        <w:spacing w:after="0" w:line="282" w:lineRule="auto"/>
        <w:rPr>
          <w:sz w:val="20"/>
          <w:szCs w:val="20"/>
          <w:color w:val="auto"/>
        </w:rPr>
      </w:pPr>
      <w:r>
        <w:rPr>
          <w:rFonts w:ascii="Times New Roman" w:cs="Times New Roman" w:eastAsia="Times New Roman" w:hAnsi="Times New Roman"/>
          <w:sz w:val="18"/>
          <w:szCs w:val="18"/>
          <w:color w:val="auto"/>
        </w:rPr>
        <w:t>meeting, which may discourage or deter a potential acquirer from conducting a solicitation of proxies to elect the acquirer’s own slate of directors or otherwise attempting to obtain control of our company; and</w:t>
      </w:r>
    </w:p>
    <w:p>
      <w:pPr>
        <w:spacing w:after="0" w:line="54" w:lineRule="exact"/>
        <w:rPr>
          <w:sz w:val="20"/>
          <w:szCs w:val="20"/>
          <w:color w:val="auto"/>
        </w:rPr>
      </w:pPr>
    </w:p>
    <w:p>
      <w:pPr>
        <w:ind w:left="1020" w:right="1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are able to issue, without stockholder approval, shares of undesignated preferred stock, which makes it possible for our Board to issue preferred stock with voting or other rights or preferences that could impede the success of any attempt to acquire us.</w:t>
      </w:r>
    </w:p>
    <w:p>
      <w:pPr>
        <w:spacing w:after="0" w:line="54"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2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company policies may require us to pay severance benefits to our executive officers who are terminated in connection with a change in control of us, which could harm our financial condition or results.</w:t>
      </w:r>
    </w:p>
    <w:p>
      <w:pPr>
        <w:spacing w:after="0" w:line="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have implemented policies with change in control and severance provisions providing for aggregate cash payments for severance and other benefits to our executive officers and acceleration of equity vesting in the event of a termination of employment in connection with a change in control of our company. The accelerated vesting of equity awards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w:t>
      </w:r>
    </w:p>
    <w:p>
      <w:pPr>
        <w:spacing w:after="0" w:line="1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future, and, as a result, any return on investment may be limited to the value of our stock.</w:t>
      </w:r>
    </w:p>
    <w:p>
      <w:pPr>
        <w:spacing w:after="0" w:line="5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never paid dividends and do not anticipate paying dividends in the foreseeable future. The payment of dividends will depend on our earnings, capital requirements, financial condition, prospects and other factors our Board may deem relevant. If we do not pay dividends, our stock may be less valuable because a return on your investment will only occur if our stock price appreciates and you sell our common stock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may fail or experience security breaches and incidents that could adversely impact our business and operations and subject us to liability.</w:t>
      </w:r>
    </w:p>
    <w:p>
      <w:pPr>
        <w:spacing w:after="0" w:line="51" w:lineRule="exact"/>
        <w:rPr>
          <w:sz w:val="20"/>
          <w:szCs w:val="20"/>
          <w:color w:val="auto"/>
        </w:rPr>
      </w:pPr>
    </w:p>
    <w:p>
      <w:pPr>
        <w:jc w:val="both"/>
        <w:ind w:right="600" w:firstLine="509"/>
        <w:spacing w:after="0" w:line="261" w:lineRule="auto"/>
        <w:rPr>
          <w:sz w:val="20"/>
          <w:szCs w:val="20"/>
          <w:color w:val="auto"/>
        </w:rPr>
      </w:pPr>
      <w:r>
        <w:rPr>
          <w:rFonts w:ascii="Times New Roman" w:cs="Times New Roman" w:eastAsia="Times New Roman" w:hAnsi="Times New Roman"/>
          <w:sz w:val="18"/>
          <w:szCs w:val="18"/>
          <w:color w:val="auto"/>
        </w:rPr>
        <w:t>We have experienced significant growth in the complexity of our data and the software tools that we rely upon. We rely significantly upon information technology systems and infrastructure owned and maintained by us or by third party providers to generate, collect, store, and transmit confidential and proprietary information and data (including but not limited to intellectual property, proprietary business information, and personal information) and to operate our business.</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expect to continue to incur significant costs related to technical and procedural controls to reduce the risks to our information technology systems. Despite these measures, our information technology and other internal infrastructure systems face the risk of failures, interruptions, security breaches and incidents, or other harm from various causes or sources, and third parties with whom we share confidential or proprietary information face similar risks and may experience similar events that materially impact us.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techniques used by cyber criminals change frequently, may not be recognized until launched, and can originate from a wide variety of sources, including outside groups and individuals with a range of motives (including industrial espionage) and expertise, such as organized crime affiliates, terrorist organizations, or hostile foreign governments or agencies. The costs to us to investigate and mitigate actual and suspected cybersecurity breaches and incidents could be significant. We may not be able to anticipate all types of security threats and implement preventive measures effective against all such threats. In addition, an increased amount of work is occurring remotely, including through the use of mobile devices. This could increase our cybersecurity risk, create data accessibility concerns, and make us more susceptible to communication disruptions.</w:t>
      </w:r>
    </w:p>
    <w:p>
      <w:pPr>
        <w:spacing w:after="0" w:line="7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If we do not accurately predict and identify our information technology systems requirements and failures and timely enhance our information technology systems, or if our remediation efforts are not successful, it could result in</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2" w:name="page53"/>
    <w:bookmarkEnd w:id="52"/>
    <w:p>
      <w:pPr>
        <w:spacing w:after="0" w:line="8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 material disruption of our business operations, including the loss or unauthorized disclosure of our trade secrets, individuals’ personal information, or other proprietary or sensitive data.</w:t>
      </w:r>
    </w:p>
    <w:p>
      <w:pPr>
        <w:spacing w:after="0" w:line="54"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Moreover, any security breach or other event that leads to loss of, unauthorized access to, disclosure of, or other processing of personal information could harm our reputation, compel us to comply with federal and/or state notification laws and foreign law equivalents, subject us to mandatory corrective action, and otherwise subject us to liability under laws and regulations that protect the privacy and security of personal information. For more information see our risk factor “</w:t>
      </w:r>
      <w:r>
        <w:rPr>
          <w:rFonts w:ascii="Times New Roman" w:cs="Times New Roman" w:eastAsia="Times New Roman" w:hAnsi="Times New Roman"/>
          <w:sz w:val="18"/>
          <w:szCs w:val="18"/>
          <w:i w:val="1"/>
          <w:iCs w:val="1"/>
          <w:color w:val="auto"/>
        </w:rPr>
        <w:t>We are subject to U.S. and foreign laws regarding privacy, data protection, and data security that could entail substantial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costs, while the failure to comply could subject us to significant liability</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as a result of international conflict, or otherwise, could adversely affect our ability to raise capital and our business, results of operations and financial condition.</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While the potential economic impact brought by the hostilities around the world are difficult to assess or predict, these conditions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products and our ability to raise additional capital when needed on favorable terms, if at all. A weak or declining economy could strain our customers’ budgets or cause delays in their payments to us. Additionally, inflation and surging oil and gas prices could increase our costs of production.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 insured limits.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cash is held in accounts at U.S. banking institutions that we believe are of high quality. Cash held in non-interest-bearing and interest-bearing operating accounts may exceed the Federal Deposit Insurance Corporation (FDIC) insurance limits. If such banking institutions were to fail, we could lose all or a portion of those amounts held in excess of such insurance limitations. Any material loss that we may experience in the future could have an adverse effect on our ability to pay our operational expenses or make other payments and may require us to move our accounts to other banks, which could cause a temporary delay in making payments to our vendors and employees and cause other operational inconveniences.</w:t>
      </w:r>
    </w:p>
    <w:p>
      <w:pPr>
        <w:spacing w:after="0" w:line="12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(ESG) matters are subject to increasing scrutiny and evolving expectations from customers, regulators, investors and other stakeholders and may expose us to reputational, cost and other risks.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Companies across all industries are subject to increasing scrutiny and evolving expectations regarding ESG matters. In particular, customers, regulators, investors and other stakeholders are increasingly focusing on environmental issues, including climate change, energy use, industrial waste, and other sustainability concerns. Failure to implement sufficient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spacing w:after="0" w:line="131"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or our third-party manufacturers’ facilities become unavailable or inoperable, our research and development program and commercialization plan could be adversely impacted and manufacturing of our products could be interrupted.</w:t>
      </w:r>
    </w:p>
    <w:p>
      <w:pPr>
        <w:spacing w:after="0" w:line="51"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Our Redwood City, California, facilities house our corporate, research and development and quality assurance teams. Our drug product is manufactured and packaged at various locations in the United States. Our facilities in Redwood City and those of our third-party manufacturers are vulnerable to natural disasters, public health crises, climate change and catastrophic events. For example, our Redwood City facilities are located near earthquake fault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The inability to manufacture our drug product, combined with our limited inventory of drug product, may result in the loss of future customers or harm our reputation, and we may be unable to re-establish relationships with those customers in the future. If our or our third-party manufacturer’s capabilities are impaired, we may not be able to manufacture and ship our products in a timely manner, which would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4" w:name="page55"/>
    <w:bookmarkEnd w:id="54"/>
    <w:p>
      <w:pPr>
        <w:jc w:val="right"/>
        <w:ind w:right="2599"/>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19"/>
          </w:cols>
          <w:pgMar w:left="840" w:top="1413" w:right="1440" w:bottom="1440" w:gutter="0" w:footer="0" w:header="0"/>
        </w:sectPr>
      </w:pPr>
    </w:p>
    <w:bookmarkStart w:id="55" w:name="page56"/>
    <w:bookmarkEnd w:id="5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of directors is responsible for overseeing our risk management program and cybersecurity is a critical element of this program. Management is responsible for the day-to-day administration of our risk management program and our cybersecurity policies, processes, and practices. Our cybersecurity policies, standards, processes, and practices are based on recognized frameworks established by the Center for Internet Security (CIS) and other applicable industry standards and are integrated into our overall risk management system and processes. We have not identified any risks from known cybersecurity threats, including as a result of any prior cybersecurity incidents, that have materially affected or are reasonably likely to materially affect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“Risk Factors - Our information technology systems may fail or experience security breaches and incidents that could adversely impact our business and operations and subject us to liability.”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Cybersecurity Risk Management and Strategy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strategy focuses on several areas:</w:t>
      </w:r>
    </w:p>
    <w:p>
      <w:pPr>
        <w:spacing w:after="0" w:line="117" w:lineRule="exact"/>
        <w:rPr>
          <w:sz w:val="20"/>
          <w:szCs w:val="20"/>
          <w:color w:val="auto"/>
        </w:rPr>
      </w:pPr>
    </w:p>
    <w:p>
      <w:pPr>
        <w:ind w:left="1020" w:right="36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Reporting: We have implemented a cross-functional approach to assessing, identifying and managing material cybersecurity threats and incidents. Our program includes controls and procedures to identify, classify and escalate certain cybersecurity incidents to provide management visibility and obtain direction from management as to the public disclosure and reporting of material incidents in a timely manner.</w:t>
      </w:r>
    </w:p>
    <w:p>
      <w:pPr>
        <w:spacing w:after="0" w:line="7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Safeguards: We implement technical safeguards that are designed to protect our information systems from cybersecurity threats, including firewalls, intrusion prevention and detection systems, anti-malware functionality, and access controls, which are evaluated and improved through cybersecurity threat intelligence, as well as outside audits and certifications.</w:t>
      </w:r>
    </w:p>
    <w:p>
      <w:pPr>
        <w:spacing w:after="0" w:line="67" w:lineRule="exact"/>
        <w:rPr>
          <w:rFonts w:ascii="Times New Roman" w:cs="Times New Roman" w:eastAsia="Times New Roman" w:hAnsi="Times New Roman"/>
          <w:sz w:val="18"/>
          <w:szCs w:val="18"/>
          <w:color w:val="auto"/>
        </w:rPr>
      </w:pPr>
    </w:p>
    <w:p>
      <w:pPr>
        <w:ind w:left="1020" w:right="60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Sensitivity labeling and data loss prevention controls: These controls enable the identification and labeling of confidential and highly sensitive data, including intellectual property, clinical trial data, regulatory submissions, financial information, and protected health information. These controls also support our responsible AI adoption strategy by limiting exposure of highly sensitive information in generative AI tools and enforcing identity-based and policy-driven safeguards around the use of such data.</w:t>
      </w:r>
    </w:p>
    <w:p>
      <w:pPr>
        <w:spacing w:after="0" w:line="71"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 and Recovery Planning: We are establishing incident response, business continuity, and disaster recovery plans designed to address our response to a cybersecurity incident. These plans include defined escalation pathways, containment and remediation procedures, and recovery testing for critical business systems and data.</w:t>
      </w:r>
    </w:p>
    <w:p>
      <w:pPr>
        <w:spacing w:after="0" w:line="67"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Risk Management: We maintain a risk-based approach to identifying and overseeing material cybersecurity threats presented by third parties, including vendors, service providers, and other external users of our systems, as well as the systems of third parties that could adversely impact our business in the event of a material cybersecurity incident affecting those third-party systems, including any outside auditors or consultants who advise on our cybersecurity systems. Our approach includes security reviews, contractual safeguards, and monitoring controls designed to manage third-party access to sensitive data and systems.</w:t>
      </w:r>
    </w:p>
    <w:p>
      <w:pPr>
        <w:spacing w:after="0" w:line="75"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Assessments: We conduct periodic assessments and testing of our policies, standards, processes, and practices in a manner intended to address cybersecurity threats and events. The results of such assessments, audits, and reviews are evaluated by management and reported to our Audit Committee and our board of directors, and we adjust our cybersecurity policies, standards, processes, and practices as necessary based on the information provided by these assessments, audits, and reviews.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oversees our risk management program, including the management of cybersecurity threats as part of its general oversight function. Our Audit Committee is taking the lead on behalf of the board of</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56" w:name="page57"/>
    <w:bookmarkEnd w:id="56"/>
    <w:p>
      <w:pPr>
        <w:spacing w:after="0" w:line="8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directors on oversight of our cybersecurity risk management program and receives reports from management concerning our cybersecurity risk management program.</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various members of our management team, IT department and other employees, including but not limited to the individuals on our cybersecurity incident management team, which includes individuals who have a diverse combination of relevant expertise, experience, education and training, with representation from our IT, finance, legal, human resources, among others. Our team includes individuals with relevant experience in enterprise risk management and disclosure controls and procedures. Additionally, certain members of our IT department have experience managing cybersecurity programs and are specifically assigned cybersecurity oversight. Our cybersecurity incident response processes are designed to escalate certain cybersecurity incidents to members of management depending on the circumstances, including in some cases to our executive team. Our cybersecurity incident management team, and other individuals as needed, work to help us mitigate and remediate cybersecurity incidents of which we are notified. We are also implementing governance measures related to emerging technologies, including artificial intelligence, to ensure appropriate oversight, responsible usage, and protection of sensitive information.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principal facilities primarily consist of one office space in Redwood City, California. We currently occupy 18,026 square feet of office space under a non-cancelable operating lease that expires in August 2029. On November 25, 2025, we executed an amendment to our operating lease which gives us access to another 17,779 square feet of office space, but we had not yet taken possession of such space as of December 31, 2025. We also lease a small office space in Dublin, Ireland that houses our European operations that expires in October 2026.</w:t>
      </w:r>
    </w:p>
    <w:p>
      <w:pPr>
        <w:spacing w:after="0" w:line="28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 facilities that we currently lease are adequate for our needs for the immediate future and that, should it be needed, additional space can be leased on commercially reasonable terms to accommodate any future needs.</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Nasdaq Capital Market under the symbol “SLNO”. Our March 2022 common warrants and October 2023 pre-funded warrants are not traded on a national securities exchange.</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February 19, 2026, there were 31 shareholders of record for our common stock. A substantially greater number of stockholders may be “street name” or beneficial holders, whose shares are held of record by banks, brokers and other financial institutions.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currently do not plan to declare dividends on shares of our common stock in the foreseeable future. We expect to retain our future earnings, if any, for use in the operation and expansion of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See Item 12, Security Ownership of Certain Beneficial Owners and Management and Related Stockholder Matters for information regarding securities authorized for issuance.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This graph is not “soliciting material,” is not deemed “filed” with the SEC and is not to be incorporated by reference into any filing of Soleno Therapeutics, Inc. under the Securities Act or the Exchange Act, whether made before or after the date hereof and irrespective of any general incorporation language in any such filing.</w:t>
      </w:r>
    </w:p>
    <w:p>
      <w:pPr>
        <w:spacing w:after="0" w:line="176"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The following graph shows the total stockholder return of an investment of $100 in cash at market close on December 31, 2020, through December 31, 2025 for (i) our common stock, (ii) the NASDAQ Composite Index (U.S.), and (iii) the NASDAQ Biotechnology Index. Pursuant to applicable SEC rules, all values assume reinvestment of the full amount of all dividends, however no dividends have been declared on our common stock to date. The stockholder return shown on the graph below is not necessarily indicative of future performance, and we do not make or endorse any predictions as to future stockholder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27260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12/31/2020</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12/31/2025</w:t>
            </w: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Soleno Therapeutics, Inc.</w:t>
            </w:r>
          </w:p>
        </w:tc>
        <w:tc>
          <w:tcPr>
            <w:tcW w:w="16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100.00</w:t>
            </w:r>
          </w:p>
        </w:tc>
        <w:tc>
          <w:tcPr>
            <w:tcW w:w="12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21.24</w:t>
            </w:r>
          </w:p>
        </w:tc>
        <w:tc>
          <w:tcPr>
            <w:tcW w:w="132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6.84</w:t>
            </w:r>
          </w:p>
        </w:tc>
        <w:tc>
          <w:tcPr>
            <w:tcW w:w="1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139.04</w:t>
            </w:r>
          </w:p>
        </w:tc>
        <w:tc>
          <w:tcPr>
            <w:tcW w:w="1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155.28</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159.94</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NASDAQ Composite Index</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100.00</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121.39</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81.21</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116.47</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149.83</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180.33</w:t>
            </w: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NASDAQ Biotechnology Index</w:t>
            </w:r>
          </w:p>
        </w:tc>
        <w:tc>
          <w:tcPr>
            <w:tcW w:w="16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100.00</w:t>
            </w:r>
          </w:p>
        </w:tc>
        <w:tc>
          <w:tcPr>
            <w:tcW w:w="12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99.37</w:t>
            </w:r>
          </w:p>
        </w:tc>
        <w:tc>
          <w:tcPr>
            <w:tcW w:w="132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88.53</w:t>
            </w:r>
          </w:p>
        </w:tc>
        <w:tc>
          <w:tcPr>
            <w:tcW w:w="1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91.84</w:t>
            </w:r>
          </w:p>
        </w:tc>
        <w:tc>
          <w:tcPr>
            <w:tcW w:w="1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90.58</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119.92</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29"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On November 10, 2025, we entered into a confirmation and a supplemental confirmation (together, the “ASR Agreement”) of an accelerated share repurchase transaction with Jefferies LLC ("Jefferies”). Under the terms of the ASR Agreement, we prepaid the $100.0 million purchase price to Jefferies and received an aggregate initial share delivery of 1,511,553 shares of our common stock in November 2025, with the remaining shares of common stock, if any, to be delivered by the end of our first fiscal quarter of 2026.</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stock repurchase activity for the three months ended December 31, 2025:</w:t>
      </w:r>
    </w:p>
    <w:tbl>
      <w:tblPr>
        <w:tblLayout w:type="fixed"/>
        <w:tblInd w:w="0" w:type="dxa"/>
        <w:tblCellMar>
          <w:top w:w="0" w:type="dxa"/>
          <w:left w:w="0" w:type="dxa"/>
          <w:bottom w:w="0" w:type="dxa"/>
          <w:right w:w="0" w:type="dxa"/>
        </w:tblCellMar>
      </w:tblPr>
      <w:tr>
        <w:trPr>
          <w:trHeight w:val="151"/>
        </w:trPr>
        <w:tc>
          <w:tcPr>
            <w:tcW w:w="3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2180" w:type="dxa"/>
            <w:vAlign w:val="bottom"/>
            <w:gridSpan w:val="3"/>
          </w:tcPr>
          <w:p>
            <w:pPr>
              <w:ind w:left="200"/>
              <w:spacing w:after="0" w:line="151"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2"/>
                <w:szCs w:val="12"/>
                <w:color w:val="auto"/>
              </w:rPr>
            </w:pPr>
          </w:p>
        </w:tc>
        <w:tc>
          <w:tcPr>
            <w:tcW w:w="178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21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00" w:type="dxa"/>
            <w:vAlign w:val="bottom"/>
          </w:tcPr>
          <w:p>
            <w:pPr>
              <w:spacing w:after="0"/>
              <w:rPr>
                <w:sz w:val="12"/>
                <w:szCs w:val="12"/>
                <w:color w:val="auto"/>
              </w:rPr>
            </w:pPr>
          </w:p>
        </w:tc>
        <w:tc>
          <w:tcPr>
            <w:tcW w:w="218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5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8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8"/>
                <w:szCs w:val="18"/>
                <w:color w:val="auto"/>
              </w:rPr>
              <w:t>1,511,553</w:t>
            </w:r>
            <w:r>
              <w:rPr>
                <w:rFonts w:ascii="Times New Roman" w:cs="Times New Roman" w:eastAsia="Times New Roman" w:hAnsi="Times New Roman"/>
                <w:sz w:val="24"/>
                <w:szCs w:val="24"/>
                <w:color w:val="auto"/>
                <w:vertAlign w:val="superscript"/>
              </w:rPr>
              <w:t>(1)</w:t>
            </w: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1,511,553</w:t>
            </w: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1200"/>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 xml:space="preserve">  (3)</w:t>
            </w: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64"/>
        </w:trPr>
        <w:tc>
          <w:tcPr>
            <w:tcW w:w="3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57</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4" w:lineRule="exact"/>
        <w:rPr>
          <w:sz w:val="20"/>
          <w:szCs w:val="20"/>
          <w:color w:val="auto"/>
        </w:rPr>
      </w:pPr>
    </w:p>
    <w:p>
      <w:pPr>
        <w:ind w:right="60" w:firstLine="517"/>
        <w:spacing w:after="0" w:line="261" w:lineRule="auto"/>
        <w:tabs>
          <w:tab w:leader="none" w:pos="8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number of shares of our common Stock that we ultimately repurchased under the ASR Agreement was determined based on the volume-weighted average price of our common stock during the term of the transaction, less an agreed discount and subject to adjustments pursuant to the terms and conditions of the ASR Agreement. Upon final settlement in January 2026, Jefferies was required to deliver an aggregate of 662,497 additional shares of our common stock to us.</w:t>
      </w:r>
    </w:p>
    <w:p>
      <w:pPr>
        <w:spacing w:after="0" w:line="179" w:lineRule="exact"/>
        <w:rPr>
          <w:rFonts w:ascii="Times New Roman" w:cs="Times New Roman" w:eastAsia="Times New Roman" w:hAnsi="Times New Roman"/>
          <w:sz w:val="18"/>
          <w:szCs w:val="18"/>
          <w:color w:val="auto"/>
        </w:rPr>
      </w:pPr>
    </w:p>
    <w:p>
      <w:pPr>
        <w:ind w:left="880" w:hanging="36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our aggregate repurchase of 2,174,050 shares of our common stock pursuant to the ASR Agreement, we paid an average of $46.00</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w:t>
      </w:r>
    </w:p>
    <w:p>
      <w:pPr>
        <w:spacing w:after="0" w:line="206" w:lineRule="exact"/>
        <w:rPr>
          <w:rFonts w:ascii="Times New Roman" w:cs="Times New Roman" w:eastAsia="Times New Roman" w:hAnsi="Times New Roman"/>
          <w:sz w:val="18"/>
          <w:szCs w:val="18"/>
          <w:color w:val="auto"/>
        </w:rPr>
      </w:pPr>
    </w:p>
    <w:p>
      <w:pPr>
        <w:ind w:right="40" w:firstLine="517"/>
        <w:spacing w:after="0" w:line="282" w:lineRule="auto"/>
        <w:tabs>
          <w:tab w:leader="none" w:pos="8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contemplated by the ASR Agreement are now complete and the company did not make any payments beyond the initial $100 million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0" w:name="page61"/>
    <w:bookmarkEnd w:id="60"/>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ITEM 6. RESERVED</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(the Exchange Act). These statements are often identified by the use of words such as “may,” “will,” “expect,” “believe,” “anticipate,” “intend,” “could,” “should,” “estimate,” “plan,”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 Item 1A of this Annual Report on Form 10-K and elsewhere in this report.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firstLine="666"/>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developing novel therapeutics for the treatment of rare diseases. On March 26, 2025, we announced that our lead product candidate, VYKAT XR (diazoxide choline) extended-release tablets, formerly known as DCCR, had been approved by the U.S. Food and Drug Administration (FDA). VYKAT XR is indicated to treat hyperphagia in adults and pediatric patients four years of age and older with Prader-Willi syndrome (PWS).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Following FDA approval of VYKAT XR in March 2025, we began to generate revenue during the three months ended June 30, 2025. We became profitable during the three months ended September 30, 2025 and ended the year with a net income of $20.1 million. Our ability to sustain operating profitability is dependent upon continued successful commercialization of VYKAT XR. As of December 31, 2025, we had an accumulated deficit of $431.4 million and we had cash and cash equivalents of $70.1 million and marketable securities of $436.0 million.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began commercial marketing and sales and recognizing revenue during the three months ended June 30, 2025. The transaction price that we recognize as revenue for VYKAT XR sales includes an estimate of variable consideration, which includes rebates, discounts, returns, and copay assistance that are offered within our contract with our specialty pharmacy distribution partner. For additional information, refer to Note 3 of our audited financial statements contained herein.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Cost of goods sold consists of manufacturing costs, transportation and freight, amortization of capitalized intangibles, royalty payments and indirect overhead costs associated with the manufacturing and distribution of VYKAT XR. Cost of goods sold may also include periodic costs related to certain manufacturing services and inventory adjustment charges. Finally, cost of goods sold may also include costs related to excess or obsolete inventory adjustment charges, abnormal costs, unabsorbed manufacturing and overhead costs, and manufacturing variances.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are charged to operations as incurred and consist primarily of salaries, benefits, bonus, stock-based compensation, consultant fees, certain facility costs and other costs associated with</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2" w:name="page63"/>
    <w:bookmarkEnd w:id="62"/>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clinical trials and certain manufacture costs associated with our drug product that are not included in cost of goods sold. Costs to acquire technologies to be used in research and development that have not reached technological feasibility and have no alternative future use are expensed to research and development costs when incurred. These expenses will vary with the cadence and success of our drug candidates progressing from clinical to commercial stage.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principally of salaries and benefits, stock-based compensation expense, professional fees for legal, consulting, audit and tax services, insurance, rent, commercial activities such as disease state education, analytics, other marketing costs, medical affair and patient advocacy costs, and other general operating expenses not otherwise included in research and development. We anticipate selling, general and administrative expenses will increase in future periods, reflecting an expanding infrastructure, an increase in commercial activities and other administrative expenses, and increased professional fees associated with being a public reporting company.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Change in fair value of contingent consideration represents the change in the fair value of the additional consideration that we expect to pay to the former Essentialis stockholders in accordance with the terms of our 2017 merger agreement with Essentialis based on our assessment of the expected likelihood of achieving two commercial sales milestones of $100 million in revenue and $200 million in revenue related to VYKAT XR in future years.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is comprised of interest income, interest expense from our loan and security agreement with Oxford, and the change in the fair value of the 2018 PIPE common stock warrant liabilities.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are based upon our audited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Significant estimates made by management include valuation of marketable securities, stock-based compensation, valuation of contingent liabilities for the purchase price of assets obtained through acquisition, provisions for sales rebates, returns and other incentives, valuation of financial instruments, and income taxes. Actual results may differ from these estimates under different assumptions and conditions. Our significant accounting policies are more fully described in Note 3 to our audited financial statements contained herein.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After FDA approval of VYKAT XR in March 2025, we began commercial marketing and made our first product sales during the three months ended June 30, 2025.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requires us to make estimates of variable consideration included in contracts with customers, to be included in the transaction price. The transaction price that is recognized as revenue for products upon delivery and transfer of title to the customer includes an estimate of variable consideration for reserves which result from rebates, discounts, returns, and co-pay assistance that are offered within the contract between us and our customer.</w:t>
      </w:r>
    </w:p>
    <w:p>
      <w:pPr>
        <w:spacing w:after="0" w:line="7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We are subject to discount obligations under several government programs, including Medicaid programs, Medicare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TRICARE in the United States. We estimate these rebates based upon a range of possible outcomes that are weighted for the estimated payer mix. These reserves are recorded in the same period that the related revenue is recognized, resulting in a reduction of product revenue and the establishment of a liability that is included in accrued expenses and other current liabilities on our consolidated balance sheets. On a quarterly basis, we update our estimates and record any adjustments in the period that we identify the adjustments.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3" w:name="page64"/>
    <w:bookmarkEnd w:id="63"/>
    <w:p>
      <w:pPr>
        <w:spacing w:after="0" w:line="84" w:lineRule="exact"/>
        <w:rPr>
          <w:sz w:val="20"/>
          <w:szCs w:val="20"/>
          <w:color w:val="auto"/>
        </w:rPr>
      </w:pPr>
    </w:p>
    <w:p>
      <w:pPr>
        <w:ind w:right="2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We provide discounts on VYKAT XR sales to our customer for prompt payment. This discount is recorded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of revenue in the period the related product revenue is recognized. In addition, we receive and pay for various distribution services from our customer in the distribution channel.</w:t>
      </w:r>
    </w:p>
    <w:p>
      <w:pPr>
        <w:spacing w:after="0" w:line="17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Our customer has limited return rights related to unexpected instances in which the product is found to be damaged or defective.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estimate the amount of product sales that may be returned and record the estimate as a reduction of revenue and a refund liability in the period in which the related product revenue is recognized. Based on the distribution model for VYKAT XR, we believe there will be minimal returns as such returns have not been material to date.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include co-payment assistance we provide to patients with commercial insurance that have coverage and reside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that allow co-payment assistance. The calculation of the accrual for co-pay assistance is based on an estimate of claims and the cost per claim that we expect to receive associated with product that has been recognized as revenue. The estimate is recorded as a reduction of revenue in the same period the related revenue is recognized.</w:t>
      </w:r>
    </w:p>
    <w:p>
      <w:pPr>
        <w:spacing w:after="0" w:line="18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Variable consideration is estimated and reduces the transaction price to reflect our best estimate of the amount of consideration to which we are entitled based on the terms of the contract and are recorded in the same period the related product revenue is recognized. The amount of variable consideration that is included in the transaction price may be constrained and is included in the net sales price only to the extent that it is considered probable that a significant reversal in the amount of the cumulative revenue recognized will not occur in a future period. Actual amounts of consideration ultimately received may differ from our estimates. If actual results in the future vary from our estimates, we will adjust these estimates in the period these variances become known.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classify our marketable securities as available-for-sale and record such assets at estimated fair value in the balance sheets, with unrealized gains and non-credit related losses that are determined to be temporary, if any, reported as a component of other comprehensive income (loss) within the statements of operations and comprehensive income (loss) and as a separate component of stockholders’ equity. We classify marketable securities with remaining maturities greater than three months but less than one year as marketable securities, and those with remaining maturities greater than one year are classified as long-term marketable securities. Realized gains and losses are calculated using the specific identification method and recorded as interest income. To the extent the amortized cost basis of the available-for-sale debt securities exceeds the fair value, management assesses the debt securities for credit loss; however, management considers the risk of credit loss to be minimized by our policy of investing in financial instruments issued by highly-rated financial institutions. When assessing the risk of credit loss, management considers factors such as the severity and the reason of the decline in value (i.e., any changes to the rating of the security by a rating agency or other adverse conditions specifically related to the security) and management's intended holding period and time horizon for selling. During the years ended December 31, 2025 and 2024, we did not recognize any credit losses related to our available-for-sale debt securities. Further, as of December 31, 2025 and 2024, we did not record an allowance for credit losses related to our available-for-sale debt securities. During 2023, we did not hold any marketable securities.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Stock-based compensation expense related to stock options and restricted stock units granted to employees, directors and consultants are measured at the date of grant based on the estimated fair value of the award. For restricted stock units, this fair value is based on our common stock price on the grant date. We estimate the grant date fair value of stock options, and the resulting stock-based compensation expense, using the Black-Scholes option-pricing model. The grant date fair value of stock-based awards is recognized on a straight-line basis over the requisite service period, which is generally the vesting period for service-based awards. For performance-based awards the requisite service period is the longest explicit, implicit or derived service period based on management’s estimate of the probability of the performance criteria being satisfied, adjusted at each balance sheet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86"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Black-Scholes option-pricing model requires the use of highly subjective assumptions to estimate the fair value of stock-based awards. If we had made different assumptions, our stock-based compensation expense, net income (loss) and net income (loss) per share of common stock could have been significantly different. These assumptions include:</w:t>
      </w:r>
    </w:p>
    <w:p>
      <w:pPr>
        <w:spacing w:after="0" w:line="66" w:lineRule="exact"/>
        <w:rPr>
          <w:sz w:val="20"/>
          <w:szCs w:val="20"/>
          <w:color w:val="auto"/>
        </w:rPr>
      </w:pPr>
    </w:p>
    <w:p>
      <w:pPr>
        <w:ind w:left="900" w:right="140" w:hanging="383"/>
        <w:spacing w:after="0" w:line="284"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The estimated volatility rate is based on the volatilities of our common stock for a historical period equal to the expected life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w:t>
      </w:r>
    </w:p>
    <w:p>
      <w:pPr>
        <w:spacing w:after="0" w:line="50" w:lineRule="exact"/>
        <w:rPr>
          <w:rFonts w:ascii="Times New Roman" w:cs="Times New Roman" w:eastAsia="Times New Roman" w:hAnsi="Times New Roman"/>
          <w:sz w:val="18"/>
          <w:szCs w:val="18"/>
          <w:color w:val="auto"/>
        </w:rPr>
      </w:pPr>
    </w:p>
    <w:p>
      <w:pPr>
        <w:ind w:left="900" w:right="80" w:hanging="383"/>
        <w:spacing w:after="0" w:line="258"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life: </w:t>
      </w:r>
      <w:r>
        <w:rPr>
          <w:rFonts w:ascii="Times New Roman" w:cs="Times New Roman" w:eastAsia="Times New Roman" w:hAnsi="Times New Roman"/>
          <w:sz w:val="18"/>
          <w:szCs w:val="18"/>
          <w:color w:val="auto"/>
        </w:rPr>
        <w:t>The expected life of stock options represents the period of time that the options are expected to be outstanding. Due to the lack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historical exercise history, the expected life of our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pacing w:after="0" w:line="75" w:lineRule="exact"/>
        <w:rPr>
          <w:rFonts w:ascii="Times New Roman" w:cs="Times New Roman" w:eastAsia="Times New Roman" w:hAnsi="Times New Roman"/>
          <w:sz w:val="18"/>
          <w:szCs w:val="18"/>
          <w:color w:val="auto"/>
        </w:rPr>
      </w:pPr>
    </w:p>
    <w:p>
      <w:pPr>
        <w:ind w:left="900" w:hanging="383"/>
        <w:spacing w:after="0" w:line="284"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yields of U.S. Treasury securities with maturities similar to the expected life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 options.</w:t>
      </w:r>
    </w:p>
    <w:p>
      <w:pPr>
        <w:spacing w:after="0" w:line="50" w:lineRule="exact"/>
        <w:rPr>
          <w:rFonts w:ascii="Times New Roman" w:cs="Times New Roman" w:eastAsia="Times New Roman" w:hAnsi="Times New Roman"/>
          <w:sz w:val="18"/>
          <w:szCs w:val="18"/>
          <w:color w:val="auto"/>
        </w:rPr>
      </w:pPr>
    </w:p>
    <w:p>
      <w:pPr>
        <w:ind w:left="900" w:right="240" w:hanging="383"/>
        <w:spacing w:after="0" w:line="284"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We have never declared or paid any cash dividends and do not presently plan to pay cash dividends in the foreseeable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Consequently, we used an expected dividend yield of zero.</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account for forfeitures as they occur.</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Contingent consideration elements of a business combination are recorded in accordance with ASC 805 which provides that, when contingent consideration terms provide for future payment obligations, the obligation is measured at its fair value on the acquisition date, and the subsequent increase or decrease of the value of the estimated amounts of contingent consideration to be paid is be recognized as expense or income, respectively, in the consolidated statements of operations and comprehensive income (loss).</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agreement to pay the former Essentialis stockholders for achieving certain commercial milestones resulted in the recognition of contingent consideration, which was recorded at the inception of the transaction, and subsequent changes to estimate the amount of contingent consideration to be paid is recognized as expenses or income in the consolidated statements of operations and comprehensive income (loss). The fair value of the contingent consideration is based on our analysis of the likelihood of the drug indication being approved by the FDA and then reaching the cumulative revenue milestones.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Common Stock Purchase Warrants and Other Derivative Financial Instruments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account for warrants in accordance with the guidance in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We classify common stock purchase warrants and other free standing derivative financial instruments as equity if the contracts (i) require physical settlement or net-share settlement or (ii) give us a choice of net-cash settlement or settlement in shares (physical settlement or net-share settlement). We classify any contracts that (i) require net-cash settlement (including a requirement to net cash settle the contract if an event occurs and if that event is outside our control), (ii) give the counterparty a choice of net-cash settlement or settlement in shares (physical settlement or net-share settlement), or (iii) contain reset provisions, as either an asset or a liability. We assess classification of freestanding derivatives at each reporting date to determine whether a change in classification between equity and liabilities is required. We determined that certain freestanding derivatives, which principally consist of the 2018 PIPE Warrants, do not satisfy the criteria for classification as equity instruments due to the existence of certain cash settlement features that are not within our sole control or variable settlement provision that cause them to not be indexed to our stock.</w:t>
      </w:r>
    </w:p>
    <w:p>
      <w:pPr>
        <w:spacing w:after="0" w:line="8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classified the 2018 PIPE Warrants at their fair value and re-measured them at each balance sheet date until they were exercised or expired. Any changes in the fair value were recognized as Other income (expense), net in the consolidated statements of operations and comprehensive income (loss). The 2018 PIPE Warrants expired in December 2023.</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use the liability method of accounting for income taxes, whereby deferred tax assets or liability account balances are calculated at the balance sheet date using current tax laws and rates in effect for the year in which the differences are expected to affect taxable income. We have provided a valuation allowance to reduce deferred tax assets to the amount that will more likely than not be realized.</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recognition of revenues and expenses for tax and financial statement purposes. Significant changes to these estimates may result in an increase or decrease to our tax provision in a subsequent period.</w:t>
      </w:r>
    </w:p>
    <w:p>
      <w:pPr>
        <w:spacing w:after="0" w:line="180"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We make estimates and judgments about our future taxable income that are based on assumptions that are consistent with our plans and estimates. Should the actual amounts differ from our estimates, the amount of our valuation allowance could be materially impacted. Any adjustment to the deferred tax asset valuation allowance would be recorded in the income statement for the periods in which the adjustment is determined to be required.</w:t>
      </w:r>
    </w:p>
    <w:p>
      <w:pPr>
        <w:spacing w:after="0" w:line="17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account for uncertainty in income taxes as required by the provisions of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clarifies the accounting for uncertainty in income taxes recognized in an enterprise’s financial statements.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consider many factors when evaluating and estimating our tax positions and tax benefits, which may require periodic adjustments and may not accurately anticipate actual outcomes.</w:t>
      </w:r>
    </w:p>
    <w:p>
      <w:pPr>
        <w:spacing w:after="0" w:line="18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the use of net operating loss and tax credit carryforwards may be limited under Section 382 of the Internal Revenue Code in certain situations where changes occur in the stock ownership of a company. In the event that we have had a change in ownership, utilization of the carryforwards could be restricted. For more information, see the section titled “Our ability to use our net operating loss carry forwards and certain other tax attributes will be limited.” at Part 1, Item 1A of this Annual Report on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Pr>
          <w:p>
            <w:pPr>
              <w:spacing w:after="0"/>
              <w:rPr>
                <w:sz w:val="15"/>
                <w:szCs w:val="15"/>
                <w:color w:val="auto"/>
              </w:rPr>
            </w:pPr>
          </w:p>
        </w:tc>
        <w:tc>
          <w:tcPr>
            <w:tcW w:w="28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42"/>
        </w:trPr>
        <w:tc>
          <w:tcPr>
            <w:tcW w:w="5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800" w:type="dxa"/>
            <w:vAlign w:val="bottom"/>
            <w:gridSpan w:val="2"/>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190,405</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190,405</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spacing w:after="0"/>
              <w:rPr>
                <w:sz w:val="18"/>
                <w:szCs w:val="18"/>
                <w:color w:val="auto"/>
              </w:rPr>
            </w:pPr>
          </w:p>
        </w:tc>
      </w:tr>
      <w:tr>
        <w:trPr>
          <w:trHeight w:val="364"/>
        </w:trPr>
        <w:tc>
          <w:tcPr>
            <w:tcW w:w="58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goods sold</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(37,941)</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132,128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105,861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26,267</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180,991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187,671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(6,680)</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(187,671)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197,085</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 net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2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(5,476)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(5,245)</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2271%</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20,890</w:t>
            </w:r>
          </w:p>
        </w:tc>
        <w:tc>
          <w:tcPr>
            <w:tcW w:w="1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(175,850)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196,740</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560" w:type="dxa"/>
            <w:vAlign w:val="bottom"/>
          </w:tcPr>
          <w:p>
            <w:pPr>
              <w:spacing w:after="0"/>
              <w:rPr>
                <w:sz w:val="21"/>
                <w:szCs w:val="21"/>
                <w:color w:val="auto"/>
              </w:rPr>
            </w:pPr>
          </w:p>
        </w:tc>
      </w:tr>
      <w:tr>
        <w:trPr>
          <w:trHeight w:val="844"/>
        </w:trPr>
        <w:tc>
          <w:tcPr>
            <w:tcW w:w="580" w:type="dxa"/>
            <w:vAlign w:val="bottom"/>
          </w:tcPr>
          <w:p>
            <w:pPr>
              <w:spacing w:after="0"/>
              <w:rPr>
                <w:sz w:val="24"/>
                <w:szCs w:val="24"/>
                <w:color w:val="auto"/>
              </w:rPr>
            </w:pPr>
          </w:p>
        </w:tc>
        <w:tc>
          <w:tcPr>
            <w:tcW w:w="426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6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-1919605</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-1919605</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-1919605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-1362075</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-1362075</wp:posOffset>
            </wp:positionV>
            <wp:extent cx="60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-1362075</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-1070610</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-1053465</wp:posOffset>
            </wp:positionV>
            <wp:extent cx="603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-1070610</wp:posOffset>
            </wp:positionV>
            <wp:extent cx="603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-1053465</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-1070610</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-1053465</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Product revenue, net was $190.4 million for the year ended December 31, 2025, due to sales of VYKAT XR after FDA approval was obtained in March 2025, compared to zero for the year ended December 31, 2024.</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were $40.6 million for the year ended December 31, 2025, which includes $11.7 million of non-cash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compensation expense, a decrease of $38.0 million from $78.6 million in 2024, which included $33.7 million of non-cash stock-based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Pre-commercial launch research and development costs in support of our 2024 NDA submission, supply chain activities, and clinical activities decreased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$7.5 million, $6.0 million, and $3.8 million, respectively, in 2025. The reduction in costs was offset by the Company incurring an additional $1.4 million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towards our MAA submission in Europe, which was submitted in the second quarter of 2025. The cadence of our 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expenditures will fluctuate depending upon the state of our clinical programs, the timing of manufacturing and other projects necessary to support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submission of our regulatory filings and research activities.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were $132.1 million for the year ended December 31, 2025, which includes $34.1 million of non-cash stock-based compensation, an increase of $26.2 million from $105.9 million in 2024, which included $66.2 million of non-cash stock-based compensation. Personnel costs including hiring expense and other associated headcount costs increased $31.3 million as we have hired additional employees in support of our commercial launch and increased business activities. New program costs associated with commercial launch activities, including disease state education, analytics, other marketing programs, medical affairs and patient advocacy activities, increased $23.4 million. Costs for international expansion increased $3.5 million. Selling, general and administrative expenses are anticipated to increase as we continue commercialization of VYKAT XR.</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obligated to make cash payments of up to a maximum of $21.2 million to the former Essentialis stockholders upon the achievement of certain future commercial milestones associated with the sales of VYKAT XR in accordance with the terms of our 2017 merger agreement with Essentialis. The fair value of the liability for the contingent consideration payable by us achieving two commercial sales milestones of $100 million and $200 million in revenue, respectively, in future years was estimated to be $20.3 million as of December 31, 2025, a $5.5 million increase from the estimate as of December 31, 2024, primarily due to the approval of our NDA for VYKAT XR by the FDA in March 2025 and recording product revenue from sales of VYKAT XR following the approval. The first commercial milestone was achieved in the fourth quarter of 2025 and $7.0 million will be paid in the first quarter of 2026.</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We had other income (expense), net of $11.5 million, a decrease of $0.3 million from $11.8 million in 2024. The decrease was primarily due to interest expense associated with the long-term debt, partially offset by an increase in interest income driven by higher cash and cash equivalents and marketable securities during the year ended December 31, 2025, compared to the year ended December 31,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Pr>
          <w:p>
            <w:pPr>
              <w:spacing w:after="0"/>
              <w:rPr>
                <w:sz w:val="15"/>
                <w:szCs w:val="15"/>
                <w:color w:val="auto"/>
              </w:rPr>
            </w:pPr>
          </w:p>
        </w:tc>
        <w:tc>
          <w:tcPr>
            <w:tcW w:w="254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42"/>
        </w:trPr>
        <w:tc>
          <w:tcPr>
            <w:tcW w:w="57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20" w:type="dxa"/>
            <w:vAlign w:val="bottom"/>
          </w:tcPr>
          <w:p>
            <w:pPr>
              <w:spacing w:after="0"/>
              <w:rPr>
                <w:sz w:val="12"/>
                <w:szCs w:val="12"/>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78,568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53,379</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92,380</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685%</w:t>
            </w:r>
          </w:p>
        </w:tc>
      </w:tr>
      <w:tr>
        <w:trPr>
          <w:trHeight w:val="216"/>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r>
      <w:tr>
        <w:trPr>
          <w:trHeight w:val="209"/>
        </w:trPr>
        <w:tc>
          <w:tcPr>
            <w:tcW w:w="5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41,384</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146,287</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353%</w:t>
            </w:r>
          </w:p>
        </w:tc>
      </w:tr>
      <w:tr>
        <w:trPr>
          <w:trHeight w:val="209"/>
        </w:trPr>
        <w:tc>
          <w:tcPr>
            <w:tcW w:w="5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(187,671)</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(41,384)</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(146,287)</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9"/>
        </w:trPr>
        <w:tc>
          <w:tcPr>
            <w:tcW w:w="578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220" w:type="dxa"/>
            <w:vAlign w:val="bottom"/>
            <w:tcBorders>
              <w:top w:val="single" w:sz="8" w:color="CFF0FC"/>
            </w:tcBorders>
          </w:tcPr>
          <w:p>
            <w:pPr>
              <w:spacing w:after="0"/>
              <w:rPr>
                <w:sz w:val="18"/>
                <w:szCs w:val="18"/>
                <w:color w:val="auto"/>
              </w:rPr>
            </w:pPr>
          </w:p>
        </w:tc>
        <w:tc>
          <w:tcPr>
            <w:tcW w:w="142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(175,850)</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(38,988)</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(136,862)</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351%</w:t>
            </w: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-1156335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-1156335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-1156335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-316230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-316230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-316230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had not commenced commercialization of VYKAT XR, our current sole novel therapeutic drug candidate, and accordingly, through December 31, 2024, had generated no revenue.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were $78.6 million for the year ended December 31, 2024, which includes $33.7 million of non-cash stock-based compensation expense, an increase of $53.4 million from $25.2 million in 2023, which included $2.4 million of non-cash stock-based compensation. Personnel and associated headcount costs increased $6.4 million as we hired additional employees in support of our research and development and potential commercialization activities. Costs in support of our NDA submission increased $9.0 million and supply chain and related activities increased $6.5 million in preparation for commercial launch. The cadence of our research and development expenditures will fluctuate depending upon the state of our clinical programs, the timing of manufacturing and other projects necessary to support the submission of an NDA and preparation for commercial launch. The $31.3 million of additional non-cash stock-based compensation being recognized in the period is predominantly due to performance-based RSU grants which partially vested upon the acceptance by the FDA of the NDA submission in 2024 and fully vested upon the approval of our NDA by the FDA in March 2025.</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were $105.9 million for the year ended December 31, 2024, which includes $66.2 million of non-cash stock-based compensation, an increase of $92.4 million from $13.5 million in 2023, which included $3.5 million of non-cash stock-based compensation. Personnel costs including hiring expense and other associated headcount costs increased $10.7 million as we have hired additional employees in preparation for commercial launch and in support of our increased business activities. New program costs associated with preparation for commercial launch, including disease state education, analytics, other marketing programs, medical affairs and patient advocacy activities, totaled $15.8 million and professional services and consulting costs increased $2.9 million. The $62.7 million of additional non-cash stock-based compensation being recognized in the period is predominantly due to performance-based RSU grants which partially vested upon acceptance by the FDA of the NDA submission in 2024 and fully vested upon approval of our NDA by the FDA in March 2025.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obligated to make cash payments of up to a maximum of $21.2 million to the former Essentialis stockholders upon the achievement of certain future commercial milestones associated with the sales of DCCR in accordance with the terms of our 2017 merger agreement with Essentialis. The fair value of the liability for the contingent consideration payable by us achieving two commercial sales milestones of $100 million and $200 million in revenue, respectively, in future years was estimated to be $14.8 million as of December 31, 2024, a $3.2 million increase from the estimate as of December 31, 2023.</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We had other income (expense), net of $11.8 million, an increase of $9.4 million from $2.4 million in 2023. The increase was primarily due to an increase in interest income driven by higher cash and cash equivalents, and marketable securities during the year ended December 31, 2024 compared to the year ended December 31,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had net income of $20.9 million, generated $46.8 million of net cash provided by operating activities during 2025 and had an accumulated deficit of $431.4 million at December 31, 2025 as a result of losses incurred prior to 2025. We had $70.1 million in cash and cash equivalents, $436.0 million of marketable securities and $294.5 million of working capital on December 31, 2025. We had a lease obligation totaling $2.7 million to be paid through August 2029, consisting of one operating lease for office space in Redwood City, California.</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we had $50.0 million outstanding under our loan and security agreement with Oxford. Under the terms of the loan agreement with Oxford, following FDA approval of VYKAT XR, an additional $50 million became available through September 30, 2025, but was not drawn down. Following the amendment of our loan and security agreement in November 2025, the final three tranches of an aggregate of $100 million may be made available upon mutual consent with Oxford. As a result of a milestone achieved in 2025, the loan carries an interest-only period of 60 months and a total term of 72 months. The term loans accrue interest at a floating rate equal to, subject to certain conditions, (a) 1-month term SOFR plus (b) 5.50%.</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July 2025, we closed an underwritten public offering of 2,705,882 shares of our common stock at a public offering price of $85.00 per share, which included the exercise in full by the underwriters of their option to purchase additional shares of our common stock. The gross proceeds of the public offering were $230.0 million, before deducting the underwriter discount and other offering expenses, totaling approximately $14.3 million.</w:t>
      </w:r>
    </w:p>
    <w:p>
      <w:pPr>
        <w:spacing w:after="0" w:line="75" w:lineRule="exact"/>
        <w:rPr>
          <w:sz w:val="20"/>
          <w:szCs w:val="20"/>
          <w:color w:val="auto"/>
        </w:rPr>
      </w:pPr>
    </w:p>
    <w:p>
      <w:pPr>
        <w:ind w:right="120" w:firstLine="509"/>
        <w:spacing w:after="0" w:line="227" w:lineRule="auto"/>
        <w:rPr>
          <w:sz w:val="20"/>
          <w:szCs w:val="20"/>
          <w:color w:val="auto"/>
        </w:rPr>
      </w:pPr>
      <w:r>
        <w:rPr>
          <w:rFonts w:ascii="Times New Roman" w:cs="Times New Roman" w:eastAsia="Times New Roman" w:hAnsi="Times New Roman"/>
          <w:sz w:val="18"/>
          <w:szCs w:val="18"/>
          <w:color w:val="auto"/>
        </w:rPr>
        <w:t>In July 2024,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with Jefferies LLC, as sales agent (Jefferies), pursuant to which we may offer and sell, from time to time, through Jefferies, shares of our common stock having an aggregate offering price of up to $150 million.</w:t>
      </w:r>
    </w:p>
    <w:p>
      <w:pPr>
        <w:spacing w:after="0" w:line="90"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and cash flows from operations will be sufficient to meet the company's working capital needs for the next twelve months. Our long-term capital requirements will depend on several factors, most notably the timing and degree of success of our continued commercialization of VYKAT XR. We believe that we will continue to have access to capital resources through possible public or private equity offerings, debt financings, corporate collaborations or other means, but the access to such capital resources is uncertain and is not assured.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of the periods presented below (in thousands):</w:t>
      </w:r>
    </w:p>
    <w:p>
      <w:pPr>
        <w:spacing w:after="0" w:line="246" w:lineRule="exact"/>
        <w:rPr>
          <w:sz w:val="20"/>
          <w:szCs w:val="20"/>
          <w:color w:val="auto"/>
        </w:rPr>
      </w:pPr>
    </w:p>
    <w:tbl>
      <w:tblPr>
        <w:tblLayout w:type="fixed"/>
        <w:tblInd w:w="148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46,798</w:t>
            </w:r>
          </w:p>
        </w:tc>
        <w:tc>
          <w:tcPr>
            <w:tcW w:w="1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(69,096)</w:t>
            </w:r>
          </w:p>
        </w:tc>
        <w:tc>
          <w:tcPr>
            <w:tcW w:w="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(24,940)</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(201,781)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(225,682)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137,161</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213,025</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180,019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(17,822)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(81,753)</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155,079</w:t>
            </w:r>
          </w:p>
        </w:tc>
        <w:tc>
          <w:tcPr>
            <w:tcW w:w="80" w:type="dxa"/>
            <w:vAlign w:val="bottom"/>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-170815</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-170815</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(used in) operating activities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During 2025, operating activities provided net cash of $46.8 million, which was primarily due to net income of $20.9 million which included $45.8 million of stock-based compensation expense, $2.0 million of depreciation and amortization, $0.6 million of non-cash lease expense, non-cash expense of $5.5 million for the change in fair value of contingent consideration, and $3.5 million added back for accretion of premium/discount on marketable securities. Additionally, there was a $24.6 million net increase in cash used during 2025 due to changes in operating assets and liabilities.</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During 2024, operating activities used net cash of $69.1 million, which was primarily due to the loss of $175.9 million which included $100.0 million of stock-based compensation expense, $2.0 million of depreciation and amortization, $0.4 million of non-cash lease expense, non-cash expense of $3.2 million for the change in fair value of contingent consideration, and $4.9 million added back for accretion of premium/discount on marketable securities. Additionally, there was a $6.1 million net decrease in cash used during 2024 due to changes in operating assets and liabilities.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During 2025, we used $455.8 million for purchases of marketable securities and $0.1 million for purchases of property and equipment. We received proceeds of $254.1 million from maturities of marketable securities.</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During 2024, we used $356.5 million for purchases of marketable securities and $0.2 million for purchases of property and equipment. We received proceeds of $131.0 million from maturities of marketable securities.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financing activities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2025, we received $215.7 million from the sale of common stock, net of issuance costs, $5.2 million from the exercise of common stock warrants, and $17.2 million from the exercise of stock options. We paid $100.1 million for repurchase of common stock including costs, $0.7 million of tax withholding for net share-settled equity awards, and $0.1 million of debt issuance costs.</w:t>
      </w:r>
    </w:p>
    <w:p>
      <w:pPr>
        <w:spacing w:after="0" w:line="176"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During 2024, we received $149.0 million from the sale of common stock, net of issuance costs, $49.9 million from issuance of debt, net of issuance costs, and $12.9 million from the exercise of common stock and pre-funded stock warrants. We also received $1.3 million from the exercise of stock options.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and December 31, 2024, we had no off-balance sheet arrangements as defined in Item 303(a)(4) of Regulation S-K as promulgated by the SEC.</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Guidance Update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Guidance</w:t>
      </w:r>
    </w:p>
    <w:p>
      <w:pPr>
        <w:spacing w:after="0" w:line="11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and adopted by us as of the specified effective date. Refer to Note 3 in Part II, Item 8 of this Annual Report on Form 10-K regarding the effect of recently adopted and issued accounting pronouncements on our financial statements.</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or corporate debt.</w:t>
      </w:r>
    </w:p>
    <w:p>
      <w:pPr>
        <w:spacing w:after="0" w:line="6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we had unrestricted cash and cash equivalents totaling $70.1 million and $436.0 million of marketable securities held for working capital purposes. We do not enter into investments for trading or speculative purposes. We believe we do not have material exposure to changes in fair value as a result of changes in interest rates. Declines in interest rates, however, will reduce future interest income.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w:t>
            </w:r>
          </w:p>
        </w:tc>
        <w:tc>
          <w:tcPr>
            <w:tcW w:w="3920" w:type="dxa"/>
            <w:vAlign w:val="bottom"/>
            <w:gridSpan w:val="2"/>
          </w:tcPr>
          <w:p>
            <w:pPr>
              <w:spacing w:after="0"/>
              <w:rPr>
                <w:sz w:val="17"/>
                <w:szCs w:val="17"/>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18"/>
        </w:trPr>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bottom w:val="single" w:sz="8" w:color="0000EE"/>
            </w:tcBorders>
          </w:tcPr>
          <w:p>
            <w:pPr>
              <w:spacing w:after="0"/>
              <w:rPr>
                <w:sz w:val="24"/>
                <w:szCs w:val="24"/>
                <w:color w:val="auto"/>
              </w:rPr>
            </w:pPr>
          </w:p>
        </w:tc>
        <w:tc>
          <w:tcPr>
            <w:tcW w:w="6100" w:type="dxa"/>
            <w:vAlign w:val="bottom"/>
            <w:gridSpan w:val="8"/>
          </w:tcPr>
          <w:p>
            <w:pPr>
              <w:spacing w:after="0"/>
              <w:rPr>
                <w:sz w:val="24"/>
                <w:szCs w:val="24"/>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18"/>
        </w:trPr>
        <w:tc>
          <w:tcPr>
            <w:tcW w:w="8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18"/>
        </w:trPr>
        <w:tc>
          <w:tcPr>
            <w:tcW w:w="3600" w:type="dxa"/>
            <w:vAlign w:val="bottom"/>
            <w:tcBorders>
              <w:top w:val="single" w:sz="8" w:color="0000FF"/>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780" w:type="dxa"/>
            <w:vAlign w:val="bottom"/>
            <w:tcBorders>
              <w:top w:val="single" w:sz="8" w:color="0000FF"/>
            </w:tcBorders>
            <w:gridSpan w:val="2"/>
          </w:tcPr>
          <w:p>
            <w:pPr>
              <w:spacing w:after="0"/>
              <w:rPr>
                <w:sz w:val="24"/>
                <w:szCs w:val="24"/>
                <w:color w:val="auto"/>
              </w:rPr>
            </w:pPr>
          </w:p>
        </w:tc>
        <w:tc>
          <w:tcPr>
            <w:tcW w:w="2840" w:type="dxa"/>
            <w:vAlign w:val="bottom"/>
          </w:tcPr>
          <w:p>
            <w:pPr>
              <w:spacing w:after="0"/>
              <w:rPr>
                <w:sz w:val="24"/>
                <w:szCs w:val="24"/>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18"/>
        </w:trPr>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bottom w:val="single" w:sz="8" w:color="0000EE"/>
            </w:tcBorders>
          </w:tcPr>
          <w:p>
            <w:pPr>
              <w:spacing w:after="0"/>
              <w:rPr>
                <w:sz w:val="24"/>
                <w:szCs w:val="24"/>
                <w:color w:val="auto"/>
              </w:rPr>
            </w:pPr>
          </w:p>
        </w:tc>
        <w:tc>
          <w:tcPr>
            <w:tcW w:w="5320" w:type="dxa"/>
            <w:vAlign w:val="bottom"/>
            <w:gridSpan w:val="6"/>
          </w:tcPr>
          <w:p>
            <w:pPr>
              <w:spacing w:after="0"/>
              <w:rPr>
                <w:sz w:val="24"/>
                <w:szCs w:val="24"/>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18"/>
        </w:trPr>
        <w:tc>
          <w:tcPr>
            <w:tcW w:w="3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0" w:type="dxa"/>
            <w:vAlign w:val="bottom"/>
            <w:tcBorders>
              <w:bottom w:val="single" w:sz="8" w:color="0000EE"/>
            </w:tcBorders>
          </w:tcPr>
          <w:p>
            <w:pPr>
              <w:spacing w:after="0"/>
              <w:rPr>
                <w:sz w:val="24"/>
                <w:szCs w:val="24"/>
                <w:color w:val="auto"/>
              </w:rPr>
            </w:pPr>
          </w:p>
        </w:tc>
        <w:tc>
          <w:tcPr>
            <w:tcW w:w="5040" w:type="dxa"/>
            <w:vAlign w:val="bottom"/>
            <w:gridSpan w:val="4"/>
          </w:tcPr>
          <w:p>
            <w:pPr>
              <w:spacing w:after="0"/>
              <w:rPr>
                <w:sz w:val="24"/>
                <w:szCs w:val="24"/>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Soleno Therapeutics,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Soleno Therapeutics, Inc. (the “Company”) as of December 31, 2025, the related consolidated statements of operations and comprehensive income (loss), stockholders’ equity and cash flows for the year ended December 31, 2025, and the related notes (collectively referred to as the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the criteria established in internal control - integrated framework issued by the Committee of Sponsoring Organizations of the Treadway Commission (COSO) in 2013 and our report dated February 25, 2026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expressed an unqualified opinion on the effectiveness of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Implementation of ASC 606 for 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the Matter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Note 3, the Company implemented ASC 606, Revenue from Contracts with Customers, related to the launch of its first commercial product offering. The implementation of ASC 606 involved significant judgment in evaluating the Company’s revenue arrangements, identifying distinct performance obligations, determining the appropriate timing of revenue recognition, estimating variable consideration, and assessing disclosures in accordance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p>
      <w:pPr>
        <w:spacing w:after="0" w:line="282" w:lineRule="auto"/>
        <w:rPr>
          <w:sz w:val="20"/>
          <w:szCs w:val="20"/>
          <w:color w:val="auto"/>
        </w:rPr>
      </w:pPr>
      <w:r>
        <w:rPr>
          <w:rFonts w:ascii="Times New Roman" w:cs="Times New Roman" w:eastAsia="Times New Roman" w:hAnsi="Times New Roman"/>
          <w:sz w:val="18"/>
          <w:szCs w:val="18"/>
          <w:color w:val="auto"/>
        </w:rPr>
        <w:t>with ASC 606. The implementation of the standard required the Company to update its systems, processes, and internal controls to comply with the newly applicable guidance.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How We Addressed the Matter in Our Audit</w:t>
      </w:r>
    </w:p>
    <w:p>
      <w:pPr>
        <w:spacing w:after="0" w:line="22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Addressing this matter involved performing procedures and evaluating audit evidence in connection with forming our overall opinion on the financial statements. These procedures included, among others:</w:t>
      </w:r>
    </w:p>
    <w:p>
      <w:pPr>
        <w:spacing w:after="0" w:line="54"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management’s adoption and application of the new accounting policy, including changes to systems and internal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management’s process for identifying and assessing revenue contracts and performance obligations.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management’s estimates of variable consideration, including rebates, discounts, and returns, and evaluating constraints applied to variable consideration.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and completeness of the Company’s ASC 606 disclosures in the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CBIZ CPA</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CBIZ CPAs P.C.</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served as the Company’s auditor since 2014 (such date takes into account the acquisition of the attest business of Marcum LLP by CBIZ CPAs P.C. effective November 1, 2024).</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Soleno Therapeutics,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Soleno Therapeutics, Inc. (the “Company”) as of December 31, 2024, the related consolidated statements of operations and comprehensive income (loss),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each of the two years in the period ended December 31,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2014 to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8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70,106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87,928</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203,509</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Inventory,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355,814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293,889</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200,616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27,211</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r>
      <w:tr>
        <w:trPr>
          <w:trHeight w:val="249"/>
        </w:trPr>
        <w:tc>
          <w:tcPr>
            <w:tcW w:w="7880" w:type="dxa"/>
            <w:vAlign w:val="bottom"/>
            <w:tcBorders>
              <w:bottom w:val="single" w:sz="8" w:color="CFF0FC"/>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563,830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330,972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78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8,882</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Contingent liability for Essentialis purchase price</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18,198</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20" w:type="dxa"/>
            <w:vAlign w:val="bottom"/>
          </w:tcPr>
          <w:p>
            <w:pPr>
              <w:spacing w:after="0"/>
              <w:rPr>
                <w:sz w:val="18"/>
                <w:szCs w:val="18"/>
                <w:color w:val="auto"/>
              </w:rPr>
            </w:pPr>
          </w:p>
        </w:tc>
      </w:tr>
      <w:tr>
        <w:trPr>
          <w:trHeight w:val="210"/>
        </w:trPr>
        <w:tc>
          <w:tcPr>
            <w:tcW w:w="78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61,363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Contingent liability for Essentialis purchase price</w:t>
            </w:r>
          </w:p>
        </w:tc>
        <w:tc>
          <w:tcPr>
            <w:tcW w:w="2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49,828</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r>
      <w:tr>
        <w:trPr>
          <w:trHeight w:val="209"/>
        </w:trPr>
        <w:tc>
          <w:tcPr>
            <w:tcW w:w="7880" w:type="dxa"/>
            <w:vAlign w:val="bottom"/>
            <w:tcBorders>
              <w:bottom w:val="single" w:sz="8" w:color="CFF0FC"/>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113,715</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85,859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no shares issued and outstanding</w:t>
            </w:r>
          </w:p>
        </w:tc>
        <w:tc>
          <w:tcPr>
            <w:tcW w:w="20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w:t>
            </w: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52,286,881 and 45,703,811 shares issued and outstanding at</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2025 and 2024, respectively</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FF0FC"/>
          </w:tcPr>
          <w:p>
            <w:pPr>
              <w:spacing w:after="0"/>
              <w:rPr>
                <w:sz w:val="20"/>
                <w:szCs w:val="20"/>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881,018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696,966</w:t>
            </w:r>
          </w:p>
        </w:tc>
        <w:tc>
          <w:tcPr>
            <w:tcW w:w="120" w:type="dxa"/>
            <w:vAlign w:val="bottom"/>
          </w:tcPr>
          <w:p>
            <w:pPr>
              <w:spacing w:after="0"/>
              <w:rPr>
                <w:sz w:val="18"/>
                <w:szCs w:val="18"/>
                <w:color w:val="auto"/>
              </w:rPr>
            </w:pPr>
          </w:p>
        </w:tc>
      </w:tr>
      <w:tr>
        <w:trPr>
          <w:trHeight w:val="216"/>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FF0FC"/>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(431,370)</w:t>
            </w:r>
          </w:p>
        </w:tc>
        <w:tc>
          <w:tcPr>
            <w:tcW w:w="2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(452,260)</w:t>
            </w:r>
          </w:p>
        </w:tc>
      </w:tr>
      <w:tr>
        <w:trPr>
          <w:trHeight w:val="210"/>
        </w:trPr>
        <w:tc>
          <w:tcPr>
            <w:tcW w:w="78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450,115</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245,113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563,830</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330,972</w:t>
            </w:r>
          </w:p>
        </w:tc>
        <w:tc>
          <w:tcPr>
            <w:tcW w:w="120" w:type="dxa"/>
            <w:vAlign w:val="bottom"/>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-4636770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-4636770</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-3522345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-3505200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-3522345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-1559560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-1559560</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6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190,405</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36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25,189</w:t>
            </w:r>
          </w:p>
        </w:tc>
        <w:tc>
          <w:tcPr>
            <w:tcW w:w="120" w:type="dxa"/>
            <w:vAlign w:val="bottom"/>
          </w:tcPr>
          <w:p>
            <w:pPr>
              <w:spacing w:after="0"/>
              <w:rPr>
                <w:sz w:val="18"/>
                <w:szCs w:val="18"/>
                <w:color w:val="auto"/>
              </w:rPr>
            </w:pPr>
          </w:p>
        </w:tc>
      </w:tr>
      <w:tr>
        <w:trPr>
          <w:trHeight w:val="216"/>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132,128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105,861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13,481</w:t>
            </w: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20" w:type="dxa"/>
            <w:vAlign w:val="bottom"/>
          </w:tcPr>
          <w:p>
            <w:pPr>
              <w:spacing w:after="0"/>
              <w:rPr>
                <w:sz w:val="18"/>
                <w:szCs w:val="18"/>
                <w:color w:val="auto"/>
              </w:rPr>
            </w:pPr>
          </w:p>
        </w:tc>
      </w:tr>
      <w:tr>
        <w:trPr>
          <w:trHeight w:val="209"/>
        </w:trPr>
        <w:tc>
          <w:tcPr>
            <w:tcW w:w="66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180,991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187,671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(187,671)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(41,384)</w:t>
            </w: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6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20,890</w:t>
            </w:r>
          </w:p>
        </w:tc>
        <w:tc>
          <w:tcPr>
            <w:tcW w:w="160" w:type="dxa"/>
            <w:vAlign w:val="bottom"/>
          </w:tcPr>
          <w:p>
            <w:pPr>
              <w:spacing w:after="0"/>
              <w:rPr>
                <w:sz w:val="18"/>
                <w:szCs w:val="18"/>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(175,850)</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(38,988)</w:t>
            </w:r>
          </w:p>
        </w:tc>
      </w:tr>
      <w:tr>
        <w:trPr>
          <w:trHeight w:val="20"/>
        </w:trPr>
        <w:tc>
          <w:tcPr>
            <w:tcW w:w="6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unrealized gain on marketable securities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20,944</w:t>
            </w:r>
          </w:p>
        </w:tc>
        <w:tc>
          <w:tcPr>
            <w:tcW w:w="160" w:type="dxa"/>
            <w:vAlign w:val="bottom"/>
          </w:tcPr>
          <w:p>
            <w:pPr>
              <w:spacing w:after="0"/>
              <w:rPr>
                <w:sz w:val="18"/>
                <w:szCs w:val="18"/>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(175,489)</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(38,988)</w:t>
            </w:r>
          </w:p>
        </w:tc>
      </w:tr>
      <w:tr>
        <w:trPr>
          <w:trHeight w:val="20"/>
        </w:trPr>
        <w:tc>
          <w:tcPr>
            <w:tcW w:w="6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(175,850)</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(38,988)</w:t>
            </w: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Undistributed earnings attributable to participating securities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 basic and diluted</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(175,850)</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(38,988)</w:t>
            </w: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412"/>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(4.38)</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(4.38)</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r>
      <w:tr>
        <w:trPr>
          <w:trHeight w:val="432"/>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50,817,586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40,175,926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16,492,132</w:t>
            </w:r>
          </w:p>
        </w:tc>
        <w:tc>
          <w:tcPr>
            <w:tcW w:w="120" w:type="dxa"/>
            <w:vAlign w:val="bottom"/>
          </w:tcPr>
          <w:p>
            <w:pPr>
              <w:spacing w:after="0"/>
              <w:rPr>
                <w:sz w:val="24"/>
                <w:szCs w:val="24"/>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52,384,886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40,175,926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16,492,132</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-3145155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-3145155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-3145155</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-2296795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-2296795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-2296795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-1576705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-1576705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-1576705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-847725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-831215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-847725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-831215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-847725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-831215</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bl>
      <w:tblPr>
        <w:tblLayout w:type="fixed"/>
        <w:tblInd w:w="0" w:type="dxa"/>
        <w:tblCellMar>
          <w:top w:w="0" w:type="dxa"/>
          <w:left w:w="0" w:type="dxa"/>
          <w:bottom w:w="0" w:type="dxa"/>
          <w:right w:w="0" w:type="dxa"/>
        </w:tblCellMar>
      </w:tblPr>
      <w:tr>
        <w:trPr>
          <w:trHeight w:val="150"/>
        </w:trPr>
        <w:tc>
          <w:tcPr>
            <w:tcW w:w="4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b w:val="1"/>
                <w:bCs w:val="1"/>
                <w:color w:val="auto"/>
                <w:w w:val="99"/>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64"/>
              <w:spacing w:after="0" w:line="162"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420"/>
              <w:spacing w:after="0" w:line="162"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840" w:type="dxa"/>
            <w:vAlign w:val="bottom"/>
            <w:gridSpan w:val="4"/>
            <w:vMerge w:val="restart"/>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Comprehensi</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184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line="170" w:lineRule="exact"/>
              <w:rPr>
                <w:sz w:val="20"/>
                <w:szCs w:val="20"/>
                <w:color w:val="auto"/>
              </w:rPr>
            </w:pPr>
            <w:r>
              <w:rPr>
                <w:rFonts w:ascii="Times New Roman" w:cs="Times New Roman" w:eastAsia="Times New Roman" w:hAnsi="Times New Roman"/>
                <w:sz w:val="15"/>
                <w:szCs w:val="15"/>
                <w:b w:val="1"/>
                <w:bCs w:val="1"/>
                <w:color w:val="auto"/>
              </w:rPr>
              <w:t>Paid-In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64"/>
              <w:spacing w:after="0" w:line="170" w:lineRule="exact"/>
              <w:rPr>
                <w:sz w:val="20"/>
                <w:szCs w:val="20"/>
                <w:color w:val="auto"/>
              </w:rPr>
            </w:pPr>
            <w:r>
              <w:rPr>
                <w:rFonts w:ascii="Times New Roman" w:cs="Times New Roman" w:eastAsia="Times New Roman" w:hAnsi="Times New Roman"/>
                <w:sz w:val="15"/>
                <w:szCs w:val="15"/>
                <w:b w:val="1"/>
                <w:bCs w:val="1"/>
                <w:color w:val="auto"/>
                <w:w w:val="98"/>
              </w:rPr>
              <w:t>ve</w:t>
            </w:r>
          </w:p>
        </w:tc>
        <w:tc>
          <w:tcPr>
            <w:tcW w:w="220" w:type="dxa"/>
            <w:vAlign w:val="bottom"/>
          </w:tcPr>
          <w:p>
            <w:pPr>
              <w:spacing w:after="0"/>
              <w:rPr>
                <w:sz w:val="14"/>
                <w:szCs w:val="14"/>
                <w:color w:val="auto"/>
              </w:rPr>
            </w:pPr>
          </w:p>
        </w:tc>
        <w:tc>
          <w:tcPr>
            <w:tcW w:w="1020" w:type="dxa"/>
            <w:vAlign w:val="bottom"/>
            <w:gridSpan w:val="3"/>
          </w:tcPr>
          <w:p>
            <w:pPr>
              <w:spacing w:after="0" w:line="170"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80" w:type="dxa"/>
            <w:vAlign w:val="bottom"/>
          </w:tcPr>
          <w:p>
            <w:pPr>
              <w:spacing w:after="0"/>
              <w:rPr>
                <w:sz w:val="14"/>
                <w:szCs w:val="14"/>
                <w:color w:val="auto"/>
              </w:rPr>
            </w:pPr>
          </w:p>
        </w:tc>
        <w:tc>
          <w:tcPr>
            <w:tcW w:w="1040" w:type="dxa"/>
            <w:vAlign w:val="bottom"/>
            <w:gridSpan w:val="3"/>
          </w:tcPr>
          <w:p>
            <w:pPr>
              <w:spacing w:after="0" w:line="170"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1060" w:type="dxa"/>
            <w:vAlign w:val="bottom"/>
            <w:gridSpan w:val="2"/>
          </w:tcPr>
          <w:p>
            <w:pPr>
              <w:jc w:val="right"/>
              <w:ind w:right="380"/>
              <w:spacing w:after="0" w:line="156" w:lineRule="exact"/>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Amount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40"/>
              <w:spacing w:after="0" w:line="156" w:lineRule="exact"/>
              <w:rPr>
                <w:sz w:val="20"/>
                <w:szCs w:val="20"/>
                <w:color w:val="auto"/>
              </w:rPr>
            </w:pPr>
            <w:r>
              <w:rPr>
                <w:rFonts w:ascii="Times New Roman" w:cs="Times New Roman" w:eastAsia="Times New Roman" w:hAnsi="Times New Roman"/>
                <w:sz w:val="15"/>
                <w:szCs w:val="15"/>
                <w:b w:val="1"/>
                <w:bCs w:val="1"/>
                <w:color w:val="auto"/>
              </w:rPr>
              <w:t>Capital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84"/>
              <w:spacing w:after="0" w:line="156" w:lineRule="exact"/>
              <w:rPr>
                <w:sz w:val="20"/>
                <w:szCs w:val="20"/>
                <w:color w:val="auto"/>
              </w:rPr>
            </w:pPr>
            <w:r>
              <w:rPr>
                <w:rFonts w:ascii="Times New Roman" w:cs="Times New Roman" w:eastAsia="Times New Roman" w:hAnsi="Times New Roman"/>
                <w:sz w:val="15"/>
                <w:szCs w:val="15"/>
                <w:b w:val="1"/>
                <w:bCs w:val="1"/>
                <w:color w:val="auto"/>
              </w:rPr>
              <w:t>Income</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04"/>
              <w:spacing w:after="0" w:line="156" w:lineRule="exact"/>
              <w:rPr>
                <w:sz w:val="20"/>
                <w:szCs w:val="20"/>
                <w:color w:val="auto"/>
              </w:rPr>
            </w:pPr>
            <w:r>
              <w:rPr>
                <w:rFonts w:ascii="Times New Roman" w:cs="Times New Roman" w:eastAsia="Times New Roman" w:hAnsi="Times New Roman"/>
                <w:sz w:val="15"/>
                <w:szCs w:val="15"/>
                <w:b w:val="1"/>
                <w:bCs w:val="1"/>
                <w:color w:val="auto"/>
              </w:rPr>
              <w:t>Deficit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360"/>
              <w:spacing w:after="0" w:line="156"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56"/>
        </w:trPr>
        <w:tc>
          <w:tcPr>
            <w:tcW w:w="46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Balances at December 31, 2022</w:t>
            </w:r>
          </w:p>
        </w:tc>
        <w:tc>
          <w:tcPr>
            <w:tcW w:w="9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8,159,382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5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247,762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(237,422</w:t>
            </w:r>
          </w:p>
        </w:tc>
        <w:tc>
          <w:tcPr>
            <w:tcW w:w="14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10,348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6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5"/>
                <w:szCs w:val="15"/>
                <w:color w:val="auto"/>
              </w:rPr>
              <w:t>Stock-based compensation</w:t>
            </w:r>
          </w:p>
        </w:tc>
        <w:tc>
          <w:tcPr>
            <w:tcW w:w="1060" w:type="dxa"/>
            <w:vAlign w:val="bottom"/>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40"/>
              <w:spacing w:after="0" w:line="156" w:lineRule="exact"/>
              <w:rPr>
                <w:sz w:val="20"/>
                <w:szCs w:val="20"/>
                <w:color w:val="auto"/>
              </w:rPr>
            </w:pPr>
            <w:r>
              <w:rPr>
                <w:rFonts w:ascii="Times New Roman" w:cs="Times New Roman" w:eastAsia="Times New Roman" w:hAnsi="Times New Roman"/>
                <w:sz w:val="15"/>
                <w:szCs w:val="15"/>
                <w:color w:val="auto"/>
                <w:w w:val="93"/>
              </w:rPr>
              <w:t>—</w:t>
            </w: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5,809</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5,809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660" w:type="dxa"/>
            <w:vAlign w:val="bottom"/>
          </w:tcPr>
          <w:p>
            <w:pPr>
              <w:ind w:left="100"/>
              <w:spacing w:after="0" w:line="145" w:lineRule="exact"/>
              <w:rPr>
                <w:sz w:val="20"/>
                <w:szCs w:val="20"/>
                <w:color w:val="auto"/>
              </w:rPr>
            </w:pPr>
            <w:r>
              <w:rPr>
                <w:rFonts w:ascii="Times New Roman" w:cs="Times New Roman" w:eastAsia="Times New Roman" w:hAnsi="Times New Roman"/>
                <w:sz w:val="15"/>
                <w:szCs w:val="15"/>
                <w:color w:val="auto"/>
              </w:rPr>
              <w:t>Issuance of common stock in connection with exercise of stock options</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and 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510,241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Tax withholding payments for net share-settled equity awards</w:t>
            </w:r>
          </w:p>
        </w:tc>
        <w:tc>
          <w:tcPr>
            <w:tcW w:w="106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(128)</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4660" w:type="dxa"/>
            <w:vAlign w:val="bottom"/>
          </w:tcPr>
          <w:p>
            <w:pPr>
              <w:ind w:left="100"/>
              <w:spacing w:after="0" w:line="145" w:lineRule="exact"/>
              <w:rPr>
                <w:sz w:val="20"/>
                <w:szCs w:val="20"/>
                <w:color w:val="auto"/>
              </w:rPr>
            </w:pPr>
            <w:r>
              <w:rPr>
                <w:rFonts w:ascii="Times New Roman" w:cs="Times New Roman" w:eastAsia="Times New Roman" w:hAnsi="Times New Roman"/>
                <w:sz w:val="15"/>
                <w:szCs w:val="15"/>
                <w:color w:val="auto"/>
              </w:rPr>
              <w:t>Sale of common stock and issuance of common stock warrants and pre-</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funded common stock warrants, net of issuance costs of $8,449</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7,047,397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137,851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137,857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Exercise of common stock warrants</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15,961,267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w w:val="93"/>
              </w:rPr>
              <w:t>17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41,981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41,998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(38,988)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(38,988)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Balances at December 31, 2023</w:t>
            </w: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31,678,159</w:t>
            </w: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5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93"/>
              </w:rPr>
              <w:t>32</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433,885</w:t>
            </w:r>
          </w:p>
        </w:tc>
        <w:tc>
          <w:tcPr>
            <w:tcW w:w="1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ind w:lef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shd w:val="clear" w:color="auto" w:fill="CFF0FC"/>
          </w:tcPr>
          <w:p>
            <w:pPr>
              <w:ind w:left="2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(276,410)</w:t>
            </w:r>
          </w:p>
        </w:tc>
        <w:tc>
          <w:tcPr>
            <w:tcW w:w="240" w:type="dxa"/>
            <w:vAlign w:val="bottom"/>
            <w:gridSpan w:val="2"/>
            <w:shd w:val="clear" w:color="auto" w:fill="CFF0FC"/>
          </w:tcPr>
          <w:p>
            <w:pPr>
              <w:ind w:lef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157,507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660" w:type="dxa"/>
            <w:vAlign w:val="bottom"/>
            <w:tcBorders>
              <w:top w:val="single" w:sz="8" w:color="CFF0FC"/>
            </w:tcBorders>
          </w:tcPr>
          <w:p>
            <w:pPr>
              <w:ind w:left="100"/>
              <w:spacing w:after="0" w:line="143" w:lineRule="exact"/>
              <w:rPr>
                <w:sz w:val="20"/>
                <w:szCs w:val="20"/>
                <w:color w:val="auto"/>
              </w:rPr>
            </w:pPr>
            <w:r>
              <w:rPr>
                <w:rFonts w:ascii="Times New Roman" w:cs="Times New Roman" w:eastAsia="Times New Roman" w:hAnsi="Times New Roman"/>
                <w:sz w:val="15"/>
                <w:szCs w:val="15"/>
                <w:color w:val="auto"/>
              </w:rPr>
              <w:t>Stock-based compensation</w:t>
            </w:r>
          </w:p>
        </w:tc>
        <w:tc>
          <w:tcPr>
            <w:tcW w:w="9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99,958</w:t>
            </w: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99,958</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60" w:type="dxa"/>
            <w:vAlign w:val="bottom"/>
            <w:shd w:val="clear" w:color="auto" w:fill="CFF0FC"/>
          </w:tcPr>
          <w:p>
            <w:pPr>
              <w:ind w:left="100"/>
              <w:spacing w:after="0" w:line="145" w:lineRule="exact"/>
              <w:rPr>
                <w:sz w:val="20"/>
                <w:szCs w:val="20"/>
                <w:color w:val="auto"/>
              </w:rPr>
            </w:pPr>
            <w:r>
              <w:rPr>
                <w:rFonts w:ascii="Times New Roman" w:cs="Times New Roman" w:eastAsia="Times New Roman" w:hAnsi="Times New Roman"/>
                <w:sz w:val="15"/>
                <w:szCs w:val="15"/>
                <w:color w:val="auto"/>
              </w:rPr>
              <w:t>Issuance of common stock in connection with exercise of stock options</w:t>
            </w: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and vesting of restricted stock units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1,125,054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1,315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1,316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Sale of common stock, net of issuance costs of $9,746</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3,450,000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148,951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148,955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660" w:type="dxa"/>
            <w:vAlign w:val="bottom"/>
            <w:shd w:val="clear" w:color="auto" w:fill="CFF0FC"/>
          </w:tcPr>
          <w:p>
            <w:pPr>
              <w:ind w:left="100"/>
              <w:spacing w:after="0" w:line="145" w:lineRule="exact"/>
              <w:rPr>
                <w:sz w:val="20"/>
                <w:szCs w:val="20"/>
                <w:color w:val="auto"/>
              </w:rPr>
            </w:pPr>
            <w:r>
              <w:rPr>
                <w:rFonts w:ascii="Times New Roman" w:cs="Times New Roman" w:eastAsia="Times New Roman" w:hAnsi="Times New Roman"/>
                <w:sz w:val="15"/>
                <w:szCs w:val="15"/>
                <w:color w:val="auto"/>
              </w:rPr>
              <w:t>Exercise of common stock warrants and pre-funded common stock</w:t>
            </w: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warrants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9,450,598</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12,857</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12,866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unrealized gain on marketable securities</w:t>
            </w:r>
          </w:p>
        </w:tc>
        <w:tc>
          <w:tcPr>
            <w:tcW w:w="10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(175,850)</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(175,850)</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Balances at December 31, 2024</w:t>
            </w: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45,703,811</w:t>
            </w:r>
          </w:p>
        </w:tc>
        <w:tc>
          <w:tcPr>
            <w:tcW w:w="140" w:type="dxa"/>
            <w:vAlign w:val="bottom"/>
          </w:tcPr>
          <w:p>
            <w:pPr>
              <w:spacing w:after="0"/>
              <w:rPr>
                <w:sz w:val="13"/>
                <w:szCs w:val="13"/>
                <w:color w:val="auto"/>
              </w:rPr>
            </w:pPr>
          </w:p>
        </w:tc>
        <w:tc>
          <w:tcPr>
            <w:tcW w:w="780" w:type="dxa"/>
            <w:vAlign w:val="bottom"/>
            <w:gridSpan w:val="2"/>
          </w:tcPr>
          <w:p>
            <w:pPr>
              <w:jc w:val="right"/>
              <w:ind w:right="5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93"/>
              </w:rPr>
              <w:t>46</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696,966</w:t>
            </w:r>
          </w:p>
        </w:tc>
        <w:tc>
          <w:tcPr>
            <w:tcW w:w="120" w:type="dxa"/>
            <w:vAlign w:val="bottom"/>
          </w:tcPr>
          <w:p>
            <w:pPr>
              <w:spacing w:after="0"/>
              <w:rPr>
                <w:sz w:val="13"/>
                <w:szCs w:val="13"/>
                <w:color w:val="auto"/>
              </w:rPr>
            </w:pPr>
          </w:p>
        </w:tc>
        <w:tc>
          <w:tcPr>
            <w:tcW w:w="22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361</w:t>
            </w:r>
          </w:p>
        </w:tc>
        <w:tc>
          <w:tcPr>
            <w:tcW w:w="360" w:type="dxa"/>
            <w:vAlign w:val="bottom"/>
            <w:gridSpan w:val="2"/>
          </w:tcPr>
          <w:p>
            <w:pPr>
              <w:ind w:left="2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(452,260)</w:t>
            </w:r>
          </w:p>
        </w:tc>
        <w:tc>
          <w:tcPr>
            <w:tcW w:w="24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245,113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60" w:type="dxa"/>
            <w:vAlign w:val="bottom"/>
            <w:shd w:val="clear" w:color="auto" w:fill="CFF0FC"/>
          </w:tcPr>
          <w:p>
            <w:pPr>
              <w:ind w:left="100"/>
              <w:spacing w:after="0" w:line="143" w:lineRule="exact"/>
              <w:rPr>
                <w:sz w:val="20"/>
                <w:szCs w:val="20"/>
                <w:color w:val="auto"/>
              </w:rPr>
            </w:pPr>
            <w:r>
              <w:rPr>
                <w:rFonts w:ascii="Times New Roman" w:cs="Times New Roman" w:eastAsia="Times New Roman" w:hAnsi="Times New Roman"/>
                <w:sz w:val="15"/>
                <w:szCs w:val="15"/>
                <w:color w:val="auto"/>
              </w:rPr>
              <w:t>Stock-based compensation</w:t>
            </w:r>
          </w:p>
        </w:tc>
        <w:tc>
          <w:tcPr>
            <w:tcW w:w="1060" w:type="dxa"/>
            <w:vAlign w:val="bottom"/>
            <w:gridSpan w:val="2"/>
            <w:shd w:val="clear" w:color="auto" w:fill="CFF0FC"/>
          </w:tcPr>
          <w:p>
            <w:pPr>
              <w:jc w:val="right"/>
              <w:ind w:right="140"/>
              <w:spacing w:after="0" w:line="143"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40"/>
              <w:spacing w:after="0" w:line="143" w:lineRule="exact"/>
              <w:rPr>
                <w:sz w:val="20"/>
                <w:szCs w:val="20"/>
                <w:color w:val="auto"/>
              </w:rPr>
            </w:pPr>
            <w:r>
              <w:rPr>
                <w:rFonts w:ascii="Times New Roman" w:cs="Times New Roman" w:eastAsia="Times New Roman" w:hAnsi="Times New Roman"/>
                <w:sz w:val="15"/>
                <w:szCs w:val="15"/>
                <w:color w:val="auto"/>
                <w:w w:val="93"/>
              </w:rPr>
              <w:t>—</w:t>
            </w: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46,839</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4"/>
              <w:spacing w:after="0" w:line="143"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46,839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Sales of common stock, net of issuance costs of $14,300</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2,705,882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215,718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215,721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Repurchase of common stock</w:t>
            </w:r>
          </w:p>
        </w:tc>
        <w:tc>
          <w:tcPr>
            <w:tcW w:w="106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(1,511,553)</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(100,148)</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(100,150)</w:t>
            </w:r>
          </w:p>
        </w:tc>
        <w:tc>
          <w:tcPr>
            <w:tcW w:w="0" w:type="dxa"/>
            <w:vAlign w:val="bottom"/>
          </w:tcPr>
          <w:p>
            <w:pPr>
              <w:spacing w:after="0"/>
              <w:rPr>
                <w:sz w:val="1"/>
                <w:szCs w:val="1"/>
                <w:color w:val="auto"/>
              </w:rPr>
            </w:pPr>
          </w:p>
        </w:tc>
      </w:tr>
      <w:tr>
        <w:trPr>
          <w:trHeight w:val="145"/>
        </w:trPr>
        <w:tc>
          <w:tcPr>
            <w:tcW w:w="4660" w:type="dxa"/>
            <w:vAlign w:val="bottom"/>
          </w:tcPr>
          <w:p>
            <w:pPr>
              <w:ind w:left="100"/>
              <w:spacing w:after="0" w:line="145" w:lineRule="exact"/>
              <w:rPr>
                <w:sz w:val="20"/>
                <w:szCs w:val="20"/>
                <w:color w:val="auto"/>
              </w:rPr>
            </w:pPr>
            <w:r>
              <w:rPr>
                <w:rFonts w:ascii="Times New Roman" w:cs="Times New Roman" w:eastAsia="Times New Roman" w:hAnsi="Times New Roman"/>
                <w:sz w:val="15"/>
                <w:szCs w:val="15"/>
                <w:color w:val="auto"/>
              </w:rPr>
              <w:t>Issuance of common stock in connection with exercise of stock options</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and 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2,166,501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Tax withholding payments for net share-settled equity awards</w:t>
            </w:r>
          </w:p>
        </w:tc>
        <w:tc>
          <w:tcPr>
            <w:tcW w:w="106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(14,608)</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(741)</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(741)</w:t>
            </w:r>
          </w:p>
        </w:tc>
        <w:tc>
          <w:tcPr>
            <w:tcW w:w="0" w:type="dxa"/>
            <w:vAlign w:val="bottom"/>
          </w:tcPr>
          <w:p>
            <w:pPr>
              <w:spacing w:after="0"/>
              <w:rPr>
                <w:sz w:val="1"/>
                <w:szCs w:val="1"/>
                <w:color w:val="auto"/>
              </w:rPr>
            </w:pPr>
          </w:p>
        </w:tc>
      </w:tr>
      <w:tr>
        <w:trPr>
          <w:trHeight w:val="162"/>
        </w:trPr>
        <w:tc>
          <w:tcPr>
            <w:tcW w:w="466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Exercise of common stock warrants</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3,236,848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5,184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5,187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unrealized gain on marketable securities</w:t>
            </w:r>
          </w:p>
        </w:tc>
        <w:tc>
          <w:tcPr>
            <w:tcW w:w="106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37</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Foreign currency translation adjustment</w:t>
            </w:r>
          </w:p>
        </w:tc>
        <w:tc>
          <w:tcPr>
            <w:tcW w:w="106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Borders>
              <w:bottom w:val="single" w:sz="8" w:color="CFF0FC"/>
            </w:tcBorders>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9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20,890</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20,890</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Balances at December 31, 2025</w:t>
            </w: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52,286,881</w:t>
            </w:r>
          </w:p>
        </w:tc>
        <w:tc>
          <w:tcPr>
            <w:tcW w:w="140" w:type="dxa"/>
            <w:vAlign w:val="bottom"/>
          </w:tcPr>
          <w:p>
            <w:pPr>
              <w:spacing w:after="0"/>
              <w:rPr>
                <w:sz w:val="13"/>
                <w:szCs w:val="13"/>
                <w:color w:val="auto"/>
              </w:rPr>
            </w:pPr>
          </w:p>
        </w:tc>
        <w:tc>
          <w:tcPr>
            <w:tcW w:w="780" w:type="dxa"/>
            <w:vAlign w:val="bottom"/>
            <w:gridSpan w:val="2"/>
          </w:tcPr>
          <w:p>
            <w:pPr>
              <w:jc w:val="right"/>
              <w:ind w:right="5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w w:val="93"/>
              </w:rPr>
              <w:t>52</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881,018</w:t>
            </w:r>
          </w:p>
        </w:tc>
        <w:tc>
          <w:tcPr>
            <w:tcW w:w="120" w:type="dxa"/>
            <w:vAlign w:val="bottom"/>
          </w:tcPr>
          <w:p>
            <w:pPr>
              <w:spacing w:after="0"/>
              <w:rPr>
                <w:sz w:val="13"/>
                <w:szCs w:val="13"/>
                <w:color w:val="auto"/>
              </w:rPr>
            </w:pPr>
          </w:p>
        </w:tc>
        <w:tc>
          <w:tcPr>
            <w:tcW w:w="22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415</w:t>
            </w:r>
          </w:p>
        </w:tc>
        <w:tc>
          <w:tcPr>
            <w:tcW w:w="360" w:type="dxa"/>
            <w:vAlign w:val="bottom"/>
            <w:gridSpan w:val="2"/>
          </w:tcPr>
          <w:p>
            <w:pPr>
              <w:ind w:left="2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(431,370)</w:t>
            </w:r>
          </w:p>
        </w:tc>
        <w:tc>
          <w:tcPr>
            <w:tcW w:w="24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450,115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-2151380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-2133600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-2151380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-2133600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-2151380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-2133600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-2151380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-2133600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-2151380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-2133600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-2151380</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-2133600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-1302385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-1302385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-1302385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-1302385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-1302385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-1302385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-136525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-136525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-136525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-136525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-136525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6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r>
      <w:tr>
        <w:trPr>
          <w:trHeight w:val="20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20,890</w:t>
            </w:r>
          </w:p>
        </w:tc>
        <w:tc>
          <w:tcPr>
            <w:tcW w:w="24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(175,850)</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(38,988)</w:t>
            </w:r>
          </w:p>
        </w:tc>
      </w:tr>
      <w:tr>
        <w:trPr>
          <w:trHeight w:val="20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20" w:type="dxa"/>
            <w:vAlign w:val="bottom"/>
          </w:tcPr>
          <w:p>
            <w:pPr>
              <w:spacing w:after="0"/>
              <w:rPr>
                <w:sz w:val="17"/>
                <w:szCs w:val="17"/>
                <w:color w:val="auto"/>
              </w:rPr>
            </w:pPr>
          </w:p>
        </w:tc>
      </w:tr>
      <w:tr>
        <w:trPr>
          <w:trHeight w:val="203"/>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Accretion of premium/discount on marketable securities</w:t>
            </w: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(3,517)</w:t>
            </w: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(4,895)</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lease expense</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17"/>
                <w:szCs w:val="17"/>
                <w:color w:val="auto"/>
              </w:rPr>
            </w:pPr>
          </w:p>
        </w:tc>
      </w:tr>
      <w:tr>
        <w:trPr>
          <w:trHeight w:val="203"/>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45,846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99,958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5,945</w:t>
            </w:r>
          </w:p>
        </w:tc>
        <w:tc>
          <w:tcPr>
            <w:tcW w:w="120" w:type="dxa"/>
            <w:vAlign w:val="bottom"/>
          </w:tcPr>
          <w:p>
            <w:pPr>
              <w:spacing w:after="0"/>
              <w:rPr>
                <w:sz w:val="17"/>
                <w:szCs w:val="17"/>
                <w:color w:val="auto"/>
              </w:rPr>
            </w:pPr>
          </w:p>
        </w:tc>
      </w:tr>
      <w:tr>
        <w:trPr>
          <w:trHeight w:val="203"/>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Change in fair value of stock warrants</w:t>
            </w: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FF0FC"/>
          </w:tcPr>
          <w:p>
            <w:pPr>
              <w:spacing w:after="0"/>
              <w:rPr>
                <w:sz w:val="17"/>
                <w:szCs w:val="17"/>
                <w:color w:val="auto"/>
              </w:rPr>
            </w:pPr>
          </w:p>
        </w:tc>
      </w:tr>
      <w:tr>
        <w:trPr>
          <w:trHeight w:val="203"/>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120" w:type="dxa"/>
            <w:vAlign w:val="bottom"/>
          </w:tcPr>
          <w:p>
            <w:pPr>
              <w:spacing w:after="0"/>
              <w:rPr>
                <w:sz w:val="17"/>
                <w:szCs w:val="17"/>
                <w:color w:val="auto"/>
              </w:rPr>
            </w:pPr>
          </w:p>
        </w:tc>
      </w:tr>
      <w:tr>
        <w:trPr>
          <w:trHeight w:val="203"/>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non-cash reconciling items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(28,208)</w:t>
            </w: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(14,031)</w:t>
            </w:r>
          </w:p>
        </w:tc>
        <w:tc>
          <w:tcPr>
            <w:tcW w:w="3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Prepaid expenses, other current assets and other assets</w:t>
            </w: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(4,738)</w:t>
            </w: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(837)</w:t>
            </w:r>
          </w:p>
        </w:tc>
      </w:tr>
      <w:tr>
        <w:trPr>
          <w:trHeight w:val="20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20" w:type="dxa"/>
            <w:vAlign w:val="bottom"/>
          </w:tcPr>
          <w:p>
            <w:pPr>
              <w:spacing w:after="0"/>
              <w:rPr>
                <w:sz w:val="17"/>
                <w:szCs w:val="17"/>
                <w:color w:val="auto"/>
              </w:rPr>
            </w:pPr>
          </w:p>
        </w:tc>
      </w:tr>
      <w:tr>
        <w:trPr>
          <w:trHeight w:val="203"/>
        </w:trPr>
        <w:tc>
          <w:tcPr>
            <w:tcW w:w="6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Accrued compensation</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120" w:type="dxa"/>
            <w:vAlign w:val="bottom"/>
            <w:shd w:val="clear" w:color="auto" w:fill="CFF0FC"/>
          </w:tcPr>
          <w:p>
            <w:pPr>
              <w:spacing w:after="0"/>
              <w:rPr>
                <w:sz w:val="17"/>
                <w:szCs w:val="17"/>
                <w:color w:val="auto"/>
              </w:rPr>
            </w:pPr>
          </w:p>
        </w:tc>
      </w:tr>
      <w:tr>
        <w:trPr>
          <w:trHeight w:val="20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(308)</w:t>
            </w:r>
          </w:p>
        </w:tc>
        <w:tc>
          <w:tcPr>
            <w:tcW w:w="3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(309)</w:t>
            </w:r>
          </w:p>
        </w:tc>
      </w:tr>
      <w:tr>
        <w:trPr>
          <w:trHeight w:val="203"/>
        </w:trPr>
        <w:tc>
          <w:tcPr>
            <w:tcW w:w="6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14,139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20" w:type="dxa"/>
            <w:vAlign w:val="bottom"/>
            <w:shd w:val="clear" w:color="auto" w:fill="CFF0FC"/>
          </w:tcPr>
          <w:p>
            <w:pPr>
              <w:spacing w:after="0"/>
              <w:rPr>
                <w:sz w:val="17"/>
                <w:szCs w:val="17"/>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6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46,798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(69,096)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(24,940)</w:t>
            </w:r>
          </w:p>
        </w:tc>
      </w:tr>
      <w:tr>
        <w:trPr>
          <w:trHeight w:val="19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2"/>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(73)</w:t>
            </w:r>
          </w:p>
        </w:tc>
        <w:tc>
          <w:tcPr>
            <w:tcW w:w="3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(455,776)</w:t>
            </w: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(356,464)</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254,068</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196"/>
        </w:trPr>
        <w:tc>
          <w:tcPr>
            <w:tcW w:w="6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(201,781)</w:t>
            </w: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(225,682)</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issuance of debt, net of issuance costs</w:t>
            </w: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49,888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2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(62)</w:t>
            </w:r>
          </w:p>
        </w:tc>
        <w:tc>
          <w:tcPr>
            <w:tcW w:w="3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the sale of common stock, net of issuance costs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215,721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148,955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the sale of common stock, common stock warrants and pre-funded stock warrants,</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net of issuance costs</w:t>
            </w:r>
          </w:p>
        </w:tc>
        <w:tc>
          <w:tcPr>
            <w:tcW w:w="2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137,857</w:t>
            </w:r>
          </w:p>
        </w:tc>
        <w:tc>
          <w:tcPr>
            <w:tcW w:w="120" w:type="dxa"/>
            <w:vAlign w:val="bottom"/>
          </w:tcPr>
          <w:p>
            <w:pPr>
              <w:spacing w:after="0"/>
              <w:rPr>
                <w:sz w:val="18"/>
                <w:szCs w:val="18"/>
                <w:color w:val="auto"/>
              </w:rPr>
            </w:pPr>
          </w:p>
        </w:tc>
      </w:tr>
      <w:tr>
        <w:trPr>
          <w:trHeight w:val="205"/>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 for repurchase of common stock</w:t>
            </w: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(100,146)</w:t>
            </w: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exercise of common stock and pre-funded stock warrants</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41,815</w:t>
            </w:r>
          </w:p>
        </w:tc>
        <w:tc>
          <w:tcPr>
            <w:tcW w:w="120" w:type="dxa"/>
            <w:vAlign w:val="bottom"/>
          </w:tcPr>
          <w:p>
            <w:pPr>
              <w:spacing w:after="0"/>
              <w:rPr>
                <w:sz w:val="17"/>
                <w:szCs w:val="17"/>
                <w:color w:val="auto"/>
              </w:rPr>
            </w:pPr>
          </w:p>
        </w:tc>
      </w:tr>
      <w:tr>
        <w:trPr>
          <w:trHeight w:val="20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17,202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20" w:type="dxa"/>
            <w:vAlign w:val="bottom"/>
            <w:shd w:val="clear" w:color="auto" w:fill="CFF0FC"/>
          </w:tcPr>
          <w:p>
            <w:pPr>
              <w:spacing w:after="0"/>
              <w:rPr>
                <w:sz w:val="17"/>
                <w:szCs w:val="17"/>
                <w:color w:val="auto"/>
              </w:rPr>
            </w:pPr>
          </w:p>
        </w:tc>
      </w:tr>
      <w:tr>
        <w:trPr>
          <w:trHeight w:val="20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Tax withholding payments for net share-settled equity awards</w:t>
            </w:r>
          </w:p>
        </w:tc>
        <w:tc>
          <w:tcPr>
            <w:tcW w:w="2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(741)</w:t>
            </w:r>
          </w:p>
        </w:tc>
        <w:tc>
          <w:tcPr>
            <w:tcW w:w="3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6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137,161</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213,025</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180,019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(17,822)</w:t>
            </w:r>
          </w:p>
        </w:tc>
        <w:tc>
          <w:tcPr>
            <w:tcW w:w="3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(81,753)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155,079</w:t>
            </w:r>
          </w:p>
        </w:tc>
        <w:tc>
          <w:tcPr>
            <w:tcW w:w="120" w:type="dxa"/>
            <w:vAlign w:val="bottom"/>
          </w:tcPr>
          <w:p>
            <w:pPr>
              <w:spacing w:after="0"/>
              <w:rPr>
                <w:sz w:val="17"/>
                <w:szCs w:val="17"/>
                <w:color w:val="auto"/>
              </w:rPr>
            </w:pPr>
          </w:p>
        </w:tc>
      </w:tr>
      <w:tr>
        <w:trPr>
          <w:trHeight w:val="203"/>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87,928</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169,681</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70,106</w:t>
            </w:r>
          </w:p>
        </w:tc>
        <w:tc>
          <w:tcPr>
            <w:tcW w:w="24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87,928</w:t>
            </w:r>
          </w:p>
        </w:tc>
        <w:tc>
          <w:tcPr>
            <w:tcW w:w="14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169,681</w:t>
            </w:r>
          </w:p>
        </w:tc>
        <w:tc>
          <w:tcPr>
            <w:tcW w:w="12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operating and financing information</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operating lease obligations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14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2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4,534</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4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repurchase costs included in accounts payable</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5"/>
                <w:szCs w:val="15"/>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Non-cash exercise of 2018 PIPE Warrants</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shd w:val="clear" w:color="auto" w:fill="CFF0FC"/>
          </w:tcPr>
          <w:p>
            <w:pPr>
              <w:spacing w:after="0"/>
              <w:rPr>
                <w:sz w:val="17"/>
                <w:szCs w:val="17"/>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5"/>
                <w:szCs w:val="15"/>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issuance costs included in accounts payable</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-3839845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-3839845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-3839845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-3042285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-3042285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-3042285</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-1610995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-1610995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-1610995</wp:posOffset>
            </wp:positionV>
            <wp:extent cx="774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-1345565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-1345565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-1345565</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-642620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-624840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-642620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-624840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-642620</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-624840</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-333375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-316865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-333375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-316865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wp:posOffset>
            </wp:positionV>
            <wp:extent cx="77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9" w:name="page80"/>
    <w:bookmarkEnd w:id="79"/>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ectPr>
          <w:pgSz w:w="11900" w:h="16838" w:orient="portrait"/>
          <w:cols w:equalWidth="0" w:num="1">
            <w:col w:w="9019"/>
          </w:cols>
          <w:pgMar w:left="1440" w:top="1429"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29" w:right="1440" w:bottom="1440" w:gutter="0" w:footer="0" w:header="0"/>
          <w:type w:val="continuous"/>
        </w:sectPr>
      </w:pPr>
    </w:p>
    <w:bookmarkStart w:id="80" w:name="page81"/>
    <w:bookmarkEnd w:id="8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w:t>
      </w:r>
    </w:p>
    <w:p>
      <w:pPr>
        <w:spacing w:after="0" w:line="229" w:lineRule="exact"/>
        <w:rPr>
          <w:sz w:val="20"/>
          <w:szCs w:val="20"/>
          <w:color w:val="auto"/>
        </w:rPr>
      </w:pPr>
    </w:p>
    <w:p>
      <w:pPr>
        <w:ind w:firstLine="714"/>
        <w:spacing w:after="0" w:line="243" w:lineRule="auto"/>
        <w:rPr>
          <w:sz w:val="20"/>
          <w:szCs w:val="20"/>
          <w:color w:val="auto"/>
        </w:rPr>
      </w:pPr>
      <w:r>
        <w:rPr>
          <w:rFonts w:ascii="Times New Roman" w:cs="Times New Roman" w:eastAsia="Times New Roman" w:hAnsi="Times New Roman"/>
          <w:sz w:val="18"/>
          <w:szCs w:val="18"/>
          <w:color w:val="auto"/>
        </w:rPr>
        <w:t>Soleno Therapeutics, Inc. (the Company or Soleno) is a biopharmaceutical company developing novel therapeutics for the treatment of rare diseases. On March 26, 2025, the Company announced that its lead product candidate, VYKAT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XR (diazoxide choline) extended-release tablets, formerly known as DCCR, had been approved by the FDA. VYKAT XR is indicated to treat hyperphagia in adults and pediatric patients four years of age and older with Prader-Willi syndrome (PWS). On April 14, 2025, the Company announced that prescriptions of VYKAT XR had been delivered to the first individuals living with PWS who had been prescribed the medication and began recognizing revenue from the sales of VYKAT XR during the three months ended June 30, 2025.</w:t>
      </w:r>
    </w:p>
    <w:p>
      <w:pPr>
        <w:spacing w:after="0" w:line="198" w:lineRule="exact"/>
        <w:rPr>
          <w:sz w:val="20"/>
          <w:szCs w:val="20"/>
          <w:color w:val="auto"/>
        </w:rPr>
      </w:pPr>
    </w:p>
    <w:p>
      <w:pPr>
        <w:ind w:right="60" w:firstLine="756"/>
        <w:spacing w:after="0" w:line="255" w:lineRule="auto"/>
        <w:rPr>
          <w:sz w:val="20"/>
          <w:szCs w:val="20"/>
          <w:color w:val="auto"/>
        </w:rPr>
      </w:pPr>
      <w:r>
        <w:rPr>
          <w:rFonts w:ascii="Times New Roman" w:cs="Times New Roman" w:eastAsia="Times New Roman" w:hAnsi="Times New Roman"/>
          <w:sz w:val="18"/>
          <w:szCs w:val="18"/>
          <w:color w:val="auto"/>
        </w:rPr>
        <w:t>The Company incorporated in the State of Delaware on August 25, 1999, and is located in Redwood City, California. It initially established its operations as Capnia, Inc., a diversified healthcare company that developed and commercialized innovative diagnostics, devices and therapeutics addressing unmet medical needs. During 2017, the Company merged with Essentialis, Inc. (Essentialis) and subsequently received stockholder approval to amend its Amended and Restated Certificate of Incorporation to change its name from “Capnia, Inc.” to “Soleno Therapeutics, Inc.”. Essentialis was a privately held clinical-stage company focused on the development of breakthrough medicines for the treatment of rare diseases where there is increased mortality and risk of cardiovascular and endocrine complications. After the merger, the Company’s primary focus has been the development and commercialization of novel therapeutics for the treatment of rare diseases and the Company divested all prior business efforts.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Liquidity</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received $46.8 million of net cash provided by its operating activities, had a net income of $20.9 million during 2025 and had an accumulated deficit of $431.4 million at December 31, 2025 resulting from losses incurred prior to 2025. The Company had $70.1 million of cash and cash equivalents and $436.0 million of marketable securities on December 31, 2025. With FDA approval of VYKAT XR and first prescriptions being delivered in April 2025, the Company began recognizing revenue and became profitable during 2025. The Company's ability to sustain operating profitability is dependent upon continued successful commercialization of VYKAT XR.</w:t>
      </w:r>
    </w:p>
    <w:p>
      <w:pPr>
        <w:spacing w:after="0" w:line="183"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$50.0 million outstanding under the loan and security agreement with Oxford Financing LLC and its affiliates (collectively, Oxford) entered into in December 2024. Under the terms of the loan agreement with Oxford, following FDA approval of VYKAT XR, an additional $50 million became available through September 30, 2025, but was not drawn down. Following the amendment of the Company's loan and security agreement in November 2025, the final three tranches of an aggregate of $100 million may be made available upon mutual consent with Oxford. As a result of a milestone achieved in 2025, the loan carries an interest-only period of 60 months and a total term of 72 months. The term loans accrue interest at a floating rate equal to, subject to certain conditions, (a) 1-month term SOFR plus (b) 5.50%.</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Oxford loan and security agreement, the Company has historically financed its operations through issuance of equity securities. In July 2025, the Company closed an underwritten public offering of 2,705,882 shares of its common stock at an offering price of $85.00 per share, which included the exercise in full by the underwriters of their option to purchase additional shares. The gross proceeds of the public offering were $230.0 million, before deducting the underwriter discount and other offering expenses, totaling approximately $14.3 million.</w:t>
      </w:r>
    </w:p>
    <w:p>
      <w:pPr>
        <w:spacing w:after="0" w:line="72"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On July 19, 2024, the Company entered into an Open Market Sale Agreement</w:t>
      </w:r>
      <w:r>
        <w:rPr>
          <w:rFonts w:ascii="Times New Roman" w:cs="Times New Roman" w:eastAsia="Times New Roman" w:hAnsi="Times New Roman"/>
          <w:sz w:val="7"/>
          <w:szCs w:val="7"/>
          <w:color w:val="auto"/>
        </w:rPr>
        <w:t>SM</w:t>
      </w:r>
      <w:r>
        <w:rPr>
          <w:rFonts w:ascii="Times New Roman" w:cs="Times New Roman" w:eastAsia="Times New Roman" w:hAnsi="Times New Roman"/>
          <w:sz w:val="18"/>
          <w:szCs w:val="18"/>
          <w:color w:val="auto"/>
        </w:rPr>
        <w:t xml:space="preserve"> (the Sales Agreement) with Jefferies LLC, as sales agent (Jefferies), pursuant to which the Company may offer and sell, from time to</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81" w:name="page82"/>
    <w:bookmarkEnd w:id="81"/>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through Jefferies shares of its common stock having an aggregate offering price of up to $150 million.</w:t>
      </w:r>
    </w:p>
    <w:p>
      <w:pPr>
        <w:spacing w:after="0" w:line="11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In May 2024, the Company closed an underwritten public offering of 3,450,000 shares of its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totaling approximately $9.7 million.</w:t>
      </w:r>
    </w:p>
    <w:p>
      <w:pPr>
        <w:spacing w:after="0" w:line="68"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Company expects that its current cash, cash equivalents and marketable securities balances and cash flows from operations will be sufficient to enable the Company to meet its obligations for at least the next twelve months from the date of this filing.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U.S. generally accepted accounting principles (GAAP), and the applicable rules and regulations of the Securities and Exchange Commission (SEC).</w:t>
      </w:r>
    </w:p>
    <w:p>
      <w:pPr>
        <w:spacing w:after="0" w:line="16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transactions and balances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Significant estimates made by management include valuation of marketable securities, stock-based compensation, valuation of contingent liabilities for the purchase price of assets obtained through acquisition, provisions for sales rebates, returns and other incentives, valuation of financial instruments, and income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Accounts receivable, net consists of amounts due from customers, net of customer allowances for cash discounts and any estimated expected credit losses. The Company's measurement of expected credit losses is based on relevant information about past events, including historical experience, current conditions, and reasonable and supportable forecasts that affect the collectability of the reported amount. To date, the Company has not experienced any credit losses. The Company's contract with its customer has customary payment terms that require payment within 45 days. The Company analyzes amounts that are past due for collectability, and periodically evaluates the creditworthiness of its customer. Based on its assessment, as of December 31, 2025, the Company determined that an allowance for credit loss was not required.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Major Customers and Off-Balance Sheet Risk</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Company contracts with one customer, its specialty pharmacy, to market and distribute VYKAT XR to patients in the United States. As of December 31, 2025, its accounts receivable, net are solely from sales of VYKAT XR, and are from this sole customer.</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dependency on one customer exposes it to several risks, including the potential for disruptions in its distribution network, changes in this customer's business strategies, or financial difficulties faced by this customer. Any significant disruption or change in the Company's relationship with this customer could materially and adversely affect its ability to effectively reach other potential end users and maintain its market position.</w:t>
      </w:r>
    </w:p>
    <w:p>
      <w:pPr>
        <w:spacing w:after="0" w:line="6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While the Company believes its relationship with this customer is strong and mutually beneficial, there can be no assurance that it will be able to maintain this relationship or that it will be able to replace this specialty pharmacy with alternative specialty pharmacies, if necessary.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86"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relies on sole source suppliers and third-party manufacturers to supply raw materials and manufacture its product. The inability of these suppliers or manufacturers to fulfill supply requirements of the Company could materially impact future operating results. A change in the relationship with these suppliers or manufacturers, or an adverse change in their business, could materially impact future operating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2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Under ASC 606, an entity recognizes revenue when its customer obtains control of promised goods or services in an amount that reflects the consideration which the entity expects to receive in exchange for those goods or services.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sells its product to one customer, a specialty pharmacy. The product is distributed through a third-party logistics distribution agent (3PL) that does not take title to the product. In the Company's agreement with the 3PL, the Company acts as principal because it retains control of the product. Once the product is delivered to the Company’s specialty pharmacy, the specialty pharmacy takes title to the product. The specialty pharmacy then distributes the product to patients. The Company offers returns of product sold to the customer on a limited basis; however, no material returns have been recognized to date.</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Revenue from product sales is recognized when the customer obtains control of the Company's product, which occurs at the point in time that there is a transfer of title to the customer. The Company has no other performance obligations besides the sale of product, and because the Company's payment terms are 45 days or less, the Company concluded there is not a significant financing component. The Company classifies payments to its customer or other parties in the distribution channel for services that are distinct and priced at fair value as selling, general and administrative expenses in its consolidated statements of operations and comprehensive income (loss). Otherwise, payments to customer or other parties in the distribution channel that do not meet those criteria are classified as a reduction of revenue, as discussed further below. The Company expenses incremental costs of obtaining a contract as and when incurred since the expected amortization period of the asset that the Company would have recognized is one year or less.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or the transaction price, which includes estimates of variable consideration for which reserves are established and which result from rebates, discounts, returns, and co-pay assistance that are offered within the contract between the Company and its customer relating to the sale of VYKAT XR. These reserves are based on the amounts earned or to be claimed on the related sales and are classified as reductions of accounts receivable (if the amount is payable to the customer) or a current liability (if the amount is payable to a party other than the customer). Where appropriate, these estimates take into consideration a range of possible outcomes that are 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that is included in the transaction price may be constrained and is included in the net sales price only to the extent that it is considered probable that a significant reversal in the amount of the cumulative revenue recognized will not occur in a future period. Actual amounts of consideration ultimately received may differ from the Company's estimates. If actual results in the future vary from the Company's estimates, it will adjust these estimates, which would affect net product revenue and earnings in the period such variances become known.</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are the components of variable consideration related to product revenue:</w:t>
      </w:r>
    </w:p>
    <w:p>
      <w:pPr>
        <w:spacing w:after="0" w:line="223"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The Company is subject to discount obligations under several government programs, including Medicaid programs, Medicare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TRICARE in the United States. The Company estimates these rebates based upon a range of possible outcomes that are weighted for the estimated payer mix. These reserves are recorded in the same period that the related revenue is recognized, resulting in a reduction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8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of product revenue and the establishment of a liability that is included in other current liabilities on the Company's consolidated balance sheets. On a quarterly basis, the Company updates its estimates and records any adjustments in the period that it identifies the adjustments.</w:t>
      </w:r>
    </w:p>
    <w:p>
      <w:pPr>
        <w:spacing w:after="0" w:line="160" w:lineRule="exact"/>
        <w:rPr>
          <w:sz w:val="20"/>
          <w:szCs w:val="20"/>
          <w:color w:val="auto"/>
        </w:rPr>
      </w:pPr>
    </w:p>
    <w:p>
      <w:pPr>
        <w:ind w:right="4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The Company provides discounts on VYKAT XR sales to its customer for prompt payment. This discount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as a reduction of revenue in the period the related product revenue is recognized. In addition, the Company receives and pays for various distribution services from its customer in the distribution channel.</w:t>
      </w:r>
    </w:p>
    <w:p>
      <w:pPr>
        <w:spacing w:after="0" w:line="17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customer has limited return rights related to unexpected instances in which the product is found to be damaged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defective. The Company estimates the amount of product sales that may be returned and records the estimate as a reduction of revenue and a refund liability in the period in which the related product revenue is recognized. Based on the distribution model for VYKAT XR, the Company believes there will be minimal returns as such returns have not been material to date.</w:t>
      </w:r>
    </w:p>
    <w:p>
      <w:pPr>
        <w:spacing w:after="0" w:line="180"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include co-payment assistance the Company provides to patients with commercial insurance that have coverage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reside in states that allow co-payment assistance. The calculation of the accrual for co-pay assistance is based on an estimate of claims and the cost per claim that the Company expects to receive associated with product that has been recognized as revenue. The estimate is recorded as a reduction of revenue in the same period the related revenue is recognized.</w:t>
      </w:r>
    </w:p>
    <w:p>
      <w:pPr>
        <w:spacing w:after="0" w:line="182"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Provisions for trade discounts and allowances are recorded as reductions to accounts receivable, and returns, government rebates, and other incentives are recorded as a component of accrued expenses.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table below summarizes balances and activity in each of the product revenue allowance and reserve categories as follows (in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Discounts and</w:t>
            </w: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Copay Assistance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3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Rebates</w:t>
            </w:r>
          </w:p>
        </w:tc>
        <w:tc>
          <w:tcPr>
            <w:tcW w:w="12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Chargebacks</w:t>
            </w:r>
          </w:p>
        </w:tc>
        <w:tc>
          <w:tcPr>
            <w:tcW w:w="18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and Returns</w:t>
            </w:r>
          </w:p>
        </w:tc>
        <w:tc>
          <w:tcPr>
            <w:tcW w:w="2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2"/>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300" w:type="dxa"/>
            <w:vAlign w:val="bottom"/>
          </w:tcPr>
          <w:p>
            <w:pPr>
              <w:spacing w:after="0"/>
              <w:rPr>
                <w:sz w:val="17"/>
                <w:szCs w:val="17"/>
                <w:color w:val="auto"/>
              </w:rPr>
            </w:pPr>
          </w:p>
        </w:tc>
        <w:tc>
          <w:tcPr>
            <w:tcW w:w="2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3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Provisions</w:t>
            </w:r>
          </w:p>
        </w:tc>
        <w:tc>
          <w:tcPr>
            <w:tcW w:w="1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21,396</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5,397</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27,774</w:t>
            </w:r>
          </w:p>
        </w:tc>
        <w:tc>
          <w:tcPr>
            <w:tcW w:w="100" w:type="dxa"/>
            <w:vAlign w:val="bottom"/>
            <w:shd w:val="clear" w:color="auto" w:fill="CFF0FC"/>
          </w:tcPr>
          <w:p>
            <w:pPr>
              <w:spacing w:after="0"/>
              <w:rPr>
                <w:sz w:val="17"/>
                <w:szCs w:val="17"/>
                <w:color w:val="auto"/>
              </w:rPr>
            </w:pPr>
          </w:p>
        </w:tc>
      </w:tr>
      <w:tr>
        <w:trPr>
          <w:trHeight w:val="203"/>
        </w:trPr>
        <w:tc>
          <w:tcPr>
            <w:tcW w:w="3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Credits/payments</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(7,711)</w:t>
            </w:r>
          </w:p>
        </w:tc>
        <w:tc>
          <w:tcPr>
            <w:tcW w:w="12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(4,674)</w:t>
            </w:r>
          </w:p>
        </w:tc>
        <w:tc>
          <w:tcPr>
            <w:tcW w:w="18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(634)</w:t>
            </w:r>
          </w:p>
        </w:tc>
        <w:tc>
          <w:tcPr>
            <w:tcW w:w="28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(13,019)</w:t>
            </w:r>
          </w:p>
        </w:tc>
      </w:tr>
      <w:tr>
        <w:trPr>
          <w:trHeight w:val="20"/>
        </w:trPr>
        <w:tc>
          <w:tcPr>
            <w:tcW w:w="3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15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13,685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14,755</w:t>
            </w:r>
          </w:p>
        </w:tc>
        <w:tc>
          <w:tcPr>
            <w:tcW w:w="100" w:type="dxa"/>
            <w:vAlign w:val="bottom"/>
            <w:shd w:val="clear" w:color="auto" w:fill="CFF0FC"/>
          </w:tcPr>
          <w:p>
            <w:pPr>
              <w:spacing w:after="0"/>
              <w:rPr>
                <w:sz w:val="18"/>
                <w:szCs w:val="18"/>
                <w:color w:val="auto"/>
              </w:rPr>
            </w:pPr>
          </w:p>
        </w:tc>
      </w:tr>
      <w:tr>
        <w:trPr>
          <w:trHeight w:val="20"/>
        </w:trPr>
        <w:tc>
          <w:tcPr>
            <w:tcW w:w="34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-24765</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Company capitalizes inventory costs associated with products when future economic benefit is expected to be realized. These costs consist of raw materials, manufacturing-related costs, personnel costs including stock-based compensation, facility costs, and other indirect overhead costs. Prior to receiving FDA approval for VYKAT XR in March 2025, the Company expensed costs related to inventory for clinical and pre-commercial purposes directly to research and development expense. Following the FDA’s approval of VYKAT XR, the Company began capitalizing inventory related to commercialized products held for sale, in-process of production for sale, and raw materials to be used in the manufacturing of inventory.</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values inventory at the lower of cost or estimated net realizable value. The Company determines the cost of inventory, which includes amounts related to materials and manufacturing overhead, on a first-in, first-out basis. Raw materials and work in process includes all inventory costs prior to packaging and labeling, including raw materials, active pharmaceutical ingredient, and drug product. Finished goods include packaged and labeled products. Raw materials and work in process that may be used for either research and development or commercial sale are classified as inventory until the material is consumed or otherwise allocated for research and development. If the material is intended to be used for research and development, it is expensed as research and development once that determination is made. On a quarterly basis, the Company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analyzes its inventory levels for excess quantities and obsolescence (expiration), taking into account factors such as historical and anticipated future sales compared to quantities on hand and the remaining shelf life.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Cost of goods sold consists of manufacturing costs, transportation and freight, amortization of capitalized intangibles, royalty payments and indirect overhead costs associated with the manufacturing and distribution of VYKAT XR. Cost of goods sold may also include periodic costs related to certain manufacturing services and inventory adjustment charges. Finally, cost of goods sold may also include costs related to excess or obsolete inventory adjustment charges, abnormal costs, unabsorbed manufacturing and overhead costs, and manufacturing variances.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Company operates in one segment. Management uses one measurement of profitability and does not segregate its business for internal reporting, making operating decisions, and assessing financial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including its money market funds, purchased with an original maturity of three months or less to be cash equivalents. The Company’s cash and cash equivalents are held primarily in institutions in the U.S. and include deposits in money market funds which were unrestricted as to withdrawal or use.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 classifies its marketable securities as available-for-sale and records such assets at estimated fair value in the balance sheets, with unrealized gains and non-credit related losses that are determined to be temporary, if any, reported as a component of other comprehensive income (loss) within the statements of operations and comprehensive income (loss) and as a separate component of stockholders’ equity. The Company classifies marketable securities with remaining maturities greater than three months but less than one year as marketable securities, and those with remaining maturities greater than one year are classified as long-term marketable securities. Realized gains and losses are calculated using the specific identification method and recorded as interest income. To the extent the amortized cost basis of the available-for-sale debt securities exceeds the fair value, management assesses the debt securities for credit loss; however, management considers the risk of credit loss to be minimized by the Company's policy of investing in financial instruments issued by highly-rated financial institutions. When assessing the risk of credit loss, management considers factors such as the severity and the reason of the decline in value (i.e., any changes to the rating of the security by a rating agency or other adverse conditions specifically related to the security) and management's intended holding period and time horizon for selling. During the years ended December 31, 2025 and 2024, the Company did not recognize any credit losses related to its available-for-sale debt securities. Further, as of December 31, 2025 and 2024, the Company did not record an allowance for credit losses related to its available-for-sale debt securities. During 2023, the Company did not hold any marketable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consist of payments primarily related to clinical trials, insurance and short-term deposits. Prepaid expenses are initially recorded upon payment and are expensed as goods or services are received.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calculated using the straight-line method over the estimated useful lives of the assets, generally between three and five years. Leasehold improvements are amortized on a straight-line basis over the lesser of their useful life or the remaining term of the lease. Maintenance and repairs are charged to expense as incurred, and improvements are capitalized. When assets are retired or otherwise disposed of, the cost and accumulated depreciation are removed from the balance sheet and any resulting gain or loss is reflected in operations in the period realized.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determines whether an arrangement is a lease at inception. Specifically, it considers whether it controls the underlying asset and has the right to obtain substantially all the economic benefits or outputs from the asset. If the contractual arrangement contains a lease, the Company then determines whether it is an operating or finance lease. Right-of-Use (ROU) assets represent the Company’s right to use an underlying asset for the lease term and lease liabilities represent the Company’s obligation to make lease payments arising from the lease. ROU assets and lease liabilities are recognized at commencement date based on the present value of lease payments over the lease term. Lease expense for operating lease payments is recognized on a straight-line basis over the lease term. Finance lease classification results in a front-loaded expense recognition pattern over the lease term as it recognizes interest expense and amortization expense as separate components of lease expense.</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does not separate lease components from non-lease components for all classes of underlying assets, and instead accounts for the lease and non-lease components as a single component. Variable lease payments are recognized as they are incurred and primarily include common area maintenance, utilities, real estate taxes, insurance and other operating costs that are passed on from the lessor in proportion to the space leased by the Company. The Company does not recognize lease assets and lease liabilities for leases with an original lease term of less than one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annually and whenever events or changes in circumstances indicate that the carrying amount of the assets may not be fully recoverable. The Company evaluates assets for potential impairment by comparing estimated future undiscounted net cash flows to the carrying amount of the asset. If the carrying amount of the assets exceeds the estimated future undiscounted cash flows, impairment is measured based on the difference between the carrying amount and the fair value of the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March 2017, the Company completed the acquisition of Essentialis in accordance with the merger agreement by and between the Company and Essentialis dated December 22, 2016 (the Merger Agreement). The merger transaction was accounted for as an asset acquisition under the acquisition method of accounting and accordingly, the value of $22.0 million was assigned to the identifiable intangible asset relating to the patent for DCCR, which patent is currently set to expire in June 2028.</w:t>
      </w:r>
    </w:p>
    <w:p>
      <w:pPr>
        <w:spacing w:after="0" w:line="72"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with finite lives are amortized on a straight-line basis over their estimated useful lives, which for the patent is 11 years. The useful life of the intangible asset is evaluated each reporting period to determine whether events and circumstances warrant a revision to the remaining useful life.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Debt is recognized at its principal amounts upon issuance, net of any issuance costs. The Company categorizes its debt into current and long-term liabilities based on the maturity date. Interest expense on debt is recorded in the period in which it is incurred. Debt issuance costs are accreted into interest expense using the straight-line method over the contractual term of the debt. The Company regularly reviews its debt agreements for compliance with covenants and assesses its ability to meet future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costs are charged to operations as incurred. Research and development costs consist primarily of salaries, benefits, bonus, stock-based compensation, consultant fees, certain facility costs and other costs associated with clinical trials and the manufacture of our drug product. Clinical trial costs are a significant component of research and development expenses and include costs associated with CROs and other vendors. Invoicing CROs and CMOs for services performed can often occur several months later. The Company accrues the costs incurred for clinical trial activities as measured by patient progression and the timing of various aspects of the trial. For other services the Company accrues the costs in connection with third-party contractor activities based on its estimate of fees and costs associated with the contract that were rendered during the period and they are expensed as incurred.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8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Costs to acquire technologies to be used in research and development that have not reached technological feasibility and have no alternative future use are expensed to research and development costs when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the value of contingent future consideration to be paid for the acquisition of Essentialis as a liability in March 2017 at the date of the acquisition. The changes in value of the liability for the contingent consideration since the acquisition date are recorded as operating expense in the consolidated statements of operations and comprehensive income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deferred income tax assets and liabilities are recorded based on the estimated future tax effects of differences between the amounts at which assets and liabilities are recorded for financial reporting purposes and the amounts recorded for income tax purposes. A valuation allowance is provided against the Company’s deferred income tax assets when their realization is not reasonably assured.</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Purchase Warrants and Other Derivative Financial Instruments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classifies common stock purchase warrants and other free standing derivative financial instruments as equity if the contracts (i) require physical settlement or net-share settlement or (ii) give the Company a choice of net-cash settlement or settlement in its own shares (physical settlement or net-share settlement). The Company classifies any contracts that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as either an asset or a liability. The Company assesses classification of its freestanding derivatives at each reporting date to determine whether a change in classification between equity and liabilities is required.</w:t>
      </w:r>
    </w:p>
    <w:p>
      <w:pPr>
        <w:spacing w:after="0" w:line="7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that certain freestanding derivatives, which principally consist of 2018 PIPE Warrants, do not satisfy the criteria for classification as equity instruments due to the existence of certain cash settlement features that are not within the sole control of the Company or variable settlement provision that cause them to not be indexed to the Company’s own stock.</w:t>
      </w:r>
    </w:p>
    <w:p>
      <w:pPr>
        <w:spacing w:after="0" w:line="68"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classified the 2018 PIPE Warrants at their fair value and re-measured them at each balance sheet date until they were exercised or expired. Any changes in the fair value were recognized as Other income (expense), net in the consolidated statements of operations. The 2018 PIPE Warrants expired in December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Stock-based compensation costs related to stock options and restricted stock units granted to employees, directors and consultants are measured at the date of grant based on the estimated fair value of the award. For restricted stock units this fair value is based on the Company’s common stock price on the grant date. The Company estimates the grant date fair value of stock options, and the resulting stock-based compensation expense, using the Black-Scholes option-pricing model. The grant date fair value of stock-based awards is recognized on a straight-line basis over the requisite service period, which is generally the vesting period for service-based awards. For performance-based awards the requisite service period is the longest explicit,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8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implicit or derived service period based on management’s estimate of the probability of the performance criteria being satisfied, adjusted at each balance sheet date.</w:t>
      </w:r>
    </w:p>
    <w:p>
      <w:pPr>
        <w:spacing w:after="0" w:line="16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Black-Scholes option-pricing model requires the use of highly subjective assumptions to estimate the fair value of stock-based awards. If the Company had made different assumptions, its stock-based compensation expense, net loss and net loss per share of common stock could have been significantly different. These assumptions include:</w:t>
      </w:r>
    </w:p>
    <w:p>
      <w:pPr>
        <w:spacing w:after="0" w:line="66" w:lineRule="exact"/>
        <w:rPr>
          <w:sz w:val="20"/>
          <w:szCs w:val="20"/>
          <w:color w:val="auto"/>
        </w:rPr>
      </w:pPr>
    </w:p>
    <w:p>
      <w:pPr>
        <w:ind w:left="900" w:right="180" w:hanging="383"/>
        <w:spacing w:after="0" w:line="258"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life: </w:t>
      </w:r>
      <w:r>
        <w:rPr>
          <w:rFonts w:ascii="Times New Roman" w:cs="Times New Roman" w:eastAsia="Times New Roman" w:hAnsi="Times New Roman"/>
          <w:sz w:val="18"/>
          <w:szCs w:val="18"/>
          <w:color w:val="auto"/>
        </w:rPr>
        <w:t>The expected life of stock options represents the period of time that the options are expected to be outstanding. Due to the lack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pacing w:after="0" w:line="75" w:lineRule="exact"/>
        <w:rPr>
          <w:rFonts w:ascii="Times New Roman" w:cs="Times New Roman" w:eastAsia="Times New Roman" w:hAnsi="Times New Roman"/>
          <w:sz w:val="18"/>
          <w:szCs w:val="18"/>
          <w:color w:val="auto"/>
        </w:rPr>
      </w:pPr>
    </w:p>
    <w:p>
      <w:pPr>
        <w:ind w:left="900" w:hanging="383"/>
        <w:spacing w:after="0" w:line="284"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yields of U.S. Treasury securities with maturities similar to the expected life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 options.</w:t>
      </w:r>
    </w:p>
    <w:p>
      <w:pPr>
        <w:spacing w:after="0" w:line="50" w:lineRule="exact"/>
        <w:rPr>
          <w:rFonts w:ascii="Times New Roman" w:cs="Times New Roman" w:eastAsia="Times New Roman" w:hAnsi="Times New Roman"/>
          <w:sz w:val="18"/>
          <w:szCs w:val="18"/>
          <w:color w:val="auto"/>
        </w:rPr>
      </w:pPr>
    </w:p>
    <w:p>
      <w:pPr>
        <w:ind w:left="900" w:right="20" w:hanging="383"/>
        <w:spacing w:after="0" w:line="284"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The estimated volatility rate is based on the volatilities of the Company’s common stock for a historical period equal to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the stock options.</w:t>
      </w:r>
    </w:p>
    <w:p>
      <w:pPr>
        <w:spacing w:after="0" w:line="50" w:lineRule="exact"/>
        <w:rPr>
          <w:rFonts w:ascii="Times New Roman" w:cs="Times New Roman" w:eastAsia="Times New Roman" w:hAnsi="Times New Roman"/>
          <w:sz w:val="18"/>
          <w:szCs w:val="18"/>
          <w:color w:val="auto"/>
        </w:rPr>
      </w:pPr>
    </w:p>
    <w:p>
      <w:pPr>
        <w:ind w:left="900" w:right="800" w:hanging="383"/>
        <w:spacing w:after="0" w:line="284"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The Company has never declared or paid any cash dividends and does not presently plan to pay cash dividends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Consequently, the Company used an expected dividend yield of zero.</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accounts for forfeitures as they occur.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Adopted Accounting Pronouncements</w:t>
      </w:r>
    </w:p>
    <w:p>
      <w:pPr>
        <w:spacing w:after="0" w:line="121" w:lineRule="exact"/>
        <w:rPr>
          <w:sz w:val="20"/>
          <w:szCs w:val="20"/>
          <w:color w:val="auto"/>
        </w:rPr>
      </w:pPr>
    </w:p>
    <w:p>
      <w:pPr>
        <w:ind w:right="460" w:firstLine="509"/>
        <w:spacing w:after="0" w:line="280"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w:t>
      </w:r>
      <w:r>
        <w:rPr>
          <w:rFonts w:ascii="Times New Roman" w:cs="Times New Roman" w:eastAsia="Times New Roman" w:hAnsi="Times New Roman"/>
          <w:sz w:val="21"/>
          <w:szCs w:val="21"/>
          <w:color w:val="auto"/>
        </w:rPr>
        <w:t>.</w:t>
      </w:r>
    </w:p>
    <w:p>
      <w:pPr>
        <w:spacing w:after="0" w:line="4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 Improvements to Reportable Segment Disclosures</w:t>
      </w:r>
      <w:r>
        <w:rPr>
          <w:rFonts w:ascii="Times New Roman" w:cs="Times New Roman" w:eastAsia="Times New Roman" w:hAnsi="Times New Roman"/>
          <w:sz w:val="18"/>
          <w:szCs w:val="18"/>
          <w:color w:val="auto"/>
        </w:rPr>
        <w:t>, which provides updates to qualitative and quantitative reportable segment disclosure requirements, including enhanced disclosures about significant segment expenses and increased interim disclosure requirements, among others. The ASU requires disclosures to include significant segment expenses that are regularly provided to the chief operating decision maker (CODM), a description of other segment items by reportable segment, and any additional measures of a segment's profit or loss used by the CODM when deciding how to allocate resources. The ASU also requires all annual disclosures to be disclosed in interim periods. This ASU is effective for fiscal years beginning after December 15, 2023, and interim periods in fiscal years beginning after December 15, 2024. The Company adopted ASU 2023-07 on October 1, 2024 for the fiscal year ended December 31, 2024.</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amendments in ASU 2023-09 address investor requests for enhanced income tax information primarily through changes to the rate reconciliation and income taxes paid information. Early adoption is permitted. A public entity should apply the amendments in ASU 2023-09 prospectively to all annual periods beginning after December 15, 2024. The Company adopted this standard effective January 1, 2025 using a retrospective approach.</w:t>
      </w:r>
    </w:p>
    <w:p>
      <w:pPr>
        <w:spacing w:after="0" w:line="180"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 </w:t>
      </w:r>
      <w:r>
        <w:rPr>
          <w:rFonts w:ascii="Times New Roman" w:cs="Times New Roman" w:eastAsia="Times New Roman" w:hAnsi="Times New Roman"/>
          <w:sz w:val="18"/>
          <w:szCs w:val="18"/>
          <w:color w:val="auto"/>
        </w:rPr>
        <w:t>which requires the disclosure of additional information related to certain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including amounts of inventory purchases, employee compensation, and depreciation and amortization included in each income statement line item. The guidance also requires disclosure of the total amount of selling expenses and the Company’s definition of selling expenses. The guidance is effective for the Company for fiscal years beginning after December 15, 2026, and for interim periods within fiscal years beginning after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15, 2027. The Company is currently assessing the impacts of the new guidance on its financial statement disclosures.</w:t>
      </w:r>
    </w:p>
    <w:p>
      <w:pPr>
        <w:spacing w:after="0" w:line="22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FASB or other standards-setting bodies that do not require adoption until a future date are not currently expected to have a material impact on the Company’s financial statements upon adoption.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cash, cash equivalents, accounts receivable and accounts payable, approximate fair value due to the short-term nature of these items.</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hierarchy defines a three-level valuation hierarchy for disclosure of fair value measurements as follows:</w:t>
      </w:r>
    </w:p>
    <w:p>
      <w:pPr>
        <w:spacing w:after="0" w:line="117" w:lineRule="exact"/>
        <w:rPr>
          <w:sz w:val="20"/>
          <w:szCs w:val="20"/>
          <w:color w:val="auto"/>
        </w:rPr>
      </w:pPr>
    </w:p>
    <w:p>
      <w:pPr>
        <w:ind w:left="1040" w:hanging="502"/>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 Unadjusted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40" w:hanging="502"/>
        <w:spacing w:after="0" w:line="266"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67" w:lineRule="exact"/>
        <w:rPr>
          <w:rFonts w:ascii="Times New Roman" w:cs="Times New Roman" w:eastAsia="Times New Roman" w:hAnsi="Times New Roman"/>
          <w:sz w:val="18"/>
          <w:szCs w:val="18"/>
          <w:color w:val="auto"/>
        </w:rPr>
      </w:pPr>
    </w:p>
    <w:p>
      <w:pPr>
        <w:ind w:left="1040" w:hanging="502"/>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 Unobservable inputs that are supported by little or no market activity for the related assets or liabilities.</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upon the lowest level of input that is significant to the fair value measurement.</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fair value of marketable securities, which are Level 2 financial instruments, is based upon market prices quoted on the last day of the fiscal period or other observable market inputs. The Company obtains pricing information from its investment manager and generally determines the fair value of investment securities using standard observable inputs, including reported trades, broker/dealer quotes, bids and/or offers. Marketable securities, all of which are classified as available-for-sale securities, consisted of the following at December 31, 2025 (in thousands):</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38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274,524</w:t>
            </w:r>
          </w:p>
        </w:tc>
        <w:tc>
          <w:tcPr>
            <w:tcW w:w="2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government agency securities</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23,202</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and commercial paper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137,859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435,585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435,982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-24765</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-7620</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-24765</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spacing w:after="0" w:line="19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instruments that were measured at fair value on a recurring basis by level within the fair value hierarchy (in thousands):</w:t>
      </w:r>
    </w:p>
    <w:p>
      <w:pPr>
        <w:spacing w:after="0" w:line="18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13"/>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86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63,613</w:t>
            </w:r>
          </w:p>
        </w:tc>
        <w:tc>
          <w:tcPr>
            <w:tcW w:w="20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63,613</w:t>
            </w: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63,613</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63,613</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274,832</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274,832</w:t>
            </w:r>
          </w:p>
        </w:tc>
        <w:tc>
          <w:tcPr>
            <w:tcW w:w="22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government agency securities</w:t>
            </w:r>
          </w:p>
        </w:tc>
        <w:tc>
          <w:tcPr>
            <w:tcW w:w="8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Corporate debt securities and commercial paper</w:t>
            </w:r>
          </w:p>
        </w:tc>
        <w:tc>
          <w:tcPr>
            <w:tcW w:w="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137,934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137,934</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bottom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86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435,982</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435,982</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499,595</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63,613</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435,982</w:t>
            </w:r>
          </w:p>
        </w:tc>
        <w:tc>
          <w:tcPr>
            <w:tcW w:w="22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Essentialis purchase price contingency liability</w:t>
            </w:r>
          </w:p>
        </w:tc>
        <w:tc>
          <w:tcPr>
            <w:tcW w:w="8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20,327</w:t>
            </w:r>
          </w:p>
        </w:tc>
        <w:tc>
          <w:tcPr>
            <w:tcW w:w="200" w:type="dxa"/>
            <w:vAlign w:val="bottom"/>
            <w:gridSpan w:val="2"/>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60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860" w:type="dxa"/>
            <w:vAlign w:val="bottom"/>
            <w:tcBorders>
              <w:bottom w:val="single" w:sz="8" w:color="CFF0FC"/>
              <w:right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20,327</w:t>
            </w: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20,327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820" w:type="dxa"/>
            <w:vAlign w:val="bottom"/>
            <w:gridSpan w:val="2"/>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59,885</w:t>
            </w:r>
          </w:p>
        </w:tc>
        <w:tc>
          <w:tcPr>
            <w:tcW w:w="80" w:type="dxa"/>
            <w:vAlign w:val="bottom"/>
          </w:tcPr>
          <w:p>
            <w:pPr>
              <w:spacing w:after="0"/>
              <w:rPr>
                <w:sz w:val="18"/>
                <w:szCs w:val="18"/>
                <w:color w:val="auto"/>
              </w:rPr>
            </w:pP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59,885</w:t>
            </w:r>
          </w:p>
        </w:tc>
        <w:tc>
          <w:tcPr>
            <w:tcW w:w="140" w:type="dxa"/>
            <w:vAlign w:val="bottom"/>
          </w:tcPr>
          <w:p>
            <w:pPr>
              <w:spacing w:after="0"/>
              <w:rPr>
                <w:sz w:val="18"/>
                <w:szCs w:val="18"/>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59,885</w:t>
            </w:r>
          </w:p>
        </w:tc>
        <w:tc>
          <w:tcPr>
            <w:tcW w:w="80" w:type="dxa"/>
            <w:vAlign w:val="bottom"/>
            <w:shd w:val="clear" w:color="auto" w:fill="CFF0FC"/>
          </w:tcPr>
          <w:p>
            <w:pPr>
              <w:spacing w:after="0"/>
              <w:rPr>
                <w:sz w:val="21"/>
                <w:szCs w:val="21"/>
                <w:color w:val="auto"/>
              </w:rPr>
            </w:pPr>
          </w:p>
        </w:tc>
        <w:tc>
          <w:tcPr>
            <w:tcW w:w="3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59,885</w:t>
            </w:r>
          </w:p>
        </w:tc>
        <w:tc>
          <w:tcPr>
            <w:tcW w:w="14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198,065</w:t>
            </w:r>
          </w:p>
        </w:tc>
        <w:tc>
          <w:tcPr>
            <w:tcW w:w="80" w:type="dxa"/>
            <w:vAlign w:val="bottom"/>
            <w:shd w:val="clear" w:color="auto" w:fill="CFF0FC"/>
          </w:tcPr>
          <w:p>
            <w:pPr>
              <w:spacing w:after="0"/>
              <w:rPr>
                <w:sz w:val="18"/>
                <w:szCs w:val="18"/>
                <w:color w:val="auto"/>
              </w:rPr>
            </w:pPr>
          </w:p>
        </w:tc>
        <w:tc>
          <w:tcPr>
            <w:tcW w:w="3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198,065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debt securities and commercial paper</w:t>
            </w:r>
          </w:p>
        </w:tc>
        <w:tc>
          <w:tcPr>
            <w:tcW w:w="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86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230,720</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230,720</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290,605</w:t>
            </w:r>
          </w:p>
        </w:tc>
        <w:tc>
          <w:tcPr>
            <w:tcW w:w="80" w:type="dxa"/>
            <w:vAlign w:val="bottom"/>
          </w:tcPr>
          <w:p>
            <w:pPr>
              <w:spacing w:after="0"/>
              <w:rPr>
                <w:sz w:val="18"/>
                <w:szCs w:val="18"/>
                <w:color w:val="auto"/>
              </w:rPr>
            </w:pP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59,885</w:t>
            </w:r>
          </w:p>
        </w:tc>
        <w:tc>
          <w:tcPr>
            <w:tcW w:w="140" w:type="dxa"/>
            <w:vAlign w:val="bottom"/>
          </w:tcPr>
          <w:p>
            <w:pPr>
              <w:spacing w:after="0"/>
              <w:rPr>
                <w:sz w:val="18"/>
                <w:szCs w:val="18"/>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230,720</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Essentialis purchase price contingency liability</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80" w:type="dxa"/>
            <w:vAlign w:val="bottom"/>
          </w:tcPr>
          <w:p>
            <w:pPr>
              <w:spacing w:after="0"/>
              <w:rPr>
                <w:sz w:val="18"/>
                <w:szCs w:val="18"/>
                <w:color w:val="auto"/>
              </w:rPr>
            </w:pP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8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10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-4285615</wp:posOffset>
            </wp:positionV>
            <wp:extent cx="60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-4285615</wp:posOffset>
            </wp:positionV>
            <wp:extent cx="60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-4285615</wp:posOffset>
            </wp:positionV>
            <wp:extent cx="603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-4285615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-3282315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-3282315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-3282315</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-3282315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-2553970</wp:posOffset>
            </wp:positionV>
            <wp:extent cx="60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-2536825</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-2553970</wp:posOffset>
            </wp:positionV>
            <wp:extent cx="603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-2536825</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-2553970</wp:posOffset>
            </wp:positionV>
            <wp:extent cx="603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-2536825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-2553970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-2536825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-1473835</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-1456690</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-1473835</wp:posOffset>
            </wp:positionV>
            <wp:extent cx="596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-1456690</wp:posOffset>
            </wp:positionV>
            <wp:extent cx="596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-1473835</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-1456690</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-1473835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-1456690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-753745</wp:posOffset>
            </wp:positionV>
            <wp:extent cx="603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-753745</wp:posOffset>
            </wp:positionV>
            <wp:extent cx="596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-753745</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-753745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596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59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03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-24765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firstLine="578"/>
        <w:spacing w:after="0" w:line="254" w:lineRule="auto"/>
        <w:rPr>
          <w:sz w:val="20"/>
          <w:szCs w:val="20"/>
          <w:color w:val="auto"/>
        </w:rPr>
      </w:pPr>
      <w:r>
        <w:rPr>
          <w:rFonts w:ascii="Times New Roman" w:cs="Times New Roman" w:eastAsia="Times New Roman" w:hAnsi="Times New Roman"/>
          <w:sz w:val="18"/>
          <w:szCs w:val="18"/>
          <w:color w:val="auto"/>
        </w:rPr>
        <w:t>Based on the terms of the completed merger with Essentialis on March 7, 2017, the Company is obligated to make cash earnout payments of up to a maximum of $21.2 million to the former Essentialis stockholders. The fair value of the Essentialis purchase price contingent liability is estimated using scenario-based methods based upon the Company’s analysis of the likelihood of obtaining specified approvals from the U.S. Food and Drug Administration (FDA) as well as achieving two commercial sales milestones of $100 million and $200 million in cumulative revenue. The Level 3 estimates are based, in part, on subjective assumptions. As of December 31, 2025, following the receipt of FDA approval for VYKAT XR, the Company no longer considers FDA approval as a variable and determined a 100% probability of achieving the remaining two milestones. Prior to receiving FDA approval, management relied on published research relating to clinical development success rates to determine the likelihood of FDA approval occurring. Based on this assessment, an 88% probability of achieving all three milestones was determined to be reasonable as of both December 31, 2024 and December 31, 2023. During the periods presented, other than as discussed above regarding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of FDA approval for VYKAT XR, the Company has not changed the manner in which it values its Essentialis purchase price contingent liability.</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transfers between levels of the fair value hierarchy as of the end of the reporting period. There were no transfers within the hierarchy during the periods presented.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Company’s Level 3 assets and liabilities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8"/>
              </w:rPr>
              <w:t>Contingent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4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4160" w:type="dxa"/>
            <w:vAlign w:val="bottom"/>
            <w:gridSpan w:val="3"/>
            <w:vMerge w:val="continue"/>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14,791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1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value of contingent liability</w:t>
            </w:r>
          </w:p>
        </w:tc>
        <w:tc>
          <w:tcPr>
            <w:tcW w:w="10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right w:val="single" w:sz="8" w:color="CFF0FC"/>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5,536</w:t>
            </w:r>
          </w:p>
        </w:tc>
        <w:tc>
          <w:tcPr>
            <w:tcW w:w="130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20,327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8"/>
              </w:rPr>
              <w:t>Contingent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41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20" w:type="dxa"/>
            <w:vAlign w:val="bottom"/>
            <w:tcBorders>
              <w:right w:val="single" w:sz="8" w:color="CFF0FC"/>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11,549</w:t>
            </w:r>
          </w:p>
        </w:tc>
        <w:tc>
          <w:tcPr>
            <w:tcW w:w="1300" w:type="dxa"/>
            <w:vAlign w:val="bottom"/>
            <w:tcBorders>
              <w:left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value of contingent liability</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3,242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1"/>
                <w:szCs w:val="21"/>
                <w:color w:val="auto"/>
              </w:rPr>
            </w:pPr>
          </w:p>
        </w:tc>
        <w:tc>
          <w:tcPr>
            <w:tcW w:w="41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right w:val="single" w:sz="8" w:color="CFF0FC"/>
            </w:tcBorders>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14,791</w:t>
            </w:r>
          </w:p>
        </w:tc>
        <w:tc>
          <w:tcPr>
            <w:tcW w:w="1300" w:type="dxa"/>
            <w:vAlign w:val="bottom"/>
            <w:tcBorders>
              <w:left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844"/>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Net</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288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2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240" w:type="dxa"/>
            <w:vAlign w:val="bottom"/>
            <w:tcBorders>
              <w:right w:val="single" w:sz="8" w:color="CFF0FC"/>
            </w:tcBorders>
            <w:shd w:val="clear" w:color="auto" w:fill="CFF0FC"/>
          </w:tcPr>
          <w:p>
            <w:pPr>
              <w:spacing w:after="0"/>
              <w:rPr>
                <w:sz w:val="18"/>
                <w:szCs w:val="18"/>
                <w:color w:val="auto"/>
              </w:rPr>
            </w:pPr>
          </w:p>
        </w:tc>
        <w:tc>
          <w:tcPr>
            <w:tcW w:w="8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FF0FC"/>
            </w:tcBorders>
            <w:shd w:val="clear" w:color="auto" w:fill="CFF0FC"/>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FF0FC"/>
            </w:tcBorders>
            <w:shd w:val="clear" w:color="auto" w:fill="CFF0FC"/>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Reserve for excess and obsolete inventory</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1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inventory, net</w:t>
            </w:r>
          </w:p>
        </w:tc>
        <w:tc>
          <w:tcPr>
            <w:tcW w:w="10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240" w:type="dxa"/>
            <w:vAlign w:val="bottom"/>
            <w:tcBorders>
              <w:bottom w:val="single" w:sz="8" w:color="CFF0FC"/>
              <w:right w:val="single" w:sz="8" w:color="CFF0FC"/>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right w:val="single" w:sz="8" w:color="CFF0FC"/>
            </w:tcBorders>
            <w:shd w:val="clear" w:color="auto" w:fill="CFF0FC"/>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28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CFF0FC"/>
            </w:tcBorders>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42</w:t>
            </w:r>
          </w:p>
        </w:tc>
        <w:tc>
          <w:tcPr>
            <w:tcW w:w="86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FF0FC"/>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right w:val="single" w:sz="8" w:color="CFF0FC"/>
            </w:tcBorders>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70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185</w:t>
            </w:r>
          </w:p>
        </w:tc>
        <w:tc>
          <w:tcPr>
            <w:tcW w:w="8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-5991225</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-4851400</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-4834255</wp:posOffset>
            </wp:positionV>
            <wp:extent cx="514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-2836545</wp:posOffset>
            </wp:positionV>
            <wp:extent cx="514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-2819400</wp:posOffset>
            </wp:positionV>
            <wp:extent cx="51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-2836545</wp:posOffset>
            </wp:positionV>
            <wp:extent cx="51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-2819400</wp:posOffset>
            </wp:positionV>
            <wp:extent cx="514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-1499235</wp:posOffset>
            </wp:positionV>
            <wp:extent cx="514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-1499235</wp:posOffset>
            </wp:positionV>
            <wp:extent cx="514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-1216660</wp:posOffset>
            </wp:positionV>
            <wp:extent cx="514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-1216660</wp:posOffset>
            </wp:positionV>
            <wp:extent cx="514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$73 thousand, $43 thousand, and $14 thousand for the years ended December 31, 2025, 2024, and 2023,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4"/>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82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5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1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Patents and merger costs</w:t>
            </w:r>
          </w:p>
        </w:tc>
        <w:tc>
          <w:tcPr>
            <w:tcW w:w="860" w:type="dxa"/>
            <w:vAlign w:val="bottom"/>
            <w:gridSpan w:val="3"/>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22,003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(17,142)</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4,861</w:t>
            </w: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4"/>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22,003</w:t>
            </w:r>
          </w:p>
        </w:tc>
        <w:tc>
          <w:tcPr>
            <w:tcW w:w="32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right w:val="single" w:sz="8" w:color="CFF0FC"/>
            </w:tcBorders>
            <w:gridSpan w:val="4"/>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(15,198)</w:t>
            </w:r>
          </w:p>
        </w:tc>
        <w:tc>
          <w:tcPr>
            <w:tcW w:w="140" w:type="dxa"/>
            <w:vAlign w:val="bottom"/>
            <w:shd w:val="clear" w:color="auto" w:fill="CFF0FC"/>
          </w:tcPr>
          <w:p>
            <w:pPr>
              <w:jc w:val="right"/>
              <w:ind w:right="21"/>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6,805</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9"/>
        </w:trPr>
        <w:tc>
          <w:tcPr>
            <w:tcW w:w="9620" w:type="dxa"/>
            <w:vAlign w:val="bottom"/>
            <w:gridSpan w:val="25"/>
          </w:tcPr>
          <w:p>
            <w:pPr>
              <w:ind w:left="520"/>
              <w:spacing w:after="0"/>
              <w:rPr>
                <w:sz w:val="20"/>
                <w:szCs w:val="20"/>
                <w:color w:val="auto"/>
              </w:rPr>
            </w:pPr>
            <w:r>
              <w:rPr>
                <w:rFonts w:ascii="Times New Roman" w:cs="Times New Roman" w:eastAsia="Times New Roman" w:hAnsi="Times New Roman"/>
                <w:sz w:val="18"/>
                <w:szCs w:val="18"/>
                <w:color w:val="auto"/>
              </w:rPr>
              <w:t>Future amortization expense for intangible assets over their remaining useful lives is as follows (in thousands):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Patents and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8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360" w:type="dxa"/>
            <w:vAlign w:val="bottom"/>
            <w:tcBorders>
              <w:left w:val="single" w:sz="8" w:color="CFF0FC"/>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360" w:type="dxa"/>
            <w:vAlign w:val="bottom"/>
            <w:tcBorders>
              <w:left w:val="single" w:sz="8" w:color="CFF0FC"/>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17"/>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920" w:type="dxa"/>
            <w:vAlign w:val="bottom"/>
            <w:gridSpan w:val="19"/>
          </w:tcPr>
          <w:p>
            <w:pPr>
              <w:ind w:left="520"/>
              <w:spacing w:after="0"/>
              <w:rPr>
                <w:sz w:val="20"/>
                <w:szCs w:val="20"/>
                <w:color w:val="auto"/>
              </w:rPr>
            </w:pPr>
            <w:r>
              <w:rPr>
                <w:rFonts w:ascii="Times New Roman" w:cs="Times New Roman" w:eastAsia="Times New Roman" w:hAnsi="Times New Roman"/>
                <w:sz w:val="18"/>
                <w:szCs w:val="18"/>
                <w:color w:val="auto"/>
              </w:rPr>
              <w:t>Amortization expense was $1.9 million for the years ended December 31, 2025, 2024 and 2023.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10"/>
          </w:tcPr>
          <w:p>
            <w:pPr>
              <w:ind w:left="520"/>
              <w:spacing w:after="0"/>
              <w:rPr>
                <w:sz w:val="20"/>
                <w:szCs w:val="20"/>
                <w:color w:val="auto"/>
              </w:rPr>
            </w:pPr>
            <w:r>
              <w:rPr>
                <w:rFonts w:ascii="Times New Roman" w:cs="Times New Roman" w:eastAsia="Times New Roman" w:hAnsi="Times New Roman"/>
                <w:sz w:val="18"/>
                <w:szCs w:val="18"/>
                <w:color w:val="auto"/>
              </w:rPr>
              <w:t>Other current liabilities consisted of the following (in thousands):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14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20" w:type="dxa"/>
            <w:vAlign w:val="bottom"/>
            <w:gridSpan w:val="10"/>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reserve for rebates, returns, and other incentives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14,031</w:t>
            </w:r>
          </w:p>
        </w:tc>
        <w:tc>
          <w:tcPr>
            <w:tcW w:w="1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4"/>
                <w:szCs w:val="4"/>
                <w:color w:val="auto"/>
                <w:w w:val="97"/>
              </w:rPr>
              <w:t>$</w:t>
            </w: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Accrued consulting and professional fees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Accrued clinical trial site costs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18,198</w:t>
            </w:r>
          </w:p>
        </w:tc>
        <w:tc>
          <w:tcPr>
            <w:tcW w:w="1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4"/>
                <w:szCs w:val="4"/>
                <w:color w:val="auto"/>
                <w:w w:val="97"/>
              </w:rPr>
              <w:t>$</w:t>
            </w: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-2356485</wp:posOffset>
            </wp:positionV>
            <wp:extent cx="431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Leases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June 13, 2024, the Company entered into a new office lease in Redwood City, California for office space for its headquarters facility. The lease provides office space of approximately 18,026 square feet and for base monthly rent payments beginning at $57,400 that increase annually by approximately 3.0% over the term of five years from the date of occupancy. In addition to base rent, the Company has agreed to reimburse the landlord for certain operating expenses under the terms of the lease. The lease commencement date was September 1, 2024 when the premises became available for occupancy and the related operating lease ROU assets and liabilities were recorded in the Company's consolidated balance sheet as of December 31, 2025. The Company's operating lease for its predecessor headquarters facility office space in Redwood City, California began on June 1, 2023 and expired in May 2025.</w:t>
      </w:r>
    </w:p>
    <w:p>
      <w:pPr>
        <w:spacing w:after="0" w:line="8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On November 25, 2025, the Company executed an amendment to its office lease in Redwood City, California for additional office space for its headquarters facility. The amendment provides additional office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2" w:name="page93"/>
    <w:bookmarkEnd w:id="92"/>
    <w:p>
      <w:pPr>
        <w:spacing w:after="0" w:line="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space of approximately 17,779 square feet and for base monthly rent payments beginning at $32,747 that increase annually to $79,650 in the final year of the lease in 2029. In addition to base rent, the Company has agreed to reimburse the landlord for certain operating expenses under the terms of the lease. As of the date of this filing, the premises is not available for occupancy and therefore as the office lease has not commenced, the related operating lease ROU assets and liabilities are not recorded in the Company's consolidated balance sheet as of December 31, 2025.</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Company's operating lease ROU assets, current operating lease liabilities and long-term operating lease liabilities each appear as a separate line within the Company's consolidated balance sheets. In September 2024, the Company recorded an increase to its right-of-use assets by $2.8 million and an increase to its lease liability of $2.8 million as a result of the June 2024 office lease. As of December 31, 2025 and December 31, 2024, the Company's short-term liabilities were equal to $0.7 million and $0.5 million, respectively, and the long-term operating lease liabilities were equal to $2.0 million and $2.5 million, respectively.</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discount rate related to the Company’s lease liabilities was 8.5% as of December 31, 2025 over a remaining term of 3.7 years, and 8.5% as of December 31, 2024 over the remaining term of 4.7 years. The discount rates were determined based on estimates of the Company's incremental borrowing rate, as the discount rates implicit in the Company’s leases cannot be readily determined.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6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14"/>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cost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8"/>
                <w:szCs w:val="18"/>
                <w:color w:val="auto"/>
              </w:rPr>
            </w:pP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Variable lease cost</w:t>
            </w:r>
          </w:p>
        </w:tc>
        <w:tc>
          <w:tcPr>
            <w:tcW w:w="4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lease cost</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r>
      <w:tr>
        <w:trPr>
          <w:trHeight w:val="249"/>
        </w:trPr>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737"/>
        </w:trPr>
        <w:tc>
          <w:tcPr>
            <w:tcW w:w="66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9"/>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6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15"/>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-1210945</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-1193800</wp:posOffset>
            </wp:positionV>
            <wp:extent cx="7747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-1210945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-1193800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-1210945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schedule by year of future maturities of the Company’s operating lease liabilities as of December 31, 2025 (in thousands):</w:t>
      </w:r>
    </w:p>
    <w:p>
      <w:pPr>
        <w:spacing w:after="0" w:line="270"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8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tcPr>
          <w:p>
            <w:pPr>
              <w:spacing w:after="0"/>
              <w:rPr>
                <w:sz w:val="18"/>
                <w:szCs w:val="18"/>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Pr>
          <w:p>
            <w:pPr>
              <w:spacing w:after="0"/>
              <w:rPr>
                <w:sz w:val="18"/>
                <w:szCs w:val="18"/>
                <w:color w:val="auto"/>
              </w:rPr>
            </w:pPr>
          </w:p>
        </w:tc>
      </w:tr>
      <w:tr>
        <w:trPr>
          <w:trHeight w:val="210"/>
        </w:trPr>
        <w:tc>
          <w:tcPr>
            <w:tcW w:w="6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lease payments</w:t>
            </w:r>
          </w:p>
        </w:tc>
        <w:tc>
          <w:tcPr>
            <w:tcW w:w="7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8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7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r>
      <w:tr>
        <w:trPr>
          <w:trHeight w:val="249"/>
        </w:trPr>
        <w:tc>
          <w:tcPr>
            <w:tcW w:w="65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top w:val="single" w:sz="8" w:color="auto"/>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-24765</wp:posOffset>
            </wp:positionV>
            <wp:extent cx="514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86" w:lineRule="exact"/>
        <w:rPr>
          <w:sz w:val="20"/>
          <w:szCs w:val="20"/>
          <w:color w:val="auto"/>
        </w:rPr>
      </w:pPr>
    </w:p>
    <w:p>
      <w:pPr>
        <w:jc w:val="both"/>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 enters into agreements in the normal course of business, including with contract research organizations for clinical trials, contract manufacturing organizations for certain manufacturing services, and vendors for preclinical studies as well as other services and products for operating purposes, which are generally cancelable upon written notice. As of December 31, 2025, the Company's non-cancelable other commitments aggregated $15.3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On December 17, 2024, the Company entered into a loan and security agreement for up to $200 million with Oxford. The loan is collateralized by substantially all of the Company's assets, including its intellectual property, subject to certain limitations.</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2025, the Company had $50.0 million outstanding under the loan and security agreement with Oxford. Under the terms of the loan agreement with Oxford, following FDA approval of VYKAT XR, an additional $50 million became available through September 30, 2025, but was not drawn down. Following the amendment of the loan and security agreement in November 2025, the final three tranches of an aggregate of $100 million may be made available upon mutual consent with Oxford. As a result of a milestone achieved in 2025, the loan carries an interest-only period of 60 months and a total term of 72 months. The term loans accrue interest, payable monthly, at a floating rate equal to, subject to certain conditions, (a) 1-month term SOFR plus (b) 5.50%. As a result of a milestone achieved in 2025, the term loan will begin to amortize in equal monthly installments beginning on February 1, 2030, through the maturity date of December 1, 2030. As a result of a milestone achieved in 2025, the final principal payment at maturity will include a fee of 6.5% of the total principal borrowed. The $3.3 million final interest payment related to the $50 million borrowed as of December 31, 2025 is accrued over the term of loan as long-term accrued interest payable. $525 thousand and $21 thousand were accrued as part of other long-term liabilities on the consolidated balance sheet as of December 31, 2025 and 2024, respectively. Loan issuance costs of $174 thousand are recorded as a reduction of the principal loan balance on the consolidated balance sheet and are amortized as interest expense over the term of the loan. For the year ended December 31, 2025, the Company recorded $5.5 million in interest expense and $4.5 million of interest was paid. For the year ended December 31, 2024, the Company recorded $231 thousand in interest expense and $209 thousand of interest was paid.</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outstanding long-term debt consisted of the following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1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FF0FC"/>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r>
      <w:tr>
        <w:trPr>
          <w:trHeight w:val="249"/>
        </w:trPr>
        <w:tc>
          <w:tcPr>
            <w:tcW w:w="6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49,863</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49,828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-24765</wp:posOffset>
            </wp:positionV>
            <wp:extent cx="514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514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the components of interest expense related to the long-term debt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4" w:name="page95"/>
    <w:bookmarkEnd w:id="94"/>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6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15"/>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based on contractual loan rate</w:t>
            </w:r>
          </w:p>
        </w:tc>
        <w:tc>
          <w:tcPr>
            <w:tcW w:w="148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 and accretion of final interest payment</w:t>
            </w:r>
          </w:p>
        </w:tc>
        <w:tc>
          <w:tcPr>
            <w:tcW w:w="6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48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0"/>
        </w:trPr>
        <w:tc>
          <w:tcPr>
            <w:tcW w:w="60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774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loan and security agreement provides for both affirmative and negative covenants. including covenants limiting the ability of the Company and their subsidiaries to, among other things, dispose of assets, incur debt, grant liens, pay dividends and distributions on their capital stock, make investments and acquisitions, and enter into transactions with affiliates, in each case subject to customary exceptions for a loan facility of this size and type. In addition, the loan and security agreement contains a minimum revenue covenant commencing on the earlier of the date that the more than $50 million principal amount of term loans have been funded under the loan and security agreement and June 30, 2026; provided that such minimum revenue covenant shall not be tested during periods when the Company’s market capitalization or unrestricted cash meet certain minimum thresholds. The occurrence of an event of default could result in the acceleration of the Borrowers’ obligations under the loan and security agreement, the termination of the lenders’ commitments, a 5.0% increase in the applicable rate of interest and the exercise by the Lender of other rights and remedies provided for under the loan and security agreement. The Company was in compliance with all applicable debt covenants as of December 31, 2025.</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authorized to issue 10,000,000 shares of Preferred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November 2025 Accelerated Share Repurchase Agreement</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November 10, 2025, the Company entered into an accelerated share repurchase agreement (the ASR Agreement) with Jefferies LLC (Jefferies) to repurchase an aggregate amount of $100.0 million of its common stock. Under the ASR agreement, the Company made an aggregate upfront payment of $100.0 million to Jefferies and received an initial delivery of 1,511,553 shares of its common stock on November 12, 2025, based on the closing price of the Company's common stock on November 10, 2025.</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final number of shares that the Company will ultimately repurchase pursuant to the ASR Agreement will be based on the average of the daily volume-weighted average price per share of the Company's common stock during the repurchase period less a discount, subject to adjustments pursuant to the terms and conditions of the ASR Agreement. The accelerated share repurchase was completed in the first quarter of 2026. Refer to Note 13. Subsequent Events for additional information.</w:t>
      </w:r>
    </w:p>
    <w:p>
      <w:pPr>
        <w:spacing w:after="0" w:line="180"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Shares of common stock repurchased under the ASR Agreement are immediately retired upon receipt and returned to authorized and unissued status. Repurchased common stock is reflected as a reduction of stockholders' equity. Any excess of cost over par value is charged to additional paid-in capital to the extent that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balance is present. If additional paid-in capital is fully depleted, any remaining excess of cost over par value is charged to accumulated deficit.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July 2025 Public Offering of Common Stock</w:t>
      </w:r>
    </w:p>
    <w:p>
      <w:pPr>
        <w:spacing w:after="0" w:line="22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July 2025, the Company closed an underwritten public offering of 2,705,882 shares of its common stock at a public offering price of $85.00 per share, which included the exercise in full by the underwriters of their option to purchase additional shares. The gross proceeds of the public offering were $230.0 million, before deducting the underwriter discount and other offering expenses, totaling approximately $14.3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 2024 Public Offering of Common Stock</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May 9, 2024, the Company closed an underwritten public offering of 3,450,000 shares of its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totaling approximately $9.7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2023 Public Offering of Common Stock and Concurrent Private Placement of Common Stock and Pre-Funded Warrants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October 2, 2023, the Company closed an underwritten public offering of 3,450,000 shares of its common stock at a public offering of $20.00 per share, which included the exercise in full by the underwriters of their option to purchase additional shares. The gross proceeds of the public offering were $69.0 million, before deducting the underwriting discount and other offering expenses. Concurrently, the Company also completed the closing of approximately $60.0 million for 1,825,000 shares of its common stock and 1,175,000 pre-funded warrants in a private offering pursuant to a securities purchase agreement with certain investors, including entities affiliated with existing stockholders, at a price per share of common stock equal to the public offering price of $20.00 and a price per per-funded warrant of $19.99. In aggregate, the Company received $129.0 million of gross proceeds less offering costs of $8.2 million. The Company is not required under any circumstance to settle any of the pre-funded warrants for cash, and therefore classified the pre-funded warrants as permanent equity.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2022 Securities Purchase Agreement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December 16, 2022, the Company entered into a Securities Purchase Agreement for a private placement (Private Placement) with certain entities and members of management (collectively, Purchasers). Pursuant to the Securities Purchase Agreement, the Company agreed to sell to the Purchasers warrants to purchase up to an aggregate of 22,598,870 shares of the Company’s common stock, at a purchase price of $0.4425 per warrant. The closing of the Private Placement occurred on May 8, 2023 (the Issue Date), following the satisfaction of certain closing conditions, including the completion of enrollment in the randomized withdrawal period of Study C602. The Company received gross proceeds of $10.0 million for the sale and issuance of warrants to purchase common stock.</w:t>
      </w:r>
    </w:p>
    <w:p>
      <w:pPr>
        <w:spacing w:after="0" w:line="7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warrants were separated into two tranches with 8,598,870 Tranche A warrants with an exercise price of $1.75 and aggregate proceeds of up to approximately $15.0 million, and 14,000,000 Tranche B warrants with an exercise price of $2.50 and aggregate proceeds of up to $35.0 million. The Tranche A warrants were immediately exercisable and were required to be exercised within 30 days of announcement of positive top-line data from the randomized withdrawal period of Study C602. On September 26, 2023, the Company announced positive top-line data and subsequently received $15.0 million from the exercise of the Tranche A warrants. The Tranche B warrants are also immediately exercisable and following the FDA's approval of VYKAT XR, the remainder of these warrants were exercised. The Company received an aggregate of $35.0 million from the exercise of the Tranche B warrants. As of December 31, 2025, there were no remaining warrants outstanding under the Securities Purchase Agreement.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6" w:name="page97"/>
    <w:bookmarkEnd w:id="9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2022 Underwritten Public Offering</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March 31, 2022, the Company sold 2,666,667 shares of its common stock at a public offering price of $3.75, and for certain investors, in lieu of common stock, pre-funded warrants (the March 2022 pre-funded warrants) to purchase 1,333,333 shares of its common stock at a public offering price $3.60 per pre-funded warrant, which represents the per share public offering price for the common stock less the $0.15 per share exercise price for each March 2022 pre-funded warrant. The March 2022 pre-funded warrants are immediately exercisable and may be exercised at any time until all of the March 2022 pre-funded warrants are exercised in full. Each share of common stock or March 2022 pre-funded warrant was sold together with one, immediately exercisable, common warrant (the 2022 common warrants) with a five-year term to purchase one share of common stock at an exercise price of $4.50 per share. The net proceeds of the offering were $13.8 million, after deducting the underwriting discount and other offering expenses. The Company is not required under any circumstance to settle any of the 2022 pre-funded warrants or the 2022 common warrants for cash, and therefore classified both types of warrants as permanent equity.</w:t>
      </w:r>
    </w:p>
    <w:p>
      <w:pPr>
        <w:spacing w:after="0" w:line="184" w:lineRule="exact"/>
        <w:rPr>
          <w:sz w:val="20"/>
          <w:szCs w:val="20"/>
          <w:color w:val="auto"/>
        </w:rPr>
      </w:pPr>
    </w:p>
    <w:p>
      <w:pPr>
        <w:jc w:val="both"/>
        <w:ind w:right="360" w:firstLine="509"/>
        <w:spacing w:after="0" w:line="261" w:lineRule="auto"/>
        <w:rPr>
          <w:sz w:val="20"/>
          <w:szCs w:val="20"/>
          <w:color w:val="auto"/>
        </w:rPr>
      </w:pPr>
      <w:r>
        <w:rPr>
          <w:rFonts w:ascii="Times New Roman" w:cs="Times New Roman" w:eastAsia="Times New Roman" w:hAnsi="Times New Roman"/>
          <w:sz w:val="18"/>
          <w:szCs w:val="18"/>
          <w:color w:val="auto"/>
        </w:rPr>
        <w:t>In 2025, 5,333 of the March 2022 common warrants were exercised for gross proceeds of $24 thousand and 1,248,414 warrants were exercised using the cashless exercise option with no proceeds to the Company. In 2024, 254,664 March 2022 warrants were exercised for gross proceeds of $1.1 million and 419,056 warrants were exercised using the cashless exercise option with no proceeds received by the Company. As of December 31, 2025, 1,599 of the March 2022 common warrants remain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Offering</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July 2024, the Company entered into the Sales Agreement with Jefferies, pursuant to which the Company may offer and sell up to $150.0 million of shares of its common stock, from time to time, through Jefferies.</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will pay Jefferies a commission of 3.0% of the aggregate gross proceeds from the sale of shares and has agreed to provide Jefferies with customary indemnification and contribution rights. The Company has also agreed to reimburse Jefferies for certain specified expenses. The Company is not obligated to sell any shares under the Sales Agreement. The offering of the shares pursuant to the Sales Agreement will terminate upon the termination of the Sales Agreement by Jefferies or the Company, as permitted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2024 and 2023, the following table summarizes the Company's outstanding common stock warrants: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228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40" w:type="dxa"/>
            <w:vAlign w:val="bottom"/>
          </w:tcPr>
          <w:p>
            <w:pPr>
              <w:spacing w:after="0"/>
              <w:rPr>
                <w:sz w:val="15"/>
                <w:szCs w:val="15"/>
                <w:color w:val="auto"/>
              </w:rPr>
            </w:pPr>
          </w:p>
        </w:tc>
        <w:tc>
          <w:tcPr>
            <w:tcW w:w="226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Pr>
          <w:p>
            <w:pPr>
              <w:spacing w:after="0"/>
              <w:rPr>
                <w:sz w:val="15"/>
                <w:szCs w:val="15"/>
                <w:color w:val="auto"/>
              </w:rPr>
            </w:pPr>
          </w:p>
        </w:tc>
        <w:tc>
          <w:tcPr>
            <w:tcW w:w="250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Common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14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Warrant</w:t>
            </w:r>
          </w:p>
        </w:tc>
        <w:tc>
          <w:tcPr>
            <w:tcW w:w="1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 Shares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5"/>
                <w:szCs w:val="15"/>
                <w:color w:val="auto"/>
              </w:rPr>
            </w:pPr>
          </w:p>
        </w:tc>
        <w:tc>
          <w:tcPr>
            <w:tcW w:w="1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Warrant Shares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Common stock warrants</w:t>
            </w: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November</w:t>
            </w:r>
          </w:p>
        </w:tc>
        <w:tc>
          <w:tcPr>
            <w:tcW w:w="0" w:type="dxa"/>
            <w:vAlign w:val="bottom"/>
          </w:tcPr>
          <w:p>
            <w:pPr>
              <w:spacing w:after="0"/>
              <w:rPr>
                <w:sz w:val="1"/>
                <w:szCs w:val="1"/>
                <w:color w:val="auto"/>
              </w:rPr>
            </w:pPr>
          </w:p>
        </w:tc>
      </w:tr>
      <w:tr>
        <w:trPr>
          <w:trHeight w:val="234"/>
        </w:trPr>
        <w:tc>
          <w:tcPr>
            <w:tcW w:w="23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388.94</w:t>
            </w:r>
          </w:p>
        </w:tc>
        <w:tc>
          <w:tcPr>
            <w:tcW w:w="13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March 2022 Common</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1,255,346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1,929,066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2027</w:t>
            </w:r>
          </w:p>
        </w:tc>
        <w:tc>
          <w:tcPr>
            <w:tcW w:w="0" w:type="dxa"/>
            <w:vAlign w:val="bottom"/>
          </w:tcPr>
          <w:p>
            <w:pPr>
              <w:spacing w:after="0"/>
              <w:rPr>
                <w:sz w:val="1"/>
                <w:szCs w:val="1"/>
                <w:color w:val="auto"/>
              </w:rPr>
            </w:pPr>
          </w:p>
        </w:tc>
      </w:tr>
      <w:tr>
        <w:trPr>
          <w:trHeight w:val="198"/>
        </w:trPr>
        <w:tc>
          <w:tcPr>
            <w:tcW w:w="23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May 2023 Tranche A Pre-</w:t>
            </w: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November</w:t>
            </w:r>
          </w:p>
        </w:tc>
        <w:tc>
          <w:tcPr>
            <w:tcW w:w="0" w:type="dxa"/>
            <w:vAlign w:val="bottom"/>
          </w:tcPr>
          <w:p>
            <w:pPr>
              <w:spacing w:after="0"/>
              <w:rPr>
                <w:sz w:val="1"/>
                <w:szCs w:val="1"/>
                <w:color w:val="auto"/>
              </w:rPr>
            </w:pPr>
          </w:p>
        </w:tc>
      </w:tr>
      <w:tr>
        <w:trPr>
          <w:trHeight w:val="234"/>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funded warrants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2,758,281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3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May 2023 Tranche B warrants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November</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2,065,305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3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198"/>
        </w:trPr>
        <w:tc>
          <w:tcPr>
            <w:tcW w:w="23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May 2023 Tranche B Pre-</w:t>
            </w: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November</w:t>
            </w:r>
          </w:p>
        </w:tc>
        <w:tc>
          <w:tcPr>
            <w:tcW w:w="0" w:type="dxa"/>
            <w:vAlign w:val="bottom"/>
          </w:tcPr>
          <w:p>
            <w:pPr>
              <w:spacing w:after="0"/>
              <w:rPr>
                <w:sz w:val="1"/>
                <w:szCs w:val="1"/>
                <w:color w:val="auto"/>
              </w:rPr>
            </w:pPr>
          </w:p>
        </w:tc>
      </w:tr>
      <w:tr>
        <w:trPr>
          <w:trHeight w:val="234"/>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funded warrants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451,632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3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October 2023 Pre-funded</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vMerge w:val="restart"/>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vMerge w:val="restart"/>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1,175,000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020" w:type="dxa"/>
            <w:vAlign w:val="bottom"/>
            <w:tcBorders>
              <w:bottom w:val="single" w:sz="8" w:color="auto"/>
            </w:tcBorders>
            <w:vMerge w:val="continue"/>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50"/>
        </w:trPr>
        <w:tc>
          <w:tcPr>
            <w:tcW w:w="2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251,599</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3,570,651</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13,071,883</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-25400</wp:posOffset>
            </wp:positionV>
            <wp:extent cx="768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-8255</wp:posOffset>
            </wp:positionV>
            <wp:extent cx="768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-25400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Plan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maintains the Amended and Restated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Performance-based grants have vesting contingent upon the achievement of certain performance criteria related to the Company’s commercialization of its therapeutics.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a total of 358,527 shares were available for future grant under the 2014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Plan</w:t>
      </w:r>
    </w:p>
    <w:p>
      <w:pPr>
        <w:spacing w:after="0" w:line="148"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the 2020 Inducement Equity Incentive Plan (the Inducement Plan). The Inducement Plan provides for the grant of equity-based awards, including non-statutory stock options, restricted stock units, restricted stock, stock appreciation rights, performance shares and performance units, and its terms are substantially similar to the 2014 Plan.</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a total of 23,068 shares were available for future grant under the Inducement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options and restricted stock units granted to employees, directors and consultants. The compensation expense is allocated on a departmental basis, based on the classification of the stock award holder. For the years ended December 31, 2025, 2024 and 2023, the total income tax benefit related to stock-based compensation was $6.9 million, $5.7 million and $1.9 million, respectively, however, due to net operating income (loss) and a full valuation allowance, no tax benefit was recognized in the financial statements.</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was recognized in the consolidated statements of operations and comprehensive income (loss) as follows (in thousands):</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33,743</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20" w:type="dxa"/>
            <w:vAlign w:val="bottom"/>
            <w:shd w:val="clear" w:color="auto" w:fill="CFF0FC"/>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66,215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20" w:type="dxa"/>
            <w:vAlign w:val="bottom"/>
          </w:tcPr>
          <w:p>
            <w:pPr>
              <w:spacing w:after="0"/>
              <w:rPr>
                <w:sz w:val="18"/>
                <w:szCs w:val="18"/>
                <w:color w:val="auto"/>
              </w:rPr>
            </w:pPr>
          </w:p>
        </w:tc>
      </w:tr>
      <w:tr>
        <w:trPr>
          <w:trHeight w:val="230"/>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45,846</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99,958</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120" w:type="dxa"/>
            <w:vAlign w:val="bottom"/>
            <w:shd w:val="clear" w:color="auto" w:fill="CFF0FC"/>
          </w:tcPr>
          <w:p>
            <w:pPr>
              <w:spacing w:after="0"/>
              <w:rPr>
                <w:sz w:val="19"/>
                <w:szCs w:val="19"/>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-24765</wp:posOffset>
            </wp:positionV>
            <wp:extent cx="603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03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0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After the FDA approval of VYKAT XR in March 2025, the Company began capitalizing stock-based compensation associated with the allocation of labor costs related to work performed to manufacture VYKAT XR. For the year ended December 31, 2025, the Company capitalized into inventory $1.0 million.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8" w:name="page99"/>
    <w:bookmarkEnd w:id="9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8"/>
          <w:szCs w:val="18"/>
          <w:color w:val="auto"/>
        </w:rPr>
        <w:t>The Company granted options to purchase 1,404,516 of the Company's common stock to employees and a consultant during year ended December 31, 2025, and 1,819,324 and 1,821,784 to employees during year ended December 31, 2024 and 2023, respectively. There were no performance-based options granted in 2025, 2024 and 2023. The fair value of each award granted was estimated on the date of grant using the Black-Scholes option pricing model with the following assumptions:</w:t>
      </w:r>
    </w:p>
    <w:p>
      <w:pPr>
        <w:spacing w:after="0" w:line="19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tcBorders>
              <w:bottom w:val="single" w:sz="8" w:color="auto"/>
            </w:tcBorders>
          </w:tcPr>
          <w:p>
            <w:pPr>
              <w:spacing w:after="0"/>
              <w:rPr>
                <w:sz w:val="15"/>
                <w:szCs w:val="15"/>
                <w:color w:val="auto"/>
              </w:rPr>
            </w:pPr>
          </w:p>
        </w:tc>
      </w:tr>
      <w:tr>
        <w:trPr>
          <w:trHeight w:val="142"/>
        </w:trPr>
        <w:tc>
          <w:tcPr>
            <w:tcW w:w="3600" w:type="dxa"/>
            <w:vAlign w:val="bottom"/>
          </w:tcPr>
          <w:p>
            <w:pPr>
              <w:spacing w:after="0"/>
              <w:rPr>
                <w:sz w:val="12"/>
                <w:szCs w:val="12"/>
                <w:color w:val="auto"/>
              </w:rPr>
            </w:pPr>
          </w:p>
        </w:tc>
        <w:tc>
          <w:tcPr>
            <w:tcW w:w="1240" w:type="dxa"/>
            <w:vAlign w:val="bottom"/>
            <w:tcBorders>
              <w:bottom w:val="single" w:sz="8" w:color="auto"/>
            </w:tcBorders>
          </w:tcPr>
          <w:p>
            <w:pPr>
              <w:jc w:val="center"/>
              <w:ind w:left="1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240" w:type="dxa"/>
            <w:vAlign w:val="bottom"/>
            <w:shd w:val="clear" w:color="auto" w:fill="CFF0FC"/>
          </w:tcPr>
          <w:p>
            <w:pPr>
              <w:jc w:val="center"/>
              <w:ind w:left="134"/>
              <w:spacing w:after="0"/>
              <w:rPr>
                <w:sz w:val="20"/>
                <w:szCs w:val="20"/>
                <w:color w:val="auto"/>
              </w:rPr>
            </w:pPr>
            <w:r>
              <w:rPr>
                <w:rFonts w:ascii="Times New Roman" w:cs="Times New Roman" w:eastAsia="Times New Roman" w:hAnsi="Times New Roman"/>
                <w:sz w:val="18"/>
                <w:szCs w:val="18"/>
                <w:color w:val="auto"/>
                <w:w w:val="97"/>
              </w:rPr>
              <w:t>5.9-6.3</w:t>
            </w:r>
          </w:p>
        </w:tc>
        <w:tc>
          <w:tcPr>
            <w:tcW w:w="1560" w:type="dxa"/>
            <w:vAlign w:val="bottom"/>
            <w:gridSpan w:val="3"/>
            <w:shd w:val="clear" w:color="auto" w:fill="CFF0FC"/>
          </w:tcPr>
          <w:p>
            <w:pPr>
              <w:jc w:val="center"/>
              <w:ind w:left="255"/>
              <w:spacing w:after="0"/>
              <w:rPr>
                <w:sz w:val="20"/>
                <w:szCs w:val="20"/>
                <w:color w:val="auto"/>
              </w:rPr>
            </w:pPr>
            <w:r>
              <w:rPr>
                <w:rFonts w:ascii="Times New Roman" w:cs="Times New Roman" w:eastAsia="Times New Roman" w:hAnsi="Times New Roman"/>
                <w:sz w:val="18"/>
                <w:szCs w:val="18"/>
                <w:color w:val="auto"/>
                <w:w w:val="97"/>
              </w:rPr>
              <w:t>5.8-6.1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center"/>
              <w:ind w:right="74"/>
              <w:spacing w:after="0"/>
              <w:rPr>
                <w:sz w:val="20"/>
                <w:szCs w:val="20"/>
                <w:color w:val="auto"/>
              </w:rPr>
            </w:pPr>
            <w:r>
              <w:rPr>
                <w:rFonts w:ascii="Times New Roman" w:cs="Times New Roman" w:eastAsia="Times New Roman" w:hAnsi="Times New Roman"/>
                <w:sz w:val="18"/>
                <w:szCs w:val="18"/>
                <w:color w:val="auto"/>
              </w:rPr>
              <w:t>5.3-6.1</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rPr>
              <w:t>3.7%-4.7%</w:t>
            </w:r>
          </w:p>
        </w:tc>
        <w:tc>
          <w:tcPr>
            <w:tcW w:w="1560" w:type="dxa"/>
            <w:vAlign w:val="bottom"/>
            <w:gridSpan w:val="3"/>
          </w:tcPr>
          <w:p>
            <w:pPr>
              <w:jc w:val="center"/>
              <w:ind w:left="255"/>
              <w:spacing w:after="0"/>
              <w:rPr>
                <w:sz w:val="20"/>
                <w:szCs w:val="20"/>
                <w:color w:val="auto"/>
              </w:rPr>
            </w:pPr>
            <w:r>
              <w:rPr>
                <w:rFonts w:ascii="Times New Roman" w:cs="Times New Roman" w:eastAsia="Times New Roman" w:hAnsi="Times New Roman"/>
                <w:sz w:val="18"/>
                <w:szCs w:val="18"/>
                <w:color w:val="auto"/>
              </w:rPr>
              <w:t>3.7%-4.6%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w w:val="98"/>
              </w:rPr>
              <w:t>3.5%-4.5%</w:t>
            </w:r>
          </w:p>
        </w:tc>
      </w:tr>
      <w:tr>
        <w:trPr>
          <w:trHeight w:val="216"/>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40" w:type="dxa"/>
            <w:vAlign w:val="bottom"/>
            <w:shd w:val="clear" w:color="auto" w:fill="CFF0FC"/>
          </w:tcPr>
          <w:p>
            <w:pPr>
              <w:jc w:val="center"/>
              <w:ind w:left="134"/>
              <w:spacing w:after="0"/>
              <w:rPr>
                <w:sz w:val="20"/>
                <w:szCs w:val="20"/>
                <w:color w:val="auto"/>
              </w:rPr>
            </w:pPr>
            <w:r>
              <w:rPr>
                <w:rFonts w:ascii="Times New Roman" w:cs="Times New Roman" w:eastAsia="Times New Roman" w:hAnsi="Times New Roman"/>
                <w:sz w:val="18"/>
                <w:szCs w:val="18"/>
                <w:color w:val="auto"/>
                <w:w w:val="99"/>
              </w:rPr>
              <w:t>115%-120%</w:t>
            </w:r>
          </w:p>
        </w:tc>
        <w:tc>
          <w:tcPr>
            <w:tcW w:w="1560" w:type="dxa"/>
            <w:vAlign w:val="bottom"/>
            <w:gridSpan w:val="3"/>
            <w:shd w:val="clear" w:color="auto" w:fill="CFF0FC"/>
          </w:tcPr>
          <w:p>
            <w:pPr>
              <w:jc w:val="center"/>
              <w:ind w:left="255"/>
              <w:spacing w:after="0"/>
              <w:rPr>
                <w:sz w:val="20"/>
                <w:szCs w:val="20"/>
                <w:color w:val="auto"/>
              </w:rPr>
            </w:pPr>
            <w:r>
              <w:rPr>
                <w:rFonts w:ascii="Times New Roman" w:cs="Times New Roman" w:eastAsia="Times New Roman" w:hAnsi="Times New Roman"/>
                <w:sz w:val="18"/>
                <w:szCs w:val="18"/>
                <w:color w:val="auto"/>
                <w:w w:val="99"/>
              </w:rPr>
              <w:t>121%-124%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center"/>
              <w:ind w:right="74"/>
              <w:spacing w:after="0"/>
              <w:rPr>
                <w:sz w:val="20"/>
                <w:szCs w:val="20"/>
                <w:color w:val="auto"/>
              </w:rPr>
            </w:pPr>
            <w:r>
              <w:rPr>
                <w:rFonts w:ascii="Times New Roman" w:cs="Times New Roman" w:eastAsia="Times New Roman" w:hAnsi="Times New Roman"/>
                <w:sz w:val="18"/>
                <w:szCs w:val="18"/>
                <w:color w:val="auto"/>
                <w:w w:val="98"/>
              </w:rPr>
              <w:t>98%-122%</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24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rPr>
              <w:t>— %</w:t>
            </w:r>
          </w:p>
        </w:tc>
      </w:tr>
    </w:tbl>
    <w:p>
      <w:pPr>
        <w:spacing w:after="0" w:line="206"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Black-Scholes option-pricing model requires the use of highly subjective assumptions to estimate the fair value of stock-based awards. These assumptions include the following estimates:</w:t>
      </w:r>
    </w:p>
    <w:p>
      <w:pPr>
        <w:spacing w:after="0" w:line="52" w:lineRule="exact"/>
        <w:rPr>
          <w:sz w:val="20"/>
          <w:szCs w:val="20"/>
          <w:color w:val="auto"/>
        </w:rPr>
      </w:pPr>
    </w:p>
    <w:p>
      <w:pPr>
        <w:ind w:left="900" w:right="180" w:hanging="383"/>
        <w:spacing w:after="0" w:line="258"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life: </w:t>
      </w:r>
      <w:r>
        <w:rPr>
          <w:rFonts w:ascii="Times New Roman" w:cs="Times New Roman" w:eastAsia="Times New Roman" w:hAnsi="Times New Roman"/>
          <w:sz w:val="18"/>
          <w:szCs w:val="18"/>
          <w:color w:val="auto"/>
        </w:rPr>
        <w:t>The expected life of stock options represents the period of time that the options are expected to be outstanding. Due to the lack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pacing w:after="0" w:line="75" w:lineRule="exact"/>
        <w:rPr>
          <w:rFonts w:ascii="Times New Roman" w:cs="Times New Roman" w:eastAsia="Times New Roman" w:hAnsi="Times New Roman"/>
          <w:sz w:val="18"/>
          <w:szCs w:val="18"/>
          <w:color w:val="auto"/>
        </w:rPr>
      </w:pPr>
    </w:p>
    <w:p>
      <w:pPr>
        <w:ind w:left="900" w:hanging="383"/>
        <w:spacing w:after="0" w:line="284"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yields of U.S. Treasury securities with maturities similar to the expected life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 options.</w:t>
      </w:r>
    </w:p>
    <w:p>
      <w:pPr>
        <w:spacing w:after="0" w:line="50" w:lineRule="exact"/>
        <w:rPr>
          <w:rFonts w:ascii="Times New Roman" w:cs="Times New Roman" w:eastAsia="Times New Roman" w:hAnsi="Times New Roman"/>
          <w:sz w:val="18"/>
          <w:szCs w:val="18"/>
          <w:color w:val="auto"/>
        </w:rPr>
      </w:pPr>
    </w:p>
    <w:p>
      <w:pPr>
        <w:ind w:left="900" w:right="20" w:hanging="383"/>
        <w:spacing w:after="0" w:line="284"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The estimated volatility rate is based on the volatilities of the Company’s common stock for a historical period equal to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the stock options.</w:t>
      </w:r>
    </w:p>
    <w:p>
      <w:pPr>
        <w:spacing w:after="0" w:line="50" w:lineRule="exact"/>
        <w:rPr>
          <w:rFonts w:ascii="Times New Roman" w:cs="Times New Roman" w:eastAsia="Times New Roman" w:hAnsi="Times New Roman"/>
          <w:sz w:val="18"/>
          <w:szCs w:val="18"/>
          <w:color w:val="auto"/>
        </w:rPr>
      </w:pPr>
    </w:p>
    <w:p>
      <w:pPr>
        <w:ind w:left="900" w:right="800" w:hanging="383"/>
        <w:spacing w:after="0" w:line="284"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The Company has never declared or paid any cash dividends and does not presently plan to pay cash dividends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Consequently, the Company used an expected dividend yield of zero.</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transactions for the year ended December 31, 2025 under the 2014 Plan and the Inducement Plan:</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54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5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4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3,971,798</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1,404,516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Options exercised</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(1,141,597)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Options canceled/forfeited</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(202,608)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4,032,109</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36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47,415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December 31, 2025</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1,529,334</w:t>
            </w:r>
          </w:p>
        </w:tc>
        <w:tc>
          <w:tcPr>
            <w:tcW w:w="140" w:type="dxa"/>
            <w:vAlign w:val="bottom"/>
          </w:tcPr>
          <w:p>
            <w:pPr>
              <w:spacing w:after="0"/>
              <w:rPr>
                <w:sz w:val="17"/>
                <w:szCs w:val="17"/>
                <w:color w:val="auto"/>
              </w:rPr>
            </w:pPr>
          </w:p>
        </w:tc>
        <w:tc>
          <w:tcPr>
            <w:tcW w:w="2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26.45</w:t>
            </w:r>
          </w:p>
        </w:tc>
        <w:tc>
          <w:tcPr>
            <w:tcW w:w="1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7.27</w:t>
            </w:r>
          </w:p>
        </w:tc>
        <w:tc>
          <w:tcPr>
            <w:tcW w:w="36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32,501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4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Options vested and expected to vest at</w:t>
            </w: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4,032,109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0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December 31, 2025</w:t>
            </w: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gridSpan w:val="2"/>
            <w:shd w:val="clear" w:color="auto" w:fill="CFF0FC"/>
          </w:tcPr>
          <w:p>
            <w:pPr>
              <w:jc w:val="right"/>
              <w:ind w:right="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line="194" w:lineRule="exact"/>
              <w:rPr>
                <w:sz w:val="20"/>
                <w:szCs w:val="20"/>
                <w:color w:val="auto"/>
              </w:rPr>
            </w:pPr>
            <w:r>
              <w:rPr>
                <w:rFonts w:ascii="Times New Roman" w:cs="Times New Roman" w:eastAsia="Times New Roman" w:hAnsi="Times New Roman"/>
                <w:sz w:val="18"/>
                <w:szCs w:val="18"/>
                <w:color w:val="auto"/>
              </w:rPr>
              <w:t>38.56</w:t>
            </w:r>
          </w:p>
        </w:tc>
        <w:tc>
          <w:tcPr>
            <w:tcW w:w="1440" w:type="dxa"/>
            <w:vAlign w:val="bottom"/>
            <w:tcBorders>
              <w:bottom w:val="single" w:sz="8" w:color="CFF0FC"/>
            </w:tcBorders>
            <w:gridSpan w:val="2"/>
            <w:shd w:val="clear" w:color="auto" w:fill="CFF0FC"/>
          </w:tcPr>
          <w:p>
            <w:pPr>
              <w:jc w:val="right"/>
              <w:spacing w:after="0" w:line="194" w:lineRule="exact"/>
              <w:rPr>
                <w:sz w:val="20"/>
                <w:szCs w:val="20"/>
                <w:color w:val="auto"/>
              </w:rPr>
            </w:pPr>
            <w:r>
              <w:rPr>
                <w:rFonts w:ascii="Times New Roman" w:cs="Times New Roman" w:eastAsia="Times New Roman" w:hAnsi="Times New Roman"/>
                <w:sz w:val="18"/>
                <w:szCs w:val="18"/>
                <w:color w:val="auto"/>
              </w:rPr>
              <w:t>8.26</w:t>
            </w:r>
          </w:p>
        </w:tc>
        <w:tc>
          <w:tcPr>
            <w:tcW w:w="360" w:type="dxa"/>
            <w:vAlign w:val="bottom"/>
            <w:tcBorders>
              <w:bottom w:val="single" w:sz="8" w:color="CFF0FC"/>
            </w:tcBorders>
            <w:gridSpan w:val="2"/>
            <w:shd w:val="clear" w:color="auto" w:fill="CFF0FC"/>
          </w:tcPr>
          <w:p>
            <w:pPr>
              <w:ind w:left="2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line="194" w:lineRule="exact"/>
              <w:rPr>
                <w:sz w:val="20"/>
                <w:szCs w:val="20"/>
                <w:color w:val="auto"/>
              </w:rPr>
            </w:pPr>
            <w:r>
              <w:rPr>
                <w:rFonts w:ascii="Times New Roman" w:cs="Times New Roman" w:eastAsia="Times New Roman" w:hAnsi="Times New Roman"/>
                <w:sz w:val="18"/>
                <w:szCs w:val="18"/>
                <w:color w:val="auto"/>
              </w:rPr>
              <w:t>47,415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-462280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-445135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employee options granted was $47.81, $40.13 and $5.04 per share for the years ended December 31, 2025, 2024 and 2023, respectively. The intrinsic value of the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options exercised was $60.1 million, $6.7 million and $2.2 million for the years ended December 31, 2025, 2024 and 2023, respectively. At December 31, 2025, total unrecognized employee stock-based compensation for options that are expected to vest was $95.6 million, which is expected to be recognized over the weighted-average remaining vesting period of 3.1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There were 409,984 restricted stock units granted to employees by the Company during the year ended December 31, 2025. During the year ended December 31, 2024, the Company granted 1,249,375 performance-based restricted stock units and 763,270 restricted stock units were granted to employees and directors. The shares were valued based on the Company’s common stock price on the grant date.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 transactions for the year ended December 31, 2025 under the 2014 Plan: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3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36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20" w:type="dxa"/>
            <w:vAlign w:val="bottom"/>
          </w:tcPr>
          <w:p>
            <w:pPr>
              <w:spacing w:after="0"/>
              <w:rPr>
                <w:sz w:val="12"/>
                <w:szCs w:val="12"/>
                <w:color w:val="auto"/>
              </w:rPr>
            </w:pPr>
          </w:p>
        </w:tc>
        <w:tc>
          <w:tcPr>
            <w:tcW w:w="13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0" w:type="dxa"/>
            <w:vAlign w:val="bottom"/>
          </w:tcPr>
          <w:p>
            <w:pPr>
              <w:spacing w:after="0"/>
              <w:rPr>
                <w:sz w:val="1"/>
                <w:szCs w:val="1"/>
                <w:color w:val="auto"/>
              </w:rPr>
            </w:pPr>
          </w:p>
        </w:tc>
      </w:tr>
      <w:tr>
        <w:trPr>
          <w:trHeight w:val="173"/>
        </w:trPr>
        <w:tc>
          <w:tcPr>
            <w:tcW w:w="836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939,865</w:t>
            </w:r>
          </w:p>
        </w:tc>
        <w:tc>
          <w:tcPr>
            <w:tcW w:w="1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(887,124)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 cancelled/forfeited</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443,291</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7"/>
          <w:szCs w:val="17"/>
          <w:color w:val="auto"/>
        </w:rPr>
        <w:t>The weighted-average grant-date fair value of all restricted stock units granted was $57.68, $46.47, and $5.49 per share during the year ended December 31, 2025, 2024 and 2023, respectively. The fair value of all restricted stock units vested during the year ended December 31, 2025, 2024 and 2023, was $44.1 million, $50.9 million and $12.0 million, respectively. At December 31, 2025, total unrecognized employee stock-based compensation related to restricted stock units was $14.7 million, which is expected to be recognized over the weighted-average remaining vesting period of 2.5 years.</w:t>
      </w:r>
    </w:p>
    <w:p>
      <w:pPr>
        <w:spacing w:after="0" w:line="5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Certain directors have elected to delay the issuance of their vested restricted stock units granted under the 2014 Plan. A portion of these RSUs have vested as of December 31, 2025 based on the applicable service periods, but the issuance of common stock has been deferred until a future date when the directors' service to the Company terminates, or there is a change in control of the Company. The grant-date fair value of these 6,500 shares is $0.3 million, which has been recognized as stock-based compensation expense over the requisite service period in the consolidated statements of operations and comprehensive income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Employee Stock Purchase Plan</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Company’s board of directors and stockholders have adopted the 2014 Employee Stock Purchase Plan (the ESPP). The ESPP has become effective, and the board of directors will implement commencement of offers thereunder in its discretion. A total of 1,864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75" w:lineRule="exact"/>
        <w:rPr>
          <w:sz w:val="20"/>
          <w:szCs w:val="20"/>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outstanding shares of the Company’s common stock on the first day of such year;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3,729 shares;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as determined by the board of directors.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there were no purchases by employees under this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0" w:name="page101"/>
    <w:bookmarkEnd w:id="10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financial reporting purposes, income (loss) before provision for income taxes, includes the following components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9"/>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20,253</w:t>
            </w:r>
          </w:p>
        </w:tc>
        <w:tc>
          <w:tcPr>
            <w:tcW w:w="1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(175,921)</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(39,180)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20,890</w:t>
            </w:r>
          </w:p>
        </w:tc>
        <w:tc>
          <w:tcPr>
            <w:tcW w:w="10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(175,850)</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(38,988)</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2"/>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Paid</w:t>
            </w:r>
          </w:p>
        </w:tc>
        <w:tc>
          <w:tcPr>
            <w:tcW w:w="2940" w:type="dxa"/>
            <w:vAlign w:val="bottom"/>
            <w:tcBorders>
              <w:top w:val="single" w:sz="8" w:color="CFF0FC"/>
            </w:tcBorders>
          </w:tcPr>
          <w:p>
            <w:pPr>
              <w:spacing w:after="0"/>
              <w:rPr>
                <w:sz w:val="24"/>
                <w:szCs w:val="24"/>
                <w:color w:val="auto"/>
              </w:rPr>
            </w:pPr>
          </w:p>
        </w:tc>
        <w:tc>
          <w:tcPr>
            <w:tcW w:w="4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6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rPr>
              <w:t>Income taxes paid, net of refunds received consists of the following (in thousands):</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7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w:t>
            </w: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State and Local</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California</w:t>
            </w: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Jersey</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Massachusetts</w:t>
            </w: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U.S. State and Local</w:t>
            </w: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Ireland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Foreign</w:t>
            </w:r>
          </w:p>
        </w:tc>
        <w:tc>
          <w:tcPr>
            <w:tcW w:w="4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income taxes paid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vMerge w:val="restart"/>
          </w:tcPr>
          <w:p>
            <w:pPr>
              <w:jc w:val="right"/>
              <w:ind w:right="875"/>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0"/>
        </w:trPr>
        <w:tc>
          <w:tcPr>
            <w:tcW w:w="17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-4019550</wp:posOffset>
            </wp:positionV>
            <wp:extent cx="431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-4002405</wp:posOffset>
            </wp:positionV>
            <wp:extent cx="431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-4019550</wp:posOffset>
            </wp:positionV>
            <wp:extent cx="514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-4002405</wp:posOffset>
            </wp:positionV>
            <wp:extent cx="514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-4019550</wp:posOffset>
            </wp:positionV>
            <wp:extent cx="514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-4002405</wp:posOffset>
            </wp:positionV>
            <wp:extent cx="514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-1353820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-1353820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-1353820</wp:posOffset>
            </wp:positionV>
            <wp:extent cx="774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recorded no provision for income taxes for the years ended December 31, 2025, 2024 and 2023.</w:t>
      </w:r>
    </w:p>
    <w:p>
      <w:pPr>
        <w:spacing w:after="0" w:line="117"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Income tax provision (benefit) differs from the amounts computed by applying the statutory income tax rate of 21% to pretax income (loss) as follows (in thousands):</w:t>
      </w:r>
    </w:p>
    <w:p>
      <w:pPr>
        <w:spacing w:after="0" w:line="182"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Tax at U.S. statutory rate on income before</w:t>
            </w: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(36,928)</w:t>
            </w:r>
          </w:p>
        </w:tc>
        <w:tc>
          <w:tcPr>
            <w:tcW w:w="160" w:type="dxa"/>
            <w:vAlign w:val="bottom"/>
            <w:shd w:val="clear" w:color="auto" w:fill="CFF0FC"/>
          </w:tcPr>
          <w:p>
            <w:pPr>
              <w:spacing w:after="0"/>
              <w:rPr>
                <w:sz w:val="20"/>
                <w:szCs w:val="20"/>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(8,187)</w:t>
            </w: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State income taxes, net of federal effect </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(7,026)</w:t>
            </w: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(1,625)</w:t>
            </w: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 remeasurement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Section 162(m) limitation</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(958)</w:t>
            </w: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operating loss expiration</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Section 382 limitation</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nontaxable or nondeductible items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Change in tax laws or rates</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Federal research and development credits</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(2,362)</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Orphan Drug Credit</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(8,414)</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(12,404)</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Cross-border tax laws</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Worldwide changes in UTB</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Foreign jurisdictions</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-170815</wp:posOffset>
            </wp:positionV>
            <wp:extent cx="603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-170815</wp:posOffset>
            </wp:positionV>
            <wp:extent cx="1111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-170815</wp:posOffset>
            </wp:positionV>
            <wp:extent cx="6032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11176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-170815</wp:posOffset>
            </wp:positionV>
            <wp:extent cx="1111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000" w:type="dxa"/>
            <w:vAlign w:val="bottom"/>
            <w:gridSpan w:val="2"/>
          </w:tcPr>
          <w:p>
            <w:pPr>
              <w:jc w:val="right"/>
              <w:ind w:right="230"/>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The states that contribute to the majority (greater than 50%) of the tax effect in this</w:t>
            </w:r>
          </w:p>
        </w:tc>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category include Mississippi, New</w:t>
            </w:r>
          </w:p>
        </w:tc>
      </w:tr>
      <w:tr>
        <w:trPr>
          <w:trHeight w:val="234"/>
        </w:trPr>
        <w:tc>
          <w:tcPr>
            <w:tcW w:w="48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Jersey, and California for 2025, Massachusetts, New</w:t>
            </w:r>
          </w:p>
        </w:tc>
        <w:tc>
          <w:tcPr>
            <w:tcW w:w="6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Jersey, and California for 2024, and New Jersey and California for 2023.</w:t>
            </w:r>
          </w:p>
        </w:tc>
      </w:tr>
      <w:tr>
        <w:trPr>
          <w:trHeight w:val="864"/>
        </w:trPr>
        <w:tc>
          <w:tcPr>
            <w:tcW w:w="4820" w:type="dxa"/>
            <w:vAlign w:val="bottom"/>
          </w:tcPr>
          <w:p>
            <w:pPr>
              <w:spacing w:after="0"/>
              <w:rPr>
                <w:sz w:val="24"/>
                <w:szCs w:val="24"/>
                <w:color w:val="auto"/>
              </w:rPr>
            </w:pPr>
          </w:p>
        </w:tc>
        <w:tc>
          <w:tcPr>
            <w:tcW w:w="318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100</w:t>
            </w:r>
          </w:p>
        </w:tc>
        <w:tc>
          <w:tcPr>
            <w:tcW w:w="3240" w:type="dxa"/>
            <w:vAlign w:val="bottom"/>
          </w:tcPr>
          <w:p>
            <w:pPr>
              <w:spacing w:after="0"/>
              <w:rPr>
                <w:sz w:val="24"/>
                <w:szCs w:val="24"/>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loss and credit carryforwards and temporary differences between the carrying amounts of assets and liabilities for financial reporting purposes and the amounts used for income tax purposes. Significant components of the Company's deferred tax assets for federal and state income taxes are as follows (in thousands):</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45,942</w:t>
            </w:r>
          </w:p>
        </w:tc>
        <w:tc>
          <w:tcPr>
            <w:tcW w:w="16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44,319</w:t>
            </w:r>
          </w:p>
        </w:tc>
        <w:tc>
          <w:tcPr>
            <w:tcW w:w="8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other credits</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20,758</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14,127</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Reserves and accruals</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Fixed assets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Capital loss carryforward</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81,743</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85,545</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67,879</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(1,267)</w:t>
            </w: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(1,445)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(1,837)</w:t>
            </w:r>
          </w:p>
        </w:tc>
      </w:tr>
      <w:tr>
        <w:trPr>
          <w:trHeight w:val="216"/>
        </w:trPr>
        <w:tc>
          <w:tcPr>
            <w:tcW w:w="20" w:type="dxa"/>
            <w:vAlign w:val="bottom"/>
          </w:tcPr>
          <w:p>
            <w:pPr>
              <w:spacing w:after="0"/>
              <w:rPr>
                <w:sz w:val="18"/>
                <w:szCs w:val="18"/>
                <w:color w:val="auto"/>
              </w:rPr>
            </w:pPr>
          </w:p>
        </w:tc>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(1,838)</w:t>
            </w: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(2,039)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(1,923)</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79,905</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65,956</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(79,905)</w:t>
            </w: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(83,506)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(65,956)</w:t>
            </w:r>
          </w:p>
        </w:tc>
      </w:tr>
      <w:tr>
        <w:trPr>
          <w:trHeight w:val="209"/>
        </w:trPr>
        <w:tc>
          <w:tcPr>
            <w:tcW w:w="20" w:type="dxa"/>
            <w:vAlign w:val="bottom"/>
          </w:tcPr>
          <w:p>
            <w:pPr>
              <w:spacing w:after="0"/>
              <w:rPr>
                <w:sz w:val="18"/>
                <w:szCs w:val="18"/>
                <w:color w:val="auto"/>
              </w:rPr>
            </w:pPr>
          </w:p>
        </w:tc>
        <w:tc>
          <w:tcPr>
            <w:tcW w:w="4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4578350</wp:posOffset>
            </wp:positionH>
            <wp:positionV relativeFrom="paragraph">
              <wp:posOffset>-2652395</wp:posOffset>
            </wp:positionV>
            <wp:extent cx="76835" cy="1365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136525"/>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-2652395</wp:posOffset>
            </wp:positionV>
            <wp:extent cx="76835" cy="1365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13652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-2652395</wp:posOffset>
            </wp:positionV>
            <wp:extent cx="76835" cy="1365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835" cy="13652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-170815</wp:posOffset>
            </wp:positionV>
            <wp:extent cx="514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has recorded a full valuation allowance against its net deferred tax assets due to the uncertainty as to whether such assets will be realized. The valuation allowance decreased by $3.6 million from December 31, 2024 to December 31, 2025 primarily due to expensing of unamortized basis of capitalized research and development expenses.</w:t>
      </w:r>
    </w:p>
    <w:p>
      <w:pPr>
        <w:spacing w:after="0" w:line="6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As required under ASU 2023-09, the Company has included only the portion of the valuation allowance related to federal deferred tax assets in the "change in valuation allowance" line of the rate reconciliation. The following table presents a reconciliation of the total change in the valuation allowance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83,506</w:t>
            </w:r>
          </w:p>
        </w:tc>
        <w:tc>
          <w:tcPr>
            <w:tcW w:w="1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65,956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57,017</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Change charged to income tax expense</w:t>
            </w:r>
          </w:p>
        </w:tc>
        <w:tc>
          <w:tcPr>
            <w:tcW w:w="10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charged to other comprehensive income</w:t>
            </w:r>
          </w:p>
        </w:tc>
        <w:tc>
          <w:tcPr>
            <w:tcW w:w="10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79,905</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83,506</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65,956</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-170815</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-170815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$179.7 million of federal and $122.1 million of state net operating losses available to offset future taxable income. The Federal net operating loss carryforwards arising from years prior to 2018 began to expire in 2022, however post 2017 federal net operating loss carryforwards of $162.5 million may be carried forward indefinitely. The state net operating loss carryforwards will begin to expire in 2028. As of December 31, 2025, the Company also had $24.6 million of federal orphan drug and research and development credits and $6.4 million of state research and development credit carryforwards. The federal research and development credit carryforward begin to expire in 2025 and the state research and development credit can be carried forward indefinitely.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86"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Utilization of net operating loss and tax credit carryforwards may be subject to certain limitations under Section 382 of the Internal Revenue Code of 1986, as amended, in the event of a change in the Company’s ownership, as defined. The annual limitation may result in the expiration of the net operating loss and tax credit before utilization. The Company has completed a Section 382 analysis from January 1, 2017 through June 30, 2025 and determined that a change in ownership has occurred on March 7, 2017, December 21, 2018, June 30, 2020, September 26, 2023, and June 30, 2024. As a result, the net operating loss carryforwards and tax credit carryforwards may be subject to annual limitations before being applied to reduce future income tax liabilities. For years ended after December 31, 2025, the utilization of net operating losses and tax credit carryforwards may be subject to further limitation in the event an additional ownership change were to occur for tax purposes.</w:t>
      </w:r>
    </w:p>
    <w:p>
      <w:pPr>
        <w:spacing w:after="0" w:line="8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U.S. taxes and foreign withholding taxes have not been provided on undistributed earnings for certain non-U.S. subsidiaries as of December 31, 2025, as the earnings, if any, are intended to be indefinitely reinvested.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activities of gross unrecognized tax benefits (in thousands):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6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8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related to prior year tax positions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Decrease related to prior year tax positions</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(787)</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80" w:type="dxa"/>
            <w:vAlign w:val="bottom"/>
            <w:shd w:val="clear" w:color="auto" w:fill="CFF0FC"/>
          </w:tcPr>
          <w:p>
            <w:pPr>
              <w:spacing w:after="0"/>
              <w:rPr>
                <w:sz w:val="19"/>
                <w:szCs w:val="19"/>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-25400</wp:posOffset>
            </wp:positionV>
            <wp:extent cx="514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5143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514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514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uses the “more likely than not” criterion for recognizing the tax benefit of uncertain tax positions and to establish measurement criteria for income tax benefits. The Company has determined it has $9.3 million of unrecognized assets and liabilities related to uncertain tax positions as of December 31, 2025. In the event the Company should need to recognize interest and penalties related to unrecognized tax liabilities, this amount will be recorded as a component of other expense.</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unrecognized tax benefits that would impact the effective tax rate as of December 31, 2025 and December 31, 2024. As of December 31, 2025, unrecognized tax benefits of $9.3 million would be offset by a change in valuation allowance.</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certain state jurisdictions, United Kingdom and Ireland. In the normal course of business, the Company is subject to examination by federal, state, local and foreign jurisdictions, where applicable. In the U.S federal jurisdiction, tax years 2006 forward remain open to examination, in the state tax jurisdiction, years 2008 forward remain open to examination and in the foreign jurisdiction, years 2015 forward remain open to examination. The Company is currently not under audit by any federal, state, local or foreign jurisdiction.</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Net Income (Loss) per Share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Basic net income (loss) per share is computed by dividing net income (loss) by the weighted-average number of common stock outstanding during the period. Shares of common stock that are potentially issuable for little or no cash consideration at issuance, such as the Company's pre-funded warrants issued in March 2022 and October 2023 and in connection with the exercise of certain May 2023 Tranche A and Tranche B warrants, are considered outstanding common stock and are included in the calculation of basic and diluted net loss per share in connection with </w:t>
      </w:r>
      <w:r>
        <w:rPr>
          <w:rFonts w:ascii="Times New Roman" w:cs="Times New Roman" w:eastAsia="Times New Roman" w:hAnsi="Times New Roman"/>
          <w:sz w:val="18"/>
          <w:szCs w:val="18"/>
          <w:i w:val="1"/>
          <w:iCs w:val="1"/>
          <w:color w:val="auto"/>
        </w:rPr>
        <w:t>ASC 260 Earnings Per Shares</w:t>
      </w:r>
      <w:r>
        <w:rPr>
          <w:rFonts w:ascii="Times New Roman" w:cs="Times New Roman" w:eastAsia="Times New Roman" w:hAnsi="Times New Roman"/>
          <w:sz w:val="18"/>
          <w:szCs w:val="18"/>
          <w:color w:val="auto"/>
        </w:rPr>
        <w:t>. Diluted net income (loss) per share is computed by dividing net income (loss) by the weighted-average number of common stock outstanding and dilutive potential common stock that would be issued upon the exercise or vesting of common stock awards and exercise of common stock warrants that are not pre-funded using the treasury stock method which would result in the issuance of incremental shares of common stock. The Company applies the two-class method to calculate basic and diluted earnings per share as its warrants issued in March 2022 and May 2023 are</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4" w:name="page105"/>
    <w:bookmarkEnd w:id="104"/>
    <w:p>
      <w:pPr>
        <w:spacing w:after="0" w:line="8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participating securities. However, the two-class method does not impact the net loss per share of common stock as the March 2022 and May 2023 common warrants issued do not participate in losses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For the years ended December 31, 2024 and 2023, the effect of issuing the respective potential common stock is anti-dilutive due to the net losses in those periods and therefore the number of shares used to compute basic and diluted net loss per share are the same in each of those periods.</w:t>
      </w:r>
    </w:p>
    <w:p>
      <w:pPr>
        <w:spacing w:after="0" w:line="18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securities are included in the weighted-average common shares outstanding used to calculate basic and diluted net income (loss) per common share:</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20,890</w:t>
            </w:r>
          </w:p>
        </w:tc>
        <w:tc>
          <w:tcPr>
            <w:tcW w:w="1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(175,850)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Earnings attributable to participating securities</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common stockholders - basic and</w:t>
            </w:r>
          </w:p>
        </w:tc>
        <w:tc>
          <w:tcPr>
            <w:tcW w:w="36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20,475</w:t>
            </w:r>
          </w:p>
        </w:tc>
        <w:tc>
          <w:tcPr>
            <w:tcW w:w="1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(175,850)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50,567,586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37,689,804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15,040,036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2022 pre-funded warrants</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May 2023 Tranche A pre-funded warrants</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1,685,181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2023 Tranche B pre-funded warrants</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373,892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October 2023 pre-funded warrants</w:t>
            </w:r>
          </w:p>
        </w:tc>
        <w:tc>
          <w:tcPr>
            <w:tcW w:w="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 basic</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50,817,586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40,175,926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16,492,132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1,228,032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units</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 diluted</w:t>
            </w:r>
          </w:p>
        </w:tc>
        <w:tc>
          <w:tcPr>
            <w:tcW w:w="3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52,384,886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40,175,926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16,492,132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24"/>
                <w:szCs w:val="24"/>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(4.38)</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-2493645</wp:posOffset>
            </wp:positionV>
            <wp:extent cx="603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-2493645</wp:posOffset>
            </wp:positionV>
            <wp:extent cx="6032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-2493645</wp:posOffset>
            </wp:positionV>
            <wp:extent cx="596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13"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 of diluted net income (loss) per share because their effect would have been anti-dilutive for the periods presented:</w:t>
      </w:r>
    </w:p>
    <w:p>
      <w:pPr>
        <w:spacing w:after="0" w:line="182"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560" w:type="dxa"/>
            <w:vAlign w:val="bottom"/>
          </w:tcPr>
          <w:p>
            <w:pPr>
              <w:spacing w:after="0"/>
              <w:rPr>
                <w:sz w:val="12"/>
                <w:szCs w:val="12"/>
                <w:color w:val="auto"/>
              </w:rPr>
            </w:pPr>
          </w:p>
        </w:tc>
        <w:tc>
          <w:tcPr>
            <w:tcW w:w="1440" w:type="dxa"/>
            <w:vAlign w:val="bottom"/>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20" w:type="dxa"/>
            <w:vAlign w:val="bottom"/>
            <w:gridSpan w:val="2"/>
          </w:tcPr>
          <w:p>
            <w:pPr>
              <w:jc w:val="right"/>
              <w:ind w:right="49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440" w:type="dxa"/>
            <w:vAlign w:val="bottom"/>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191"/>
        </w:trPr>
        <w:tc>
          <w:tcPr>
            <w:tcW w:w="45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Warrants issued to 2010/2012 convertible note holders to</w:t>
            </w:r>
          </w:p>
        </w:tc>
        <w:tc>
          <w:tcPr>
            <w:tcW w:w="144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4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4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4"/>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common stock</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80" w:type="dxa"/>
            <w:vAlign w:val="bottom"/>
            <w:shd w:val="clear" w:color="auto" w:fill="CFF0FC"/>
          </w:tcPr>
          <w:p>
            <w:pPr>
              <w:spacing w:after="0"/>
              <w:rPr>
                <w:sz w:val="20"/>
                <w:szCs w:val="20"/>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 to underwriter to purchase common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2022 common warrants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1,255,346</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1,929,066</w:t>
            </w:r>
          </w:p>
        </w:tc>
        <w:tc>
          <w:tcPr>
            <w:tcW w:w="8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May 2023 Tranche B warrants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2,065,305</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6,750,000</w:t>
            </w:r>
          </w:p>
        </w:tc>
        <w:tc>
          <w:tcPr>
            <w:tcW w:w="8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1,869,149</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3,971,798</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2,369,665</w:t>
            </w:r>
          </w:p>
        </w:tc>
        <w:tc>
          <w:tcPr>
            <w:tcW w:w="8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1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939,865</w:t>
            </w:r>
          </w:p>
        </w:tc>
        <w:tc>
          <w:tcPr>
            <w:tcW w:w="1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80" w:type="dxa"/>
            <w:vAlign w:val="bottom"/>
          </w:tcPr>
          <w:p>
            <w:pPr>
              <w:spacing w:after="0"/>
              <w:rPr>
                <w:sz w:val="18"/>
                <w:szCs w:val="18"/>
                <w:color w:val="auto"/>
              </w:rPr>
            </w:pPr>
          </w:p>
        </w:tc>
      </w:tr>
      <w:tr>
        <w:trPr>
          <w:trHeight w:val="249"/>
        </w:trPr>
        <w:tc>
          <w:tcPr>
            <w:tcW w:w="45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1,877,456</w:t>
            </w:r>
          </w:p>
        </w:tc>
        <w:tc>
          <w:tcPr>
            <w:tcW w:w="18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8,232,314</w:t>
            </w:r>
          </w:p>
        </w:tc>
        <w:tc>
          <w:tcPr>
            <w:tcW w:w="18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11,072,169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5143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514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-25400</wp:posOffset>
            </wp:positionV>
            <wp:extent cx="5143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514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-25400</wp:posOffset>
            </wp:positionV>
            <wp:extent cx="5143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-8255</wp:posOffset>
            </wp:positionV>
            <wp:extent cx="514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Defined Contribution Plan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sponsors a 401(k) Plan, which stipulates that eligible employees can elect to contribute to the 401(k) Plan, subject to certain limitations of eligible compensation. The Company may match employee contributions in amounts to be determined at the Company’s sole discretion. The Company made matching contributions of $0.6 million and $0.2 million in 2025 and 2024, respectively, and no matching contributions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Reporting</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has one operating and reporting segment focused on the development and commercialization of its sole therapeutic product, VYKAT XR. The Company’s chief operating decision maker (CODM) is the chief executive officer who reviews product revenue, net and cash operating expenses on a consolidated basis to make decisions about allocating resources and assessing performance for the entire Company. The CODM does not review assets at a level or category different than the amounts disclosed in the consolidated balance sheet.</w:t>
      </w:r>
    </w:p>
    <w:p>
      <w:pPr>
        <w:spacing w:after="0" w:line="7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years ended December 31, 2025, 2024 and 2023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6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190,405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0"/>
        </w:trPr>
        <w:tc>
          <w:tcPr>
            <w:tcW w:w="66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(175,850)</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(38,988)</w:t>
            </w:r>
          </w:p>
        </w:tc>
      </w:tr>
      <w:tr>
        <w:trPr>
          <w:trHeight w:val="216"/>
        </w:trPr>
        <w:tc>
          <w:tcPr>
            <w:tcW w:w="66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total other income, net</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(187,671)</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(41,384)</w:t>
            </w:r>
          </w:p>
        </w:tc>
      </w:tr>
      <w:tr>
        <w:trPr>
          <w:trHeight w:val="210"/>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180,991</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187,671</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Less non-cash expenses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(1,987)</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(1,958)</w:t>
            </w:r>
          </w:p>
        </w:tc>
      </w:tr>
      <w:tr>
        <w:trPr>
          <w:trHeight w:val="216"/>
        </w:trPr>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Non-cash lease expense</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(444)</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6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(5,536)</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(3,242)</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(2,714)</w:t>
            </w:r>
          </w:p>
        </w:tc>
      </w:tr>
      <w:tr>
        <w:trPr>
          <w:trHeight w:val="216"/>
        </w:trPr>
        <w:tc>
          <w:tcPr>
            <w:tcW w:w="6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(45,846)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(99,958)</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(5,945)</w:t>
            </w:r>
          </w:p>
        </w:tc>
      </w:tr>
      <w:tr>
        <w:trPr>
          <w:trHeight w:val="20"/>
        </w:trPr>
        <w:tc>
          <w:tcPr>
            <w:tcW w:w="6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operating expenses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126,985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82,040</w:t>
            </w:r>
          </w:p>
        </w:tc>
        <w:tc>
          <w:tcPr>
            <w:tcW w:w="24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30,446</w:t>
            </w:r>
          </w:p>
        </w:tc>
        <w:tc>
          <w:tcPr>
            <w:tcW w:w="120" w:type="dxa"/>
            <w:vAlign w:val="bottom"/>
            <w:shd w:val="clear" w:color="auto" w:fill="CFF0FC"/>
          </w:tcPr>
          <w:p>
            <w:pPr>
              <w:spacing w:after="0"/>
              <w:rPr>
                <w:sz w:val="19"/>
                <w:szCs w:val="19"/>
                <w:color w:val="auto"/>
              </w:rPr>
            </w:pP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-1439545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-1439545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-1439545</wp:posOffset>
            </wp:positionV>
            <wp:extent cx="7747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-1156335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-1156335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-1156335</wp:posOffset>
            </wp:positionV>
            <wp:extent cx="774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-864870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-864870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evaluated its subsequent events from December 31, 2025 through the date these consolidated financial statements were issued and has determined that there are no subsequent events disclosure required, with the exception of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November 2025 Accelerated Share Repurchase Agreement</w:t>
      </w:r>
    </w:p>
    <w:p>
      <w:pPr>
        <w:spacing w:after="0" w:line="2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Pursuant to the terms of the ASR Agreement, Jefferies delivered 662,497 additional shares of the Company's common stock to the Company in January 2026, bringing the aggregate number of shares repurchased under the ASR Agreement to 2,174,050 shares. The transactions contemplated by the ASR Agreement are now complete and the Company did not make any payments beyond the initial $100 million prepayment.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ind w:left="520" w:right="460" w:hanging="48"/>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management, including our Chief Executive Officer (principal executive officer) and Chief Financial Officer (principal financial officer),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Exchange Act, our management, with the participation of our Chief Executive Officer and Chief Financial Officer, evaluated the effectiveness of our disclosure controls and procedures (as defined in Rule 13a-15(e) under the Exchange Act) as of December 31, 2025. Based on that evaluation, our Chief Executive Officer and Chief Financial Officer concluded that our disclosure controls and procedures were effective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or 15d-15(f) of the Exchange Act). Our management assessed the effectiveness of the Company’s internal control over financial reporting based on certain criteria established in the Internal Control-Integrated Framework issued by the Committee of Sponsoring Organizations (COSO) of the Treadway Commission in 2013. Based on this assessment, our management concluded that our internal control over financial reporting was effective as of December 31, 2025.</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registered public accounting firm that audited our consolidated financial statements within this Annual Report has issued an attestation report on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Previously Identified Material Weakness in Internal Control</w:t>
      </w:r>
    </w:p>
    <w:p>
      <w:pPr>
        <w:spacing w:after="0" w:line="121" w:lineRule="exact"/>
        <w:rPr>
          <w:sz w:val="20"/>
          <w:szCs w:val="20"/>
          <w:color w:val="auto"/>
        </w:rPr>
      </w:pPr>
    </w:p>
    <w:p>
      <w:pPr>
        <w:jc w:val="both"/>
        <w:ind w:firstLine="509"/>
        <w:spacing w:after="0" w:line="227" w:lineRule="exact"/>
        <w:rPr>
          <w:sz w:val="20"/>
          <w:szCs w:val="20"/>
          <w:color w:val="auto"/>
        </w:rPr>
      </w:pPr>
      <w:r>
        <w:rPr>
          <w:rFonts w:ascii="Times New Roman" w:cs="Times New Roman" w:eastAsia="Times New Roman" w:hAnsi="Times New Roman"/>
          <w:sz w:val="18"/>
          <w:szCs w:val="18"/>
          <w:color w:val="auto"/>
        </w:rPr>
        <w:t>As disclosed in “Part II, Item 9A - Controls and Procedures” in our 2024 Annual Report, management previously concluded that a material weakness existed in our internal control over financial reporting related to ineffective design and operation of controls over certain information technology general controls (ITGCs), including segregation of incompatible duties, program change management, user access controls, and automated and manual process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controls that relied on information produced by financially relevant IT systems.</w:t>
      </w:r>
    </w:p>
    <w:p>
      <w:pPr>
        <w:spacing w:after="0" w:line="6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fiscal year 2025, we evaluated, designed, and implemented controls and procedures to address this material weakness in our internal control over financial reporting. These measures included: (i) hiring additional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spacing w:after="0" w:line="8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accounting and financial reporting personnel to enable appropriate segregation of duties; (ii) implementing or enhancing ITGCs to strengthen oversight, review, and verification procedures related to user access, program change management, and segregation of duties controls within key systems; (iii) providing targeted training to control owners on IT control requirements and policies, with a particular focus on user access and change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management controls affecting financial reporting; and (iv) establishing ongoing monitoring protocols to assess the design and operating effectiveness of the enhanced controls and to ensure adherence to related policies and procedures.</w:t>
      </w:r>
    </w:p>
    <w:p>
      <w:pPr>
        <w:spacing w:after="0" w:line="9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completed testing of these controls during the fourth quarter of fiscal year 2025, and we have concluded that the previously identified material weakness has been remediated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we implemented new processes and controls in relation to the commercialization of VYKAT XR in the United States, including processes and controls relating to revenue recognition and inventory in which we have documented and evaluated the design and tested the effectiveness of such controls. Except as described above, there were no further changes in our internal control over financial reporting (as defined in Rules 13a-15(f) and 15d 15(f) under the Exchange Act) that occurred during the year ended December 31, 2025 that have materially affected, or are reasonably likely to materially affect, our internal control over financial reporting.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ON INTERNAL CONTROL OVER FINANCIAL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Soleno Therapeutics, Inc.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Soleno Therapeutics, Inc.'s (the “Company”) internal control over financial reporting as of December 31, 2025, based on criteria established in Internal Control-Integrated Framework issued by the Committee of Sponsoring Organizations of the Treadway Commission (COSO) in 2013. In our opinion, the Company maintained, in all material respects, effective internal control over financial reporting as of December 31, 2025, based on criteria established in COSO.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balance sheet as of December 31, 2025 and the related consolidated statements of operations and comprehensive income (loss), stockholders’ equity, and cash flows and the related notes (collectively referred to as the “financial statements”) for the year ended December 31, 2025 of the Company, and our report dated February 25, 2026 expressed an unqualified opinion on those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CBIZ CPA</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P.C.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CBIZ CPAs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00" w:lineRule="exact"/>
        <w:rPr>
          <w:sz w:val="20"/>
          <w:szCs w:val="20"/>
          <w:color w:val="auto"/>
        </w:rPr>
      </w:pPr>
    </w:p>
    <w:p>
      <w:pPr>
        <w:spacing w:after="0" w:line="24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10" w:name="page111"/>
    <w:bookmarkEnd w:id="110"/>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social media posts at Twitter (X) - @SolenoTX and LinkedIn - Soleno Therapeutics, Inc. It is possible that information we post on social media channels could be deemed to be material information. The information on, or that may be accessed through, our website and social media channels is not incorporated by reference into this Annual Report on Form 10-K and should not be considered a part of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the Company did not adopt, modify or terminate a Rule 10b5-1 trading arrangement or a non-Rule 10b5-1 trading arrangement, each as defined in Regulation S-K Item 408.</w:t>
      </w:r>
    </w:p>
    <w:p>
      <w:pPr>
        <w:spacing w:after="0" w:line="5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On November 24, 2025, James Mackaness, our Chief Financial Officer, terminated the Rule 10b5-1 trading plan announced in the Company's Quarterly Report on Form 10-Q for the three months ended September 30, 2025, prior to any trades being made thereunder.</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1" w:name="page112"/>
    <w:bookmarkEnd w:id="1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2026 Annual Meeting of Stockholders. The Definitive Proxy Statement will be filed with the Securities and Exchange Commission within 120 days after the end of the fiscal year covered by this Annual Report on Form 10-K.</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Corporate Governance portion of our website at https://investors.soleno.life/. We will post amendments to our Code of Business Conduct and Ethics or waivers of our Code of Business Conduct and Ethics for directors and executive officers on the same website.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2026 Annual Meeting of Stockholders. The Definitive Proxy Statement will be filed with the Securities and Exchange Commission within 120 days after the end of the fiscal year covered by this Annual Report on Form 10-K.</w:t>
      </w:r>
    </w:p>
    <w:p>
      <w:pPr>
        <w:spacing w:after="0" w:line="280"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2026 Annual Meeting of Stockholders. The Definitive Proxy Statement will be filed with the Securities and Exchange Commission within 120 days after the end of the fiscal year covered by this Annual Report on Form 10-K.</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2026 Annual Meeting of Stockholders. The Definitive Proxy Statement will be filed with the Securities and Exchange Commission within 120 days after the end of the fiscal year covered by this Annual Report on Form 10-K.</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2026 Annual Meeting of Stockholders. The Definitive Proxy Statement will be filed with the Securities and Exchange Commission within 120 days after the end of the fiscal year covered by this Annual Report on Form 10-K.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12" w:name="page113"/>
    <w:bookmarkEnd w:id="1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See “Index to Financial Statements” in Part II, Item 8 of this Annual Report on Form 10-K</w:t>
      </w:r>
    </w:p>
    <w:p>
      <w:pPr>
        <w:spacing w:after="0" w:line="117"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Schedules: All schedules have been omitted because the information called for is not required or is shown either in the financial statements or in the notes thereto.</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in the accompanying index to exhibits are filed or incorporated by reference as part of this Annual Report on Form 10-K.</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13" w:name="page114"/>
    <w:bookmarkEnd w:id="1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0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380" w:type="dxa"/>
            <w:vAlign w:val="bottom"/>
            <w:gridSpan w:val="11"/>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tcPr>
          <w:p>
            <w:pPr>
              <w:ind w:left="180"/>
              <w:spacing w:after="0" w:line="97" w:lineRule="exact"/>
              <w:rPr>
                <w:sz w:val="20"/>
                <w:szCs w:val="20"/>
                <w:color w:val="auto"/>
              </w:rPr>
            </w:pPr>
            <w:r>
              <w:rPr>
                <w:rFonts w:ascii="Times New Roman" w:cs="Times New Roman" w:eastAsia="Times New Roman" w:hAnsi="Times New Roman"/>
                <w:sz w:val="11"/>
                <w:szCs w:val="11"/>
                <w:b w:val="1"/>
                <w:bCs w:val="1"/>
                <w:color w:val="auto"/>
              </w:rPr>
              <w:t>Registrant’s</w:t>
            </w:r>
          </w:p>
        </w:tc>
        <w:tc>
          <w:tcPr>
            <w:tcW w:w="120" w:type="dxa"/>
            <w:vAlign w:val="bottom"/>
          </w:tcPr>
          <w:p>
            <w:pPr>
              <w:spacing w:after="0"/>
              <w:rPr>
                <w:sz w:val="8"/>
                <w:szCs w:val="8"/>
                <w:color w:val="auto"/>
              </w:rPr>
            </w:pPr>
          </w:p>
        </w:tc>
        <w:tc>
          <w:tcPr>
            <w:tcW w:w="2020" w:type="dxa"/>
            <w:vAlign w:val="bottom"/>
          </w:tcPr>
          <w:p>
            <w:pPr>
              <w:ind w:left="700"/>
              <w:spacing w:after="0" w:line="97" w:lineRule="exact"/>
              <w:rPr>
                <w:sz w:val="20"/>
                <w:szCs w:val="20"/>
                <w:color w:val="auto"/>
              </w:rPr>
            </w:pPr>
            <w:r>
              <w:rPr>
                <w:rFonts w:ascii="Times New Roman" w:cs="Times New Roman" w:eastAsia="Times New Roman" w:hAnsi="Times New Roman"/>
                <w:sz w:val="11"/>
                <w:szCs w:val="11"/>
                <w:b w:val="1"/>
                <w:bCs w:val="1"/>
                <w:color w:val="auto"/>
              </w:rPr>
              <w:t>Date Filed</w:t>
            </w:r>
          </w:p>
        </w:tc>
        <w:tc>
          <w:tcPr>
            <w:tcW w:w="120" w:type="dxa"/>
            <w:vAlign w:val="bottom"/>
          </w:tcPr>
          <w:p>
            <w:pPr>
              <w:spacing w:after="0"/>
              <w:rPr>
                <w:sz w:val="8"/>
                <w:szCs w:val="8"/>
                <w:color w:val="auto"/>
              </w:rPr>
            </w:pPr>
          </w:p>
        </w:tc>
        <w:tc>
          <w:tcPr>
            <w:tcW w:w="76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Exhibit</w:t>
            </w:r>
          </w:p>
        </w:tc>
        <w:tc>
          <w:tcPr>
            <w:tcW w:w="100" w:type="dxa"/>
            <w:vAlign w:val="bottom"/>
          </w:tcPr>
          <w:p>
            <w:pPr>
              <w:spacing w:after="0"/>
              <w:rPr>
                <w:sz w:val="8"/>
                <w:szCs w:val="8"/>
                <w:color w:val="auto"/>
              </w:rPr>
            </w:pPr>
          </w:p>
        </w:tc>
        <w:tc>
          <w:tcPr>
            <w:tcW w:w="94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11"/>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2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24"/>
                <w:szCs w:val="24"/>
                <w:color w:val="auto"/>
              </w:rPr>
            </w:pPr>
          </w:p>
        </w:tc>
        <w:tc>
          <w:tcPr>
            <w:tcW w:w="4700" w:type="dxa"/>
            <w:vAlign w:val="bottom"/>
            <w:gridSpan w:val="12"/>
          </w:tcPr>
          <w:p>
            <w:pPr>
              <w:spacing w:after="0"/>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Agreement and Plan of Merger and Reorganization, dated as of</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12"/>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December 22, 2016, by and among Soleno Therapeutics, Inc.,</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12"/>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Essentialis, Inc., Company E Merger Sub, Inc., a wholly-owned</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12"/>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subsidiary of Soleno Therapeutics, and Neil Cowen as the</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12"/>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stockholders’ representative.</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7"/>
                <w:szCs w:val="17"/>
                <w:color w:val="auto"/>
              </w:rPr>
            </w:pPr>
          </w:p>
        </w:tc>
        <w:tc>
          <w:tcPr>
            <w:tcW w:w="2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December 27, 2016</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4700" w:type="dxa"/>
            <w:vAlign w:val="bottom"/>
            <w:gridSpan w:val="12"/>
          </w:tcPr>
          <w:p>
            <w:pPr>
              <w:spacing w:after="0"/>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Amended and Restated Certificate of Incorporation of Soleno</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12"/>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Therapeutics, Inc.</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17"/>
                <w:szCs w:val="17"/>
                <w:color w:val="auto"/>
              </w:rPr>
            </w:pPr>
          </w:p>
        </w:tc>
        <w:tc>
          <w:tcPr>
            <w:tcW w:w="2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August 7, 2014</w:t>
            </w:r>
          </w:p>
        </w:tc>
        <w:tc>
          <w:tcPr>
            <w:tcW w:w="8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4700" w:type="dxa"/>
            <w:vAlign w:val="bottom"/>
            <w:gridSpan w:val="12"/>
          </w:tcPr>
          <w:p>
            <w:pPr>
              <w:spacing w:after="0"/>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Amended and Restated Bylaws of Soleno Therapeutics, Inc.</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July 1, 2014</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920" w:type="dxa"/>
            <w:vAlign w:val="bottom"/>
            <w:tcBorders>
              <w:right w:val="single" w:sz="8" w:color="0000EE"/>
            </w:tcBorders>
            <w:gridSpan w:val="2"/>
            <w:shd w:val="clear" w:color="auto" w:fill="0000EE"/>
          </w:tcPr>
          <w:p>
            <w:pPr>
              <w:spacing w:after="0" w:line="20" w:lineRule="exact"/>
              <w:rPr>
                <w:sz w:val="1"/>
                <w:szCs w:val="1"/>
                <w:color w:val="auto"/>
              </w:rPr>
            </w:pPr>
          </w:p>
        </w:tc>
        <w:tc>
          <w:tcPr>
            <w:tcW w:w="120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4700" w:type="dxa"/>
            <w:vAlign w:val="bottom"/>
            <w:gridSpan w:val="12"/>
          </w:tcPr>
          <w:p>
            <w:pPr>
              <w:spacing w:after="0"/>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Certificate of Amendment</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May 11, 2017</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EE"/>
            </w:tcBorders>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4"/>
                <w:szCs w:val="24"/>
                <w:color w:val="auto"/>
              </w:rPr>
            </w:pPr>
          </w:p>
        </w:tc>
        <w:tc>
          <w:tcPr>
            <w:tcW w:w="4700" w:type="dxa"/>
            <w:vAlign w:val="bottom"/>
            <w:gridSpan w:val="12"/>
          </w:tcPr>
          <w:p>
            <w:pPr>
              <w:spacing w:after="0"/>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Certificate of Amendment to the Certificate of Incorporation</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October 6, 2017</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312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20" w:type="dxa"/>
            <w:vAlign w:val="bottom"/>
          </w:tcPr>
          <w:p>
            <w:pPr>
              <w:spacing w:after="0"/>
              <w:rPr>
                <w:sz w:val="24"/>
                <w:szCs w:val="24"/>
                <w:color w:val="auto"/>
              </w:rPr>
            </w:pPr>
          </w:p>
        </w:tc>
        <w:tc>
          <w:tcPr>
            <w:tcW w:w="4700" w:type="dxa"/>
            <w:vAlign w:val="bottom"/>
            <w:gridSpan w:val="12"/>
          </w:tcPr>
          <w:p>
            <w:pPr>
              <w:spacing w:after="0"/>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Certificate of Amendment to the Certificate of Incorporation</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August 25, 2022</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4700" w:type="dxa"/>
            <w:vAlign w:val="bottom"/>
            <w:gridSpan w:val="12"/>
          </w:tcPr>
          <w:p>
            <w:pPr>
              <w:spacing w:after="0"/>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Form of the Registrant's common stock certificate.</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August 5, 2014</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312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4700" w:type="dxa"/>
            <w:vAlign w:val="bottom"/>
            <w:gridSpan w:val="12"/>
          </w:tcPr>
          <w:p>
            <w:pPr>
              <w:spacing w:after="0"/>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Description of the Registrant’s Securities Registered Pursuant to</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12"/>
          </w:tcPr>
          <w:p>
            <w:pPr>
              <w:spacing w:after="0" w:line="196"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Section 12 of the Securities Exchange Act of 1934</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0" w:type="dxa"/>
            <w:vAlign w:val="bottom"/>
          </w:tcPr>
          <w:p>
            <w:pPr>
              <w:spacing w:after="0"/>
              <w:rPr>
                <w:sz w:val="17"/>
                <w:szCs w:val="17"/>
                <w:color w:val="auto"/>
              </w:rPr>
            </w:pPr>
          </w:p>
        </w:tc>
        <w:tc>
          <w:tcPr>
            <w:tcW w:w="2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March 4, 2020</w:t>
            </w:r>
          </w:p>
        </w:tc>
        <w:tc>
          <w:tcPr>
            <w:tcW w:w="88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4700" w:type="dxa"/>
            <w:vAlign w:val="bottom"/>
            <w:gridSpan w:val="12"/>
          </w:tcPr>
          <w:p>
            <w:pPr>
              <w:spacing w:after="0"/>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Form of Common Warrant To Purchase Common Stock.</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March 30, 2022</w:t>
            </w: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4700" w:type="dxa"/>
            <w:vAlign w:val="bottom"/>
            <w:gridSpan w:val="12"/>
          </w:tcPr>
          <w:p>
            <w:pPr>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Form of Tranche B Warrant to Purchase Common Stock</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December 19, 2022</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24"/>
                <w:szCs w:val="24"/>
                <w:color w:val="auto"/>
              </w:rPr>
            </w:pPr>
          </w:p>
        </w:tc>
        <w:tc>
          <w:tcPr>
            <w:tcW w:w="4700" w:type="dxa"/>
            <w:vAlign w:val="bottom"/>
            <w:gridSpan w:val="12"/>
          </w:tcPr>
          <w:p>
            <w:pPr>
              <w:spacing w:after="0"/>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Form of Pre-Funded Warrant to Purchase Common Stock</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September 28, 2023</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104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r>
              <w:rPr>
                <w:rFonts w:ascii="Times New Roman" w:cs="Times New Roman" w:eastAsia="Times New Roman" w:hAnsi="Times New Roman"/>
                <w:sz w:val="14"/>
                <w:szCs w:val="14"/>
                <w:color w:val="auto"/>
                <w:w w:val="98"/>
              </w:rPr>
              <w:t>†</w:t>
            </w:r>
          </w:p>
        </w:tc>
        <w:tc>
          <w:tcPr>
            <w:tcW w:w="120" w:type="dxa"/>
            <w:vAlign w:val="bottom"/>
          </w:tcPr>
          <w:p>
            <w:pPr>
              <w:spacing w:after="0"/>
              <w:rPr>
                <w:sz w:val="24"/>
                <w:szCs w:val="24"/>
                <w:color w:val="auto"/>
              </w:rPr>
            </w:pPr>
          </w:p>
        </w:tc>
        <w:tc>
          <w:tcPr>
            <w:tcW w:w="4700" w:type="dxa"/>
            <w:vAlign w:val="bottom"/>
            <w:gridSpan w:val="12"/>
          </w:tcPr>
          <w:p>
            <w:pPr>
              <w:spacing w:after="0"/>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Form of Indemnification Agreement between the Registrant and</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12"/>
          </w:tcPr>
          <w:p>
            <w:pPr>
              <w:spacing w:after="0" w:line="196"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each of its directors and executive officers.</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17"/>
                <w:szCs w:val="17"/>
                <w:color w:val="auto"/>
              </w:rPr>
            </w:pPr>
          </w:p>
        </w:tc>
        <w:tc>
          <w:tcPr>
            <w:tcW w:w="2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June 10, 2014</w:t>
            </w:r>
          </w:p>
        </w:tc>
        <w:tc>
          <w:tcPr>
            <w:tcW w:w="88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EE"/>
            </w:tcBorders>
            <w:gridSpan w:val="4"/>
            <w:shd w:val="clear" w:color="auto" w:fill="0000FF"/>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r>
              <w:rPr>
                <w:rFonts w:ascii="Times New Roman" w:cs="Times New Roman" w:eastAsia="Times New Roman" w:hAnsi="Times New Roman"/>
                <w:sz w:val="14"/>
                <w:szCs w:val="14"/>
                <w:color w:val="auto"/>
                <w:w w:val="98"/>
              </w:rPr>
              <w:t>†</w:t>
            </w:r>
          </w:p>
        </w:tc>
        <w:tc>
          <w:tcPr>
            <w:tcW w:w="120" w:type="dxa"/>
            <w:vAlign w:val="bottom"/>
          </w:tcPr>
          <w:p>
            <w:pPr>
              <w:spacing w:after="0"/>
              <w:rPr>
                <w:sz w:val="24"/>
                <w:szCs w:val="24"/>
                <w:color w:val="auto"/>
              </w:rPr>
            </w:pPr>
          </w:p>
        </w:tc>
        <w:tc>
          <w:tcPr>
            <w:tcW w:w="4700" w:type="dxa"/>
            <w:vAlign w:val="bottom"/>
            <w:gridSpan w:val="12"/>
          </w:tcPr>
          <w:p>
            <w:pPr>
              <w:spacing w:after="0"/>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1999 Incentive Stock Plan and forms of agreements thereunder.</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460" w:type="dxa"/>
            <w:vAlign w:val="bottom"/>
            <w:gridSpan w:val="9"/>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r>
              <w:rPr>
                <w:rFonts w:ascii="Times New Roman" w:cs="Times New Roman" w:eastAsia="Times New Roman" w:hAnsi="Times New Roman"/>
                <w:sz w:val="14"/>
                <w:szCs w:val="14"/>
                <w:color w:val="auto"/>
                <w:w w:val="98"/>
              </w:rPr>
              <w:t>†</w:t>
            </w:r>
          </w:p>
        </w:tc>
        <w:tc>
          <w:tcPr>
            <w:tcW w:w="120" w:type="dxa"/>
            <w:vAlign w:val="bottom"/>
          </w:tcPr>
          <w:p>
            <w:pPr>
              <w:spacing w:after="0"/>
              <w:rPr>
                <w:sz w:val="24"/>
                <w:szCs w:val="24"/>
                <w:color w:val="auto"/>
              </w:rPr>
            </w:pPr>
          </w:p>
        </w:tc>
        <w:tc>
          <w:tcPr>
            <w:tcW w:w="4700" w:type="dxa"/>
            <w:vAlign w:val="bottom"/>
            <w:gridSpan w:val="12"/>
          </w:tcPr>
          <w:p>
            <w:pPr>
              <w:spacing w:after="0"/>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2010 Equity Incentive Plan and forms of agreements thereunder.</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620" w:type="dxa"/>
            <w:vAlign w:val="bottom"/>
            <w:gridSpan w:val="11"/>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r>
              <w:rPr>
                <w:rFonts w:ascii="Times New Roman" w:cs="Times New Roman" w:eastAsia="Times New Roman" w:hAnsi="Times New Roman"/>
                <w:sz w:val="14"/>
                <w:szCs w:val="14"/>
                <w:color w:val="auto"/>
                <w:w w:val="98"/>
              </w:rPr>
              <w:t>†</w:t>
            </w:r>
          </w:p>
        </w:tc>
        <w:tc>
          <w:tcPr>
            <w:tcW w:w="120" w:type="dxa"/>
            <w:vAlign w:val="bottom"/>
          </w:tcPr>
          <w:p>
            <w:pPr>
              <w:spacing w:after="0"/>
              <w:rPr>
                <w:sz w:val="24"/>
                <w:szCs w:val="24"/>
                <w:color w:val="auto"/>
              </w:rPr>
            </w:pPr>
          </w:p>
        </w:tc>
        <w:tc>
          <w:tcPr>
            <w:tcW w:w="4700" w:type="dxa"/>
            <w:vAlign w:val="bottom"/>
            <w:gridSpan w:val="12"/>
          </w:tcPr>
          <w:p>
            <w:pPr>
              <w:spacing w:after="0"/>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2014 Equity Incentive Plan and forms of agreements thereunder.</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June 6, 2024</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tcBorders>
              <w:top w:val="single" w:sz="8" w:color="0000EE"/>
            </w:tcBorders>
            <w:gridSpan w:val="11"/>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320" w:type="dxa"/>
            <w:vAlign w:val="bottom"/>
            <w:gridSpan w:val="20"/>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10.5</w:t>
            </w:r>
            <w:r>
              <w:rPr>
                <w:rFonts w:ascii="Times New Roman" w:cs="Times New Roman" w:eastAsia="Times New Roman" w:hAnsi="Times New Roman"/>
                <w:sz w:val="14"/>
                <w:szCs w:val="14"/>
                <w:color w:val="auto"/>
                <w:w w:val="98"/>
              </w:rPr>
              <w:t>†</w:t>
            </w:r>
          </w:p>
        </w:tc>
        <w:tc>
          <w:tcPr>
            <w:tcW w:w="120" w:type="dxa"/>
            <w:vAlign w:val="bottom"/>
          </w:tcPr>
          <w:p>
            <w:pPr>
              <w:spacing w:after="0"/>
              <w:rPr>
                <w:sz w:val="14"/>
                <w:szCs w:val="14"/>
                <w:color w:val="auto"/>
              </w:rPr>
            </w:pPr>
          </w:p>
        </w:tc>
        <w:tc>
          <w:tcPr>
            <w:tcW w:w="454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2014 Employee Stock Purchase Plan and forms of agreements</w:t>
              </w:r>
            </w:hyperlink>
          </w:p>
        </w:tc>
        <w:tc>
          <w:tcPr>
            <w:tcW w:w="1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23"/>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thereunder.</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r>
              <w:rPr>
                <w:rFonts w:ascii="Times New Roman" w:cs="Times New Roman" w:eastAsia="Times New Roman" w:hAnsi="Times New Roman"/>
                <w:sz w:val="14"/>
                <w:szCs w:val="14"/>
                <w:color w:val="auto"/>
                <w:w w:val="98"/>
              </w:rPr>
              <w:t>†</w:t>
            </w:r>
          </w:p>
        </w:tc>
        <w:tc>
          <w:tcPr>
            <w:tcW w:w="120" w:type="dxa"/>
            <w:vAlign w:val="bottom"/>
          </w:tcPr>
          <w:p>
            <w:pPr>
              <w:spacing w:after="0"/>
              <w:rPr>
                <w:sz w:val="24"/>
                <w:szCs w:val="24"/>
                <w:color w:val="auto"/>
              </w:rPr>
            </w:pPr>
          </w:p>
        </w:tc>
        <w:tc>
          <w:tcPr>
            <w:tcW w:w="4700" w:type="dxa"/>
            <w:vAlign w:val="bottom"/>
            <w:gridSpan w:val="23"/>
          </w:tcPr>
          <w:p>
            <w:pPr>
              <w:spacing w:after="0"/>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2020 Inducement Equity Incentive Plan, as amended on January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23"/>
          </w:tcPr>
          <w:p>
            <w:pPr>
              <w:spacing w:after="0" w:line="196" w:lineRule="exact"/>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24, 2024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w:t>
            </w:r>
            <w:r>
              <w:rPr>
                <w:rFonts w:ascii="Times New Roman" w:cs="Times New Roman" w:eastAsia="Times New Roman" w:hAnsi="Times New Roman"/>
                <w:sz w:val="14"/>
                <w:szCs w:val="14"/>
                <w:color w:val="auto"/>
                <w:w w:val="98"/>
              </w:rPr>
              <w:t>†</w:t>
            </w:r>
          </w:p>
        </w:tc>
        <w:tc>
          <w:tcPr>
            <w:tcW w:w="120" w:type="dxa"/>
            <w:vAlign w:val="bottom"/>
          </w:tcPr>
          <w:p>
            <w:pPr>
              <w:spacing w:after="0"/>
              <w:rPr>
                <w:sz w:val="24"/>
                <w:szCs w:val="24"/>
                <w:color w:val="auto"/>
              </w:rPr>
            </w:pPr>
          </w:p>
        </w:tc>
        <w:tc>
          <w:tcPr>
            <w:tcW w:w="4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Employment Agreement, dated May 15, 2015, by and between</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Capnia, Inc. and Anish Bhatnagar.</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r>
              <w:rPr>
                <w:rFonts w:ascii="Times New Roman" w:cs="Times New Roman" w:eastAsia="Times New Roman" w:hAnsi="Times New Roman"/>
                <w:sz w:val="14"/>
                <w:szCs w:val="14"/>
                <w:color w:val="auto"/>
                <w:w w:val="98"/>
              </w:rPr>
              <w:t>†</w:t>
            </w:r>
          </w:p>
        </w:tc>
        <w:tc>
          <w:tcPr>
            <w:tcW w:w="120" w:type="dxa"/>
            <w:vAlign w:val="bottom"/>
          </w:tcPr>
          <w:p>
            <w:pPr>
              <w:spacing w:after="0"/>
              <w:rPr>
                <w:sz w:val="24"/>
                <w:szCs w:val="24"/>
                <w:color w:val="auto"/>
              </w:rPr>
            </w:pPr>
          </w:p>
        </w:tc>
        <w:tc>
          <w:tcPr>
            <w:tcW w:w="4700" w:type="dxa"/>
            <w:vAlign w:val="bottom"/>
            <w:gridSpan w:val="23"/>
          </w:tcPr>
          <w:p>
            <w:pPr>
              <w:spacing w:after="0"/>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Employment Agreement by and between the Company and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23"/>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James Mackaness, dated as of November 11,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w:t>
            </w:r>
            <w:r>
              <w:rPr>
                <w:rFonts w:ascii="Times New Roman" w:cs="Times New Roman" w:eastAsia="Times New Roman" w:hAnsi="Times New Roman"/>
                <w:sz w:val="14"/>
                <w:szCs w:val="14"/>
                <w:color w:val="auto"/>
                <w:w w:val="98"/>
              </w:rPr>
              <w:t>†</w:t>
            </w:r>
          </w:p>
        </w:tc>
        <w:tc>
          <w:tcPr>
            <w:tcW w:w="120" w:type="dxa"/>
            <w:vAlign w:val="bottom"/>
          </w:tcPr>
          <w:p>
            <w:pPr>
              <w:spacing w:after="0"/>
              <w:rPr>
                <w:sz w:val="24"/>
                <w:szCs w:val="24"/>
                <w:color w:val="auto"/>
              </w:rPr>
            </w:pPr>
          </w:p>
        </w:tc>
        <w:tc>
          <w:tcPr>
            <w:tcW w:w="4700" w:type="dxa"/>
            <w:vAlign w:val="bottom"/>
            <w:gridSpan w:val="23"/>
          </w:tcPr>
          <w:p>
            <w:pPr>
              <w:spacing w:after="0"/>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Amendment to Employment Agreement by and between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23"/>
          </w:tcPr>
          <w:p>
            <w:pPr>
              <w:spacing w:after="0" w:line="196" w:lineRule="exact"/>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Company and James Mackaness, dated as of January 8,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4700" w:type="dxa"/>
            <w:vAlign w:val="bottom"/>
            <w:gridSpan w:val="23"/>
          </w:tcPr>
          <w:p>
            <w:pPr>
              <w:spacing w:after="0"/>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Employment Agreement by and between the Company and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23"/>
          </w:tcPr>
          <w:p>
            <w:pPr>
              <w:spacing w:after="0" w:line="196" w:lineRule="exact"/>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Patricia Hirano, dated January 1, 2019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10.11</w:t>
            </w: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4700" w:type="dxa"/>
            <w:vAlign w:val="bottom"/>
            <w:gridSpan w:val="23"/>
          </w:tcPr>
          <w:p>
            <w:pPr>
              <w:spacing w:after="0"/>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Amendment to Employment Agreement by and between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23"/>
          </w:tcPr>
          <w:p>
            <w:pPr>
              <w:spacing w:after="0" w:line="196" w:lineRule="exact"/>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Company and Patricia Hirano, dated as of January 8,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4700" w:type="dxa"/>
            <w:vAlign w:val="bottom"/>
            <w:gridSpan w:val="23"/>
          </w:tcPr>
          <w:p>
            <w:pPr>
              <w:spacing w:after="0"/>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Employment Agreement by and between the Company and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23"/>
          </w:tcPr>
          <w:p>
            <w:pPr>
              <w:spacing w:after="0" w:line="196" w:lineRule="exact"/>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Meredith Manning, dated January 23, 2024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20" w:type="dxa"/>
            <w:vAlign w:val="bottom"/>
          </w:tcPr>
          <w:p>
            <w:pPr>
              <w:spacing w:after="0"/>
              <w:rPr>
                <w:sz w:val="24"/>
                <w:szCs w:val="24"/>
                <w:color w:val="auto"/>
              </w:rPr>
            </w:pPr>
          </w:p>
        </w:tc>
        <w:tc>
          <w:tcPr>
            <w:tcW w:w="4700" w:type="dxa"/>
            <w:vAlign w:val="bottom"/>
            <w:gridSpan w:val="23"/>
          </w:tcPr>
          <w:p>
            <w:pPr>
              <w:spacing w:after="0"/>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License Agreement for Space and Services, dated February 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23"/>
          </w:tcPr>
          <w:p>
            <w:pPr>
              <w:spacing w:after="0" w:line="196" w:lineRule="exact"/>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2024, by and between the Company and Hudson Towers at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23"/>
          </w:tcPr>
          <w:p>
            <w:pPr>
              <w:spacing w:after="0" w:line="196" w:lineRule="exact"/>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Shore Center, LLC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20" w:type="dxa"/>
            <w:vAlign w:val="bottom"/>
          </w:tcPr>
          <w:p>
            <w:pPr>
              <w:spacing w:after="0"/>
              <w:rPr>
                <w:sz w:val="24"/>
                <w:szCs w:val="24"/>
                <w:color w:val="auto"/>
              </w:rPr>
            </w:pPr>
          </w:p>
        </w:tc>
        <w:tc>
          <w:tcPr>
            <w:tcW w:w="4700" w:type="dxa"/>
            <w:vAlign w:val="bottom"/>
            <w:gridSpan w:val="23"/>
          </w:tcPr>
          <w:p>
            <w:pPr>
              <w:spacing w:after="0"/>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Lease agreement between the Company and 1 Twin Property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23"/>
          </w:tcPr>
          <w:p>
            <w:pPr>
              <w:spacing w:after="0" w:line="196" w:lineRule="exact"/>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Owner, LLC dated June 13, 2024 Owner, LLC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20" w:type="dxa"/>
            <w:vAlign w:val="bottom"/>
          </w:tcPr>
          <w:p>
            <w:pPr>
              <w:spacing w:after="0"/>
              <w:rPr>
                <w:sz w:val="24"/>
                <w:szCs w:val="24"/>
                <w:color w:val="auto"/>
              </w:rPr>
            </w:pPr>
          </w:p>
        </w:tc>
        <w:tc>
          <w:tcPr>
            <w:tcW w:w="2160" w:type="dxa"/>
            <w:vAlign w:val="bottom"/>
            <w:gridSpan w:val="4"/>
            <w:vMerge w:val="restart"/>
          </w:tcPr>
          <w:p>
            <w:pPr>
              <w:spacing w:after="0"/>
              <w:rPr>
                <w:rFonts w:ascii="Times New Roman" w:cs="Times New Roman" w:eastAsia="Times New Roman" w:hAnsi="Times New Roman"/>
                <w:sz w:val="18"/>
                <w:szCs w:val="18"/>
                <w:color w:val="0000FF"/>
                <w:w w:val="98"/>
              </w:rPr>
            </w:pPr>
            <w:hyperlink r:id="rId424">
              <w:r>
                <w:rPr>
                  <w:rFonts w:ascii="Times New Roman" w:cs="Times New Roman" w:eastAsia="Times New Roman" w:hAnsi="Times New Roman"/>
                  <w:sz w:val="18"/>
                  <w:szCs w:val="18"/>
                  <w:color w:val="0000FF"/>
                  <w:w w:val="98"/>
                </w:rPr>
                <w:t>Open Market Sale Agreement</w:t>
              </w:r>
            </w:hyperlink>
          </w:p>
        </w:tc>
        <w:tc>
          <w:tcPr>
            <w:tcW w:w="160" w:type="dxa"/>
            <w:vAlign w:val="bottom"/>
            <w:tcBorders>
              <w:bottom w:val="single" w:sz="8" w:color="0000FF"/>
            </w:tcBorders>
          </w:tcPr>
          <w:p>
            <w:pPr>
              <w:spacing w:after="0"/>
              <w:rPr>
                <w:rFonts w:ascii="Times New Roman" w:cs="Times New Roman" w:eastAsia="Times New Roman" w:hAnsi="Times New Roman"/>
                <w:sz w:val="12"/>
                <w:szCs w:val="12"/>
                <w:color w:val="0000FF"/>
                <w:w w:val="80"/>
              </w:rPr>
            </w:pPr>
            <w:hyperlink r:id="rId424">
              <w:r>
                <w:rPr>
                  <w:rFonts w:ascii="Times New Roman" w:cs="Times New Roman" w:eastAsia="Times New Roman" w:hAnsi="Times New Roman"/>
                  <w:sz w:val="12"/>
                  <w:szCs w:val="12"/>
                  <w:color w:val="0000FF"/>
                  <w:w w:val="80"/>
                </w:rPr>
                <w:t>SM</w:t>
              </w:r>
            </w:hyperlink>
          </w:p>
        </w:tc>
        <w:tc>
          <w:tcPr>
            <w:tcW w:w="2380" w:type="dxa"/>
            <w:vAlign w:val="bottom"/>
            <w:gridSpan w:val="18"/>
            <w:vMerge w:val="restart"/>
          </w:tcPr>
          <w:p>
            <w:pPr>
              <w:spacing w:after="0"/>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 dated July 19, 2024, by and</w:t>
              </w:r>
            </w:hyperlink>
          </w:p>
        </w:tc>
        <w:tc>
          <w:tcPr>
            <w:tcW w:w="0" w:type="dxa"/>
            <w:vAlign w:val="bottom"/>
          </w:tcPr>
          <w:p>
            <w:pPr>
              <w:spacing w:after="0"/>
              <w:rPr>
                <w:sz w:val="1"/>
                <w:szCs w:val="1"/>
                <w:color w:val="auto"/>
              </w:rPr>
            </w:pPr>
          </w:p>
        </w:tc>
      </w:tr>
      <w:tr>
        <w:trPr>
          <w:trHeight w:val="61"/>
        </w:trPr>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1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380" w:type="dxa"/>
            <w:vAlign w:val="bottom"/>
            <w:gridSpan w:val="1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60" w:type="dxa"/>
            <w:vAlign w:val="bottom"/>
            <w:tcBorders>
              <w:right w:val="single" w:sz="8" w:color="0000EE"/>
            </w:tcBorders>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right w:val="single" w:sz="8" w:color="0000FF"/>
            </w:tcBorders>
            <w:gridSpan w:val="5"/>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23"/>
          </w:tcPr>
          <w:p>
            <w:pPr>
              <w:spacing w:after="0" w:line="196" w:lineRule="exact"/>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between Soleno Therapeutics, Inc. and Jefferies LLC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gridSpan w:val="10"/>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4700" w:type="dxa"/>
            <w:vAlign w:val="bottom"/>
            <w:gridSpan w:val="23"/>
          </w:tcPr>
          <w:p>
            <w:pPr>
              <w:spacing w:after="0"/>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Loan and Security Agreement by and between the Company and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Borders>
              <w:right w:val="single" w:sz="8" w:color="0000FF"/>
            </w:tcBorders>
            <w:gridSpan w:val="10"/>
            <w:shd w:val="clear" w:color="auto" w:fill="0000FF"/>
          </w:tcPr>
          <w:p>
            <w:pPr>
              <w:spacing w:after="0" w:line="20" w:lineRule="exact"/>
              <w:rPr>
                <w:sz w:val="1"/>
                <w:szCs w:val="1"/>
                <w:color w:val="auto"/>
              </w:rPr>
            </w:pPr>
          </w:p>
        </w:tc>
        <w:tc>
          <w:tcPr>
            <w:tcW w:w="104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23"/>
          </w:tcPr>
          <w:p>
            <w:pPr>
              <w:spacing w:after="0" w:line="196" w:lineRule="exact"/>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Oxford Finance LLC, dated December 17, 2024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gridSpan w:val="10"/>
            <w:shd w:val="clear" w:color="auto" w:fill="0000FF"/>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4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Amended and Restated Outside Director Compensation Policy</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500" w:type="dxa"/>
            <w:vAlign w:val="bottom"/>
            <w:tcBorders>
              <w:right w:val="single" w:sz="8" w:color="0000FF"/>
            </w:tcBorders>
            <w:gridSpan w:val="18"/>
            <w:shd w:val="clear" w:color="auto" w:fill="0000FF"/>
          </w:tcPr>
          <w:p>
            <w:pPr>
              <w:spacing w:after="0" w:line="20" w:lineRule="exact"/>
              <w:rPr>
                <w:sz w:val="1"/>
                <w:szCs w:val="1"/>
                <w:color w:val="auto"/>
              </w:rPr>
            </w:pPr>
          </w:p>
        </w:tc>
        <w:tc>
          <w:tcPr>
            <w:tcW w:w="100" w:type="dxa"/>
            <w:vAlign w:val="bottom"/>
            <w:tcBorders>
              <w:left w:val="single" w:sz="8" w:color="0000EE"/>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20" w:type="dxa"/>
            <w:vAlign w:val="bottom"/>
          </w:tcPr>
          <w:p>
            <w:pPr>
              <w:spacing w:after="0"/>
              <w:rPr>
                <w:sz w:val="24"/>
                <w:szCs w:val="24"/>
                <w:color w:val="auto"/>
              </w:rPr>
            </w:pPr>
          </w:p>
        </w:tc>
        <w:tc>
          <w:tcPr>
            <w:tcW w:w="4700" w:type="dxa"/>
            <w:vAlign w:val="bottom"/>
            <w:gridSpan w:val="23"/>
          </w:tcPr>
          <w:p>
            <w:pPr>
              <w:spacing w:after="0"/>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First Amendment to Loan and Security Agreement between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00" w:type="dxa"/>
            <w:vAlign w:val="bottom"/>
            <w:tcBorders>
              <w:right w:val="single" w:sz="8" w:color="0000FF"/>
            </w:tcBorders>
            <w:gridSpan w:val="18"/>
            <w:shd w:val="clear" w:color="auto" w:fill="0000FF"/>
          </w:tcPr>
          <w:p>
            <w:pPr>
              <w:spacing w:after="0" w:line="20" w:lineRule="exact"/>
              <w:rPr>
                <w:sz w:val="1"/>
                <w:szCs w:val="1"/>
                <w:color w:val="auto"/>
              </w:rPr>
            </w:pPr>
          </w:p>
        </w:tc>
        <w:tc>
          <w:tcPr>
            <w:tcW w:w="1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gridSpan w:val="23"/>
          </w:tcPr>
          <w:p>
            <w:pPr>
              <w:spacing w:after="0" w:line="196" w:lineRule="exact"/>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Company and Oxford Finance LLC dated November 10, 2025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00" w:type="dxa"/>
            <w:vAlign w:val="bottom"/>
            <w:tcBorders>
              <w:right w:val="single" w:sz="8" w:color="0000EE"/>
            </w:tcBorders>
            <w:gridSpan w:val="18"/>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21"/>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2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120" w:type="dxa"/>
            <w:vAlign w:val="bottom"/>
          </w:tcPr>
          <w:p>
            <w:pPr>
              <w:spacing w:after="0"/>
              <w:rPr>
                <w:sz w:val="6"/>
                <w:szCs w:val="6"/>
                <w:color w:val="auto"/>
              </w:rPr>
            </w:pPr>
          </w:p>
        </w:tc>
        <w:tc>
          <w:tcPr>
            <w:tcW w:w="1120" w:type="dxa"/>
            <w:vAlign w:val="bottom"/>
            <w:gridSpan w:val="2"/>
          </w:tcPr>
          <w:p>
            <w:pPr>
              <w:ind w:left="180"/>
              <w:spacing w:after="0" w:line="78" w:lineRule="exact"/>
              <w:rPr>
                <w:sz w:val="20"/>
                <w:szCs w:val="20"/>
                <w:color w:val="auto"/>
              </w:rPr>
            </w:pPr>
            <w:r>
              <w:rPr>
                <w:rFonts w:ascii="Times New Roman" w:cs="Times New Roman" w:eastAsia="Times New Roman" w:hAnsi="Times New Roman"/>
                <w:sz w:val="8"/>
                <w:szCs w:val="8"/>
                <w:b w:val="1"/>
                <w:bCs w:val="1"/>
                <w:color w:val="auto"/>
              </w:rPr>
              <w:t>Registrant’s</w:t>
            </w:r>
          </w:p>
        </w:tc>
        <w:tc>
          <w:tcPr>
            <w:tcW w:w="120" w:type="dxa"/>
            <w:vAlign w:val="bottom"/>
          </w:tcPr>
          <w:p>
            <w:pPr>
              <w:spacing w:after="0"/>
              <w:rPr>
                <w:sz w:val="6"/>
                <w:szCs w:val="6"/>
                <w:color w:val="auto"/>
              </w:rPr>
            </w:pPr>
          </w:p>
        </w:tc>
        <w:tc>
          <w:tcPr>
            <w:tcW w:w="2020" w:type="dxa"/>
            <w:vAlign w:val="bottom"/>
          </w:tcPr>
          <w:p>
            <w:pPr>
              <w:ind w:left="700"/>
              <w:spacing w:after="0" w:line="78" w:lineRule="exact"/>
              <w:rPr>
                <w:sz w:val="20"/>
                <w:szCs w:val="20"/>
                <w:color w:val="auto"/>
              </w:rPr>
            </w:pPr>
            <w:r>
              <w:rPr>
                <w:rFonts w:ascii="Times New Roman" w:cs="Times New Roman" w:eastAsia="Times New Roman" w:hAnsi="Times New Roman"/>
                <w:sz w:val="8"/>
                <w:szCs w:val="8"/>
                <w:b w:val="1"/>
                <w:bCs w:val="1"/>
                <w:color w:val="auto"/>
              </w:rPr>
              <w:t>Date Filed</w:t>
            </w:r>
          </w:p>
        </w:tc>
        <w:tc>
          <w:tcPr>
            <w:tcW w:w="120" w:type="dxa"/>
            <w:vAlign w:val="bottom"/>
          </w:tcPr>
          <w:p>
            <w:pPr>
              <w:spacing w:after="0"/>
              <w:rPr>
                <w:sz w:val="6"/>
                <w:szCs w:val="6"/>
                <w:color w:val="auto"/>
              </w:rPr>
            </w:pPr>
          </w:p>
        </w:tc>
        <w:tc>
          <w:tcPr>
            <w:tcW w:w="760" w:type="dxa"/>
            <w:vAlign w:val="bottom"/>
          </w:tcPr>
          <w:p>
            <w:pPr>
              <w:jc w:val="center"/>
              <w:spacing w:after="0" w:line="78" w:lineRule="exact"/>
              <w:rPr>
                <w:sz w:val="20"/>
                <w:szCs w:val="20"/>
                <w:color w:val="auto"/>
              </w:rPr>
            </w:pPr>
            <w:r>
              <w:rPr>
                <w:rFonts w:ascii="Times New Roman" w:cs="Times New Roman" w:eastAsia="Times New Roman" w:hAnsi="Times New Roman"/>
                <w:sz w:val="8"/>
                <w:szCs w:val="8"/>
                <w:b w:val="1"/>
                <w:bCs w:val="1"/>
                <w:color w:val="auto"/>
              </w:rPr>
              <w:t>Exhibit</w:t>
            </w:r>
          </w:p>
        </w:tc>
        <w:tc>
          <w:tcPr>
            <w:tcW w:w="100" w:type="dxa"/>
            <w:vAlign w:val="bottom"/>
          </w:tcPr>
          <w:p>
            <w:pPr>
              <w:spacing w:after="0"/>
              <w:rPr>
                <w:sz w:val="6"/>
                <w:szCs w:val="6"/>
                <w:color w:val="auto"/>
              </w:rPr>
            </w:pPr>
          </w:p>
        </w:tc>
        <w:tc>
          <w:tcPr>
            <w:tcW w:w="940" w:type="dxa"/>
            <w:vAlign w:val="bottom"/>
          </w:tcPr>
          <w:p>
            <w:pPr>
              <w:jc w:val="center"/>
              <w:spacing w:after="0" w:line="78" w:lineRule="exact"/>
              <w:rPr>
                <w:sz w:val="20"/>
                <w:szCs w:val="20"/>
                <w:color w:val="auto"/>
              </w:rPr>
            </w:pPr>
            <w:r>
              <w:rPr>
                <w:rFonts w:ascii="Times New Roman" w:cs="Times New Roman" w:eastAsia="Times New Roman" w:hAnsi="Times New Roman"/>
                <w:sz w:val="8"/>
                <w:szCs w:val="8"/>
                <w:b w:val="1"/>
                <w:bCs w:val="1"/>
                <w:color w:val="auto"/>
              </w:rPr>
              <w:t>Filed</w:t>
            </w:r>
          </w:p>
        </w:tc>
        <w:tc>
          <w:tcPr>
            <w:tcW w:w="0" w:type="dxa"/>
            <w:vAlign w:val="bottom"/>
          </w:tcPr>
          <w:p>
            <w:pPr>
              <w:spacing w:after="0"/>
              <w:rPr>
                <w:sz w:val="1"/>
                <w:szCs w:val="1"/>
                <w:color w:val="auto"/>
              </w:rPr>
            </w:pPr>
          </w:p>
        </w:tc>
      </w:tr>
      <w:tr>
        <w:trPr>
          <w:trHeight w:val="173"/>
        </w:trPr>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2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25"/>
        </w:trPr>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July 1, 2014</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January 30, 2024</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648"/>
        </w:trPr>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2020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January 13, 2021</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2025</w:t>
            </w:r>
          </w:p>
        </w:tc>
        <w:tc>
          <w:tcPr>
            <w:tcW w:w="88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January 13, 2021</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c>
          <w:tcPr>
            <w:tcW w:w="120" w:type="dxa"/>
            <w:vAlign w:val="bottom"/>
          </w:tcPr>
          <w:p>
            <w:pPr>
              <w:spacing w:after="0"/>
              <w:rPr>
                <w:sz w:val="24"/>
                <w:szCs w:val="24"/>
                <w:color w:val="auto"/>
              </w:rPr>
            </w:pPr>
          </w:p>
        </w:tc>
        <w:tc>
          <w:tcPr>
            <w:tcW w:w="2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February 28, 2025</w:t>
            </w:r>
          </w:p>
        </w:tc>
        <w:tc>
          <w:tcPr>
            <w:tcW w:w="88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8"/>
              </w:rPr>
              <w:t>10.12</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c>
          <w:tcPr>
            <w:tcW w:w="120" w:type="dxa"/>
            <w:vAlign w:val="bottom"/>
          </w:tcPr>
          <w:p>
            <w:pPr>
              <w:spacing w:after="0"/>
              <w:rPr>
                <w:sz w:val="24"/>
                <w:szCs w:val="24"/>
                <w:color w:val="auto"/>
              </w:rPr>
            </w:pP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7, 2024</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10.58</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10-Q</w:t>
            </w:r>
          </w:p>
        </w:tc>
        <w:tc>
          <w:tcPr>
            <w:tcW w:w="120" w:type="dxa"/>
            <w:vAlign w:val="bottom"/>
          </w:tcPr>
          <w:p>
            <w:pPr>
              <w:spacing w:after="0"/>
              <w:rPr>
                <w:sz w:val="24"/>
                <w:szCs w:val="24"/>
                <w:color w:val="auto"/>
              </w:rPr>
            </w:pP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7, 2024</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19, 2024</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c>
          <w:tcPr>
            <w:tcW w:w="120" w:type="dxa"/>
            <w:vAlign w:val="bottom"/>
          </w:tcPr>
          <w:p>
            <w:pPr>
              <w:spacing w:after="0"/>
              <w:rPr>
                <w:sz w:val="24"/>
                <w:szCs w:val="24"/>
                <w:color w:val="auto"/>
              </w:rPr>
            </w:pP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28, 2025</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10.16</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648"/>
        </w:trPr>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24"/>
                <w:szCs w:val="24"/>
                <w:color w:val="auto"/>
              </w:rPr>
            </w:pP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12, 2025</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840" w:space="100"/>
            <w:col w:w="5300"/>
          </w:cols>
          <w:pgMar w:left="320" w:top="1411" w:right="33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0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gridSpan w:val="1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0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Registrant’s</w:t>
            </w:r>
          </w:p>
        </w:tc>
        <w:tc>
          <w:tcPr>
            <w:tcW w:w="120" w:type="dxa"/>
            <w:vAlign w:val="bottom"/>
          </w:tcPr>
          <w:p>
            <w:pPr>
              <w:spacing w:after="0"/>
              <w:rPr>
                <w:sz w:val="8"/>
                <w:szCs w:val="8"/>
                <w:color w:val="auto"/>
              </w:rPr>
            </w:pPr>
          </w:p>
        </w:tc>
        <w:tc>
          <w:tcPr>
            <w:tcW w:w="202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Date Filed</w:t>
            </w:r>
          </w:p>
        </w:tc>
        <w:tc>
          <w:tcPr>
            <w:tcW w:w="120" w:type="dxa"/>
            <w:vAlign w:val="bottom"/>
          </w:tcPr>
          <w:p>
            <w:pPr>
              <w:spacing w:after="0"/>
              <w:rPr>
                <w:sz w:val="8"/>
                <w:szCs w:val="8"/>
                <w:color w:val="auto"/>
              </w:rPr>
            </w:pPr>
          </w:p>
        </w:tc>
        <w:tc>
          <w:tcPr>
            <w:tcW w:w="76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Exhibit</w:t>
            </w:r>
          </w:p>
        </w:tc>
        <w:tc>
          <w:tcPr>
            <w:tcW w:w="100" w:type="dxa"/>
            <w:vAlign w:val="bottom"/>
          </w:tcPr>
          <w:p>
            <w:pPr>
              <w:spacing w:after="0"/>
              <w:rPr>
                <w:sz w:val="8"/>
                <w:szCs w:val="8"/>
                <w:color w:val="auto"/>
              </w:rPr>
            </w:pPr>
          </w:p>
        </w:tc>
        <w:tc>
          <w:tcPr>
            <w:tcW w:w="94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1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85"/>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20" w:type="dxa"/>
            <w:vAlign w:val="bottom"/>
          </w:tcPr>
          <w:p>
            <w:pPr>
              <w:spacing w:after="0"/>
              <w:rPr>
                <w:sz w:val="24"/>
                <w:szCs w:val="24"/>
                <w:color w:val="auto"/>
              </w:rPr>
            </w:pPr>
          </w:p>
        </w:tc>
        <w:tc>
          <w:tcPr>
            <w:tcW w:w="48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First Amendment to Office Lease between the Company and 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Twin Property Owner, LLC dated November 25, 2025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20" w:type="dxa"/>
            <w:vAlign w:val="bottom"/>
          </w:tcPr>
          <w:p>
            <w:pPr>
              <w:spacing w:after="0"/>
              <w:rPr>
                <w:sz w:val="24"/>
                <w:szCs w:val="24"/>
                <w:color w:val="auto"/>
              </w:rPr>
            </w:pPr>
          </w:p>
        </w:tc>
        <w:tc>
          <w:tcPr>
            <w:tcW w:w="4800" w:type="dxa"/>
            <w:vAlign w:val="bottom"/>
            <w:gridSpan w:val="16"/>
          </w:tcPr>
          <w:p>
            <w:pPr>
              <w:spacing w:after="0"/>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Executive Change in Control and Severance Plan, and related</w:t>
              </w:r>
            </w:hyperlink>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16"/>
          </w:tcPr>
          <w:p>
            <w:pPr>
              <w:spacing w:after="0" w:line="196"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Participation Agreement</w:t>
              </w:r>
            </w:hyperlink>
          </w:p>
        </w:tc>
        <w:tc>
          <w:tcPr>
            <w:tcW w:w="120" w:type="dxa"/>
            <w:vAlign w:val="bottom"/>
          </w:tcPr>
          <w:p>
            <w:pPr>
              <w:spacing w:after="0"/>
              <w:rPr>
                <w:sz w:val="17"/>
                <w:szCs w:val="17"/>
                <w:color w:val="auto"/>
              </w:rPr>
            </w:pPr>
          </w:p>
        </w:tc>
        <w:tc>
          <w:tcPr>
            <w:tcW w:w="11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7"/>
                <w:szCs w:val="17"/>
                <w:color w:val="auto"/>
              </w:rPr>
            </w:pPr>
          </w:p>
        </w:tc>
        <w:tc>
          <w:tcPr>
            <w:tcW w:w="20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January 23, 2026</w:t>
            </w:r>
          </w:p>
        </w:tc>
        <w:tc>
          <w:tcPr>
            <w:tcW w:w="88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4"/>
                <w:szCs w:val="24"/>
                <w:color w:val="auto"/>
              </w:rPr>
            </w:pPr>
          </w:p>
        </w:tc>
        <w:tc>
          <w:tcPr>
            <w:tcW w:w="4800" w:type="dxa"/>
            <w:vAlign w:val="bottom"/>
            <w:gridSpan w:val="16"/>
          </w:tcPr>
          <w:p>
            <w:pPr>
              <w:spacing w:after="0"/>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Insider Trading Policy</w:t>
              </w:r>
            </w:hyperlink>
          </w:p>
        </w:tc>
        <w:tc>
          <w:tcPr>
            <w:tcW w:w="1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c>
          <w:tcPr>
            <w:tcW w:w="120" w:type="dxa"/>
            <w:vAlign w:val="bottom"/>
          </w:tcPr>
          <w:p>
            <w:pPr>
              <w:spacing w:after="0"/>
              <w:rPr>
                <w:sz w:val="24"/>
                <w:szCs w:val="24"/>
                <w:color w:val="auto"/>
              </w:rPr>
            </w:pP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28, 2025</w:t>
            </w:r>
          </w:p>
        </w:tc>
        <w:tc>
          <w:tcPr>
            <w:tcW w:w="88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0000FF"/>
            </w:tcBorders>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48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Subsidiaries</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48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Consent of CBIZ CPAs P.C.</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4"/>
                <w:szCs w:val="24"/>
                <w:color w:val="auto"/>
              </w:rPr>
            </w:pPr>
          </w:p>
        </w:tc>
        <w:tc>
          <w:tcPr>
            <w:tcW w:w="48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Consent of Marcum LLP</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48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Under Rule</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of the Securities Exchange Act of 1934,</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as amended</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48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 Officer</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Required Under Rule 13a-14(a) and 15d-14(a) of the Securities</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amended</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Borders>
              <w:right w:val="single" w:sz="8" w:color="0000EE"/>
            </w:tcBorders>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20" w:type="dxa"/>
            <w:vAlign w:val="bottom"/>
          </w:tcPr>
          <w:p>
            <w:pPr>
              <w:spacing w:after="0"/>
              <w:rPr>
                <w:sz w:val="24"/>
                <w:szCs w:val="24"/>
                <w:color w:val="auto"/>
              </w:rPr>
            </w:pPr>
          </w:p>
        </w:tc>
        <w:tc>
          <w:tcPr>
            <w:tcW w:w="48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Under Rule</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13a-14(b) of the Securities Exchange Act of 1934, as amended,</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and 18 U.S.C. §1350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20" w:type="dxa"/>
            <w:vAlign w:val="bottom"/>
          </w:tcPr>
          <w:p>
            <w:pPr>
              <w:spacing w:after="0"/>
              <w:rPr>
                <w:sz w:val="24"/>
                <w:szCs w:val="24"/>
                <w:color w:val="auto"/>
              </w:rPr>
            </w:pPr>
          </w:p>
        </w:tc>
        <w:tc>
          <w:tcPr>
            <w:tcW w:w="48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 Officer</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Borders>
              <w:right w:val="single" w:sz="8" w:color="0000FF"/>
            </w:tcBorders>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Required Under Rule 13a-14(b) of the Securities Exchange Act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Borders>
              <w:right w:val="single" w:sz="8" w:color="0000FF"/>
            </w:tcBorders>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of 1934, as amended, and 18 U.S.C. §1350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280" w:type="dxa"/>
            <w:vAlign w:val="bottom"/>
            <w:tcBorders>
              <w:right w:val="single" w:sz="8" w:color="0000EE"/>
            </w:tcBorders>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97.1</w:t>
            </w:r>
            <w:r>
              <w:rPr>
                <w:rFonts w:ascii="Times New Roman" w:cs="Times New Roman" w:eastAsia="Times New Roman" w:hAnsi="Times New Roman"/>
                <w:sz w:val="14"/>
                <w:szCs w:val="14"/>
                <w:color w:val="auto"/>
                <w:w w:val="98"/>
              </w:rPr>
              <w:t>†</w:t>
            </w:r>
          </w:p>
        </w:tc>
        <w:tc>
          <w:tcPr>
            <w:tcW w:w="120" w:type="dxa"/>
            <w:vAlign w:val="bottom"/>
          </w:tcPr>
          <w:p>
            <w:pPr>
              <w:spacing w:after="0"/>
              <w:rPr>
                <w:sz w:val="24"/>
                <w:szCs w:val="24"/>
                <w:color w:val="auto"/>
              </w:rPr>
            </w:pPr>
          </w:p>
        </w:tc>
        <w:tc>
          <w:tcPr>
            <w:tcW w:w="4800" w:type="dxa"/>
            <w:vAlign w:val="bottom"/>
            <w:gridSpan w:val="16"/>
          </w:tcPr>
          <w:p>
            <w:pPr>
              <w:spacing w:after="0"/>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Compensation Recovery Policy</w:t>
              </w:r>
            </w:hyperlink>
          </w:p>
        </w:tc>
        <w:tc>
          <w:tcPr>
            <w:tcW w:w="120" w:type="dxa"/>
            <w:vAlign w:val="bottom"/>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 w:type="dxa"/>
            <w:vAlign w:val="bottom"/>
          </w:tcPr>
          <w:p>
            <w:pPr>
              <w:spacing w:after="0"/>
              <w:rPr>
                <w:sz w:val="24"/>
                <w:szCs w:val="24"/>
                <w:color w:val="auto"/>
              </w:rPr>
            </w:pP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7, 2024</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EE"/>
            </w:tcBorders>
            <w:gridSpan w:val="7"/>
            <w:shd w:val="clear" w:color="auto" w:fill="0000FF"/>
          </w:tcPr>
          <w:p>
            <w:pPr>
              <w:spacing w:after="0" w:line="20" w:lineRule="exact"/>
              <w:rPr>
                <w:sz w:val="1"/>
                <w:szCs w:val="1"/>
                <w:color w:val="auto"/>
              </w:rPr>
            </w:pPr>
          </w:p>
        </w:tc>
        <w:tc>
          <w:tcPr>
            <w:tcW w:w="252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24"/>
                <w:szCs w:val="24"/>
                <w:color w:val="auto"/>
              </w:rPr>
            </w:pPr>
          </w:p>
        </w:tc>
        <w:tc>
          <w:tcPr>
            <w:tcW w:w="48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XBRL tags are</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414"/>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24"/>
                <w:szCs w:val="24"/>
                <w:color w:val="auto"/>
              </w:rPr>
            </w:pPr>
          </w:p>
        </w:tc>
        <w:tc>
          <w:tcPr>
            <w:tcW w:w="48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26"/>
        </w:trPr>
        <w:tc>
          <w:tcPr>
            <w:tcW w:w="10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8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0" w:type="dxa"/>
            <w:vAlign w:val="bottom"/>
            <w:gridSpan w:val="16"/>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178" w:lineRule="exact"/>
        <w:rPr>
          <w:sz w:val="20"/>
          <w:szCs w:val="20"/>
          <w:color w:val="auto"/>
        </w:rPr>
      </w:pPr>
    </w:p>
    <w:p>
      <w:pPr>
        <w:ind w:left="1120" w:right="5680" w:hanging="741"/>
        <w:spacing w:after="0" w:line="257" w:lineRule="auto"/>
        <w:tabs>
          <w:tab w:leader="none" w:pos="11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Furnished and not filed herewith.</w:t>
      </w:r>
    </w:p>
    <w:p>
      <w:pPr>
        <w:spacing w:after="0" w:line="221" w:lineRule="auto"/>
        <w:rPr>
          <w:sz w:val="20"/>
          <w:szCs w:val="20"/>
          <w:color w:val="auto"/>
        </w:rPr>
      </w:pPr>
      <w:r>
        <w:rPr>
          <w:rFonts w:ascii="Times New Roman" w:cs="Times New Roman" w:eastAsia="Times New Roman" w:hAnsi="Times New Roman"/>
          <w:sz w:val="14"/>
          <w:szCs w:val="14"/>
          <w:color w:val="auto"/>
        </w:rPr>
        <w:t>† Indicates management contract or compensatory plan.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Confidential treatment has been requested for portions of this exhibit. These portions have been omitted and have been filed separately  with the Securities and Exchange Commission.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6" w:name="page117"/>
    <w:bookmarkEnd w:id="1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80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Soleno Therapeutics, Inc.</w:t>
            </w:r>
          </w:p>
        </w:tc>
      </w:tr>
      <w:tr>
        <w:trPr>
          <w:trHeight w:val="43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2026</w:t>
            </w:r>
          </w:p>
        </w:tc>
        <w:tc>
          <w:tcPr>
            <w:tcW w:w="800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By:  /S/ ANISH BHATNAGAR</w:t>
            </w:r>
          </w:p>
        </w:tc>
      </w:tr>
      <w:tr>
        <w:trPr>
          <w:trHeight w:val="228"/>
        </w:trPr>
        <w:tc>
          <w:tcPr>
            <w:tcW w:w="32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3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Anish Bhatnagar and James Mackaness, with full power of substitution and resubstitution and full power to act,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22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4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15"/>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ANISH BHATNAGAR</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Chief Executive Officer and Chairman of</w:t>
            </w:r>
          </w:p>
        </w:tc>
        <w:tc>
          <w:tcPr>
            <w:tcW w:w="16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February 25, 2026</w:t>
            </w:r>
          </w:p>
        </w:tc>
        <w:tc>
          <w:tcPr>
            <w:tcW w:w="0" w:type="dxa"/>
            <w:vAlign w:val="bottom"/>
          </w:tcPr>
          <w:p>
            <w:pPr>
              <w:spacing w:after="0"/>
              <w:rPr>
                <w:sz w:val="1"/>
                <w:szCs w:val="1"/>
                <w:color w:val="auto"/>
              </w:rPr>
            </w:pPr>
          </w:p>
        </w:tc>
      </w:tr>
      <w:tr>
        <w:trPr>
          <w:trHeight w:val="214"/>
        </w:trPr>
        <w:tc>
          <w:tcPr>
            <w:tcW w:w="5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Anish Bhatnagar</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Board (Principal Executive Officer)</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20" w:type="dxa"/>
            <w:vAlign w:val="bottom"/>
            <w:vMerge w:val="continue"/>
          </w:tcPr>
          <w:p>
            <w:pPr>
              <w:spacing w:after="0"/>
              <w:rPr>
                <w:sz w:val="19"/>
                <w:szCs w:val="19"/>
                <w:color w:val="auto"/>
              </w:rPr>
            </w:pPr>
          </w:p>
        </w:tc>
        <w:tc>
          <w:tcPr>
            <w:tcW w:w="4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MACKANESS</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16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February 25, 2026</w:t>
            </w:r>
          </w:p>
        </w:tc>
        <w:tc>
          <w:tcPr>
            <w:tcW w:w="0" w:type="dxa"/>
            <w:vAlign w:val="bottom"/>
          </w:tcPr>
          <w:p>
            <w:pPr>
              <w:spacing w:after="0"/>
              <w:rPr>
                <w:sz w:val="1"/>
                <w:szCs w:val="1"/>
                <w:color w:val="auto"/>
              </w:rPr>
            </w:pPr>
          </w:p>
        </w:tc>
      </w:tr>
      <w:tr>
        <w:trPr>
          <w:trHeight w:val="214"/>
        </w:trPr>
        <w:tc>
          <w:tcPr>
            <w:tcW w:w="5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James Mackaness</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Officer)</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20" w:type="dxa"/>
            <w:vAlign w:val="bottom"/>
            <w:vMerge w:val="continue"/>
          </w:tcPr>
          <w:p>
            <w:pPr>
              <w:spacing w:after="0"/>
              <w:rPr>
                <w:sz w:val="19"/>
                <w:szCs w:val="19"/>
                <w:color w:val="auto"/>
              </w:rPr>
            </w:pPr>
          </w:p>
        </w:tc>
        <w:tc>
          <w:tcPr>
            <w:tcW w:w="4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PAULS</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6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February 25, 2026</w:t>
            </w:r>
          </w:p>
        </w:tc>
        <w:tc>
          <w:tcPr>
            <w:tcW w:w="0" w:type="dxa"/>
            <w:vAlign w:val="bottom"/>
          </w:tcPr>
          <w:p>
            <w:pPr>
              <w:spacing w:after="0"/>
              <w:rPr>
                <w:sz w:val="1"/>
                <w:szCs w:val="1"/>
                <w:color w:val="auto"/>
              </w:rPr>
            </w:pPr>
          </w:p>
        </w:tc>
      </w:tr>
      <w:tr>
        <w:trPr>
          <w:trHeight w:val="439"/>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Matthew Pauls</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ANDREW SINCLAIR</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February 25, 2026</w:t>
            </w:r>
          </w:p>
        </w:tc>
        <w:tc>
          <w:tcPr>
            <w:tcW w:w="0" w:type="dxa"/>
            <w:vAlign w:val="bottom"/>
          </w:tcPr>
          <w:p>
            <w:pPr>
              <w:spacing w:after="0"/>
              <w:rPr>
                <w:sz w:val="1"/>
                <w:szCs w:val="1"/>
                <w:color w:val="auto"/>
              </w:rPr>
            </w:pPr>
          </w:p>
        </w:tc>
      </w:tr>
      <w:tr>
        <w:trPr>
          <w:trHeight w:val="439"/>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Sinclair</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MARK HAHN</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February 25, 2026</w:t>
            </w:r>
          </w:p>
        </w:tc>
        <w:tc>
          <w:tcPr>
            <w:tcW w:w="0" w:type="dxa"/>
            <w:vAlign w:val="bottom"/>
          </w:tcPr>
          <w:p>
            <w:pPr>
              <w:spacing w:after="0"/>
              <w:rPr>
                <w:sz w:val="1"/>
                <w:szCs w:val="1"/>
                <w:color w:val="auto"/>
              </w:rPr>
            </w:pPr>
          </w:p>
        </w:tc>
      </w:tr>
      <w:tr>
        <w:trPr>
          <w:trHeight w:val="439"/>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Hahn</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DAWN BIR</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February 25, 2026</w:t>
            </w:r>
          </w:p>
        </w:tc>
        <w:tc>
          <w:tcPr>
            <w:tcW w:w="0" w:type="dxa"/>
            <w:vAlign w:val="bottom"/>
          </w:tcPr>
          <w:p>
            <w:pPr>
              <w:spacing w:after="0"/>
              <w:rPr>
                <w:sz w:val="1"/>
                <w:szCs w:val="1"/>
                <w:color w:val="auto"/>
              </w:rPr>
            </w:pPr>
          </w:p>
        </w:tc>
      </w:tr>
      <w:tr>
        <w:trPr>
          <w:trHeight w:val="439"/>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Dawn Bir</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BIRGITTE VOLCK</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February 25, 2026</w:t>
            </w:r>
          </w:p>
        </w:tc>
        <w:tc>
          <w:tcPr>
            <w:tcW w:w="0" w:type="dxa"/>
            <w:vAlign w:val="bottom"/>
          </w:tcPr>
          <w:p>
            <w:pPr>
              <w:spacing w:after="0"/>
              <w:rPr>
                <w:sz w:val="1"/>
                <w:szCs w:val="1"/>
                <w:color w:val="auto"/>
              </w:rPr>
            </w:pPr>
          </w:p>
        </w:tc>
      </w:tr>
      <w:tr>
        <w:trPr>
          <w:trHeight w:val="439"/>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Birgitte Volck</w:t>
            </w:r>
          </w:p>
        </w:tc>
        <w:tc>
          <w:tcPr>
            <w:tcW w:w="4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CAPNIA,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221" w:lineRule="exact"/>
        <w:rPr>
          <w:sz w:val="20"/>
          <w:szCs w:val="20"/>
          <w:color w:val="auto"/>
        </w:rPr>
      </w:pPr>
    </w:p>
    <w:p>
      <w:pPr>
        <w:ind w:right="20" w:firstLine="749"/>
        <w:spacing w:after="0" w:line="272" w:lineRule="auto"/>
        <w:rPr>
          <w:sz w:val="20"/>
          <w:szCs w:val="20"/>
          <w:color w:val="auto"/>
        </w:rPr>
      </w:pPr>
      <w:r>
        <w:rPr>
          <w:rFonts w:ascii="Times New Roman" w:cs="Times New Roman" w:eastAsia="Times New Roman" w:hAnsi="Times New Roman"/>
          <w:sz w:val="21"/>
          <w:szCs w:val="21"/>
          <w:color w:val="auto"/>
        </w:rPr>
        <w:t>This Employment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xml:space="preserve">") is entered into as of May 15, 2015,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xml:space="preserve"> by and between Capnia,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and Anish Bhatnagar </w:t>
      </w:r>
      <w:r>
        <w:rPr>
          <w:rFonts w:ascii="Times New Roman" w:cs="Times New Roman" w:eastAsia="Times New Roman" w:hAnsi="Times New Roman"/>
          <w:sz w:val="21"/>
          <w:szCs w:val="21"/>
          <w:b w:val="1"/>
          <w:bCs w:val="1"/>
          <w:color w:val="auto"/>
        </w:rPr>
        <w:t>("Executive").</w:t>
      </w:r>
    </w:p>
    <w:p>
      <w:pPr>
        <w:spacing w:after="0" w:line="157" w:lineRule="exact"/>
        <w:rPr>
          <w:sz w:val="20"/>
          <w:szCs w:val="20"/>
          <w:color w:val="auto"/>
        </w:rPr>
      </w:pPr>
    </w:p>
    <w:p>
      <w:pPr>
        <w:ind w:left="1020" w:hanging="263"/>
        <w:spacing w:after="0"/>
        <w:tabs>
          <w:tab w:leader="none" w:pos="102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Duties and Scope of Employment.</w:t>
      </w:r>
    </w:p>
    <w:p>
      <w:pPr>
        <w:spacing w:after="0" w:line="217" w:lineRule="exact"/>
        <w:rPr>
          <w:rFonts w:ascii="Times New Roman" w:cs="Times New Roman" w:eastAsia="Times New Roman" w:hAnsi="Times New Roman"/>
          <w:sz w:val="21"/>
          <w:szCs w:val="21"/>
          <w:color w:val="auto"/>
        </w:rPr>
      </w:pPr>
    </w:p>
    <w:p>
      <w:pPr>
        <w:jc w:val="both"/>
        <w:ind w:left="2260" w:firstLine="743"/>
        <w:spacing w:after="0" w:line="260" w:lineRule="auto"/>
        <w:tabs>
          <w:tab w:leader="none" w:pos="3578"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Positions and Duties.</w:t>
      </w:r>
      <w:r>
        <w:rPr>
          <w:rFonts w:ascii="Times New Roman" w:cs="Times New Roman" w:eastAsia="Times New Roman" w:hAnsi="Times New Roman"/>
          <w:sz w:val="20"/>
          <w:szCs w:val="20"/>
          <w:color w:val="auto"/>
        </w:rPr>
        <w:t xml:space="preserve"> Executive's employment agreement with the Company will commence on May 15, 2015 (the "</w:t>
      </w:r>
      <w:r>
        <w:rPr>
          <w:rFonts w:ascii="Times New Roman" w:cs="Times New Roman" w:eastAsia="Times New Roman" w:hAnsi="Times New Roman"/>
          <w:sz w:val="20"/>
          <w:szCs w:val="20"/>
          <w:b w:val="1"/>
          <w:bCs w:val="1"/>
          <w:color w:val="auto"/>
        </w:rPr>
        <w:t>Start Date</w:t>
      </w:r>
      <w:r>
        <w:rPr>
          <w:rFonts w:ascii="Times New Roman" w:cs="Times New Roman" w:eastAsia="Times New Roman" w:hAnsi="Times New Roman"/>
          <w:sz w:val="20"/>
          <w:szCs w:val="20"/>
          <w:color w:val="auto"/>
        </w:rPr>
        <w:t xml:space="preserve">"). Executive will serve as President and Chief Executive Officer of the Company. Executive will render such business and professional services in the performance of him duties, consistent with Executive's position within the Company, as will reasonably be assigned to him by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20"/>
          <w:szCs w:val="20"/>
          <w:color w:val="auto"/>
        </w:rPr>
        <w:t xml:space="preserve"> The Board may modify Executive's job title and duties as it deems necessary and appropriate in light of the Company's needs and interests from time to time. The period of Executive's employment under this Agreement is referred to herein as the </w:t>
      </w:r>
      <w:r>
        <w:rPr>
          <w:rFonts w:ascii="Times New Roman" w:cs="Times New Roman" w:eastAsia="Times New Roman" w:hAnsi="Times New Roman"/>
          <w:sz w:val="18"/>
          <w:szCs w:val="18"/>
          <w:b w:val="1"/>
          <w:bCs w:val="1"/>
          <w:color w:val="auto"/>
        </w:rPr>
        <w:t>"Employment Term."</w:t>
      </w:r>
    </w:p>
    <w:p>
      <w:pPr>
        <w:spacing w:after="0" w:line="172" w:lineRule="exact"/>
        <w:rPr>
          <w:rFonts w:ascii="Times New Roman" w:cs="Times New Roman" w:eastAsia="Times New Roman" w:hAnsi="Times New Roman"/>
          <w:sz w:val="20"/>
          <w:szCs w:val="20"/>
          <w:color w:val="auto"/>
        </w:rPr>
      </w:pPr>
    </w:p>
    <w:p>
      <w:pPr>
        <w:jc w:val="both"/>
        <w:ind w:left="2260" w:firstLine="743"/>
        <w:spacing w:after="0" w:line="248" w:lineRule="auto"/>
        <w:tabs>
          <w:tab w:leader="none" w:pos="3578"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xml:space="preserve"> During the Employment Term, Executive will perform him duties faithfully and to the best of him ability and will devote substantially all of him business efforts and time to the Company. For the duration of the Employment Term, Executive agrees not to actively engage in any other employment, occupation or consulting activity for any direct or indirect remuneration that would impact in any material respect him ability to perform him duties and obligations hereunder.</w:t>
      </w:r>
    </w:p>
    <w:p>
      <w:pPr>
        <w:spacing w:after="0" w:line="183" w:lineRule="exact"/>
        <w:rPr>
          <w:rFonts w:ascii="Times New Roman" w:cs="Times New Roman" w:eastAsia="Times New Roman" w:hAnsi="Times New Roman"/>
          <w:sz w:val="21"/>
          <w:szCs w:val="21"/>
          <w:color w:val="auto"/>
        </w:rPr>
      </w:pPr>
    </w:p>
    <w:p>
      <w:pPr>
        <w:jc w:val="both"/>
        <w:ind w:firstLine="757"/>
        <w:spacing w:after="0" w:line="247" w:lineRule="auto"/>
        <w:tabs>
          <w:tab w:leader="none" w:pos="101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At-Will Employment.</w:t>
      </w:r>
      <w:r>
        <w:rPr>
          <w:rFonts w:ascii="Times New Roman" w:cs="Times New Roman" w:eastAsia="Times New Roman" w:hAnsi="Times New Roman"/>
          <w:sz w:val="21"/>
          <w:szCs w:val="21"/>
          <w:color w:val="auto"/>
        </w:rPr>
        <w:t xml:space="preserve"> The parties agree that Executive's employment with the Company will be "at-will" employment and may be terminated at any time with or without Cause or notice. Executive understands and agrees that neither him job performance nor promotions, commendations, bonuses or the like from the Company give rise to or in any way serve as the basis for modification, amendment, or extension, by implication or otherwise, of him employment with the Company. However, as described in this Agreement, Executive may be entitled to severance benefits depending on the circumstances of Executive's termination of employment with the Company. •</w:t>
      </w:r>
    </w:p>
    <w:p>
      <w:pPr>
        <w:spacing w:after="0" w:line="182" w:lineRule="exact"/>
        <w:rPr>
          <w:rFonts w:ascii="Times New Roman" w:cs="Times New Roman" w:eastAsia="Times New Roman" w:hAnsi="Times New Roman"/>
          <w:sz w:val="21"/>
          <w:szCs w:val="21"/>
          <w:color w:val="auto"/>
        </w:rPr>
      </w:pPr>
    </w:p>
    <w:p>
      <w:pPr>
        <w:jc w:val="both"/>
        <w:ind w:firstLine="757"/>
        <w:spacing w:after="0" w:line="247" w:lineRule="auto"/>
        <w:tabs>
          <w:tab w:leader="none" w:pos="101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of Agreement.</w:t>
      </w:r>
      <w:r>
        <w:rPr>
          <w:rFonts w:ascii="Times New Roman" w:cs="Times New Roman" w:eastAsia="Times New Roman" w:hAnsi="Times New Roman"/>
          <w:sz w:val="21"/>
          <w:szCs w:val="21"/>
          <w:color w:val="auto"/>
        </w:rPr>
        <w:t xml:space="preserve"> This Agreement will have an initial term running from the Effective Date through the first anniversary of the Start Date (the </w:t>
      </w:r>
      <w:r>
        <w:rPr>
          <w:rFonts w:ascii="Times New Roman" w:cs="Times New Roman" w:eastAsia="Times New Roman" w:hAnsi="Times New Roman"/>
          <w:sz w:val="19"/>
          <w:szCs w:val="19"/>
          <w:b w:val="1"/>
          <w:bCs w:val="1"/>
          <w:color w:val="auto"/>
        </w:rPr>
        <w:t>"Initial Term").</w:t>
      </w:r>
      <w:r>
        <w:rPr>
          <w:rFonts w:ascii="Times New Roman" w:cs="Times New Roman" w:eastAsia="Times New Roman" w:hAnsi="Times New Roman"/>
          <w:sz w:val="21"/>
          <w:szCs w:val="21"/>
          <w:color w:val="auto"/>
        </w:rPr>
        <w:t xml:space="preserve"> On the first anniversary of the Start Date, this Agreement will renew automatically for additional one (1) year terms (each an </w:t>
      </w:r>
      <w:r>
        <w:rPr>
          <w:rFonts w:ascii="Times New Roman" w:cs="Times New Roman" w:eastAsia="Times New Roman" w:hAnsi="Times New Roman"/>
          <w:sz w:val="19"/>
          <w:szCs w:val="19"/>
          <w:b w:val="1"/>
          <w:bCs w:val="1"/>
          <w:color w:val="auto"/>
        </w:rPr>
        <w:t>"Additional Term"),</w:t>
      </w:r>
      <w:r>
        <w:rPr>
          <w:rFonts w:ascii="Times New Roman" w:cs="Times New Roman" w:eastAsia="Times New Roman" w:hAnsi="Times New Roman"/>
          <w:sz w:val="21"/>
          <w:szCs w:val="21"/>
          <w:color w:val="auto"/>
        </w:rPr>
        <w:t xml:space="preserve"> unless either party provides the other party with written notice of non-renewal at least thirty (30) days prior to the date of automatic renewal. If Executive becomes entitled to benefits under Section 8 during the term of this Agreement, the Agreement will not terminate until all of the obligations of the parties hereto with respect to this Agreement have been satisfied.</w:t>
      </w:r>
    </w:p>
    <w:p>
      <w:pPr>
        <w:spacing w:after="0" w:line="182"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Compensation.</w:t>
      </w:r>
    </w:p>
    <w:p>
      <w:pPr>
        <w:spacing w:after="0" w:line="217" w:lineRule="exact"/>
        <w:rPr>
          <w:rFonts w:ascii="Times New Roman" w:cs="Times New Roman" w:eastAsia="Times New Roman" w:hAnsi="Times New Roman"/>
          <w:sz w:val="21"/>
          <w:szCs w:val="21"/>
          <w:color w:val="auto"/>
        </w:rPr>
      </w:pPr>
    </w:p>
    <w:p>
      <w:pPr>
        <w:jc w:val="both"/>
        <w:ind w:left="2260" w:firstLine="743"/>
        <w:spacing w:after="0" w:line="248" w:lineRule="auto"/>
        <w:tabs>
          <w:tab w:leader="none" w:pos="3578"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xml:space="preserve"> During the Employment Term, the Company will pay Executive an annual salary of $460,000.00 as compensation for his services (the </w:t>
      </w: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xml:space="preserve"> The Base Salary will be paid periodically in accordance with the Company's normal payroll practices and be subject to the usual, required withholding. Executive's Base Salary will be subject to review and adjustments will be made based upon the Company's normal performance review practices.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Anish Bhatnagar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18" w:name="page119"/>
    <w:bookmarkEnd w:id="118"/>
    <w:p>
      <w:pPr>
        <w:jc w:val="both"/>
        <w:ind w:left="2260" w:firstLine="743"/>
        <w:spacing w:after="0" w:line="246" w:lineRule="auto"/>
        <w:tabs>
          <w:tab w:leader="none" w:pos="3578"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xml:space="preserve"> Executive will be eligible to participate in any bonus plans or programs maintained from time to time by the Company on such terms and conditions as determined by the Board or its compensation committee (the </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xml:space="preserve"> including eligibility for a bonus of up to fifty percent (50%) of Executive's Base Salary, upon achievement of performance objectives to be determined by the Board in its sole discretion (the </w:t>
      </w:r>
      <w:r>
        <w:rPr>
          <w:rFonts w:ascii="Times New Roman" w:cs="Times New Roman" w:eastAsia="Times New Roman" w:hAnsi="Times New Roman"/>
          <w:sz w:val="21"/>
          <w:szCs w:val="21"/>
          <w:b w:val="1"/>
          <w:bCs w:val="1"/>
          <w:color w:val="auto"/>
        </w:rPr>
        <w:t>"Target Bonus").</w:t>
      </w:r>
      <w:r>
        <w:rPr>
          <w:rFonts w:ascii="Times New Roman" w:cs="Times New Roman" w:eastAsia="Times New Roman" w:hAnsi="Times New Roman"/>
          <w:sz w:val="21"/>
          <w:szCs w:val="21"/>
          <w:color w:val="auto"/>
        </w:rPr>
        <w:t xml:space="preserve"> Any earned bonus will be paid in the next regular payroll period after the Board or the Committee determines that it has been earned, but in no event shall the bonus be paid after the later of (i) the fifteenth (15</w:t>
      </w:r>
      <w:r>
        <w:rPr>
          <w:rFonts w:ascii="Times New Roman" w:cs="Times New Roman" w:eastAsia="Times New Roman" w:hAnsi="Times New Roman"/>
          <w:sz w:val="13"/>
          <w:szCs w:val="13"/>
          <w:color w:val="auto"/>
        </w:rPr>
        <w:t>th</w:t>
      </w: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rPr>
        <w:t xml:space="preserve"> day of the third (3</w:t>
      </w:r>
      <w:r>
        <w:rPr>
          <w:rFonts w:ascii="Times New Roman" w:cs="Times New Roman" w:eastAsia="Times New Roman" w:hAnsi="Times New Roman"/>
          <w:sz w:val="13"/>
          <w:szCs w:val="13"/>
          <w:color w:val="auto"/>
        </w:rPr>
        <w:t>rd</w:t>
      </w: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rPr>
        <w:t xml:space="preserve"> month following the close of the Company's fiscal year in which the bonus is earned, or (ii) March 15 following the calendar year in which the bonus is earned.</w:t>
      </w:r>
    </w:p>
    <w:p>
      <w:pPr>
        <w:spacing w:after="0" w:line="183" w:lineRule="exact"/>
        <w:rPr>
          <w:rFonts w:ascii="Times New Roman" w:cs="Times New Roman" w:eastAsia="Times New Roman" w:hAnsi="Times New Roman"/>
          <w:sz w:val="21"/>
          <w:szCs w:val="21"/>
          <w:color w:val="auto"/>
        </w:rPr>
      </w:pPr>
    </w:p>
    <w:p>
      <w:pPr>
        <w:jc w:val="both"/>
        <w:ind w:left="2260" w:firstLine="743"/>
        <w:spacing w:after="0" w:line="244" w:lineRule="auto"/>
        <w:tabs>
          <w:tab w:leader="none" w:pos="3578"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Option.</w:t>
      </w:r>
      <w:r>
        <w:rPr>
          <w:rFonts w:ascii="Times New Roman" w:cs="Times New Roman" w:eastAsia="Times New Roman" w:hAnsi="Times New Roman"/>
          <w:sz w:val="21"/>
          <w:szCs w:val="21"/>
          <w:color w:val="auto"/>
        </w:rPr>
        <w:t xml:space="preserve"> Executive will be granted an option to purchase 150,000 of the Company's common stock, at an exercise price equal to the fair market value of Company common stock per share on the date of grant (the </w:t>
      </w:r>
      <w:r>
        <w:rPr>
          <w:rFonts w:ascii="Times New Roman" w:cs="Times New Roman" w:eastAsia="Times New Roman" w:hAnsi="Times New Roman"/>
          <w:sz w:val="21"/>
          <w:szCs w:val="21"/>
          <w:b w:val="1"/>
          <w:bCs w:val="1"/>
          <w:color w:val="auto"/>
        </w:rPr>
        <w:t>"Option").</w:t>
      </w:r>
      <w:r>
        <w:rPr>
          <w:rFonts w:ascii="Times New Roman" w:cs="Times New Roman" w:eastAsia="Times New Roman" w:hAnsi="Times New Roman"/>
          <w:sz w:val="21"/>
          <w:szCs w:val="21"/>
          <w:color w:val="auto"/>
        </w:rPr>
        <w:t xml:space="preserve"> Subject to the accelerated vesting provisions set forth herein, the Option will vest as to 25% of the shares subject to the Option on the first anniversary of the Start Date, and as to 1148th of the shares subject to the Option monthly thereafter on the same day of the month as the Start Date, so that the Option will be fully vested and exercisable four (4) years from the Start Date, subject to Executive continuing to provide services to the Company through the relevant vesting dates. The Option will be subject to the terms, definitions and provisions of the 2014 Equity Incentive Plan (the </w:t>
      </w:r>
      <w:r>
        <w:rPr>
          <w:rFonts w:ascii="Times New Roman" w:cs="Times New Roman" w:eastAsia="Times New Roman" w:hAnsi="Times New Roman"/>
          <w:sz w:val="21"/>
          <w:szCs w:val="21"/>
          <w:b w:val="1"/>
          <w:bCs w:val="1"/>
          <w:color w:val="auto"/>
        </w:rPr>
        <w:t>"2014 Plan")</w:t>
      </w:r>
      <w:r>
        <w:rPr>
          <w:rFonts w:ascii="Times New Roman" w:cs="Times New Roman" w:eastAsia="Times New Roman" w:hAnsi="Times New Roman"/>
          <w:sz w:val="21"/>
          <w:szCs w:val="21"/>
          <w:color w:val="auto"/>
        </w:rPr>
        <w:t xml:space="preserve"> and the stock option agreement by and between Executive and the Company (the </w:t>
      </w:r>
      <w:r>
        <w:rPr>
          <w:rFonts w:ascii="Times New Roman" w:cs="Times New Roman" w:eastAsia="Times New Roman" w:hAnsi="Times New Roman"/>
          <w:sz w:val="21"/>
          <w:szCs w:val="21"/>
          <w:b w:val="1"/>
          <w:bCs w:val="1"/>
          <w:color w:val="auto"/>
        </w:rPr>
        <w:t>"Option Agreement"),</w:t>
      </w:r>
      <w:r>
        <w:rPr>
          <w:rFonts w:ascii="Times New Roman" w:cs="Times New Roman" w:eastAsia="Times New Roman" w:hAnsi="Times New Roman"/>
          <w:sz w:val="21"/>
          <w:szCs w:val="21"/>
          <w:color w:val="auto"/>
        </w:rPr>
        <w:t xml:space="preserve"> both of which documents are incorporated herein by reference.</w:t>
      </w:r>
    </w:p>
    <w:p>
      <w:pPr>
        <w:spacing w:after="0" w:line="190" w:lineRule="exact"/>
        <w:rPr>
          <w:rFonts w:ascii="Times New Roman" w:cs="Times New Roman" w:eastAsia="Times New Roman" w:hAnsi="Times New Roman"/>
          <w:sz w:val="21"/>
          <w:szCs w:val="21"/>
          <w:color w:val="auto"/>
        </w:rPr>
      </w:pPr>
    </w:p>
    <w:p>
      <w:pPr>
        <w:jc w:val="both"/>
        <w:ind w:left="2260" w:firstLine="743"/>
        <w:spacing w:after="0" w:line="248" w:lineRule="auto"/>
        <w:tabs>
          <w:tab w:leader="none" w:pos="3578"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w:t>
      </w:r>
      <w:r>
        <w:rPr>
          <w:rFonts w:ascii="Times New Roman" w:cs="Times New Roman" w:eastAsia="Times New Roman" w:hAnsi="Times New Roman"/>
          <w:sz w:val="21"/>
          <w:szCs w:val="21"/>
          <w:color w:val="auto"/>
        </w:rPr>
        <w:t xml:space="preserve"> Executive will be eligible to receive awards of stock options, restricted stock units or other equity awards pursuant to </w:t>
      </w:r>
      <w:r>
        <w:rPr>
          <w:rFonts w:ascii="Arial" w:cs="Arial" w:eastAsia="Arial" w:hAnsi="Arial"/>
          <w:sz w:val="19"/>
          <w:szCs w:val="19"/>
          <w:color w:val="auto"/>
        </w:rPr>
        <w:t>any</w:t>
      </w:r>
      <w:r>
        <w:rPr>
          <w:rFonts w:ascii="Times New Roman" w:cs="Times New Roman" w:eastAsia="Times New Roman" w:hAnsi="Times New Roman"/>
          <w:sz w:val="21"/>
          <w:szCs w:val="21"/>
          <w:color w:val="auto"/>
        </w:rPr>
        <w:t xml:space="preserve"> plans or arrangements the Company may have in effect from time to time. The Board or the Committee will determine in its discretion whether Executive will be granted any such equity awards and the terms of any such award in accordance with the terms of any applicable plan or arrangement that may be in effect from time to time.</w:t>
      </w:r>
    </w:p>
    <w:p>
      <w:pPr>
        <w:spacing w:after="0" w:line="183" w:lineRule="exact"/>
        <w:rPr>
          <w:rFonts w:ascii="Times New Roman" w:cs="Times New Roman" w:eastAsia="Times New Roman" w:hAnsi="Times New Roman"/>
          <w:sz w:val="21"/>
          <w:szCs w:val="21"/>
          <w:color w:val="auto"/>
        </w:rPr>
      </w:pPr>
    </w:p>
    <w:p>
      <w:pPr>
        <w:jc w:val="both"/>
        <w:ind w:firstLine="757"/>
        <w:spacing w:after="0" w:line="251" w:lineRule="auto"/>
        <w:tabs>
          <w:tab w:leader="none" w:pos="101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 Benefits.</w:t>
      </w:r>
      <w:r>
        <w:rPr>
          <w:rFonts w:ascii="Times New Roman" w:cs="Times New Roman" w:eastAsia="Times New Roman" w:hAnsi="Times New Roman"/>
          <w:sz w:val="21"/>
          <w:szCs w:val="21"/>
          <w:color w:val="auto"/>
        </w:rPr>
        <w:t xml:space="preserve"> During the Employment Term, Executive will be entitled to participate in the employee benefit plans currently and hereafter maintained by the Company of general applicability to other senior executives of the Company, including, without limitation, the Company's group medical, dental, vision, disability, life insurance, and flexible-spending account plans. The Company reserves the right to cancel or change the benefit plans and programs it offers to its employees at any time.</w:t>
      </w:r>
    </w:p>
    <w:p>
      <w:pPr>
        <w:spacing w:after="0" w:line="177" w:lineRule="exact"/>
        <w:rPr>
          <w:rFonts w:ascii="Times New Roman" w:cs="Times New Roman" w:eastAsia="Times New Roman" w:hAnsi="Times New Roman"/>
          <w:sz w:val="21"/>
          <w:szCs w:val="21"/>
          <w:color w:val="auto"/>
        </w:rPr>
      </w:pPr>
    </w:p>
    <w:p>
      <w:pPr>
        <w:ind w:firstLine="757"/>
        <w:spacing w:after="0" w:line="270" w:lineRule="auto"/>
        <w:tabs>
          <w:tab w:leader="none" w:pos="101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Vacation.</w:t>
      </w:r>
      <w:r>
        <w:rPr>
          <w:rFonts w:ascii="Times New Roman" w:cs="Times New Roman" w:eastAsia="Times New Roman" w:hAnsi="Times New Roman"/>
          <w:sz w:val="21"/>
          <w:szCs w:val="21"/>
          <w:color w:val="auto"/>
        </w:rPr>
        <w:t xml:space="preserve"> Executive will be entitled to receive paid annual vacation in accordance with Company policy for other senior executive officers.</w:t>
      </w:r>
    </w:p>
    <w:p>
      <w:pPr>
        <w:spacing w:after="0" w:line="158" w:lineRule="exact"/>
        <w:rPr>
          <w:rFonts w:ascii="Times New Roman" w:cs="Times New Roman" w:eastAsia="Times New Roman" w:hAnsi="Times New Roman"/>
          <w:sz w:val="21"/>
          <w:szCs w:val="21"/>
          <w:color w:val="auto"/>
        </w:rPr>
      </w:pPr>
    </w:p>
    <w:p>
      <w:pPr>
        <w:jc w:val="both"/>
        <w:ind w:firstLine="757"/>
        <w:spacing w:after="0" w:line="255" w:lineRule="auto"/>
        <w:tabs>
          <w:tab w:leader="none" w:pos="101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xml:space="preserve"> The Company will reimburse Executive for reasonable travel, entertainment or other expenses incurred by Executive in the furthermore of or in connection with the performance of Executive's duties hereunder, in accordance with the Company's expense reimbursement policy as in effect from time to time.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Anish Bhatnagar Employment Agreement</w:t>
            </w:r>
          </w:p>
        </w:tc>
        <w:tc>
          <w:tcPr>
            <w:tcW w:w="7280" w:type="dxa"/>
            <w:vAlign w:val="bottom"/>
          </w:tcPr>
          <w:p>
            <w:pPr>
              <w:jc w:val="right"/>
              <w:ind w:right="5397"/>
              <w:spacing w:after="0"/>
              <w:rPr>
                <w:sz w:val="20"/>
                <w:szCs w:val="20"/>
                <w:color w:val="auto"/>
              </w:rPr>
            </w:pPr>
            <w:r>
              <w:rPr>
                <w:rFonts w:ascii="Times New Roman" w:cs="Times New Roman" w:eastAsia="Times New Roman" w:hAnsi="Times New Roman"/>
                <w:sz w:val="21"/>
                <w:szCs w:val="21"/>
                <w:color w:val="auto"/>
              </w:rPr>
              <w:t>-2-</w:t>
            </w:r>
          </w:p>
        </w:tc>
      </w:tr>
      <w:tr>
        <w:trPr>
          <w:trHeight w:val="962"/>
        </w:trPr>
        <w:tc>
          <w:tcPr>
            <w:tcW w:w="396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19" w:name="page120"/>
    <w:bookmarkEnd w:id="119"/>
    <w:p>
      <w:pPr>
        <w:jc w:val="both"/>
        <w:ind w:firstLine="757"/>
        <w:spacing w:after="0" w:line="248" w:lineRule="auto"/>
        <w:tabs>
          <w:tab w:leader="none" w:pos="101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w:t>
      </w:r>
      <w:r>
        <w:rPr>
          <w:rFonts w:ascii="Times New Roman" w:cs="Times New Roman" w:eastAsia="Times New Roman" w:hAnsi="Times New Roman"/>
          <w:sz w:val="21"/>
          <w:szCs w:val="21"/>
          <w:color w:val="auto"/>
        </w:rPr>
        <w:t xml:space="preserve"> If the Company terminates Executive's employment with the Company without Cause (excluding death or Disability) or if Executive resigns from such employment for Good Reason, and, in each case, Executive signs and does not revoke a standard release of claims with the Company in a form acceptable to the Company and subject to Section 9 below, then Executive will receive, in addition to Executive's salary payable through the date of termination of employment and any other employee benefits earned and owed through the date of termination, the following benefits from the Company:</w:t>
      </w:r>
    </w:p>
    <w:p>
      <w:pPr>
        <w:spacing w:after="0" w:line="183" w:lineRule="exact"/>
        <w:rPr>
          <w:rFonts w:ascii="Times New Roman" w:cs="Times New Roman" w:eastAsia="Times New Roman" w:hAnsi="Times New Roman"/>
          <w:sz w:val="21"/>
          <w:szCs w:val="21"/>
          <w:color w:val="auto"/>
        </w:rPr>
      </w:pPr>
    </w:p>
    <w:p>
      <w:pPr>
        <w:jc w:val="both"/>
        <w:ind w:left="2260" w:firstLine="743"/>
        <w:spacing w:after="0" w:line="246" w:lineRule="auto"/>
        <w:tabs>
          <w:tab w:leader="none" w:pos="357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continuing payments of severance pay in accordance with the Company's normal payroll policies at a rate equal to Executive's Base Salary rate, as then in effect, for: (x) fifteen (15) months from the date of such termination without Cause or resignation for Good Reason, if such termination or resignation occurs prior to six (6) months before a Change in Control of the Company, or (y) eighteen (18) months from the date of such termination without Cause or resignation for Good Reason, if such termination or resignation occurs within six (6) months prior to, or twelve (12) months following, a Change in Control of the Company;</w:t>
      </w:r>
    </w:p>
    <w:p>
      <w:pPr>
        <w:spacing w:after="0" w:line="184" w:lineRule="exact"/>
        <w:rPr>
          <w:rFonts w:ascii="Times New Roman" w:cs="Times New Roman" w:eastAsia="Times New Roman" w:hAnsi="Times New Roman"/>
          <w:sz w:val="21"/>
          <w:szCs w:val="21"/>
          <w:color w:val="auto"/>
        </w:rPr>
      </w:pPr>
    </w:p>
    <w:p>
      <w:pPr>
        <w:jc w:val="both"/>
        <w:ind w:left="2260" w:firstLine="743"/>
        <w:spacing w:after="0" w:line="245" w:lineRule="auto"/>
        <w:tabs>
          <w:tab w:leader="none" w:pos="357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termination or resignation occurs six (6) months prior to, a Change in Control of the Company, then twenty five percent (25%) of any Equity Awards held by Executive as of the date of such termination without Cause or resignation for Good Reason shall immediately vest and become fully exercisable (to the extent applicable), if such termination or resignation occurs within six (6) months prior to, or twelve (12) months following, a change in control of the Company, then one hundred percent (100%) of any unvested equity awards as of the date of such termination without cause or resignation for good reason shall immediately vest and become fully exercisable (to the extent applicable). Following termination without cause or resignation for good reason at any time, the Executive has one year to exercise vested options.</w:t>
      </w:r>
    </w:p>
    <w:p>
      <w:pPr>
        <w:spacing w:after="0" w:line="184" w:lineRule="exact"/>
        <w:rPr>
          <w:rFonts w:ascii="Times New Roman" w:cs="Times New Roman" w:eastAsia="Times New Roman" w:hAnsi="Times New Roman"/>
          <w:sz w:val="21"/>
          <w:szCs w:val="21"/>
          <w:color w:val="auto"/>
        </w:rPr>
      </w:pPr>
    </w:p>
    <w:p>
      <w:pPr>
        <w:jc w:val="both"/>
        <w:ind w:left="2260" w:firstLine="743"/>
        <w:spacing w:after="0" w:line="251" w:lineRule="auto"/>
        <w:tabs>
          <w:tab w:leader="none" w:pos="357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termination or resignation occurs within six (6) months prior to, or twelve (12) months following, a Change in Control of the Company, then Executive shall receive one hundred percent (100%), multiplied by (Y) 1.5, multiplied by (Z) of the Target Bonus for the year in which Executive was terminated without Cause or resigned for Good Reason; and</w:t>
      </w:r>
    </w:p>
    <w:p>
      <w:pPr>
        <w:spacing w:after="0" w:line="178" w:lineRule="exact"/>
        <w:rPr>
          <w:sz w:val="20"/>
          <w:szCs w:val="20"/>
          <w:color w:val="auto"/>
        </w:rPr>
      </w:pPr>
    </w:p>
    <w:p>
      <w:pPr>
        <w:jc w:val="both"/>
        <w:ind w:left="2260" w:firstLine="743"/>
        <w:spacing w:after="0" w:line="243" w:lineRule="auto"/>
        <w:tabs>
          <w:tab w:leader="none" w:pos="357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Executive elects continuation coverage pursuant to the Consolidated Budget Reconciliation Act of 1985 </w:t>
      </w:r>
      <w:r>
        <w:rPr>
          <w:rFonts w:ascii="Times New Roman" w:cs="Times New Roman" w:eastAsia="Times New Roman" w:hAnsi="Times New Roman"/>
          <w:sz w:val="21"/>
          <w:szCs w:val="21"/>
          <w:b w:val="1"/>
          <w:bCs w:val="1"/>
          <w:color w:val="auto"/>
        </w:rPr>
        <w:t>("COBRA")</w:t>
      </w:r>
      <w:r>
        <w:rPr>
          <w:rFonts w:ascii="Times New Roman" w:cs="Times New Roman" w:eastAsia="Times New Roman" w:hAnsi="Times New Roman"/>
          <w:sz w:val="21"/>
          <w:szCs w:val="21"/>
          <w:color w:val="auto"/>
        </w:rPr>
        <w:t xml:space="preserve"> within the time period prescribed pursuant to COBRA for Executive and Executive's eligible dependents, then the Company will reimburse Executive on the last day of each month after his employment termination date for the COBRA premiums paid during such period for such coverage (at the coverage levels in effect immediately prior to Executive's termination) for a period ending (x) twelve (12) months, if such termination or resignation occurs from today to three (3) months before a Change in Control of the Company, or (y) eighteen (18) months from the date of such termination or resignation occurs within three (3) months prior to, or six (6) months following a Change of Control of the Company; provided, that such coverage shall end upon such earlier date that Executive and/or Executive's eligible dependents become covered under similar plans. Notwithstanding the foregoing, if the Company determines in its sole discretion that it cannot provide the benefit described in this Section 8(b)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Anish Bhatnagar Employment Agreement</w:t>
            </w:r>
          </w:p>
        </w:tc>
        <w:tc>
          <w:tcPr>
            <w:tcW w:w="7280" w:type="dxa"/>
            <w:vAlign w:val="bottom"/>
          </w:tcPr>
          <w:p>
            <w:pPr>
              <w:jc w:val="right"/>
              <w:ind w:right="5397"/>
              <w:spacing w:after="0"/>
              <w:rPr>
                <w:sz w:val="20"/>
                <w:szCs w:val="20"/>
                <w:color w:val="auto"/>
              </w:rPr>
            </w:pPr>
            <w:r>
              <w:rPr>
                <w:rFonts w:ascii="Times New Roman" w:cs="Times New Roman" w:eastAsia="Times New Roman" w:hAnsi="Times New Roman"/>
                <w:sz w:val="21"/>
                <w:szCs w:val="21"/>
                <w:color w:val="auto"/>
              </w:rPr>
              <w:t>-3-</w:t>
            </w:r>
          </w:p>
        </w:tc>
      </w:tr>
      <w:tr>
        <w:trPr>
          <w:trHeight w:val="962"/>
        </w:trPr>
        <w:tc>
          <w:tcPr>
            <w:tcW w:w="396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20" w:name="page121"/>
    <w:bookmarkEnd w:id="120"/>
    <w:p>
      <w:pPr>
        <w:jc w:val="both"/>
        <w:ind w:left="2260"/>
        <w:spacing w:after="0" w:line="261" w:lineRule="auto"/>
        <w:rPr>
          <w:sz w:val="20"/>
          <w:szCs w:val="20"/>
          <w:color w:val="auto"/>
        </w:rPr>
      </w:pPr>
      <w:r>
        <w:rPr>
          <w:rFonts w:ascii="Times New Roman" w:cs="Times New Roman" w:eastAsia="Times New Roman" w:hAnsi="Times New Roman"/>
          <w:sz w:val="20"/>
          <w:szCs w:val="20"/>
          <w:color w:val="auto"/>
        </w:rPr>
        <w:t>of whether Executive elects COBRA continuation coverage and will commence on the month following Executive's termination of employment and will end on the earlier of (A) the date upon which Executive obtains other employment or (B) the date the Company has paid an amount equal to fifteen (15) or eighteen</w:t>
      </w:r>
    </w:p>
    <w:p>
      <w:pPr>
        <w:spacing w:after="0" w:line="3" w:lineRule="exact"/>
        <w:rPr>
          <w:sz w:val="20"/>
          <w:szCs w:val="20"/>
          <w:color w:val="auto"/>
        </w:rPr>
      </w:pPr>
    </w:p>
    <w:p>
      <w:pPr>
        <w:jc w:val="both"/>
        <w:ind w:left="2260" w:hanging="6"/>
        <w:spacing w:after="0" w:line="243" w:lineRule="auto"/>
        <w:tabs>
          <w:tab w:leader="none" w:pos="2664"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payments, per the terms of this agreement. For the avoidance of doubt, the taxable payments in lieu of COBRA reimbursements may be used for any purpose, including, but not limited to continuation coverage under COBRA, and will be subject to all applicable tax withholdings"'</w:t>
      </w:r>
    </w:p>
    <w:p>
      <w:pPr>
        <w:spacing w:after="0" w:line="187"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to Receipt of Severance; No Duty to Mitigate.</w:t>
      </w:r>
    </w:p>
    <w:p>
      <w:pPr>
        <w:spacing w:after="0" w:line="217" w:lineRule="exact"/>
        <w:rPr>
          <w:rFonts w:ascii="Times New Roman" w:cs="Times New Roman" w:eastAsia="Times New Roman" w:hAnsi="Times New Roman"/>
          <w:sz w:val="21"/>
          <w:szCs w:val="21"/>
          <w:color w:val="auto"/>
        </w:rPr>
      </w:pPr>
    </w:p>
    <w:p>
      <w:pPr>
        <w:jc w:val="both"/>
        <w:ind w:left="2260" w:firstLine="743"/>
        <w:spacing w:after="0" w:line="244" w:lineRule="auto"/>
        <w:tabs>
          <w:tab w:leader="none" w:pos="3578" w:val="left"/>
        </w:tabs>
        <w:numPr>
          <w:ilvl w:val="2"/>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Separation Agreement and Release of Claims.</w:t>
      </w:r>
      <w:r>
        <w:rPr>
          <w:rFonts w:ascii="Times New Roman" w:cs="Times New Roman" w:eastAsia="Times New Roman" w:hAnsi="Times New Roman"/>
          <w:sz w:val="21"/>
          <w:szCs w:val="21"/>
          <w:color w:val="auto"/>
        </w:rPr>
        <w:t xml:space="preserve"> The payment of any severance set forth in Section 8 above is contingent upon Executive signing and not revoking the Company's standard separation and release of claims agreement upon Executive's termination of employment and such agreement becoming effective no later than sixty (60) days following Executive's employment termination date (such deadline, the </w:t>
      </w:r>
      <w:r>
        <w:rPr>
          <w:rFonts w:ascii="Times New Roman" w:cs="Times New Roman" w:eastAsia="Times New Roman" w:hAnsi="Times New Roman"/>
          <w:sz w:val="21"/>
          <w:szCs w:val="21"/>
          <w:b w:val="1"/>
          <w:bCs w:val="1"/>
          <w:color w:val="auto"/>
        </w:rPr>
        <w:t>"Release Deadline").</w:t>
      </w:r>
      <w:r>
        <w:rPr>
          <w:rFonts w:ascii="Times New Roman" w:cs="Times New Roman" w:eastAsia="Times New Roman" w:hAnsi="Times New Roman"/>
          <w:sz w:val="21"/>
          <w:szCs w:val="21"/>
          <w:color w:val="auto"/>
        </w:rPr>
        <w:t xml:space="preserve"> In no event will severance payments be paid or provided until the release actually becomes effective. Any severance payments or benefits under this Agreement will be paid on, or, in the case of installments, will not commence until, the sixtieth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5"/>
          <w:szCs w:val="15"/>
          <w:color w:val="auto"/>
        </w:rPr>
        <w:t>)</w:t>
      </w:r>
      <w:r>
        <w:rPr>
          <w:rFonts w:ascii="Times New Roman" w:cs="Times New Roman" w:eastAsia="Times New Roman" w:hAnsi="Times New Roman"/>
          <w:sz w:val="21"/>
          <w:szCs w:val="21"/>
          <w:color w:val="auto"/>
        </w:rPr>
        <w:t xml:space="preserve"> day following Executive's separation from service, or if later, such time as required by Section 9(c). Except as required by Section 9(c), any installment payments that would have been made to Executive during the sixty (60) day period immediately following him separation from service but for the preceding sentence will be paid to Executive on the sixtieth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rPr>
        <w:t xml:space="preserve"> day following Executive's separation from service and the remaining payments will be made as provided in the Agreement.</w:t>
      </w:r>
    </w:p>
    <w:p>
      <w:pPr>
        <w:spacing w:after="0" w:line="185" w:lineRule="exact"/>
        <w:rPr>
          <w:rFonts w:ascii="Times New Roman" w:cs="Times New Roman" w:eastAsia="Times New Roman" w:hAnsi="Times New Roman"/>
          <w:sz w:val="21"/>
          <w:szCs w:val="21"/>
          <w:color w:val="auto"/>
        </w:rPr>
      </w:pPr>
    </w:p>
    <w:p>
      <w:pPr>
        <w:jc w:val="both"/>
        <w:ind w:left="2260" w:firstLine="743"/>
        <w:spacing w:after="0" w:line="255" w:lineRule="auto"/>
        <w:tabs>
          <w:tab w:leader="none" w:pos="3578" w:val="left"/>
        </w:tabs>
        <w:numPr>
          <w:ilvl w:val="2"/>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 Agreement.</w:t>
      </w:r>
      <w:r>
        <w:rPr>
          <w:rFonts w:ascii="Times New Roman" w:cs="Times New Roman" w:eastAsia="Times New Roman" w:hAnsi="Times New Roman"/>
          <w:sz w:val="21"/>
          <w:szCs w:val="21"/>
          <w:color w:val="auto"/>
        </w:rPr>
        <w:t xml:space="preserve"> Executive's receipt of any payments or benefits under Section 8 will be subject to Executive continuing to comply with the terms of him Confidential Information Agreement (as defined in Section 12).</w:t>
      </w:r>
    </w:p>
    <w:p>
      <w:pPr>
        <w:spacing w:after="0" w:line="175" w:lineRule="exact"/>
        <w:rPr>
          <w:rFonts w:ascii="Times New Roman" w:cs="Times New Roman" w:eastAsia="Times New Roman" w:hAnsi="Times New Roman"/>
          <w:sz w:val="21"/>
          <w:szCs w:val="21"/>
          <w:color w:val="auto"/>
        </w:rPr>
      </w:pPr>
    </w:p>
    <w:p>
      <w:pPr>
        <w:ind w:left="3580" w:hanging="577"/>
        <w:spacing w:after="0"/>
        <w:tabs>
          <w:tab w:leader="none" w:pos="3580" w:val="left"/>
        </w:tabs>
        <w:numPr>
          <w:ilvl w:val="2"/>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2254"/>
        <w:spacing w:after="0" w:line="248" w:lineRule="auto"/>
        <w:tabs>
          <w:tab w:leader="none" w:pos="2546"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Agreement, no severance pay or benefits payable upon separation that is payable to Executive, if any, pursuant to this Agreement, when considered together with any other severance payments or separation benefits that are considered deferred compensation (together, the </w:t>
      </w:r>
      <w:r>
        <w:rPr>
          <w:rFonts w:ascii="Times New Roman" w:cs="Times New Roman" w:eastAsia="Times New Roman" w:hAnsi="Times New Roman"/>
          <w:sz w:val="19"/>
          <w:szCs w:val="19"/>
          <w:b w:val="1"/>
          <w:bCs w:val="1"/>
          <w:color w:val="auto"/>
        </w:rPr>
        <w:t>"Deferred Payments")</w:t>
      </w:r>
      <w:r>
        <w:rPr>
          <w:rFonts w:ascii="Times New Roman" w:cs="Times New Roman" w:eastAsia="Times New Roman" w:hAnsi="Times New Roman"/>
          <w:sz w:val="21"/>
          <w:szCs w:val="21"/>
          <w:color w:val="auto"/>
        </w:rPr>
        <w:t xml:space="preserve"> under Section 409A of the Internal Revenue Code, as amended (the </w:t>
      </w:r>
      <w:r>
        <w:rPr>
          <w:rFonts w:ascii="Times New Roman" w:cs="Times New Roman" w:eastAsia="Times New Roman" w:hAnsi="Times New Roman"/>
          <w:sz w:val="19"/>
          <w:szCs w:val="19"/>
          <w:b w:val="1"/>
          <w:bCs w:val="1"/>
          <w:color w:val="auto"/>
        </w:rPr>
        <w:t>"Code")</w:t>
      </w:r>
      <w:r>
        <w:rPr>
          <w:rFonts w:ascii="Times New Roman" w:cs="Times New Roman" w:eastAsia="Times New Roman" w:hAnsi="Times New Roman"/>
          <w:sz w:val="21"/>
          <w:szCs w:val="21"/>
          <w:color w:val="auto"/>
        </w:rPr>
        <w:t xml:space="preserve"> and the final regulations and official guidance thereunder </w:t>
      </w:r>
      <w:r>
        <w:rPr>
          <w:rFonts w:ascii="Times New Roman" w:cs="Times New Roman" w:eastAsia="Times New Roman" w:hAnsi="Times New Roman"/>
          <w:sz w:val="19"/>
          <w:szCs w:val="19"/>
          <w:b w:val="1"/>
          <w:bCs w:val="1"/>
          <w:color w:val="auto"/>
        </w:rPr>
        <w:t>("Section 409A")</w:t>
      </w:r>
      <w:r>
        <w:rPr>
          <w:rFonts w:ascii="Times New Roman" w:cs="Times New Roman" w:eastAsia="Times New Roman" w:hAnsi="Times New Roman"/>
          <w:sz w:val="21"/>
          <w:szCs w:val="21"/>
          <w:color w:val="auto"/>
        </w:rPr>
        <w:t xml:space="preserve"> will be payable until Executive has a "separation from service" within the meaning of Section 409A.</w:t>
      </w:r>
    </w:p>
    <w:p>
      <w:pPr>
        <w:spacing w:after="0" w:line="183" w:lineRule="exact"/>
        <w:rPr>
          <w:rFonts w:ascii="Times New Roman" w:cs="Times New Roman" w:eastAsia="Times New Roman" w:hAnsi="Times New Roman"/>
          <w:sz w:val="21"/>
          <w:szCs w:val="21"/>
          <w:color w:val="auto"/>
        </w:rPr>
      </w:pPr>
    </w:p>
    <w:p>
      <w:pPr>
        <w:jc w:val="both"/>
        <w:ind w:firstLine="2254"/>
        <w:spacing w:after="0" w:line="258" w:lineRule="auto"/>
        <w:tabs>
          <w:tab w:leader="none" w:pos="254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if Executive is a "specified employee" within the meaning of Section 409A at the time of him termination (other than due to death), then the Deferred Payments, if any, that are payable within the first six (6) months following him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him separation from service, but prior to the six (6) month anniversary of the separation from service, then any payments delayed in accordance with this Section 9(c)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l.409A-2(b)(2) of the Treasury Regulations.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Anish Bhatnagar Employment Agreement</w:t>
            </w:r>
          </w:p>
        </w:tc>
        <w:tc>
          <w:tcPr>
            <w:tcW w:w="7280" w:type="dxa"/>
            <w:vAlign w:val="bottom"/>
          </w:tcPr>
          <w:p>
            <w:pPr>
              <w:jc w:val="right"/>
              <w:ind w:right="5397"/>
              <w:spacing w:after="0"/>
              <w:rPr>
                <w:sz w:val="20"/>
                <w:szCs w:val="20"/>
                <w:color w:val="auto"/>
              </w:rPr>
            </w:pPr>
            <w:r>
              <w:rPr>
                <w:rFonts w:ascii="Times New Roman" w:cs="Times New Roman" w:eastAsia="Times New Roman" w:hAnsi="Times New Roman"/>
                <w:sz w:val="21"/>
                <w:szCs w:val="21"/>
                <w:color w:val="auto"/>
              </w:rPr>
              <w:t>-4-</w:t>
            </w:r>
          </w:p>
        </w:tc>
      </w:tr>
      <w:tr>
        <w:trPr>
          <w:trHeight w:val="962"/>
        </w:trPr>
        <w:tc>
          <w:tcPr>
            <w:tcW w:w="396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21" w:name="page122"/>
    <w:bookmarkEnd w:id="121"/>
    <w:p>
      <w:pPr>
        <w:jc w:val="both"/>
        <w:ind w:firstLine="2246"/>
        <w:spacing w:after="0" w:line="261" w:lineRule="auto"/>
        <w:rPr>
          <w:sz w:val="20"/>
          <w:szCs w:val="20"/>
          <w:color w:val="auto"/>
        </w:rPr>
      </w:pPr>
      <w:r>
        <w:rPr>
          <w:rFonts w:ascii="Times New Roman" w:cs="Times New Roman" w:eastAsia="Times New Roman" w:hAnsi="Times New Roman"/>
          <w:sz w:val="20"/>
          <w:szCs w:val="20"/>
          <w:color w:val="auto"/>
        </w:rPr>
        <w:t>(iii)Any severance payment that satisfies the requirements of the "short-term deferral" rule set forth in Section 1.409A-l(b)(4) of the Treasury Regulations shall not constitute Deferred Payments for purposes herein. Any amount paid under this Agreement that qualifies as a payment made as a result of an involuntary separation from service pursuant to Section 1.409A-l(b )</w:t>
      </w:r>
    </w:p>
    <w:p>
      <w:pPr>
        <w:spacing w:after="0" w:line="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(9)(iii) of the Treasury Regulations that does not exceed the Section 409A Limit (as defined below) will not constitute Deferred Payments for purposes herein.</w:t>
      </w:r>
    </w:p>
    <w:p>
      <w:pPr>
        <w:spacing w:after="0" w:line="183" w:lineRule="exact"/>
        <w:rPr>
          <w:sz w:val="20"/>
          <w:szCs w:val="20"/>
          <w:color w:val="auto"/>
        </w:rPr>
      </w:pPr>
    </w:p>
    <w:p>
      <w:pPr>
        <w:jc w:val="both"/>
        <w:ind w:firstLine="2246"/>
        <w:spacing w:after="0" w:line="264" w:lineRule="auto"/>
        <w:rPr>
          <w:sz w:val="20"/>
          <w:szCs w:val="20"/>
          <w:color w:val="auto"/>
        </w:rPr>
      </w:pPr>
      <w:r>
        <w:rPr>
          <w:rFonts w:ascii="Times New Roman" w:cs="Times New Roman" w:eastAsia="Times New Roman" w:hAnsi="Times New Roman"/>
          <w:sz w:val="20"/>
          <w:szCs w:val="20"/>
          <w:color w:val="auto"/>
        </w:rPr>
        <w:t xml:space="preserve">(iv)For purposes of this Agreement, </w:t>
      </w:r>
      <w:r>
        <w:rPr>
          <w:rFonts w:ascii="Times New Roman" w:cs="Times New Roman" w:eastAsia="Times New Roman" w:hAnsi="Times New Roman"/>
          <w:sz w:val="18"/>
          <w:szCs w:val="18"/>
          <w:b w:val="1"/>
          <w:bCs w:val="1"/>
          <w:color w:val="auto"/>
        </w:rPr>
        <w:t>"Section 409A Limit"</w:t>
      </w:r>
      <w:r>
        <w:rPr>
          <w:rFonts w:ascii="Times New Roman" w:cs="Times New Roman" w:eastAsia="Times New Roman" w:hAnsi="Times New Roman"/>
          <w:sz w:val="20"/>
          <w:szCs w:val="20"/>
          <w:color w:val="auto"/>
        </w:rPr>
        <w:t xml:space="preserve"> means the lesser of two (2) times: (x) Executive's annualized compensation based upon the annual rate of pay paid to Executive during Executive's taxable year preceding Executive's taxable year of Executive's termination of employment as determined under Treasury Regulation 1.409A-1(b)(9)(iii)(A)(l) and any Internal Revenue Service guidance issued with respect thereto, or (y) the maximum amount that may be taken into account under a qualified plan pursuant to Section 401(a)(l 7) of the Code for the year in which Executive's employment is terminated.</w:t>
      </w:r>
    </w:p>
    <w:p>
      <w:pPr>
        <w:spacing w:after="0" w:line="166" w:lineRule="exact"/>
        <w:rPr>
          <w:sz w:val="20"/>
          <w:szCs w:val="20"/>
          <w:color w:val="auto"/>
        </w:rPr>
      </w:pPr>
    </w:p>
    <w:p>
      <w:pPr>
        <w:jc w:val="both"/>
        <w:ind w:firstLine="2254"/>
        <w:spacing w:after="0" w:line="248" w:lineRule="auto"/>
        <w:tabs>
          <w:tab w:leader="none" w:pos="2546"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foregoing provisions are intended to comply with or be exempt from the requirements of Section 409A so that none of the severance payments and benefits to be provided hereunder will be subject to the additional tax imposed under Section 409A, and any ambiguities herein will be interpreted to so comply. Executive and the Company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83" w:lineRule="exact"/>
        <w:rPr>
          <w:rFonts w:ascii="Times New Roman" w:cs="Times New Roman" w:eastAsia="Times New Roman" w:hAnsi="Times New Roman"/>
          <w:sz w:val="21"/>
          <w:szCs w:val="21"/>
          <w:color w:val="auto"/>
        </w:rPr>
      </w:pPr>
    </w:p>
    <w:p>
      <w:pPr>
        <w:jc w:val="both"/>
        <w:ind w:left="2260" w:firstLine="743"/>
        <w:spacing w:after="0" w:line="255" w:lineRule="auto"/>
        <w:tabs>
          <w:tab w:leader="none" w:pos="3578" w:val="left"/>
        </w:tabs>
        <w:numPr>
          <w:ilvl w:val="2"/>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Duty to Mitigate.</w:t>
      </w:r>
      <w:r>
        <w:rPr>
          <w:rFonts w:ascii="Times New Roman" w:cs="Times New Roman" w:eastAsia="Times New Roman" w:hAnsi="Times New Roman"/>
          <w:sz w:val="21"/>
          <w:szCs w:val="21"/>
          <w:color w:val="auto"/>
        </w:rPr>
        <w:t xml:space="preserve"> Executive will not be required to mitigate the amount of any payment contemplated by this Agreement, nor will any earnings that Executive may receive from any other source reduce any such payment.</w:t>
      </w:r>
    </w:p>
    <w:p>
      <w:pPr>
        <w:spacing w:after="0" w:line="175"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Definitions.</w:t>
      </w:r>
    </w:p>
    <w:p>
      <w:pPr>
        <w:spacing w:after="0" w:line="215" w:lineRule="exact"/>
        <w:rPr>
          <w:rFonts w:ascii="Times New Roman" w:cs="Times New Roman" w:eastAsia="Times New Roman" w:hAnsi="Times New Roman"/>
          <w:sz w:val="21"/>
          <w:szCs w:val="21"/>
          <w:color w:val="auto"/>
        </w:rPr>
      </w:pPr>
    </w:p>
    <w:p>
      <w:pPr>
        <w:jc w:val="both"/>
        <w:ind w:left="2260" w:firstLine="743"/>
        <w:spacing w:after="0" w:line="244" w:lineRule="auto"/>
        <w:tabs>
          <w:tab w:leader="none" w:pos="3578"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xml:space="preserve"> For purposes of this Agreement,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xml:space="preserve"> means: (i) Executive's act of personal dishonesty in connection with him responsibilities as an employee that is intended to result in Executive's substantial personal enrichment; (ii) Executive being convicted of, or pleading no contest or guilty to, (x) a misdemeanor that the Company reasonably believes has had or will have a material detrimental effect on the Company, or (y) any felony; (iii) Executive's gross misconduct; (iv) Executive's willful and continued failure to perform the duties and responsibilities of him position after thime has been delivered to Executive a written demand for performance from the Company that describes the basis for the Company's belief that Executive has not substantially performed him duties and Executive has not corrected such failure within thirty (30) days of such written demand; or (v) Executive's material violation of any written Company employment policy or standard of conduct, including a material breach of the Confidential Information Agreement.</w:t>
      </w:r>
    </w:p>
    <w:p>
      <w:pPr>
        <w:spacing w:after="0" w:line="190" w:lineRule="exact"/>
        <w:rPr>
          <w:rFonts w:ascii="Times New Roman" w:cs="Times New Roman" w:eastAsia="Times New Roman" w:hAnsi="Times New Roman"/>
          <w:sz w:val="21"/>
          <w:szCs w:val="21"/>
          <w:color w:val="auto"/>
        </w:rPr>
      </w:pPr>
    </w:p>
    <w:p>
      <w:pPr>
        <w:ind w:left="2260" w:firstLine="743"/>
        <w:spacing w:after="0" w:line="270" w:lineRule="auto"/>
        <w:tabs>
          <w:tab w:leader="none" w:pos="3578"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xml:space="preserve"> For purposes of this Agreement, </w:t>
      </w:r>
      <w:r>
        <w:rPr>
          <w:rFonts w:ascii="Times New Roman" w:cs="Times New Roman" w:eastAsia="Times New Roman" w:hAnsi="Times New Roman"/>
          <w:sz w:val="19"/>
          <w:szCs w:val="19"/>
          <w:b w:val="1"/>
          <w:bCs w:val="1"/>
          <w:color w:val="auto"/>
        </w:rPr>
        <w:t>"Change in Control"</w:t>
      </w:r>
      <w:r>
        <w:rPr>
          <w:rFonts w:ascii="Times New Roman" w:cs="Times New Roman" w:eastAsia="Times New Roman" w:hAnsi="Times New Roman"/>
          <w:sz w:val="21"/>
          <w:szCs w:val="21"/>
          <w:color w:val="auto"/>
        </w:rPr>
        <w:t xml:space="preserve"> has the same meaning assigned to such term in the 2014 Plan.</w:t>
      </w:r>
    </w:p>
    <w:p>
      <w:pPr>
        <w:spacing w:after="0" w:line="158" w:lineRule="exact"/>
        <w:rPr>
          <w:rFonts w:ascii="Times New Roman" w:cs="Times New Roman" w:eastAsia="Times New Roman" w:hAnsi="Times New Roman"/>
          <w:sz w:val="21"/>
          <w:szCs w:val="21"/>
          <w:color w:val="auto"/>
        </w:rPr>
      </w:pPr>
    </w:p>
    <w:p>
      <w:pPr>
        <w:jc w:val="both"/>
        <w:ind w:left="2260" w:firstLine="743"/>
        <w:spacing w:after="0" w:line="255" w:lineRule="auto"/>
        <w:tabs>
          <w:tab w:leader="none" w:pos="3578"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xml:space="preserve"> For purposes of this Agreement, </w:t>
      </w:r>
      <w:r>
        <w:rPr>
          <w:rFonts w:ascii="Times New Roman" w:cs="Times New Roman" w:eastAsia="Times New Roman" w:hAnsi="Times New Roman"/>
          <w:sz w:val="19"/>
          <w:szCs w:val="19"/>
          <w:b w:val="1"/>
          <w:bCs w:val="1"/>
          <w:color w:val="auto"/>
        </w:rPr>
        <w:t>"Disability"</w:t>
      </w:r>
      <w:r>
        <w:rPr>
          <w:rFonts w:ascii="Times New Roman" w:cs="Times New Roman" w:eastAsia="Times New Roman" w:hAnsi="Times New Roman"/>
          <w:sz w:val="21"/>
          <w:szCs w:val="21"/>
          <w:color w:val="auto"/>
        </w:rPr>
        <w:t xml:space="preserve"> means Executive's inability to perform Executive's duties due to Executive's physical or mental incapacity, as reasonably determined by the Board or its designee, for an aggregate of 180 days in any 365 consecutive day period.</w:t>
      </w:r>
    </w:p>
    <w:p>
      <w:pPr>
        <w:spacing w:after="0" w:line="175" w:lineRule="exact"/>
        <w:rPr>
          <w:rFonts w:ascii="Times New Roman" w:cs="Times New Roman" w:eastAsia="Times New Roman" w:hAnsi="Times New Roman"/>
          <w:sz w:val="21"/>
          <w:szCs w:val="21"/>
          <w:color w:val="auto"/>
        </w:rPr>
      </w:pPr>
    </w:p>
    <w:p>
      <w:pPr>
        <w:jc w:val="both"/>
        <w:ind w:left="2260" w:firstLine="743"/>
        <w:spacing w:after="0" w:line="255" w:lineRule="auto"/>
        <w:tabs>
          <w:tab w:leader="none" w:pos="3578"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 Awards.</w:t>
      </w:r>
      <w:r>
        <w:rPr>
          <w:rFonts w:ascii="Times New Roman" w:cs="Times New Roman" w:eastAsia="Times New Roman" w:hAnsi="Times New Roman"/>
          <w:sz w:val="21"/>
          <w:szCs w:val="21"/>
          <w:color w:val="auto"/>
        </w:rPr>
        <w:t xml:space="preserve"> For purposes of this Agreement, </w:t>
      </w:r>
      <w:r>
        <w:rPr>
          <w:rFonts w:ascii="Times New Roman" w:cs="Times New Roman" w:eastAsia="Times New Roman" w:hAnsi="Times New Roman"/>
          <w:sz w:val="19"/>
          <w:szCs w:val="19"/>
          <w:b w:val="1"/>
          <w:bCs w:val="1"/>
          <w:color w:val="auto"/>
        </w:rPr>
        <w:t>"Equity Awards"</w:t>
      </w:r>
      <w:r>
        <w:rPr>
          <w:rFonts w:ascii="Times New Roman" w:cs="Times New Roman" w:eastAsia="Times New Roman" w:hAnsi="Times New Roman"/>
          <w:sz w:val="21"/>
          <w:szCs w:val="21"/>
          <w:color w:val="auto"/>
        </w:rPr>
        <w:t xml:space="preserve"> means Executive's outstanding stock options, stock appreciation rights, restricted stock units, performance shares, performance stock units and any other Company equity compensation awards.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Anish Bhatnagar Employment Agreement</w:t>
            </w:r>
          </w:p>
        </w:tc>
        <w:tc>
          <w:tcPr>
            <w:tcW w:w="7280" w:type="dxa"/>
            <w:vAlign w:val="bottom"/>
          </w:tcPr>
          <w:p>
            <w:pPr>
              <w:jc w:val="right"/>
              <w:ind w:right="5397"/>
              <w:spacing w:after="0"/>
              <w:rPr>
                <w:sz w:val="20"/>
                <w:szCs w:val="20"/>
                <w:color w:val="auto"/>
              </w:rPr>
            </w:pPr>
            <w:r>
              <w:rPr>
                <w:rFonts w:ascii="Times New Roman" w:cs="Times New Roman" w:eastAsia="Times New Roman" w:hAnsi="Times New Roman"/>
                <w:sz w:val="21"/>
                <w:szCs w:val="21"/>
                <w:color w:val="auto"/>
              </w:rPr>
              <w:t>-5-</w:t>
            </w:r>
          </w:p>
        </w:tc>
      </w:tr>
      <w:tr>
        <w:trPr>
          <w:trHeight w:val="962"/>
        </w:trPr>
        <w:tc>
          <w:tcPr>
            <w:tcW w:w="396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22" w:name="page123"/>
    <w:bookmarkEnd w:id="122"/>
    <w:p>
      <w:pPr>
        <w:jc w:val="both"/>
        <w:ind w:left="2260" w:firstLine="743"/>
        <w:spacing w:after="0" w:line="243" w:lineRule="auto"/>
        <w:tabs>
          <w:tab w:leader="none" w:pos="3578"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xml:space="preserve"> For purposes of this Agreement, </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xml:space="preserve"> means Executive's resignation within thirty (30) days following the expiration of any Company cure period (discussed below) following the occurrence of one or more of the following, without Executive's consent: (i) a material reduction in Executive's Base Salary, excluding the substitution of substantially equivalent compensation and benefits, that is not generally applicable to all Company senior management or employees of the Company generally; (ii) a material reduction of Executive's authority, duties or responsibilities, unless Executive is provided with a comparable position; provided, however, that a reduction in authority, duties, or responsibilities solely by virtue of the Company being acquired and made part of a larger entity whether as a subsidiary, business unit or otherwise (as, for example, when the Chief Executive Officer of the Company remains as such following an acquisition whether the Company becomes a wholly owned subsidiary of the acquirer, but is not made the Chief Executive Officer of the acquiring corporation) will not constitute "Good Reason"; or (iii) a material change in the geographic location of Executive's primary work facility or location; provided, that a relocation of fifty (50) miles or less from Executive's then present location or to Executive's home as him primary work location will not be considered a material change in geographic location. 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and such grounds must not have been cured during such time.</w:t>
      </w:r>
    </w:p>
    <w:p>
      <w:pPr>
        <w:spacing w:after="0" w:line="189" w:lineRule="exact"/>
        <w:rPr>
          <w:rFonts w:ascii="Times New Roman" w:cs="Times New Roman" w:eastAsia="Times New Roman" w:hAnsi="Times New Roman"/>
          <w:sz w:val="21"/>
          <w:szCs w:val="21"/>
          <w:color w:val="auto"/>
        </w:rPr>
      </w:pPr>
    </w:p>
    <w:p>
      <w:pPr>
        <w:jc w:val="both"/>
        <w:ind w:firstLine="757"/>
        <w:spacing w:after="0" w:line="276" w:lineRule="auto"/>
        <w:tabs>
          <w:tab w:leader="none" w:pos="101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on Payments.</w:t>
      </w:r>
      <w:r>
        <w:rPr>
          <w:rFonts w:ascii="Times New Roman" w:cs="Times New Roman" w:eastAsia="Times New Roman" w:hAnsi="Times New Roman"/>
          <w:sz w:val="20"/>
          <w:szCs w:val="20"/>
          <w:color w:val="auto"/>
        </w:rPr>
        <w:t xml:space="preserve"> In the event that the severance benefits provided for in this Agreement or otherwise payable to Executive (i) constitute "parachute payments" within the meaning of Section 280G of the Code and (ii) but for this Section 11, would be subject to the excise tax imposed by Section 4999 of the Code, then Executive's severance benefits under Section 8 will be either:</w:t>
      </w:r>
    </w:p>
    <w:p>
      <w:pPr>
        <w:spacing w:after="0" w:line="151"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delivered in full, or</w:t>
      </w:r>
    </w:p>
    <w:p>
      <w:pPr>
        <w:spacing w:after="0" w:line="217" w:lineRule="exact"/>
        <w:rPr>
          <w:rFonts w:ascii="Times New Roman" w:cs="Times New Roman" w:eastAsia="Times New Roman" w:hAnsi="Times New Roman"/>
          <w:sz w:val="21"/>
          <w:szCs w:val="21"/>
          <w:color w:val="auto"/>
        </w:rPr>
      </w:pPr>
    </w:p>
    <w:p>
      <w:pPr>
        <w:ind w:left="2260" w:firstLine="743"/>
        <w:spacing w:after="0" w:line="270" w:lineRule="auto"/>
        <w:tabs>
          <w:tab w:leader="none" w:pos="3578"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delivered as to such lesser extent which would result in no portion of such severance benefits being subject to excise tax under Section 4999 of the Code,</w:t>
      </w:r>
    </w:p>
    <w:p>
      <w:pPr>
        <w:spacing w:after="0" w:line="15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severance and other benefits constituting "parachute payments" is necessary so that benefits are delivered to a lesser extent, reduction will occur in the following order: (i) reduction of cash payments, which shall occur in reverse chronological order such that the cash payment owed on the latest date following the occurrence of the event triggering such excise tax will be the first cash payment to be reduced; (ii) reduction of acceleration of vesting of equity awards, which shall occur in the reverse order of the date of grant for such stock awards (i.e., the vesting of the most recently granted stock awards will be reduced first); and (iii) reduction of other benefits paid or provided to the Executive, which shall occur in reverse chronological order such that the benefit owed on the latest date following the occurrence of the event triggering such excise tax will be the first benefit to be reduced. If more than one equity award was made to the Executive on the same date of grant, all such awards shall have their acceleration of vesting reduced pro rata. In no event shall the Executive have any discretion with respect to the ordering of payment reductions.</w:t>
      </w:r>
    </w:p>
    <w:p>
      <w:pPr>
        <w:spacing w:after="0" w:line="18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Unless the Company and Executive otherwise agree in writing, any determination required under this Section 11 will be made in writing by a nationally recognized firm of independent public accountants selected by the Company (the </w:t>
      </w:r>
      <w:r>
        <w:rPr>
          <w:rFonts w:ascii="Times New Roman" w:cs="Times New Roman" w:eastAsia="Times New Roman" w:hAnsi="Times New Roman"/>
          <w:sz w:val="19"/>
          <w:szCs w:val="19"/>
          <w:b w:val="1"/>
          <w:bCs w:val="1"/>
          <w:color w:val="auto"/>
        </w:rPr>
        <w:t>"Accountants"),</w:t>
      </w:r>
      <w:r>
        <w:rPr>
          <w:rFonts w:ascii="Times New Roman" w:cs="Times New Roman" w:eastAsia="Times New Roman" w:hAnsi="Times New Roman"/>
          <w:sz w:val="21"/>
          <w:szCs w:val="21"/>
          <w:color w:val="auto"/>
        </w:rPr>
        <w:t xml:space="preserve"> whose determination will be conclusive and binding upon Executive and the Company for all</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Anish Bhatnagar Employment Agreement</w:t>
            </w:r>
          </w:p>
        </w:tc>
        <w:tc>
          <w:tcPr>
            <w:tcW w:w="7280" w:type="dxa"/>
            <w:vAlign w:val="bottom"/>
          </w:tcPr>
          <w:p>
            <w:pPr>
              <w:jc w:val="right"/>
              <w:ind w:right="5397"/>
              <w:spacing w:after="0"/>
              <w:rPr>
                <w:sz w:val="20"/>
                <w:szCs w:val="20"/>
                <w:color w:val="auto"/>
              </w:rPr>
            </w:pPr>
            <w:r>
              <w:rPr>
                <w:rFonts w:ascii="Times New Roman" w:cs="Times New Roman" w:eastAsia="Times New Roman" w:hAnsi="Times New Roman"/>
                <w:sz w:val="21"/>
                <w:szCs w:val="21"/>
                <w:color w:val="auto"/>
              </w:rPr>
              <w:t>-6-</w:t>
            </w:r>
          </w:p>
        </w:tc>
      </w:tr>
      <w:tr>
        <w:trPr>
          <w:trHeight w:val="962"/>
        </w:trPr>
        <w:tc>
          <w:tcPr>
            <w:tcW w:w="396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123" w:name="page124"/>
    <w:bookmarkEnd w:id="123"/>
    <w:p>
      <w:pPr>
        <w:jc w:val="both"/>
        <w:spacing w:after="0" w:line="248" w:lineRule="auto"/>
        <w:rPr>
          <w:sz w:val="20"/>
          <w:szCs w:val="20"/>
          <w:color w:val="auto"/>
        </w:rPr>
      </w:pPr>
      <w:r>
        <w:rPr>
          <w:rFonts w:ascii="Times New Roman" w:cs="Times New Roman" w:eastAsia="Times New Roman" w:hAnsi="Times New Roman"/>
          <w:sz w:val="21"/>
          <w:szCs w:val="21"/>
          <w:color w:val="auto"/>
        </w:rPr>
        <w:t>purposes. For purposes of making the calculations required by this Section 11, the Accountants may make reasonable assumptions and approximations concerning applicable taxes and may rely on reasonable, good faith interpretations concerning the application of Sections 280G and 4999 of the Code. The Company and Executive will furnish to the Accountants such information and documents as the Accountants may reasonably request in order to make a determination under this Section. The Company will bear all costs the Accountants may reasonably incur in connection with any calculations contemplated by this Section 11.</w:t>
      </w:r>
    </w:p>
    <w:p>
      <w:pPr>
        <w:spacing w:after="0" w:line="183" w:lineRule="exact"/>
        <w:rPr>
          <w:sz w:val="20"/>
          <w:szCs w:val="20"/>
          <w:color w:val="auto"/>
        </w:rPr>
      </w:pPr>
    </w:p>
    <w:p>
      <w:pPr>
        <w:jc w:val="both"/>
        <w:ind w:firstLine="757"/>
        <w:spacing w:after="0" w:line="274" w:lineRule="auto"/>
        <w:tabs>
          <w:tab w:leader="none" w:pos="101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xml:space="preserve"> Executive confirms his continuing obligations under the Company's standard At-Will Employment, Proprietary Information and Invention Assignment Agreement (the </w:t>
      </w:r>
      <w:r>
        <w:rPr>
          <w:rFonts w:ascii="Times New Roman" w:cs="Times New Roman" w:eastAsia="Times New Roman" w:hAnsi="Times New Roman"/>
          <w:sz w:val="18"/>
          <w:szCs w:val="18"/>
          <w:b w:val="1"/>
          <w:bCs w:val="1"/>
          <w:color w:val="auto"/>
        </w:rPr>
        <w:t>"Confidential Information Agreement")</w:t>
      </w:r>
      <w:r>
        <w:rPr>
          <w:rFonts w:ascii="Times New Roman" w:cs="Times New Roman" w:eastAsia="Times New Roman" w:hAnsi="Times New Roman"/>
          <w:sz w:val="20"/>
          <w:szCs w:val="20"/>
          <w:color w:val="auto"/>
        </w:rPr>
        <w:t xml:space="preserve"> dated on or about the date hereof.</w:t>
      </w:r>
    </w:p>
    <w:p>
      <w:pPr>
        <w:spacing w:after="0" w:line="157" w:lineRule="exact"/>
        <w:rPr>
          <w:rFonts w:ascii="Times New Roman" w:cs="Times New Roman" w:eastAsia="Times New Roman" w:hAnsi="Times New Roman"/>
          <w:sz w:val="20"/>
          <w:szCs w:val="20"/>
          <w:color w:val="auto"/>
        </w:rPr>
      </w:pPr>
    </w:p>
    <w:p>
      <w:pPr>
        <w:jc w:val="both"/>
        <w:ind w:firstLine="757"/>
        <w:spacing w:after="0" w:line="260" w:lineRule="auto"/>
        <w:tabs>
          <w:tab w:leader="none" w:pos="101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xml:space="preserve">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20"/>
          <w:szCs w:val="20"/>
          <w:color w:val="auto"/>
        </w:rPr>
        <w:t xml:space="preserve">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200" w:lineRule="exact"/>
        <w:rPr>
          <w:rFonts w:ascii="Times New Roman" w:cs="Times New Roman" w:eastAsia="Times New Roman" w:hAnsi="Times New Roman"/>
          <w:sz w:val="20"/>
          <w:szCs w:val="20"/>
          <w:color w:val="auto"/>
        </w:rPr>
      </w:pPr>
    </w:p>
    <w:p>
      <w:pPr>
        <w:spacing w:after="0" w:line="215" w:lineRule="exact"/>
        <w:rPr>
          <w:rFonts w:ascii="Times New Roman" w:cs="Times New Roman" w:eastAsia="Times New Roman" w:hAnsi="Times New Roman"/>
          <w:sz w:val="20"/>
          <w:szCs w:val="20"/>
          <w:color w:val="auto"/>
        </w:rPr>
      </w:pPr>
    </w:p>
    <w:p>
      <w:pPr>
        <w:jc w:val="both"/>
        <w:ind w:firstLine="757"/>
        <w:spacing w:after="0" w:line="265" w:lineRule="auto"/>
        <w:tabs>
          <w:tab w:leader="none" w:pos="101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All notices, requests, demands and other communications called for hereunder will be in writing and will be deemed given (i) on the date of delivery if delivered personally; (ii) one (1) day after being sent by a well established commercial overnight service; or (iii) four (4) days after being mailed by registered or certified mail, return receipt requested, prepaid and addressed to the parties or their successors at the following addresses, or at such other addresses as the parties may later designate in writing:</w:t>
      </w:r>
    </w:p>
    <w:p>
      <w:pPr>
        <w:spacing w:after="0" w:line="200" w:lineRule="exact"/>
        <w:rPr>
          <w:sz w:val="20"/>
          <w:szCs w:val="20"/>
          <w:color w:val="auto"/>
        </w:rPr>
      </w:pPr>
    </w:p>
    <w:p>
      <w:pPr>
        <w:spacing w:after="0" w:line="2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Capnia, Inc.</w:t>
      </w:r>
    </w:p>
    <w:p>
      <w:pPr>
        <w:ind w:left="1300"/>
        <w:spacing w:after="0"/>
        <w:rPr>
          <w:sz w:val="20"/>
          <w:szCs w:val="20"/>
          <w:color w:val="auto"/>
        </w:rPr>
      </w:pPr>
      <w:r>
        <w:rPr>
          <w:rFonts w:ascii="Times New Roman" w:cs="Times New Roman" w:eastAsia="Times New Roman" w:hAnsi="Times New Roman"/>
          <w:sz w:val="18"/>
          <w:szCs w:val="18"/>
          <w:color w:val="auto"/>
        </w:rPr>
        <w:t>Attn: Chief Executive Officer</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1235 Radio Rd, Suite 110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Redwood City, CA 94065</w:t>
      </w:r>
    </w:p>
    <w:p>
      <w:pPr>
        <w:spacing w:after="0" w:line="200" w:lineRule="exact"/>
        <w:rPr>
          <w:sz w:val="20"/>
          <w:szCs w:val="20"/>
          <w:color w:val="auto"/>
        </w:rPr>
      </w:pPr>
    </w:p>
    <w:p>
      <w:pPr>
        <w:spacing w:after="0" w:line="20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If to Executive:</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at the last residential address known by the Company.</w:t>
      </w:r>
    </w:p>
    <w:p>
      <w:pPr>
        <w:spacing w:after="0" w:line="218" w:lineRule="exact"/>
        <w:rPr>
          <w:sz w:val="20"/>
          <w:szCs w:val="20"/>
          <w:color w:val="auto"/>
        </w:rPr>
      </w:pPr>
    </w:p>
    <w:p>
      <w:pPr>
        <w:ind w:firstLine="757"/>
        <w:spacing w:after="0" w:line="301"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xml:space="preserve"> In the event that any provision hereof becomes or is declared by a court of competent jurisdiction to be illegal, unenforceable or void, this Agreement will continue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full force and effect without said provision.</w:t>
      </w:r>
    </w:p>
    <w:p>
      <w:pPr>
        <w:spacing w:after="0" w:line="137" w:lineRule="exact"/>
        <w:rPr>
          <w:rFonts w:ascii="Times New Roman" w:cs="Times New Roman" w:eastAsia="Times New Roman" w:hAnsi="Times New Roman"/>
          <w:sz w:val="20"/>
          <w:szCs w:val="20"/>
          <w:color w:val="auto"/>
        </w:rPr>
      </w:pPr>
    </w:p>
    <w:p>
      <w:pPr>
        <w:jc w:val="both"/>
        <w:ind w:firstLine="757"/>
        <w:spacing w:after="0" w:line="267"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xml:space="preserve"> This Agreement, together with the 2014 Plan, Option Agreement and the Confidential Information Agreement represents the entire agreement and understanding between the parties as to the subject matter herein and supersedes all prior or contemporaneous agreements whether written or oral. This Agreement may be modified only by agreement of the parties by a written instrument executed by the parties that is designated as an amendment to this Agreement.</w:t>
      </w:r>
    </w:p>
    <w:p>
      <w:pPr>
        <w:spacing w:after="0" w:line="164" w:lineRule="exact"/>
        <w:rPr>
          <w:rFonts w:ascii="Times New Roman" w:cs="Times New Roman" w:eastAsia="Times New Roman" w:hAnsi="Times New Roman"/>
          <w:sz w:val="20"/>
          <w:szCs w:val="20"/>
          <w:color w:val="auto"/>
        </w:rPr>
      </w:pPr>
    </w:p>
    <w:p>
      <w:pPr>
        <w:ind w:firstLine="757"/>
        <w:spacing w:after="0" w:line="295"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Breach.</w:t>
      </w:r>
      <w:r>
        <w:rPr>
          <w:rFonts w:ascii="Times New Roman" w:cs="Times New Roman" w:eastAsia="Times New Roman" w:hAnsi="Times New Roman"/>
          <w:sz w:val="20"/>
          <w:szCs w:val="20"/>
          <w:color w:val="auto"/>
        </w:rPr>
        <w:t xml:space="preserve"> The waiver of a breach of any term or provision of this Agreement, which must be in writing, will not operate as or be construed to be a waiver of any other previous or subsequent breach of this Agreement.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Anish Bhatnagar Employment Agreement</w:t>
            </w:r>
          </w:p>
        </w:tc>
        <w:tc>
          <w:tcPr>
            <w:tcW w:w="7280" w:type="dxa"/>
            <w:vAlign w:val="bottom"/>
          </w:tcPr>
          <w:p>
            <w:pPr>
              <w:jc w:val="right"/>
              <w:ind w:right="5397"/>
              <w:spacing w:after="0"/>
              <w:rPr>
                <w:sz w:val="20"/>
                <w:szCs w:val="20"/>
                <w:color w:val="auto"/>
              </w:rPr>
            </w:pPr>
            <w:r>
              <w:rPr>
                <w:rFonts w:ascii="Times New Roman" w:cs="Times New Roman" w:eastAsia="Times New Roman" w:hAnsi="Times New Roman"/>
                <w:sz w:val="21"/>
                <w:szCs w:val="21"/>
                <w:color w:val="auto"/>
              </w:rPr>
              <w:t>-7-</w:t>
            </w:r>
          </w:p>
        </w:tc>
      </w:tr>
      <w:tr>
        <w:trPr>
          <w:trHeight w:val="962"/>
        </w:trPr>
        <w:tc>
          <w:tcPr>
            <w:tcW w:w="396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24" w:name="page125"/>
    <w:bookmarkEnd w:id="124"/>
    <w:p>
      <w:pPr>
        <w:ind w:firstLine="757"/>
        <w:spacing w:after="0" w:line="295" w:lineRule="auto"/>
        <w:tabs>
          <w:tab w:leader="none" w:pos="10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xml:space="preserve"> All captions and section headings used in this Agreement are for convenient reference only and do not form a part of this Agreement.</w:t>
      </w:r>
    </w:p>
    <w:p>
      <w:pPr>
        <w:spacing w:after="0" w:line="136"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xml:space="preserve"> All payments made pursuant to this Agreement will be subject to withholding of applicable taxes.</w:t>
      </w:r>
    </w:p>
    <w:p>
      <w:pPr>
        <w:spacing w:after="0" w:line="217" w:lineRule="exact"/>
        <w:rPr>
          <w:rFonts w:ascii="Times New Roman" w:cs="Times New Roman" w:eastAsia="Times New Roman" w:hAnsi="Times New Roman"/>
          <w:sz w:val="21"/>
          <w:szCs w:val="21"/>
          <w:color w:val="auto"/>
        </w:rPr>
      </w:pPr>
    </w:p>
    <w:p>
      <w:pPr>
        <w:ind w:firstLine="757"/>
        <w:spacing w:after="0" w:line="295" w:lineRule="auto"/>
        <w:tabs>
          <w:tab w:leader="none" w:pos="10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xml:space="preserve"> This Agreement will be governed by the laws of the State of California (with the exception of its conflict of laws provisions).</w:t>
      </w:r>
    </w:p>
    <w:p>
      <w:pPr>
        <w:spacing w:after="0" w:line="136" w:lineRule="exact"/>
        <w:rPr>
          <w:rFonts w:ascii="Times New Roman" w:cs="Times New Roman" w:eastAsia="Times New Roman" w:hAnsi="Times New Roman"/>
          <w:sz w:val="20"/>
          <w:szCs w:val="20"/>
          <w:color w:val="auto"/>
        </w:rPr>
      </w:pPr>
    </w:p>
    <w:p>
      <w:pPr>
        <w:jc w:val="both"/>
        <w:ind w:firstLine="757"/>
        <w:spacing w:after="0" w:line="274" w:lineRule="auto"/>
        <w:tabs>
          <w:tab w:leader="none" w:pos="10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w:t>
      </w:r>
      <w:r>
        <w:rPr>
          <w:rFonts w:ascii="Times New Roman" w:cs="Times New Roman" w:eastAsia="Times New Roman" w:hAnsi="Times New Roman"/>
          <w:sz w:val="20"/>
          <w:szCs w:val="20"/>
          <w:color w:val="auto"/>
        </w:rPr>
        <w:t>. Executive acknowledges that she has had the opportunity to discuss this matter with and obtain advice from him private attorney, has had sufficient time to, and has carefully read and fully understands all the provisions of this Agreement, and is knowingly and voluntarily entering into this Agreement.</w:t>
      </w:r>
    </w:p>
    <w:p>
      <w:pPr>
        <w:spacing w:after="0" w:line="157" w:lineRule="exact"/>
        <w:rPr>
          <w:rFonts w:ascii="Times New Roman" w:cs="Times New Roman" w:eastAsia="Times New Roman" w:hAnsi="Times New Roman"/>
          <w:sz w:val="20"/>
          <w:szCs w:val="20"/>
          <w:color w:val="auto"/>
        </w:rPr>
      </w:pPr>
    </w:p>
    <w:p>
      <w:pPr>
        <w:ind w:right="20" w:firstLine="757"/>
        <w:spacing w:after="0" w:line="295" w:lineRule="auto"/>
        <w:tabs>
          <w:tab w:leader="none" w:pos="10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xml:space="preserve"> This Agreement may be executed in counterparts, and each counterpart will have the same force and effect as an original and will constitute an effective, binding agreement on the part of each of the undersigned.</w:t>
      </w:r>
    </w:p>
    <w:p>
      <w:pPr>
        <w:sectPr>
          <w:pgSz w:w="11900" w:h="16838" w:orient="portrait"/>
          <w:cols w:equalWidth="0" w:num="1">
            <w:col w:w="11240"/>
          </w:cols>
          <w:pgMar w:left="320" w:top="12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Anish Bhatnagar Employment Agreement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[Remainder of Page Intentionally Left Blank]</w:t>
      </w:r>
    </w:p>
    <w:p>
      <w:pPr>
        <w:spacing w:after="0" w:line="23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617855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220" w:space="720"/>
            <w:col w:w="7300"/>
          </w:cols>
          <w:pgMar w:left="320" w:top="1200" w:right="339" w:bottom="1440" w:gutter="0" w:footer="0" w:header="0"/>
          <w:type w:val="continuous"/>
        </w:sectPr>
      </w:pPr>
    </w:p>
    <w:bookmarkStart w:id="125" w:name="page126"/>
    <w:bookmarkEnd w:id="125"/>
    <w:p>
      <w:pPr>
        <w:ind w:left="380" w:right="100" w:firstLine="749"/>
        <w:spacing w:after="0" w:line="270" w:lineRule="auto"/>
        <w:rPr>
          <w:sz w:val="20"/>
          <w:szCs w:val="20"/>
          <w:color w:val="auto"/>
        </w:rPr>
      </w:pPr>
      <w:r>
        <w:rPr>
          <w:rFonts w:ascii="Times New Roman" w:cs="Times New Roman" w:eastAsia="Times New Roman" w:hAnsi="Times New Roman"/>
          <w:sz w:val="21"/>
          <w:szCs w:val="21"/>
          <w:color w:val="auto"/>
        </w:rPr>
        <w:t>IN WITNESS WHETHEROF, each of the parties has executed this Agreement, in the case of the Company by their duly authorized officers, as of the day and year first above written.</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COMPANY:</w:t>
      </w:r>
    </w:p>
    <w:p>
      <w:pPr>
        <w:spacing w:after="0" w:line="2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CAPNIA, INC.</w:t>
      </w:r>
    </w:p>
    <w:p>
      <w:pPr>
        <w:spacing w:after="0" w:line="245" w:lineRule="exact"/>
        <w:rPr>
          <w:sz w:val="20"/>
          <w:szCs w:val="20"/>
          <w:color w:val="auto"/>
        </w:rPr>
      </w:pPr>
    </w:p>
    <w:p>
      <w:pPr>
        <w:ind w:left="380"/>
        <w:spacing w:after="0"/>
        <w:tabs>
          <w:tab w:leader="none" w:pos="1000" w:val="left"/>
          <w:tab w:leader="none" w:pos="68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Ernest Mario</w:t>
      </w:r>
      <w:r>
        <w:rPr>
          <w:sz w:val="20"/>
          <w:szCs w:val="20"/>
          <w:color w:val="auto"/>
        </w:rPr>
        <w:tab/>
      </w:r>
      <w:r>
        <w:rPr>
          <w:rFonts w:ascii="Times New Roman" w:cs="Times New Roman" w:eastAsia="Times New Roman" w:hAnsi="Times New Roman"/>
          <w:sz w:val="21"/>
          <w:szCs w:val="21"/>
          <w:color w:val="auto"/>
        </w:rPr>
        <w:t>Date: 12/8/16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13335</wp:posOffset>
            </wp:positionV>
            <wp:extent cx="213423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6">
                      <a:extLst>
                        <a:ext uri="{28A0092B-C50C-407E-A947-70E740481C1C}"/>
                      </a:extLst>
                    </a:blip>
                    <a:srcRect/>
                    <a:stretch>
                      <a:fillRect/>
                    </a:stretch>
                  </pic:blipFill>
                  <pic:spPr bwMode="auto">
                    <a:xfrm>
                      <a:off x="0" y="0"/>
                      <a:ext cx="213423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13335</wp:posOffset>
            </wp:positionV>
            <wp:extent cx="122555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7">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Ernest Mario</w:t>
      </w:r>
    </w:p>
    <w:p>
      <w:pPr>
        <w:spacing w:after="0" w:line="2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Chairman of the Board</w:t>
      </w:r>
    </w:p>
    <w:p>
      <w:pPr>
        <w:spacing w:after="0" w:line="2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EXECUTIVE:</w:t>
      </w:r>
    </w:p>
    <w:p>
      <w:pPr>
        <w:spacing w:after="0" w:line="245" w:lineRule="exact"/>
        <w:rPr>
          <w:sz w:val="20"/>
          <w:szCs w:val="20"/>
          <w:color w:val="auto"/>
        </w:rPr>
      </w:pPr>
    </w:p>
    <w:p>
      <w:pPr>
        <w:ind w:left="380"/>
        <w:spacing w:after="0"/>
        <w:tabs>
          <w:tab w:leader="none" w:pos="1000" w:val="left"/>
          <w:tab w:leader="none" w:pos="68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Anish Bhatnagar</w:t>
      </w:r>
      <w:r>
        <w:rPr>
          <w:sz w:val="20"/>
          <w:szCs w:val="20"/>
          <w:color w:val="auto"/>
        </w:rPr>
        <w:tab/>
      </w:r>
      <w:r>
        <w:rPr>
          <w:rFonts w:ascii="Times New Roman" w:cs="Times New Roman" w:eastAsia="Times New Roman" w:hAnsi="Times New Roman"/>
          <w:sz w:val="21"/>
          <w:szCs w:val="21"/>
          <w:color w:val="auto"/>
        </w:rPr>
        <w:t>Date: 12/7/16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13335</wp:posOffset>
            </wp:positionV>
            <wp:extent cx="21342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8">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13335</wp:posOffset>
            </wp:positionV>
            <wp:extent cx="122555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9">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Anish Bhatnagar,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ANISH BHATNAGAR EMPLOYMENT AGREEMENT]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Anish Bhatnagar Employment Agreement</w:t>
            </w:r>
          </w:p>
        </w:tc>
        <w:tc>
          <w:tcPr>
            <w:tcW w:w="7280" w:type="dxa"/>
            <w:vAlign w:val="bottom"/>
          </w:tcPr>
          <w:p>
            <w:pPr>
              <w:jc w:val="right"/>
              <w:ind w:right="5397"/>
              <w:spacing w:after="0"/>
              <w:rPr>
                <w:sz w:val="20"/>
                <w:szCs w:val="20"/>
                <w:color w:val="auto"/>
              </w:rPr>
            </w:pPr>
            <w:r>
              <w:rPr>
                <w:rFonts w:ascii="Times New Roman" w:cs="Times New Roman" w:eastAsia="Times New Roman" w:hAnsi="Times New Roman"/>
                <w:sz w:val="21"/>
                <w:szCs w:val="21"/>
                <w:color w:val="auto"/>
              </w:rPr>
              <w:t>-9-</w:t>
            </w:r>
          </w:p>
        </w:tc>
      </w:tr>
      <w:tr>
        <w:trPr>
          <w:trHeight w:val="962"/>
        </w:trPr>
        <w:tc>
          <w:tcPr>
            <w:tcW w:w="396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2"/>
          <w:szCs w:val="22"/>
          <w:b w:val="1"/>
          <w:bCs w:val="1"/>
          <w:color w:val="auto"/>
        </w:rPr>
        <w:t>Exhibit 10.17</w:t>
      </w:r>
    </w:p>
    <w:p>
      <w:pPr>
        <w:spacing w:after="0" w:line="2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SOLENO THERAPEUTICS, INC.</w:t>
      </w:r>
    </w:p>
    <w:p>
      <w:pPr>
        <w:spacing w:after="0" w:line="20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auto"/>
        </w:rPr>
        <w:t>OUTSIDE DIRECTOR COMPENSATION POLICY</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most recently amended on January 21, 2026)</w:t>
      </w:r>
    </w:p>
    <w:p>
      <w:pPr>
        <w:spacing w:after="0" w:line="202" w:lineRule="exact"/>
        <w:rPr>
          <w:sz w:val="20"/>
          <w:szCs w:val="20"/>
          <w:color w:val="auto"/>
        </w:rPr>
      </w:pPr>
    </w:p>
    <w:p>
      <w:pPr>
        <w:jc w:val="both"/>
        <w:ind w:firstLine="849"/>
        <w:spacing w:after="0" w:line="235" w:lineRule="auto"/>
        <w:rPr>
          <w:sz w:val="20"/>
          <w:szCs w:val="20"/>
          <w:color w:val="auto"/>
        </w:rPr>
      </w:pPr>
      <w:r>
        <w:rPr>
          <w:rFonts w:ascii="Times New Roman" w:cs="Times New Roman" w:eastAsia="Times New Roman" w:hAnsi="Times New Roman"/>
          <w:sz w:val="22"/>
          <w:szCs w:val="22"/>
          <w:color w:val="auto"/>
        </w:rPr>
        <w:t>Soleno Therapeutics,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believes that the granting of equity and cash compensation to its members of the Board of Directors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and members of the Board, the “</w:t>
      </w:r>
      <w:r>
        <w:rPr>
          <w:rFonts w:ascii="Times New Roman" w:cs="Times New Roman" w:eastAsia="Times New Roman" w:hAnsi="Times New Roman"/>
          <w:sz w:val="22"/>
          <w:szCs w:val="22"/>
          <w:b w:val="1"/>
          <w:bCs w:val="1"/>
          <w:color w:val="auto"/>
        </w:rPr>
        <w:t>Directors</w:t>
      </w:r>
      <w:r>
        <w:rPr>
          <w:rFonts w:ascii="Times New Roman" w:cs="Times New Roman" w:eastAsia="Times New Roman" w:hAnsi="Times New Roman"/>
          <w:sz w:val="22"/>
          <w:szCs w:val="22"/>
          <w:color w:val="auto"/>
        </w:rPr>
        <w:t>”) represents an effective tool to attract, retain, and reward Directors who are not employees of the Company (the “</w:t>
      </w:r>
      <w:r>
        <w:rPr>
          <w:rFonts w:ascii="Times New Roman" w:cs="Times New Roman" w:eastAsia="Times New Roman" w:hAnsi="Times New Roman"/>
          <w:sz w:val="22"/>
          <w:szCs w:val="22"/>
          <w:b w:val="1"/>
          <w:bCs w:val="1"/>
          <w:color w:val="auto"/>
        </w:rPr>
        <w:t>Outside Directors</w:t>
      </w:r>
      <w:r>
        <w:rPr>
          <w:rFonts w:ascii="Times New Roman" w:cs="Times New Roman" w:eastAsia="Times New Roman" w:hAnsi="Times New Roman"/>
          <w:sz w:val="22"/>
          <w:szCs w:val="22"/>
          <w:color w:val="auto"/>
        </w:rPr>
        <w:t>”). This Outside Director Compensation Policy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is intended to formalize the Company’s policy regarding the compensation to its Outside Directors. Unless otherwise defined herein, capitalized terms used in this Policy will have the meaning given to such terms in the Company’s 2014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or if the Plan is no longer in place, the meaning given to such terms or any similar terms in the equity plan then in place. Each Outside Director will be solely responsible for any tax obligations incurred by such Outside Director as a result of the equity and cash payments such Outside Director receives under this Policy.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1.C</w:t>
      </w:r>
      <w:r>
        <w:rPr>
          <w:rFonts w:ascii="Times New Roman" w:cs="Times New Roman" w:eastAsia="Times New Roman" w:hAnsi="Times New Roman"/>
          <w:sz w:val="14"/>
          <w:szCs w:val="14"/>
          <w:b w:val="1"/>
          <w:bCs w:val="1"/>
          <w:color w:val="auto"/>
        </w:rPr>
        <w:t>ash</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Annual Cash Retainer</w:t>
      </w:r>
    </w:p>
    <w:p>
      <w:pPr>
        <w:spacing w:after="0" w:line="176" w:lineRule="exact"/>
        <w:rPr>
          <w:sz w:val="20"/>
          <w:szCs w:val="20"/>
          <w:color w:val="auto"/>
        </w:rPr>
      </w:pPr>
    </w:p>
    <w:p>
      <w:pPr>
        <w:jc w:val="both"/>
        <w:ind w:firstLine="849"/>
        <w:spacing w:after="0" w:line="287" w:lineRule="exact"/>
        <w:rPr>
          <w:sz w:val="20"/>
          <w:szCs w:val="20"/>
          <w:color w:val="auto"/>
        </w:rPr>
      </w:pPr>
      <w:r>
        <w:rPr>
          <w:rFonts w:ascii="Times New Roman" w:cs="Times New Roman" w:eastAsia="Times New Roman" w:hAnsi="Times New Roman"/>
          <w:sz w:val="22"/>
          <w:szCs w:val="22"/>
          <w:color w:val="auto"/>
        </w:rPr>
        <w:t>Each Outside Director will be paid an annual cash retainer of $50,000. There are no per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meeting attendance fees for attending Board meetings.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Non-Executive Chair / Committee Membership Annual Cash Retainer</w:t>
      </w:r>
    </w:p>
    <w:p>
      <w:pPr>
        <w:spacing w:after="0" w:line="210" w:lineRule="exact"/>
        <w:rPr>
          <w:sz w:val="20"/>
          <w:szCs w:val="20"/>
          <w:color w:val="auto"/>
        </w:rPr>
      </w:pPr>
    </w:p>
    <w:p>
      <w:pPr>
        <w:jc w:val="both"/>
        <w:ind w:right="20" w:firstLine="849"/>
        <w:spacing w:after="0" w:line="258" w:lineRule="auto"/>
        <w:rPr>
          <w:sz w:val="20"/>
          <w:szCs w:val="20"/>
          <w:color w:val="auto"/>
        </w:rPr>
      </w:pPr>
      <w:r>
        <w:rPr>
          <w:rFonts w:ascii="Times New Roman" w:cs="Times New Roman" w:eastAsia="Times New Roman" w:hAnsi="Times New Roman"/>
          <w:sz w:val="22"/>
          <w:szCs w:val="22"/>
          <w:color w:val="auto"/>
        </w:rPr>
        <w:t>Each Outside Director who serves as Non-Executive Chair, or chair or member of a committee of the Board will be paid additional annual fees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260" w:type="dxa"/>
            <w:vAlign w:val="bottom"/>
          </w:tcPr>
          <w:p>
            <w:pPr>
              <w:spacing w:after="0"/>
              <w:rPr>
                <w:sz w:val="20"/>
                <w:szCs w:val="20"/>
                <w:color w:val="auto"/>
              </w:rPr>
            </w:pPr>
            <w:r>
              <w:rPr>
                <w:rFonts w:ascii="Times New Roman" w:cs="Times New Roman" w:eastAsia="Times New Roman" w:hAnsi="Times New Roman"/>
                <w:sz w:val="22"/>
                <w:szCs w:val="22"/>
                <w:color w:val="auto"/>
              </w:rPr>
              <w:t>Non-Executive Chair:</w:t>
            </w:r>
          </w:p>
        </w:tc>
        <w:tc>
          <w:tcPr>
            <w:tcW w:w="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$30,000</w:t>
            </w:r>
          </w:p>
        </w:tc>
      </w:tr>
      <w:tr>
        <w:trPr>
          <w:trHeight w:val="365"/>
        </w:trPr>
        <w:tc>
          <w:tcPr>
            <w:tcW w:w="10260" w:type="dxa"/>
            <w:vAlign w:val="bottom"/>
          </w:tcPr>
          <w:p>
            <w:pPr>
              <w:spacing w:after="0"/>
              <w:rPr>
                <w:sz w:val="20"/>
                <w:szCs w:val="20"/>
                <w:color w:val="auto"/>
              </w:rPr>
            </w:pPr>
            <w:r>
              <w:rPr>
                <w:rFonts w:ascii="Times New Roman" w:cs="Times New Roman" w:eastAsia="Times New Roman" w:hAnsi="Times New Roman"/>
                <w:sz w:val="22"/>
                <w:szCs w:val="22"/>
                <w:color w:val="auto"/>
              </w:rPr>
              <w:t>Lead Independent Director:</w:t>
            </w:r>
          </w:p>
        </w:tc>
        <w:tc>
          <w:tcPr>
            <w:tcW w:w="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$30,000</w:t>
            </w:r>
          </w:p>
        </w:tc>
      </w:tr>
      <w:tr>
        <w:trPr>
          <w:trHeight w:val="365"/>
        </w:trPr>
        <w:tc>
          <w:tcPr>
            <w:tcW w:w="10260" w:type="dxa"/>
            <w:vAlign w:val="bottom"/>
          </w:tcPr>
          <w:p>
            <w:pPr>
              <w:spacing w:after="0"/>
              <w:rPr>
                <w:sz w:val="20"/>
                <w:szCs w:val="20"/>
                <w:color w:val="auto"/>
              </w:rPr>
            </w:pPr>
            <w:r>
              <w:rPr>
                <w:rFonts w:ascii="Times New Roman" w:cs="Times New Roman" w:eastAsia="Times New Roman" w:hAnsi="Times New Roman"/>
                <w:sz w:val="22"/>
                <w:szCs w:val="22"/>
                <w:color w:val="auto"/>
              </w:rPr>
              <w:t>Chair of Audit Committee:</w:t>
            </w:r>
          </w:p>
        </w:tc>
        <w:tc>
          <w:tcPr>
            <w:tcW w:w="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$20,000</w:t>
            </w:r>
          </w:p>
        </w:tc>
      </w:tr>
      <w:tr>
        <w:trPr>
          <w:trHeight w:val="365"/>
        </w:trPr>
        <w:tc>
          <w:tcPr>
            <w:tcW w:w="10260" w:type="dxa"/>
            <w:vAlign w:val="bottom"/>
          </w:tcPr>
          <w:p>
            <w:pPr>
              <w:spacing w:after="0"/>
              <w:rPr>
                <w:sz w:val="20"/>
                <w:szCs w:val="20"/>
                <w:color w:val="auto"/>
              </w:rPr>
            </w:pPr>
            <w:r>
              <w:rPr>
                <w:rFonts w:ascii="Times New Roman" w:cs="Times New Roman" w:eastAsia="Times New Roman" w:hAnsi="Times New Roman"/>
                <w:sz w:val="22"/>
                <w:szCs w:val="22"/>
                <w:color w:val="auto"/>
              </w:rPr>
              <w:t>Member of Audit Committee (other than the Chair of the Audit Committee):</w:t>
            </w:r>
          </w:p>
        </w:tc>
        <w:tc>
          <w:tcPr>
            <w:tcW w:w="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$10,000</w:t>
            </w:r>
          </w:p>
        </w:tc>
      </w:tr>
      <w:tr>
        <w:trPr>
          <w:trHeight w:val="364"/>
        </w:trPr>
        <w:tc>
          <w:tcPr>
            <w:tcW w:w="10260" w:type="dxa"/>
            <w:vAlign w:val="bottom"/>
          </w:tcPr>
          <w:p>
            <w:pPr>
              <w:spacing w:after="0"/>
              <w:rPr>
                <w:sz w:val="20"/>
                <w:szCs w:val="20"/>
                <w:color w:val="auto"/>
              </w:rPr>
            </w:pPr>
            <w:r>
              <w:rPr>
                <w:rFonts w:ascii="Times New Roman" w:cs="Times New Roman" w:eastAsia="Times New Roman" w:hAnsi="Times New Roman"/>
                <w:sz w:val="22"/>
                <w:szCs w:val="22"/>
                <w:color w:val="auto"/>
              </w:rPr>
              <w:t>Chair of Nominating and Corporate Governance Committee:</w:t>
            </w:r>
          </w:p>
        </w:tc>
        <w:tc>
          <w:tcPr>
            <w:tcW w:w="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$10,000</w:t>
            </w:r>
          </w:p>
        </w:tc>
      </w:tr>
      <w:tr>
        <w:trPr>
          <w:trHeight w:val="325"/>
        </w:trPr>
        <w:tc>
          <w:tcPr>
            <w:tcW w:w="10260" w:type="dxa"/>
            <w:vAlign w:val="bottom"/>
          </w:tcPr>
          <w:p>
            <w:pPr>
              <w:spacing w:after="0"/>
              <w:rPr>
                <w:sz w:val="20"/>
                <w:szCs w:val="20"/>
                <w:color w:val="auto"/>
              </w:rPr>
            </w:pPr>
            <w:r>
              <w:rPr>
                <w:rFonts w:ascii="Times New Roman" w:cs="Times New Roman" w:eastAsia="Times New Roman" w:hAnsi="Times New Roman"/>
                <w:sz w:val="22"/>
                <w:szCs w:val="22"/>
                <w:color w:val="auto"/>
                <w:w w:val="98"/>
              </w:rPr>
              <w:t>Member of Nominating and Corporate Governance Committee (other than the Chair of the Nominating and Corporate</w:t>
            </w:r>
          </w:p>
        </w:tc>
        <w:tc>
          <w:tcPr>
            <w:tcW w:w="980" w:type="dxa"/>
            <w:vAlign w:val="bottom"/>
          </w:tcPr>
          <w:p>
            <w:pPr>
              <w:spacing w:after="0"/>
              <w:rPr>
                <w:sz w:val="24"/>
                <w:szCs w:val="24"/>
                <w:color w:val="auto"/>
              </w:rPr>
            </w:pPr>
          </w:p>
        </w:tc>
      </w:tr>
      <w:tr>
        <w:trPr>
          <w:trHeight w:val="282"/>
        </w:trPr>
        <w:tc>
          <w:tcPr>
            <w:tcW w:w="10260" w:type="dxa"/>
            <w:vAlign w:val="bottom"/>
          </w:tcPr>
          <w:p>
            <w:pPr>
              <w:spacing w:after="0"/>
              <w:rPr>
                <w:sz w:val="20"/>
                <w:szCs w:val="20"/>
                <w:color w:val="auto"/>
              </w:rPr>
            </w:pPr>
            <w:r>
              <w:rPr>
                <w:rFonts w:ascii="Times New Roman" w:cs="Times New Roman" w:eastAsia="Times New Roman" w:hAnsi="Times New Roman"/>
                <w:sz w:val="22"/>
                <w:szCs w:val="22"/>
                <w:color w:val="auto"/>
              </w:rPr>
              <w:t>Governance Committee):</w:t>
            </w:r>
          </w:p>
        </w:tc>
        <w:tc>
          <w:tcPr>
            <w:tcW w:w="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$5,000</w:t>
            </w:r>
          </w:p>
        </w:tc>
      </w:tr>
      <w:tr>
        <w:trPr>
          <w:trHeight w:val="365"/>
        </w:trPr>
        <w:tc>
          <w:tcPr>
            <w:tcW w:w="10260" w:type="dxa"/>
            <w:vAlign w:val="bottom"/>
          </w:tcPr>
          <w:p>
            <w:pPr>
              <w:spacing w:after="0"/>
              <w:rPr>
                <w:sz w:val="20"/>
                <w:szCs w:val="20"/>
                <w:color w:val="auto"/>
              </w:rPr>
            </w:pPr>
            <w:r>
              <w:rPr>
                <w:rFonts w:ascii="Times New Roman" w:cs="Times New Roman" w:eastAsia="Times New Roman" w:hAnsi="Times New Roman"/>
                <w:sz w:val="22"/>
                <w:szCs w:val="22"/>
                <w:color w:val="auto"/>
              </w:rPr>
              <w:t>Chair of Compensation Committee:</w:t>
            </w:r>
          </w:p>
        </w:tc>
        <w:tc>
          <w:tcPr>
            <w:tcW w:w="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$15,000</w:t>
            </w:r>
          </w:p>
        </w:tc>
      </w:tr>
      <w:tr>
        <w:trPr>
          <w:trHeight w:val="365"/>
        </w:trPr>
        <w:tc>
          <w:tcPr>
            <w:tcW w:w="10260" w:type="dxa"/>
            <w:vAlign w:val="bottom"/>
          </w:tcPr>
          <w:p>
            <w:pPr>
              <w:spacing w:after="0"/>
              <w:rPr>
                <w:sz w:val="20"/>
                <w:szCs w:val="20"/>
                <w:color w:val="auto"/>
              </w:rPr>
            </w:pPr>
            <w:r>
              <w:rPr>
                <w:rFonts w:ascii="Times New Roman" w:cs="Times New Roman" w:eastAsia="Times New Roman" w:hAnsi="Times New Roman"/>
                <w:sz w:val="22"/>
                <w:szCs w:val="22"/>
                <w:color w:val="auto"/>
              </w:rPr>
              <w:t>Member of Compensation Committee (other than the Chair of the Compensation Committee):</w:t>
            </w:r>
          </w:p>
        </w:tc>
        <w:tc>
          <w:tcPr>
            <w:tcW w:w="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$7,500</w:t>
            </w:r>
          </w:p>
        </w:tc>
      </w:tr>
      <w:tr>
        <w:trPr>
          <w:trHeight w:val="1615"/>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7" w:name="page128"/>
    <w:bookmarkEnd w:id="127"/>
    <w:p>
      <w:pPr>
        <w:ind w:left="860"/>
        <w:spacing w:after="0"/>
        <w:rPr>
          <w:sz w:val="20"/>
          <w:szCs w:val="20"/>
          <w:color w:val="auto"/>
        </w:rPr>
      </w:pPr>
      <w:r>
        <w:rPr>
          <w:rFonts w:ascii="Times New Roman" w:cs="Times New Roman" w:eastAsia="Times New Roman" w:hAnsi="Times New Roman"/>
          <w:sz w:val="22"/>
          <w:szCs w:val="22"/>
          <w:color w:val="auto"/>
        </w:rPr>
        <w:t>Each annual cash retainer and additional annual fee will be paid quarterly in arrears on a prorated basis.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210"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Outside Directors will be eligible to receive all types of Awards (except Incentive Stock Options) under the Plan (or the applicable equity plan in place at the time of grant), including discretionary Awards not covered under this Policy. All grants of Awards to Outside Directors pursuant to Section 2 of this Policy will be automatic and nondiscretionary, except as otherwise provided herein, and will be made in accordance with the following provisions:</w:t>
      </w:r>
    </w:p>
    <w:p>
      <w:pPr>
        <w:spacing w:after="0" w:line="180" w:lineRule="exact"/>
        <w:rPr>
          <w:sz w:val="20"/>
          <w:szCs w:val="20"/>
          <w:color w:val="auto"/>
        </w:rPr>
      </w:pPr>
    </w:p>
    <w:p>
      <w:pPr>
        <w:ind w:right="20" w:firstLine="857"/>
        <w:spacing w:after="0" w:line="258" w:lineRule="auto"/>
        <w:tabs>
          <w:tab w:leader="none" w:pos="128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Discretion. No person will have any discretion to select which Outside Directors will be granted any Awards under this Policy or to determine the number of Shares to be covered by such Awards.</w:t>
      </w:r>
    </w:p>
    <w:p>
      <w:pPr>
        <w:spacing w:after="0" w:line="158" w:lineRule="exact"/>
        <w:rPr>
          <w:rFonts w:ascii="Times New Roman" w:cs="Times New Roman" w:eastAsia="Times New Roman" w:hAnsi="Times New Roman"/>
          <w:sz w:val="22"/>
          <w:szCs w:val="22"/>
          <w:color w:val="auto"/>
        </w:rPr>
      </w:pPr>
    </w:p>
    <w:p>
      <w:pPr>
        <w:jc w:val="both"/>
        <w:ind w:firstLine="857"/>
        <w:spacing w:after="0" w:line="236" w:lineRule="auto"/>
        <w:tabs>
          <w:tab w:leader="none" w:pos="128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 Award. Subject to Section 7 of this Policy, each individual who first becomes an Outside Director will be granted 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with an aggregate Value equal to $600,000 (an “</w:t>
      </w:r>
      <w:r>
        <w:rPr>
          <w:rFonts w:ascii="Times New Roman" w:cs="Times New Roman" w:eastAsia="Times New Roman" w:hAnsi="Times New Roman"/>
          <w:sz w:val="22"/>
          <w:szCs w:val="22"/>
          <w:b w:val="1"/>
          <w:bCs w:val="1"/>
          <w:color w:val="auto"/>
        </w:rPr>
        <w:t>Initial Award</w:t>
      </w:r>
      <w:r>
        <w:rPr>
          <w:rFonts w:ascii="Times New Roman" w:cs="Times New Roman" w:eastAsia="Times New Roman" w:hAnsi="Times New Roman"/>
          <w:sz w:val="22"/>
          <w:szCs w:val="22"/>
          <w:color w:val="auto"/>
        </w:rPr>
        <w:t>”). The Initial Award will be made on the first Trading Day on or after the date on which such individual first becomes an Outside Director, whether through election by the stockholders of the Company or appointment by the Board to fill a vacancy (such grant date, the “</w:t>
      </w:r>
      <w:r>
        <w:rPr>
          <w:rFonts w:ascii="Times New Roman" w:cs="Times New Roman" w:eastAsia="Times New Roman" w:hAnsi="Times New Roman"/>
          <w:sz w:val="22"/>
          <w:szCs w:val="22"/>
          <w:b w:val="1"/>
          <w:bCs w:val="1"/>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Award Grant Date</w:t>
      </w:r>
      <w:r>
        <w:rPr>
          <w:rFonts w:ascii="Times New Roman" w:cs="Times New Roman" w:eastAsia="Times New Roman" w:hAnsi="Times New Roman"/>
          <w:sz w:val="22"/>
          <w:szCs w:val="22"/>
          <w:color w:val="auto"/>
        </w:rPr>
        <w:t>”). If an individual was a member of the Board and also an employee, becoming an Outside Director due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employment will not entitle the Outside Director to an Initial Award.</w:t>
      </w:r>
    </w:p>
    <w:p>
      <w:pPr>
        <w:spacing w:after="0" w:line="195" w:lineRule="exact"/>
        <w:rPr>
          <w:sz w:val="20"/>
          <w:szCs w:val="20"/>
          <w:color w:val="auto"/>
        </w:rPr>
      </w:pPr>
    </w:p>
    <w:p>
      <w:pPr>
        <w:ind w:firstLine="849"/>
        <w:spacing w:after="0" w:line="212" w:lineRule="auto"/>
        <w:rPr>
          <w:sz w:val="20"/>
          <w:szCs w:val="20"/>
          <w:color w:val="auto"/>
        </w:rPr>
      </w:pPr>
      <w:r>
        <w:rPr>
          <w:rFonts w:ascii="Times New Roman" w:cs="Times New Roman" w:eastAsia="Times New Roman" w:hAnsi="Times New Roman"/>
          <w:sz w:val="22"/>
          <w:szCs w:val="22"/>
          <w:color w:val="auto"/>
        </w:rPr>
        <w:t>Subject to Section 3 of this Policy, each Initial Award will be scheduled to vest as follows 1/3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of the Shares subject to the Initial Award will be scheduled to vest on each annual anniversary of the Initial Award Grant Date.</w:t>
      </w:r>
    </w:p>
    <w:p>
      <w:pPr>
        <w:spacing w:after="0" w:line="2" w:lineRule="exact"/>
        <w:rPr>
          <w:sz w:val="20"/>
          <w:szCs w:val="20"/>
          <w:color w:val="auto"/>
        </w:rPr>
      </w:pPr>
    </w:p>
    <w:p>
      <w:pPr>
        <w:jc w:val="both"/>
        <w:ind w:firstLine="857"/>
        <w:spacing w:after="0" w:line="234" w:lineRule="auto"/>
        <w:tabs>
          <w:tab w:leader="none" w:pos="128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Award. Subject to Section 7 of this Policy, on the date of each annual meeting of the Company’s stockholders (each, an “</w:t>
      </w:r>
      <w:r>
        <w:rPr>
          <w:rFonts w:ascii="Times New Roman" w:cs="Times New Roman" w:eastAsia="Times New Roman" w:hAnsi="Times New Roman"/>
          <w:sz w:val="22"/>
          <w:szCs w:val="22"/>
          <w:b w:val="1"/>
          <w:bCs w:val="1"/>
          <w:color w:val="auto"/>
        </w:rPr>
        <w:t>Annual Meeting</w:t>
      </w:r>
      <w:r>
        <w:rPr>
          <w:rFonts w:ascii="Times New Roman" w:cs="Times New Roman" w:eastAsia="Times New Roman" w:hAnsi="Times New Roman"/>
          <w:sz w:val="22"/>
          <w:szCs w:val="22"/>
          <w:color w:val="auto"/>
        </w:rPr>
        <w:t>”), each Outside Director will be automatically granted RSUs with an aggregate Value equal to $300,000 (an “</w:t>
      </w:r>
      <w:r>
        <w:rPr>
          <w:rFonts w:ascii="Times New Roman" w:cs="Times New Roman" w:eastAsia="Times New Roman" w:hAnsi="Times New Roman"/>
          <w:sz w:val="22"/>
          <w:szCs w:val="22"/>
          <w:b w:val="1"/>
          <w:bCs w:val="1"/>
          <w:color w:val="auto"/>
        </w:rPr>
        <w:t>Annual Award</w:t>
      </w:r>
      <w:r>
        <w:rPr>
          <w:rFonts w:ascii="Times New Roman" w:cs="Times New Roman" w:eastAsia="Times New Roman" w:hAnsi="Times New Roman"/>
          <w:sz w:val="22"/>
          <w:szCs w:val="22"/>
          <w:color w:val="auto"/>
        </w:rPr>
        <w:t>”). Notwithstanding the foregoing, any Outside Director who has not been a Director for at least six (6) months prior to the date of the applicable Annual Meeting will not receive an Annual Award.</w:t>
      </w:r>
    </w:p>
    <w:p>
      <w:pPr>
        <w:spacing w:after="0" w:line="177" w:lineRule="exact"/>
        <w:rPr>
          <w:sz w:val="20"/>
          <w:szCs w:val="20"/>
          <w:color w:val="auto"/>
        </w:rPr>
      </w:pPr>
    </w:p>
    <w:p>
      <w:pPr>
        <w:jc w:val="both"/>
        <w:ind w:firstLine="849"/>
        <w:spacing w:after="0" w:line="239" w:lineRule="auto"/>
        <w:rPr>
          <w:sz w:val="20"/>
          <w:szCs w:val="20"/>
          <w:color w:val="auto"/>
        </w:rPr>
      </w:pPr>
      <w:r>
        <w:rPr>
          <w:rFonts w:ascii="Times New Roman" w:cs="Times New Roman" w:eastAsia="Times New Roman" w:hAnsi="Times New Roman"/>
          <w:sz w:val="22"/>
          <w:szCs w:val="22"/>
          <w:color w:val="auto"/>
        </w:rPr>
        <w:t>Subject to Section 3 of this Policy, each Annual Award will be scheduled to vest on the earlier of (i) the one (1)-year anniversary of the date the Annual Award is granted, or (ii) the day prior to the date of the Annual Meeting next following the date the Annual Award is granted, in each case, subject to the Outside Director continuing to be a Service Provider through the applicable vesting date.</w:t>
      </w:r>
    </w:p>
    <w:p>
      <w:pPr>
        <w:spacing w:after="0" w:line="176" w:lineRule="exact"/>
        <w:rPr>
          <w:sz w:val="20"/>
          <w:szCs w:val="20"/>
          <w:color w:val="auto"/>
        </w:rPr>
      </w:pPr>
    </w:p>
    <w:p>
      <w:pPr>
        <w:jc w:val="both"/>
        <w:ind w:firstLine="861"/>
        <w:spacing w:after="0" w:line="241" w:lineRule="auto"/>
        <w:tabs>
          <w:tab w:leader="none" w:pos="128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Value. For purposes of this Policy, “</w:t>
      </w:r>
      <w:r>
        <w:rPr>
          <w:rFonts w:ascii="Times New Roman" w:cs="Times New Roman" w:eastAsia="Times New Roman" w:hAnsi="Times New Roman"/>
          <w:sz w:val="22"/>
          <w:szCs w:val="22"/>
          <w:b w:val="1"/>
          <w:bCs w:val="1"/>
          <w:color w:val="auto"/>
        </w:rPr>
        <w:t>Value</w:t>
      </w:r>
      <w:r>
        <w:rPr>
          <w:rFonts w:ascii="Times New Roman" w:cs="Times New Roman" w:eastAsia="Times New Roman" w:hAnsi="Times New Roman"/>
          <w:sz w:val="22"/>
          <w:szCs w:val="22"/>
          <w:color w:val="auto"/>
        </w:rPr>
        <w:t>” means, with respect to each Initial Award and Annual Award (each, an “</w:t>
      </w:r>
      <w:r>
        <w:rPr>
          <w:rFonts w:ascii="Times New Roman" w:cs="Times New Roman" w:eastAsia="Times New Roman" w:hAnsi="Times New Roman"/>
          <w:sz w:val="22"/>
          <w:szCs w:val="22"/>
          <w:b w:val="1"/>
          <w:bCs w:val="1"/>
          <w:color w:val="auto"/>
        </w:rPr>
        <w:t>RSU Award</w:t>
      </w:r>
      <w:r>
        <w:rPr>
          <w:rFonts w:ascii="Times New Roman" w:cs="Times New Roman" w:eastAsia="Times New Roman" w:hAnsi="Times New Roman"/>
          <w:sz w:val="22"/>
          <w:szCs w:val="22"/>
          <w:color w:val="auto"/>
        </w:rPr>
        <w:t>”), the average of the closing prices of the Company’s Common Stock in each trading day occurring during the consecutive, thirty (30) trailing calendar day period ending on (and inclusive of) the Friday immediately preceding the grant date of the RSU Award, or such other methodology the Board or its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8" w:name="page129"/>
    <w:bookmarkEnd w:id="128"/>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Committee may determine prior to the grant of the RSU Award becoming effective; provided, however, that any RSU Award will cover only a whole number of Shares, such that any fractional Share that otherwise would result from a given Value will be rounded down and will not become subject to such RSU Award.</w:t>
      </w:r>
    </w:p>
    <w:p>
      <w:pPr>
        <w:spacing w:after="0" w:line="173" w:lineRule="exact"/>
        <w:rPr>
          <w:sz w:val="20"/>
          <w:szCs w:val="20"/>
          <w:color w:val="auto"/>
        </w:rPr>
      </w:pPr>
    </w:p>
    <w:p>
      <w:pPr>
        <w:jc w:val="both"/>
        <w:ind w:firstLine="857"/>
        <w:spacing w:after="0" w:line="244" w:lineRule="auto"/>
        <w:tabs>
          <w:tab w:leader="none" w:pos="128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Terms of Initial Awards and Annual Awards. Each Initial Award and Annual Award will be granted under and subject to the terms and conditions of the Plan and the applicable form of Award Agreement previously approved by the Board or its Compensation Committee, as applicable, for use thereunder.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3.C</w:t>
      </w:r>
      <w:r>
        <w:rPr>
          <w:rFonts w:ascii="Times New Roman" w:cs="Times New Roman" w:eastAsia="Times New Roman" w:hAnsi="Times New Roman"/>
          <w:sz w:val="14"/>
          <w:szCs w:val="14"/>
          <w:b w:val="1"/>
          <w:bCs w:val="1"/>
          <w:color w:val="auto"/>
        </w:rPr>
        <w:t>hange in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ontrol</w:t>
      </w:r>
    </w:p>
    <w:p>
      <w:pPr>
        <w:spacing w:after="0" w:line="210"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In the event of a Change in Control, each Outside Director outstanding Company equity awards will be treated in accordance with the terms of the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4.T</w:t>
      </w:r>
      <w:r>
        <w:rPr>
          <w:rFonts w:ascii="Times New Roman" w:cs="Times New Roman" w:eastAsia="Times New Roman" w:hAnsi="Times New Roman"/>
          <w:sz w:val="14"/>
          <w:szCs w:val="14"/>
          <w:b w:val="1"/>
          <w:bCs w:val="1"/>
          <w:color w:val="auto"/>
        </w:rPr>
        <w:t>ravel</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xpenses</w:t>
      </w:r>
    </w:p>
    <w:p>
      <w:pPr>
        <w:spacing w:after="0" w:line="210" w:lineRule="exact"/>
        <w:rPr>
          <w:sz w:val="20"/>
          <w:szCs w:val="20"/>
          <w:color w:val="auto"/>
        </w:rPr>
      </w:pPr>
    </w:p>
    <w:p>
      <w:pPr>
        <w:jc w:val="both"/>
        <w:ind w:firstLine="849"/>
        <w:spacing w:after="0" w:line="258" w:lineRule="auto"/>
        <w:rPr>
          <w:sz w:val="20"/>
          <w:szCs w:val="20"/>
          <w:color w:val="auto"/>
        </w:rPr>
      </w:pPr>
      <w:r>
        <w:rPr>
          <w:rFonts w:ascii="Times New Roman" w:cs="Times New Roman" w:eastAsia="Times New Roman" w:hAnsi="Times New Roman"/>
          <w:sz w:val="22"/>
          <w:szCs w:val="22"/>
          <w:color w:val="auto"/>
        </w:rPr>
        <w:t>Each Outside Director’s reasonable, customary, and documented travel expenses to Board meetings will be reimbursed by the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rovisions</w:t>
      </w:r>
    </w:p>
    <w:p>
      <w:pPr>
        <w:spacing w:after="0" w:line="2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All provisions of the Plan not inconsistent with this Policy will apply to Awards granted to Outside Directors.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6.A</w:t>
      </w:r>
      <w:r>
        <w:rPr>
          <w:rFonts w:ascii="Times New Roman" w:cs="Times New Roman" w:eastAsia="Times New Roman" w:hAnsi="Times New Roman"/>
          <w:sz w:val="14"/>
          <w:szCs w:val="14"/>
          <w:b w:val="1"/>
          <w:bCs w:val="1"/>
          <w:color w:val="auto"/>
        </w:rPr>
        <w:t>djustments</w:t>
      </w:r>
    </w:p>
    <w:p>
      <w:pPr>
        <w:spacing w:after="0" w:line="210" w:lineRule="exact"/>
        <w:rPr>
          <w:sz w:val="20"/>
          <w:szCs w:val="20"/>
          <w:color w:val="auto"/>
        </w:rPr>
      </w:pPr>
    </w:p>
    <w:p>
      <w:pPr>
        <w:jc w:val="both"/>
        <w:ind w:firstLine="853"/>
        <w:spacing w:after="0" w:line="236" w:lineRule="auto"/>
        <w:rPr>
          <w:sz w:val="20"/>
          <w:szCs w:val="20"/>
          <w:color w:val="auto"/>
        </w:rPr>
      </w:pPr>
      <w:r>
        <w:rPr>
          <w:rFonts w:ascii="Times New Roman" w:cs="Times New Roman" w:eastAsia="Times New Roman" w:hAnsi="Times New Roman"/>
          <w:sz w:val="22"/>
          <w:szCs w:val="22"/>
          <w:color w:val="auto"/>
        </w:rPr>
        <w:t>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this Policy, will adjust the number of Shares issuable pursuant to Awards granted under this Policy.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7.L</w:t>
      </w:r>
      <w:r>
        <w:rPr>
          <w:rFonts w:ascii="Times New Roman" w:cs="Times New Roman" w:eastAsia="Times New Roman" w:hAnsi="Times New Roman"/>
          <w:sz w:val="14"/>
          <w:szCs w:val="14"/>
          <w:b w:val="1"/>
          <w:bCs w:val="1"/>
          <w:color w:val="auto"/>
        </w:rPr>
        <w:t>imitations</w:t>
      </w:r>
    </w:p>
    <w:p>
      <w:pPr>
        <w:spacing w:after="0" w:line="210" w:lineRule="exact"/>
        <w:rPr>
          <w:sz w:val="20"/>
          <w:szCs w:val="20"/>
          <w:color w:val="auto"/>
        </w:rPr>
      </w:pPr>
    </w:p>
    <w:p>
      <w:pPr>
        <w:jc w:val="both"/>
        <w:ind w:firstLine="849"/>
        <w:spacing w:after="0" w:line="236" w:lineRule="auto"/>
        <w:rPr>
          <w:sz w:val="20"/>
          <w:szCs w:val="20"/>
          <w:color w:val="auto"/>
        </w:rPr>
      </w:pPr>
      <w:r>
        <w:rPr>
          <w:rFonts w:ascii="Times New Roman" w:cs="Times New Roman" w:eastAsia="Times New Roman" w:hAnsi="Times New Roman"/>
          <w:sz w:val="22"/>
          <w:szCs w:val="22"/>
          <w:color w:val="auto"/>
        </w:rPr>
        <w:t>No Outside Director may be paid, issued or granted, in any Fiscal Year, cash payments (including the fees under Section 1 above) and Awards with an aggregate value greater than $750,000, increased to $1,000,000 in connection with his or her initial service (with the value of Awards based on its grant date fair value (determined in accordance with U.S. generally accepted accounting principles)). Any Awards or other compensation provided to an individual (a) for his or her services as an Employee, or for his or her services as a Consultant other than as an Outside Director, or (b) prior to the Effective Date, will be excluded for purposes of the foregoing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409A</w:t>
      </w:r>
    </w:p>
    <w:p>
      <w:pPr>
        <w:spacing w:after="0" w:line="210" w:lineRule="exact"/>
        <w:rPr>
          <w:sz w:val="20"/>
          <w:szCs w:val="20"/>
          <w:color w:val="auto"/>
        </w:rPr>
      </w:pPr>
    </w:p>
    <w:p>
      <w:pPr>
        <w:jc w:val="both"/>
        <w:ind w:firstLine="849"/>
        <w:spacing w:after="0" w:line="224" w:lineRule="auto"/>
        <w:rPr>
          <w:sz w:val="20"/>
          <w:szCs w:val="20"/>
          <w:color w:val="auto"/>
        </w:rPr>
      </w:pPr>
      <w:r>
        <w:rPr>
          <w:rFonts w:ascii="Times New Roman" w:cs="Times New Roman" w:eastAsia="Times New Roman" w:hAnsi="Times New Roman"/>
          <w:sz w:val="22"/>
          <w:szCs w:val="22"/>
          <w:color w:val="auto"/>
        </w:rPr>
        <w:t>In no event will cash compensation or expense reimbursement payments under this Policy be paid after the later of (a)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month following the end of the Company’s fiscal year in which the compensation is earned or expenses are incurred, as applicable, or (b)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reimburse an Outside Director for any taxes imposed or other costs incurred as a result of Section 409A.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9.R</w:t>
      </w:r>
      <w:r>
        <w:rPr>
          <w:rFonts w:ascii="Times New Roman" w:cs="Times New Roman" w:eastAsia="Times New Roman" w:hAnsi="Times New Roman"/>
          <w:sz w:val="14"/>
          <w:szCs w:val="14"/>
          <w:b w:val="1"/>
          <w:bCs w:val="1"/>
          <w:color w:val="auto"/>
        </w:rPr>
        <w:t>evisions</w:t>
      </w:r>
    </w:p>
    <w:p>
      <w:pPr>
        <w:spacing w:after="0" w:line="210" w:lineRule="exact"/>
        <w:rPr>
          <w:sz w:val="20"/>
          <w:szCs w:val="20"/>
          <w:color w:val="auto"/>
        </w:rPr>
      </w:pPr>
    </w:p>
    <w:p>
      <w:pPr>
        <w:jc w:val="both"/>
        <w:ind w:firstLine="849"/>
        <w:spacing w:after="0" w:line="236" w:lineRule="auto"/>
        <w:rPr>
          <w:sz w:val="20"/>
          <w:szCs w:val="20"/>
          <w:color w:val="auto"/>
        </w:rPr>
      </w:pPr>
      <w:r>
        <w:rPr>
          <w:rFonts w:ascii="Times New Roman" w:cs="Times New Roman" w:eastAsia="Times New Roman" w:hAnsi="Times New Roman"/>
          <w:sz w:val="22"/>
          <w:szCs w:val="22"/>
          <w:color w:val="auto"/>
        </w:rPr>
        <w:t>The Board or any Committee designated by 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0"/>
          <w:szCs w:val="20"/>
          <w:b w:val="1"/>
          <w:bCs w:val="1"/>
          <w:color w:val="auto"/>
        </w:rPr>
        <w:t>Exhibit 10.19</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 TO OFFICE LEASE</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THIS FIRST AMENDMENT TO OFFICE LEASE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is made and entered into as of November 25, 2025,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between </w:t>
      </w:r>
      <w:r>
        <w:rPr>
          <w:rFonts w:ascii="Times New Roman" w:cs="Times New Roman" w:eastAsia="Times New Roman" w:hAnsi="Times New Roman"/>
          <w:sz w:val="20"/>
          <w:szCs w:val="20"/>
          <w:b w:val="1"/>
          <w:bCs w:val="1"/>
          <w:color w:val="auto"/>
        </w:rPr>
        <w:t>1 Twin Property Owner LLC, a Delaware limited liability 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Soleno Therapeutics, Inc.,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Delaware corporation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left="760" w:hanging="752"/>
        <w:spacing w:after="0" w:line="269" w:lineRule="auto"/>
        <w:tabs>
          <w:tab w:leader="none" w:pos="7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are parties to that certain Office Lease dated June 13, 2024 (the “</w:t>
      </w:r>
      <w:r>
        <w:rPr>
          <w:rFonts w:ascii="Times New Roman" w:cs="Times New Roman" w:eastAsia="Times New Roman" w:hAnsi="Times New Roman"/>
          <w:sz w:val="20"/>
          <w:szCs w:val="20"/>
          <w:b w:val="1"/>
          <w:bCs w:val="1"/>
          <w:color w:val="auto"/>
        </w:rPr>
        <w:t>Lease</w:t>
      </w:r>
      <w:r>
        <w:rPr>
          <w:rFonts w:ascii="Times New Roman" w:cs="Times New Roman" w:eastAsia="Times New Roman" w:hAnsi="Times New Roman"/>
          <w:sz w:val="20"/>
          <w:szCs w:val="20"/>
          <w:color w:val="auto"/>
        </w:rPr>
        <w:t xml:space="preserve">”). Pursuant to the Lease, Landlord has leased to Tenant space currently containing approximately </w:t>
      </w:r>
      <w:r>
        <w:rPr>
          <w:rFonts w:ascii="Times New Roman" w:cs="Times New Roman" w:eastAsia="Times New Roman" w:hAnsi="Times New Roman"/>
          <w:sz w:val="20"/>
          <w:szCs w:val="20"/>
          <w:b w:val="1"/>
          <w:bCs w:val="1"/>
          <w:color w:val="auto"/>
        </w:rPr>
        <w:t>18,026</w:t>
      </w:r>
      <w:r>
        <w:rPr>
          <w:rFonts w:ascii="Times New Roman" w:cs="Times New Roman" w:eastAsia="Times New Roman" w:hAnsi="Times New Roman"/>
          <w:sz w:val="20"/>
          <w:szCs w:val="20"/>
          <w:color w:val="auto"/>
        </w:rPr>
        <w:t xml:space="preserve"> rentable square feet (the “</w:t>
      </w:r>
      <w:r>
        <w:rPr>
          <w:rFonts w:ascii="Times New Roman" w:cs="Times New Roman" w:eastAsia="Times New Roman" w:hAnsi="Times New Roman"/>
          <w:sz w:val="20"/>
          <w:szCs w:val="20"/>
          <w:b w:val="1"/>
          <w:bCs w:val="1"/>
          <w:color w:val="auto"/>
        </w:rPr>
        <w:t>Original Premises</w:t>
      </w:r>
      <w:r>
        <w:rPr>
          <w:rFonts w:ascii="Times New Roman" w:cs="Times New Roman" w:eastAsia="Times New Roman" w:hAnsi="Times New Roman"/>
          <w:sz w:val="20"/>
          <w:szCs w:val="20"/>
          <w:color w:val="auto"/>
        </w:rPr>
        <w:t>”) described as Suite No. 400 on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floor of the building located at 100 Marine Parkway, Redwood City, California (the “</w:t>
      </w:r>
      <w:r>
        <w:rPr>
          <w:rFonts w:ascii="Times New Roman" w:cs="Times New Roman" w:eastAsia="Times New Roman" w:hAnsi="Times New Roman"/>
          <w:sz w:val="20"/>
          <w:szCs w:val="20"/>
          <w:b w:val="1"/>
          <w:bCs w:val="1"/>
          <w:color w:val="auto"/>
        </w:rPr>
        <w:t>Building</w:t>
      </w:r>
      <w:r>
        <w:rPr>
          <w:rFonts w:ascii="Times New Roman" w:cs="Times New Roman" w:eastAsia="Times New Roman" w:hAnsi="Times New Roman"/>
          <w:sz w:val="20"/>
          <w:szCs w:val="20"/>
          <w:color w:val="auto"/>
        </w:rPr>
        <w:t>”).</w:t>
      </w:r>
    </w:p>
    <w:p>
      <w:pPr>
        <w:spacing w:after="0" w:line="80" w:lineRule="exact"/>
        <w:rPr>
          <w:rFonts w:ascii="Times New Roman" w:cs="Times New Roman" w:eastAsia="Times New Roman" w:hAnsi="Times New Roman"/>
          <w:sz w:val="20"/>
          <w:szCs w:val="20"/>
          <w:color w:val="auto"/>
        </w:rPr>
      </w:pPr>
    </w:p>
    <w:p>
      <w:pPr>
        <w:jc w:val="both"/>
        <w:ind w:left="760" w:hanging="752"/>
        <w:spacing w:after="0" w:line="237" w:lineRule="auto"/>
        <w:tabs>
          <w:tab w:leader="none" w:pos="7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Tenant has requested that additional space containing approximately </w:t>
      </w:r>
      <w:r>
        <w:rPr>
          <w:rFonts w:ascii="Times New Roman" w:cs="Times New Roman" w:eastAsia="Times New Roman" w:hAnsi="Times New Roman"/>
          <w:sz w:val="20"/>
          <w:szCs w:val="20"/>
          <w:b w:val="1"/>
          <w:bCs w:val="1"/>
          <w:color w:val="auto"/>
        </w:rPr>
        <w:t>17,779</w:t>
      </w:r>
      <w:r>
        <w:rPr>
          <w:rFonts w:ascii="Times New Roman" w:cs="Times New Roman" w:eastAsia="Times New Roman" w:hAnsi="Times New Roman"/>
          <w:sz w:val="20"/>
          <w:szCs w:val="20"/>
          <w:color w:val="auto"/>
        </w:rPr>
        <w:t xml:space="preserve"> rentable square feet described as Suite No. 500 consisting of the entire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 of the Building shown on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hereto (the “</w:t>
      </w:r>
      <w:r>
        <w:rPr>
          <w:rFonts w:ascii="Times New Roman" w:cs="Times New Roman" w:eastAsia="Times New Roman" w:hAnsi="Times New Roman"/>
          <w:sz w:val="20"/>
          <w:szCs w:val="20"/>
          <w:b w:val="1"/>
          <w:bCs w:val="1"/>
          <w:color w:val="auto"/>
        </w:rPr>
        <w:t>Expansion Space</w:t>
      </w:r>
      <w:r>
        <w:rPr>
          <w:rFonts w:ascii="Times New Roman" w:cs="Times New Roman" w:eastAsia="Times New Roman" w:hAnsi="Times New Roman"/>
          <w:sz w:val="20"/>
          <w:szCs w:val="20"/>
          <w:color w:val="auto"/>
        </w:rPr>
        <w:t>”) be added to the Original Premises and that the Lease be appropriately amended and Landlord is willing to do the same on the following terms and conditions.</w:t>
      </w:r>
    </w:p>
    <w:p>
      <w:pPr>
        <w:spacing w:after="0" w:line="188"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capitalized terms used in this Amendment shall have the same definitions as set forth in the Lease to the extent that such capitalized terms are defined therein and not redefined in this Amendment.</w:t>
      </w:r>
    </w:p>
    <w:p>
      <w:pPr>
        <w:spacing w:after="0" w:line="155" w:lineRule="exact"/>
        <w:rPr>
          <w:sz w:val="20"/>
          <w:szCs w:val="20"/>
          <w:color w:val="auto"/>
        </w:rPr>
      </w:pPr>
    </w:p>
    <w:p>
      <w:pPr>
        <w:ind w:left="76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in consideration of the mutual covenants and agreements herein contained and other good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valuable consideration, the receipt and sufficiency of which are hereby acknowledged, Landlord and Tenant agree as follows:</w:t>
      </w:r>
    </w:p>
    <w:p>
      <w:pPr>
        <w:spacing w:after="0" w:line="152" w:lineRule="exact"/>
        <w:rPr>
          <w:sz w:val="20"/>
          <w:szCs w:val="20"/>
          <w:color w:val="auto"/>
        </w:rPr>
      </w:pPr>
    </w:p>
    <w:p>
      <w:pPr>
        <w:jc w:val="both"/>
        <w:ind w:left="760" w:hanging="752"/>
        <w:spacing w:after="0" w:line="233" w:lineRule="auto"/>
        <w:tabs>
          <w:tab w:leader="none" w:pos="7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Expansion.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as of the Expansion Effective Date (defined below), the Premises is increased from approximately 18,026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rentable square feet on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 of the Building to approximately </w:t>
      </w:r>
      <w:r>
        <w:rPr>
          <w:rFonts w:ascii="Times New Roman" w:cs="Times New Roman" w:eastAsia="Times New Roman" w:hAnsi="Times New Roman"/>
          <w:sz w:val="20"/>
          <w:szCs w:val="20"/>
          <w:b w:val="1"/>
          <w:bCs w:val="1"/>
          <w:color w:val="auto"/>
        </w:rPr>
        <w:t>35,805</w:t>
      </w:r>
      <w:r>
        <w:rPr>
          <w:rFonts w:ascii="Times New Roman" w:cs="Times New Roman" w:eastAsia="Times New Roman" w:hAnsi="Times New Roman"/>
          <w:sz w:val="20"/>
          <w:szCs w:val="20"/>
          <w:color w:val="auto"/>
        </w:rPr>
        <w:t xml:space="preserve"> rentable square feet on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and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floors of the Building by the addition of the Expansion Space, and from and after the Expansion Effective Date, the Original Premises and the Expansion Space, collectively, shall be deemed the “Premises”, as defined in the Lease and as used herein. The Term for the Expansion Space shall commence on the Expansion Effective Date and end on the Lease Expiration Date. The Expansion Space is subject to all the terms and conditions of the Lease except as expressly modified herein and except that Tenant shall not be entitled to receive any allowances, abatements or other financial concessions granted with respect to the Expansion Space unless such concessions are expressly provided for herein with respect to the Expansion Space.</w:t>
      </w:r>
    </w:p>
    <w:p>
      <w:pPr>
        <w:spacing w:after="0" w:line="185" w:lineRule="exact"/>
        <w:rPr>
          <w:rFonts w:ascii="Times New Roman" w:cs="Times New Roman" w:eastAsia="Times New Roman" w:hAnsi="Times New Roman"/>
          <w:sz w:val="20"/>
          <w:szCs w:val="20"/>
          <w:color w:val="auto"/>
        </w:rPr>
      </w:pPr>
    </w:p>
    <w:p>
      <w:pPr>
        <w:ind w:left="1500" w:hanging="749"/>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1.1The “</w:t>
      </w:r>
      <w:r>
        <w:rPr>
          <w:rFonts w:ascii="Times New Roman" w:cs="Times New Roman" w:eastAsia="Times New Roman" w:hAnsi="Times New Roman"/>
          <w:sz w:val="20"/>
          <w:szCs w:val="20"/>
          <w:b w:val="1"/>
          <w:bCs w:val="1"/>
          <w:color w:val="auto"/>
        </w:rPr>
        <w:t>Expansion Effective Date</w:t>
      </w:r>
      <w:r>
        <w:rPr>
          <w:rFonts w:ascii="Times New Roman" w:cs="Times New Roman" w:eastAsia="Times New Roman" w:hAnsi="Times New Roman"/>
          <w:sz w:val="20"/>
          <w:szCs w:val="20"/>
          <w:color w:val="auto"/>
        </w:rPr>
        <w:t xml:space="preserve">” shall be the date that is thirty (30) days following the date Landlord delivers possession of the Expansion Space to Tenant with the Tenant Alterations (as defined in </w:t>
      </w:r>
      <w:r>
        <w:rPr>
          <w:rFonts w:ascii="Times New Roman" w:cs="Times New Roman" w:eastAsia="Times New Roman" w:hAnsi="Times New Roman"/>
          <w:sz w:val="20"/>
          <w:szCs w:val="20"/>
          <w:b w:val="1"/>
          <w:bCs w:val="1"/>
          <w:color w:val="auto"/>
        </w:rPr>
        <w:t>Exhibit B</w:t>
      </w:r>
      <w:r>
        <w:rPr>
          <w:rFonts w:ascii="Times New Roman" w:cs="Times New Roman" w:eastAsia="Times New Roman" w:hAnsi="Times New Roman"/>
          <w:sz w:val="20"/>
          <w:szCs w:val="20"/>
          <w:color w:val="auto"/>
        </w:rPr>
        <w:t xml:space="preserve"> attached hereto) in the Expansion Space substantially complete. The date Landlord delivers possession of the Expansion Space to Tenant with the Tenant Alterations substantially complete shall be referred to herein as the “</w:t>
      </w:r>
      <w:r>
        <w:rPr>
          <w:rFonts w:ascii="Times New Roman" w:cs="Times New Roman" w:eastAsia="Times New Roman" w:hAnsi="Times New Roman"/>
          <w:sz w:val="20"/>
          <w:szCs w:val="20"/>
          <w:b w:val="1"/>
          <w:bCs w:val="1"/>
          <w:color w:val="auto"/>
        </w:rPr>
        <w:t>Delivery Date</w:t>
      </w:r>
      <w:r>
        <w:rPr>
          <w:rFonts w:ascii="Times New Roman" w:cs="Times New Roman" w:eastAsia="Times New Roman" w:hAnsi="Times New Roman"/>
          <w:sz w:val="20"/>
          <w:szCs w:val="20"/>
          <w:color w:val="auto"/>
        </w:rPr>
        <w:t>.” The Delivery Date is estimated to occur on December 1, 2025 (the “</w:t>
      </w:r>
      <w:r>
        <w:rPr>
          <w:rFonts w:ascii="Times New Roman" w:cs="Times New Roman" w:eastAsia="Times New Roman" w:hAnsi="Times New Roman"/>
          <w:sz w:val="20"/>
          <w:szCs w:val="20"/>
          <w:b w:val="1"/>
          <w:bCs w:val="1"/>
          <w:color w:val="auto"/>
        </w:rPr>
        <w:t>Target Delivery Date</w:t>
      </w:r>
      <w:r>
        <w:rPr>
          <w:rFonts w:ascii="Times New Roman" w:cs="Times New Roman" w:eastAsia="Times New Roman" w:hAnsi="Times New Roman"/>
          <w:sz w:val="20"/>
          <w:szCs w:val="20"/>
          <w:color w:val="auto"/>
        </w:rPr>
        <w:t>”), and the Expansion Effective Date is estimated to occur on January 1, 2026 (the “</w:t>
      </w:r>
      <w:r>
        <w:rPr>
          <w:rFonts w:ascii="Times New Roman" w:cs="Times New Roman" w:eastAsia="Times New Roman" w:hAnsi="Times New Roman"/>
          <w:sz w:val="20"/>
          <w:szCs w:val="20"/>
          <w:b w:val="1"/>
          <w:bCs w:val="1"/>
          <w:color w:val="auto"/>
        </w:rPr>
        <w:t>Target Expansion Effective Date</w:t>
      </w:r>
      <w:r>
        <w:rPr>
          <w:rFonts w:ascii="Times New Roman" w:cs="Times New Roman" w:eastAsia="Times New Roman" w:hAnsi="Times New Roman"/>
          <w:sz w:val="20"/>
          <w:szCs w:val="20"/>
          <w:color w:val="auto"/>
        </w:rPr>
        <w:t>”); provided, however, that if Landlord shall be delayed in substantially completing the Tenant Alterations in the Expansion Space as a result of the occurrence of a Tenant Delay (defined below), then, for purposes of determining the Delivery Date, the date of substantial completion shall be deemed to be the day that said Tenant Alterations would have been substantially completed absent any such Tenant Delay(s). During the period commencing on the Delivery Date and ending on the day immediately preceding the Expansion Effective Date, Tenant’s possession of the Expansion Space shall be subject to the terms and conditions of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31" w:name="page132"/>
    <w:bookmarkEnd w:id="131"/>
    <w:p>
      <w:pPr>
        <w:spacing w:after="0" w:line="108" w:lineRule="exact"/>
        <w:rPr>
          <w:sz w:val="20"/>
          <w:szCs w:val="20"/>
          <w:color w:val="auto"/>
        </w:rPr>
      </w:pPr>
    </w:p>
    <w:p>
      <w:pPr>
        <w:jc w:val="both"/>
        <w:ind w:left="1500"/>
        <w:spacing w:after="0" w:line="249" w:lineRule="auto"/>
        <w:rPr>
          <w:sz w:val="20"/>
          <w:szCs w:val="20"/>
          <w:color w:val="auto"/>
        </w:rPr>
      </w:pPr>
      <w:r>
        <w:rPr>
          <w:rFonts w:ascii="Times New Roman" w:cs="Times New Roman" w:eastAsia="Times New Roman" w:hAnsi="Times New Roman"/>
          <w:sz w:val="20"/>
          <w:szCs w:val="20"/>
          <w:color w:val="auto"/>
        </w:rPr>
        <w:t>Lease, as amended hereby, and Tenant shall comply with all terms and provisions of the Lease, except those provisions requiring payment of Base Rent or Tenant’s Share of Direct Expenses as to the Expansion Space. A “</w:t>
      </w:r>
      <w:r>
        <w:rPr>
          <w:rFonts w:ascii="Times New Roman" w:cs="Times New Roman" w:eastAsia="Times New Roman" w:hAnsi="Times New Roman"/>
          <w:sz w:val="20"/>
          <w:szCs w:val="20"/>
          <w:b w:val="1"/>
          <w:bCs w:val="1"/>
          <w:color w:val="auto"/>
        </w:rPr>
        <w:t>Tenant Delay</w:t>
      </w:r>
      <w:r>
        <w:rPr>
          <w:rFonts w:ascii="Times New Roman" w:cs="Times New Roman" w:eastAsia="Times New Roman" w:hAnsi="Times New Roman"/>
          <w:sz w:val="20"/>
          <w:szCs w:val="20"/>
          <w:color w:val="auto"/>
        </w:rPr>
        <w:t>” means any act or omission of Tenant or its agents, employees, vendors or contractors that actually delays substantial completion of the Tenant Alterations, including, without limitation, the following:</w:t>
      </w:r>
    </w:p>
    <w:p>
      <w:pPr>
        <w:spacing w:after="0" w:line="180" w:lineRule="exact"/>
        <w:rPr>
          <w:sz w:val="20"/>
          <w:szCs w:val="20"/>
          <w:color w:val="auto"/>
        </w:rPr>
      </w:pPr>
    </w:p>
    <w:p>
      <w:pPr>
        <w:jc w:val="both"/>
        <w:ind w:left="2260" w:right="20" w:hanging="748"/>
        <w:spacing w:after="0" w:line="269" w:lineRule="auto"/>
        <w:tabs>
          <w:tab w:leader="none" w:pos="224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20"/>
          <w:szCs w:val="20"/>
          <w:color w:val="auto"/>
        </w:rPr>
        <w:t>Tenant’s failure to furnish information or approvals within any time period specified in this Amendment, including the failure to prepare or approve preliminary or final plans by any applicable due date;</w:t>
      </w:r>
    </w:p>
    <w:p>
      <w:pPr>
        <w:spacing w:after="0" w:line="159" w:lineRule="exact"/>
        <w:rPr>
          <w:sz w:val="20"/>
          <w:szCs w:val="20"/>
          <w:color w:val="auto"/>
        </w:rPr>
      </w:pPr>
    </w:p>
    <w:p>
      <w:pPr>
        <w:jc w:val="both"/>
        <w:ind w:left="2260" w:hanging="748"/>
        <w:spacing w:after="0" w:line="269" w:lineRule="auto"/>
        <w:tabs>
          <w:tab w:leader="none" w:pos="224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20"/>
          <w:szCs w:val="20"/>
          <w:color w:val="auto"/>
        </w:rPr>
        <w:t>Tenant’s selection of equipment or materials that have long lead times after first being informed by Landlord that the selection may result in a delay;</w:t>
      </w:r>
    </w:p>
    <w:p>
      <w:pPr>
        <w:spacing w:after="0" w:line="159" w:lineRule="exact"/>
        <w:rPr>
          <w:sz w:val="20"/>
          <w:szCs w:val="20"/>
          <w:color w:val="auto"/>
        </w:rPr>
      </w:pPr>
    </w:p>
    <w:p>
      <w:pPr>
        <w:ind w:left="1500"/>
        <w:spacing w:after="0"/>
        <w:tabs>
          <w:tab w:leader="none" w:pos="224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color w:val="auto"/>
        </w:rPr>
        <w:t>Changes requested or made by Tenant to previously approved plans and specifications;</w:t>
      </w:r>
    </w:p>
    <w:p>
      <w:pPr>
        <w:spacing w:after="0" w:line="216" w:lineRule="exact"/>
        <w:rPr>
          <w:sz w:val="20"/>
          <w:szCs w:val="20"/>
          <w:color w:val="auto"/>
        </w:rPr>
      </w:pPr>
    </w:p>
    <w:p>
      <w:pPr>
        <w:jc w:val="both"/>
        <w:ind w:left="1500"/>
        <w:spacing w:after="0" w:line="249" w:lineRule="auto"/>
        <w:rPr>
          <w:sz w:val="20"/>
          <w:szCs w:val="20"/>
          <w:color w:val="auto"/>
        </w:rPr>
      </w:pPr>
      <w:r>
        <w:rPr>
          <w:rFonts w:ascii="Times New Roman" w:cs="Times New Roman" w:eastAsia="Times New Roman" w:hAnsi="Times New Roman"/>
          <w:sz w:val="20"/>
          <w:szCs w:val="20"/>
          <w:color w:val="auto"/>
        </w:rPr>
        <w:t>The Expansion Space shall be deemed to be substantially completed on the date that Landlord reasonably determines that all Tenant Alterations have been performed (or would have been performed absent any Tenant Delays), other than any details of construction, mechanical adjustment or any other matter, the noncompletion of which does not materially interfere with Tenant's use of the Expansion Space.</w:t>
      </w:r>
    </w:p>
    <w:p>
      <w:pPr>
        <w:spacing w:after="0" w:line="180" w:lineRule="exact"/>
        <w:rPr>
          <w:sz w:val="20"/>
          <w:szCs w:val="20"/>
          <w:color w:val="auto"/>
        </w:rPr>
      </w:pPr>
    </w:p>
    <w:p>
      <w:pPr>
        <w:jc w:val="both"/>
        <w:ind w:left="1500" w:hanging="748"/>
        <w:spacing w:after="0" w:line="242" w:lineRule="auto"/>
        <w:tabs>
          <w:tab w:leader="none" w:pos="14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If the Delivery Date shall be delayed to the extent that Landlord fails to deliver possession of the Expansion Space for any other reason (other than Tenant Delays by Tenant) then there shall be an adjustment to the Delivery Date and the Expansion Effective Date and, accordingly, the postponement of Tenant's obligation to pay Base Rent and Tenant’s Share of Direct Expenses on the Expansion Space. If the Expansion Effective Date is delayed, the Lease Expiration Date shall not be similarly extended. Notwithstanding anything contained herein to the contrary, if the Expansion Effective Date has not occurred by (i) February 15, 2026, then Tenant shall receive an additional day for day abatement of Base Rent for each day thereafter until the Expansion Effective Date occurs and (ii) March 15, 2026, then Tenant may terminate this Amendment upon notice to Landlord, and upon such termination, Landlord shall return the Security Deposit for the Expansion Space provided in Section 4 below. The parties acknowledge and agree that the foregoing dates are subject to Tenant Delays and Force Majeure.</w:t>
      </w:r>
    </w:p>
    <w:p>
      <w:pPr>
        <w:spacing w:after="0" w:line="188" w:lineRule="exact"/>
        <w:rPr>
          <w:sz w:val="20"/>
          <w:szCs w:val="20"/>
          <w:color w:val="auto"/>
        </w:rPr>
      </w:pPr>
    </w:p>
    <w:p>
      <w:pPr>
        <w:jc w:val="both"/>
        <w:ind w:left="760" w:hanging="752"/>
        <w:spacing w:after="0" w:line="256" w:lineRule="auto"/>
        <w:tabs>
          <w:tab w:leader="none" w:pos="7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Tenant’s Share.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period commencing with the Expansion Effective Date and ending on the Lease Expiration Date, Tenant’s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 for the Expansion Space is 20.67% of the Building. Tenant’s Share for the Expansion Space and the Original Premises is, collectively, 41.62% of the Building.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04" w:lineRule="exact"/>
        <w:rPr>
          <w:sz w:val="20"/>
          <w:szCs w:val="20"/>
          <w:color w:val="auto"/>
        </w:rPr>
      </w:pPr>
    </w:p>
    <w:p>
      <w:pPr>
        <w:ind w:left="760" w:hanging="752"/>
        <w:spacing w:after="0" w:line="273" w:lineRule="auto"/>
        <w:tabs>
          <w:tab w:leader="none" w:pos="7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Base Rent.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addition to Tenant’s obligation to pay Base Rent for the Original Premises, Tenant shall pay Landlord Base Rent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Expansion Space as follows:</w:t>
      </w:r>
    </w:p>
    <w:p>
      <w:pPr>
        <w:spacing w:after="0" w:line="199" w:lineRule="exact"/>
        <w:rPr>
          <w:sz w:val="20"/>
          <w:szCs w:val="20"/>
          <w:color w:val="auto"/>
        </w:rPr>
      </w:pPr>
    </w:p>
    <w:tbl>
      <w:tblPr>
        <w:tblLayout w:type="fixed"/>
        <w:tblInd w:w="790" w:type="dxa"/>
        <w:tblCellMar>
          <w:top w:w="0" w:type="dxa"/>
          <w:left w:w="0" w:type="dxa"/>
          <w:bottom w:w="0" w:type="dxa"/>
          <w:right w:w="0" w:type="dxa"/>
        </w:tblCellMar>
      </w:tblPr>
      <w:tr>
        <w:trPr>
          <w:trHeight w:val="230"/>
        </w:trPr>
        <w:tc>
          <w:tcPr>
            <w:tcW w:w="2400" w:type="dxa"/>
            <w:vAlign w:val="bottom"/>
            <w:tcBorders>
              <w:top w:val="single" w:sz="8" w:color="auto"/>
              <w:left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21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Rentable Square Feet**</w:t>
            </w:r>
          </w:p>
        </w:tc>
        <w:tc>
          <w:tcPr>
            <w:tcW w:w="2500" w:type="dxa"/>
            <w:vAlign w:val="bottom"/>
            <w:tcBorders>
              <w:top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8"/>
              </w:rPr>
              <w:t>Monthly Installment of Base</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Monthly Base Rent per RSF</w:t>
            </w:r>
          </w:p>
        </w:tc>
      </w:tr>
      <w:tr>
        <w:trPr>
          <w:trHeight w:val="280"/>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Rent</w:t>
            </w:r>
          </w:p>
        </w:tc>
        <w:tc>
          <w:tcPr>
            <w:tcW w:w="2800" w:type="dxa"/>
            <w:vAlign w:val="bottom"/>
            <w:tcBorders>
              <w:bottom w:val="single" w:sz="8" w:color="auto"/>
              <w:right w:val="single" w:sz="8" w:color="auto"/>
            </w:tcBorders>
          </w:tcPr>
          <w:p>
            <w:pPr>
              <w:spacing w:after="0"/>
              <w:rPr>
                <w:sz w:val="24"/>
                <w:szCs w:val="24"/>
                <w:color w:val="auto"/>
              </w:rPr>
            </w:pPr>
          </w:p>
        </w:tc>
      </w:tr>
      <w:tr>
        <w:trPr>
          <w:trHeight w:val="213"/>
        </w:trPr>
        <w:tc>
          <w:tcPr>
            <w:tcW w:w="2400" w:type="dxa"/>
            <w:vAlign w:val="bottom"/>
            <w:tcBorders>
              <w:left w:val="single" w:sz="8" w:color="auto"/>
              <w:bottom w:val="single" w:sz="8" w:color="auto"/>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1/1/26 – 12/31/26</w:t>
            </w:r>
          </w:p>
        </w:tc>
        <w:tc>
          <w:tcPr>
            <w:tcW w:w="2180" w:type="dxa"/>
            <w:vAlign w:val="bottom"/>
            <w:tcBorders>
              <w:bottom w:val="single" w:sz="8" w:color="auto"/>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rPr>
              <w:t>7,987</w:t>
            </w:r>
          </w:p>
        </w:tc>
        <w:tc>
          <w:tcPr>
            <w:tcW w:w="2500" w:type="dxa"/>
            <w:vAlign w:val="bottom"/>
            <w:tcBorders>
              <w:bottom w:val="single" w:sz="8" w:color="auto"/>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8"/>
              </w:rPr>
              <w:t>$32,746.70***</w:t>
            </w:r>
          </w:p>
        </w:tc>
        <w:tc>
          <w:tcPr>
            <w:tcW w:w="2800" w:type="dxa"/>
            <w:vAlign w:val="bottom"/>
            <w:tcBorders>
              <w:bottom w:val="single" w:sz="8" w:color="auto"/>
              <w:right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7"/>
              </w:rPr>
              <w:t>$4.10</w:t>
            </w:r>
          </w:p>
        </w:tc>
      </w:tr>
      <w:tr>
        <w:trPr>
          <w:trHeight w:val="223"/>
        </w:trPr>
        <w:tc>
          <w:tcPr>
            <w:tcW w:w="24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1/1/27 – 12/31/27</w:t>
            </w:r>
          </w:p>
        </w:tc>
        <w:tc>
          <w:tcPr>
            <w:tcW w:w="21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10,000</w:t>
            </w:r>
          </w:p>
        </w:tc>
        <w:tc>
          <w:tcPr>
            <w:tcW w:w="2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$42,200.00</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$4.22</w:t>
            </w:r>
          </w:p>
        </w:tc>
      </w:tr>
      <w:tr>
        <w:trPr>
          <w:trHeight w:val="223"/>
        </w:trPr>
        <w:tc>
          <w:tcPr>
            <w:tcW w:w="24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1/1/28 – 12/31/28</w:t>
            </w:r>
          </w:p>
        </w:tc>
        <w:tc>
          <w:tcPr>
            <w:tcW w:w="21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16,000</w:t>
            </w:r>
          </w:p>
        </w:tc>
        <w:tc>
          <w:tcPr>
            <w:tcW w:w="2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$69,600.00</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$4.35</w:t>
            </w:r>
          </w:p>
        </w:tc>
      </w:tr>
      <w:tr>
        <w:trPr>
          <w:trHeight w:val="223"/>
        </w:trPr>
        <w:tc>
          <w:tcPr>
            <w:tcW w:w="24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1/1/29 – 8/31/29</w:t>
            </w:r>
          </w:p>
        </w:tc>
        <w:tc>
          <w:tcPr>
            <w:tcW w:w="21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17,779</w:t>
            </w:r>
          </w:p>
        </w:tc>
        <w:tc>
          <w:tcPr>
            <w:tcW w:w="25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$79,649.92</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$4.48</w:t>
            </w:r>
          </w:p>
        </w:tc>
      </w:tr>
    </w:tbl>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All such Base Rent shall be payable by Tenant in accordance with the terms of the Lease, as amended hereby.</w:t>
      </w:r>
    </w:p>
    <w:p>
      <w:pPr>
        <w:spacing w:after="0" w:line="216" w:lineRule="exact"/>
        <w:rPr>
          <w:sz w:val="20"/>
          <w:szCs w:val="20"/>
          <w:color w:val="auto"/>
        </w:rPr>
      </w:pPr>
    </w:p>
    <w:p>
      <w:pPr>
        <w:jc w:val="both"/>
        <w:ind w:left="760" w:hanging="3"/>
        <w:spacing w:after="0" w:line="244" w:lineRule="auto"/>
        <w:tabs>
          <w:tab w:leader="none" w:pos="90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acknowledge that the foregoing schedule is based on the assumption that the Expansion Effective Date is the Target Expansion Effective Date. If the Expansion Effective Date is not the Target Expansion Effective Date, (i) the schedule set forth above with respect to the payment of any installment(s) of Base Rent for the Expansion Space shall be appropriately adjusted on a per diem basis to reflect the actual Expansion Effective Date and Tenant shall, at Landlord’s request, execute and deliver a memorandum agreement provided by Landlord setting forth the actual Expansion Effective Date and a revised Base Rent schedule. Should Tenant fail to do so within thirty (30) days after Landlord’s request, the information set forth in such memorandum provided by Landlord shall be conclusively presumed to be agreed and correct.</w:t>
      </w:r>
    </w:p>
    <w:p>
      <w:pPr>
        <w:spacing w:after="0" w:line="186" w:lineRule="exact"/>
        <w:rPr>
          <w:sz w:val="20"/>
          <w:szCs w:val="20"/>
          <w:color w:val="auto"/>
        </w:rPr>
      </w:pPr>
    </w:p>
    <w:p>
      <w:pPr>
        <w:jc w:val="both"/>
        <w:ind w:left="760" w:hanging="3"/>
        <w:spacing w:after="0" w:line="221" w:lineRule="auto"/>
        <w:tabs>
          <w:tab w:leader="none" w:pos="102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for the purpose of calculating the Base Rent payable by Tenant for the Expansion Space, the Expansion Space shall be deemed to be: (i) approximately 7,987 rentable square feet during the first twelve (12) full calendar months following the Expansion Effective Date; (ii) approximately 10,000 rentable square feet during the thirteenth (13</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through the twenty-fourth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full calendar months following the Expansion Effective Date; (iii) approximately 16,000 rentable square feet during the twenty-fifth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through the thirty-sixth (36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full calendar months following the Expansion Effective Date; and (iv) approximately 17,779 rentable square feet during the thirty-seventh (37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through the forty-fourth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full calendar months following the Expansion Effective Date. Notwithstanding the foregoing, Tenant shall be in possession of the entire 17,779rentable square feet of the Expansion Space during the period commencing on the Expansion Effective Date and ending on the Lease Expiration Date and shall be responsible for all of its obligations and liabilities with respect to the entire Expansion Space pursuant to the terms of the Lease, as amended hereby, during the Lease Term, including without limitation, Tenant’s obligation to pay Tenant’s Share of Direct Expenses for the entire Expansion Space.</w:t>
      </w:r>
    </w:p>
    <w:p>
      <w:pPr>
        <w:spacing w:after="0" w:line="197" w:lineRule="exact"/>
        <w:rPr>
          <w:rFonts w:ascii="Times New Roman" w:cs="Times New Roman" w:eastAsia="Times New Roman" w:hAnsi="Times New Roman"/>
          <w:sz w:val="20"/>
          <w:szCs w:val="20"/>
          <w:color w:val="auto"/>
        </w:rPr>
      </w:pPr>
    </w:p>
    <w:p>
      <w:pPr>
        <w:jc w:val="both"/>
        <w:ind w:left="760" w:hanging="3"/>
        <w:spacing w:after="0" w:line="242" w:lineRule="auto"/>
        <w:tabs>
          <w:tab w:leader="none" w:pos="110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 Lease, as amended hereby, to the contrary, so long as Tenant is not in default under the Lease, as amended hereby, beyond any applicable notice or cure period, Tenant shall be entitled to an abatement of Base Rent with respect to the Expansion Space in the amount of $32,746.70 per month for the first two (2) full calendar months following the Expansion Effective Date. The maximum total amount of Base Rent abated with respect to the Premises in accordance with the foregoing shall equal $65,493.40 (the “</w:t>
      </w:r>
      <w:r>
        <w:rPr>
          <w:rFonts w:ascii="Times New Roman" w:cs="Times New Roman" w:eastAsia="Times New Roman" w:hAnsi="Times New Roman"/>
          <w:sz w:val="20"/>
          <w:szCs w:val="20"/>
          <w:b w:val="1"/>
          <w:bCs w:val="1"/>
          <w:color w:val="auto"/>
        </w:rPr>
        <w:t>Abated Base Rent</w:t>
      </w:r>
      <w:r>
        <w:rPr>
          <w:rFonts w:ascii="Times New Roman" w:cs="Times New Roman" w:eastAsia="Times New Roman" w:hAnsi="Times New Roman"/>
          <w:sz w:val="20"/>
          <w:szCs w:val="20"/>
          <w:color w:val="auto"/>
        </w:rPr>
        <w:t>”). If Tenant shall be in monetary or non-monetary material default under the Lease, as amended hereby, and shall fail to cure such default within the notice and cure period, if any, permitted for cure pursuant to terms and conditions of the Lease, then the dollar amount of the unapplied portion of the Abated Base Rent as of the date of such default shall be converted to a credit to be applied to the Base Rent applicable at the end of the Lease Term and Tenant shall immediately be obligated to begin paying Base Rent for the Expansion Space in full. Only Base Rent shall be abated pursuant to this Section, as more particularly described herein, and all other rent and other costs and charges specified in the Lease, as amended hereby, shall remain as due and payable pursuant to the provisions of the Lease, as amended hereby.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jc w:val="both"/>
        <w:ind w:left="760" w:hanging="752"/>
        <w:spacing w:after="0" w:line="250" w:lineRule="auto"/>
        <w:tabs>
          <w:tab w:leader="none" w:pos="7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Additional Security Deposit.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Tenant’s execution hereof, Tenant shall pay Landlord the sum of $79,649.92 which is added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becomes part of the Security Deposit held by Landlord as provided under Article 21 of the Lease as security for payment of Rent and the performance of the other terms and conditions of the Lease by Tenant. Accordingly, simultaneous with the execution hereof, the Security Deposit is increased from $83,099.86 to $162,749.78.</w:t>
      </w:r>
    </w:p>
    <w:p>
      <w:pPr>
        <w:spacing w:after="0" w:line="175" w:lineRule="exact"/>
        <w:rPr>
          <w:rFonts w:ascii="Times New Roman" w:cs="Times New Roman" w:eastAsia="Times New Roman" w:hAnsi="Times New Roman"/>
          <w:sz w:val="20"/>
          <w:szCs w:val="20"/>
          <w:color w:val="auto"/>
        </w:rPr>
      </w:pPr>
    </w:p>
    <w:p>
      <w:pPr>
        <w:jc w:val="both"/>
        <w:ind w:left="760" w:hanging="752"/>
        <w:spacing w:after="0" w:line="250" w:lineRule="auto"/>
        <w:tabs>
          <w:tab w:leader="none" w:pos="7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Additional Rent.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period commencing with the Expansion Effective Date and ending on the Lease Expiration Date, Tenant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pay all Additional Rent payable under the Lease, including Tenant’s Share of Direct Expenses applicable to the Expansion Space, in accordance with the terms of the Lease, provided, however, during such period, the Base Year for the computation of Tenant's Share of Direct Expenses applicable to the Expansion Space is 2026.</w:t>
      </w:r>
    </w:p>
    <w:p>
      <w:pPr>
        <w:spacing w:after="0" w:line="17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Improvements to Expansion Space.</w:t>
      </w:r>
    </w:p>
    <w:p>
      <w:pPr>
        <w:spacing w:after="0" w:line="215" w:lineRule="exact"/>
        <w:rPr>
          <w:rFonts w:ascii="Times New Roman" w:cs="Times New Roman" w:eastAsia="Times New Roman" w:hAnsi="Times New Roman"/>
          <w:sz w:val="20"/>
          <w:szCs w:val="20"/>
          <w:color w:val="auto"/>
        </w:rPr>
      </w:pPr>
    </w:p>
    <w:p>
      <w:pPr>
        <w:ind w:left="1500" w:hanging="749"/>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6.1</w:t>
      </w:r>
      <w:r>
        <w:rPr>
          <w:rFonts w:ascii="Times New Roman" w:cs="Times New Roman" w:eastAsia="Times New Roman" w:hAnsi="Times New Roman"/>
          <w:sz w:val="19"/>
          <w:szCs w:val="19"/>
          <w:b w:val="1"/>
          <w:bCs w:val="1"/>
          <w:color w:val="auto"/>
        </w:rPr>
        <w:t xml:space="preserve">Condition of Expansion Space. </w:t>
      </w:r>
      <w:r>
        <w:rPr>
          <w:rFonts w:ascii="Times New Roman" w:cs="Times New Roman" w:eastAsia="Times New Roman" w:hAnsi="Times New Roman"/>
          <w:sz w:val="19"/>
          <w:szCs w:val="19"/>
          <w:color w:val="auto"/>
        </w:rPr>
        <w:t>Tenant has inspected the Expansion Space and agrees to accept the same “as is” without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agreements, representations, understandings or obligations on the part of Landlord to perform any alterations, repairs or improvements, except as may be expressly provided otherwise in this Amendment. However, notwithstanding the foregoing, Landlord agrees that the Building’s base electrical, heating, ventilation and air conditioning, plumbing and fire life safety systems located in the Expansion Space shall be in good working order as of the date Landlord delivers possession of the Expansion Space to Tenant. Except to the extent caused by the acts or omissions of Tenant or any of its agents, contractors, employees, licensees or invitees or by any alterations or improvements performed by or on behalf of Tenant, if such Building’s base electrical, heating, ventilation and air conditioning, plumbing and fire life safety systems are not in good working order as of the date possession of the Expansion Space is delivered to Tenant and Tenant provides Landlord with notice of the same within nine (9) months following the date Landlord delivers possession of the Expansion Space to Tenant, Landlord shall be responsible for repairing or restoring the same at Landlord’s sole cost and expense.</w:t>
      </w:r>
    </w:p>
    <w:p>
      <w:pPr>
        <w:spacing w:after="0" w:line="177" w:lineRule="exact"/>
        <w:rPr>
          <w:rFonts w:ascii="Times New Roman" w:cs="Times New Roman" w:eastAsia="Times New Roman" w:hAnsi="Times New Roman"/>
          <w:sz w:val="20"/>
          <w:szCs w:val="20"/>
          <w:color w:val="auto"/>
        </w:rPr>
      </w:pPr>
    </w:p>
    <w:p>
      <w:pPr>
        <w:ind w:left="1500" w:hanging="749"/>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6.2</w:t>
      </w:r>
      <w:r>
        <w:rPr>
          <w:rFonts w:ascii="Times New Roman" w:cs="Times New Roman" w:eastAsia="Times New Roman" w:hAnsi="Times New Roman"/>
          <w:sz w:val="20"/>
          <w:szCs w:val="20"/>
          <w:b w:val="1"/>
          <w:bCs w:val="1"/>
          <w:color w:val="auto"/>
        </w:rPr>
        <w:t xml:space="preserve">Responsibility for Improvements to Expansion Space. </w:t>
      </w:r>
      <w:r>
        <w:rPr>
          <w:rFonts w:ascii="Times New Roman" w:cs="Times New Roman" w:eastAsia="Times New Roman" w:hAnsi="Times New Roman"/>
          <w:sz w:val="20"/>
          <w:szCs w:val="20"/>
          <w:color w:val="auto"/>
        </w:rPr>
        <w:t>Landlord shall perform improvements to the Expansion Space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accordance with the terms of </w:t>
      </w:r>
      <w:r>
        <w:rPr>
          <w:rFonts w:ascii="Times New Roman" w:cs="Times New Roman" w:eastAsia="Times New Roman" w:hAnsi="Times New Roman"/>
          <w:sz w:val="20"/>
          <w:szCs w:val="20"/>
          <w:b w:val="1"/>
          <w:bCs w:val="1"/>
          <w:color w:val="auto"/>
        </w:rPr>
        <w:t>Exhibit B</w:t>
      </w:r>
      <w:r>
        <w:rPr>
          <w:rFonts w:ascii="Times New Roman" w:cs="Times New Roman" w:eastAsia="Times New Roman" w:hAnsi="Times New Roman"/>
          <w:sz w:val="20"/>
          <w:szCs w:val="20"/>
          <w:color w:val="auto"/>
        </w:rPr>
        <w:t xml:space="preserve"> attached hereto. Upon the expiration of the Lease Term, or upon any earlier termination of the Lease, Tenant shall surrender possession of the Expansion Space to Landlord in accordance with the terms of the Lease and in as good order and condition as when Tenant took possession, reasonable wear and tear, casualty, and repairs which are specifically made the responsibility of Landlord excepted. Tenant shall not be required to remove any portion of the Tenant Alterations described on </w:t>
      </w:r>
      <w:r>
        <w:rPr>
          <w:rFonts w:ascii="Times New Roman" w:cs="Times New Roman" w:eastAsia="Times New Roman" w:hAnsi="Times New Roman"/>
          <w:sz w:val="20"/>
          <w:szCs w:val="20"/>
          <w:b w:val="1"/>
          <w:bCs w:val="1"/>
          <w:color w:val="auto"/>
        </w:rPr>
        <w:t>Exhibit B</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ind w:left="1500" w:right="20" w:hanging="749"/>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6.3</w:t>
      </w:r>
      <w:r>
        <w:rPr>
          <w:rFonts w:ascii="Times New Roman" w:cs="Times New Roman" w:eastAsia="Times New Roman" w:hAnsi="Times New Roman"/>
          <w:sz w:val="20"/>
          <w:szCs w:val="20"/>
          <w:b w:val="1"/>
          <w:bCs w:val="1"/>
          <w:color w:val="auto"/>
        </w:rPr>
        <w:t xml:space="preserve">Responsibilities for Improvements to Premises. </w:t>
      </w:r>
      <w:r>
        <w:rPr>
          <w:rFonts w:ascii="Times New Roman" w:cs="Times New Roman" w:eastAsia="Times New Roman" w:hAnsi="Times New Roman"/>
          <w:sz w:val="20"/>
          <w:szCs w:val="20"/>
          <w:color w:val="auto"/>
        </w:rPr>
        <w:t>Prior to the Expansion Effective Date, Landlord shall install security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lighting within the parking lot and building entrance areas to Tenant’s reasonable satisfaction.</w:t>
      </w:r>
    </w:p>
    <w:p>
      <w:pPr>
        <w:spacing w:after="0" w:line="151" w:lineRule="exact"/>
        <w:rPr>
          <w:rFonts w:ascii="Times New Roman" w:cs="Times New Roman" w:eastAsia="Times New Roman" w:hAnsi="Times New Roman"/>
          <w:sz w:val="20"/>
          <w:szCs w:val="20"/>
          <w:color w:val="auto"/>
        </w:rPr>
      </w:pPr>
    </w:p>
    <w:p>
      <w:pPr>
        <w:ind w:left="760" w:hanging="752"/>
        <w:spacing w:after="0" w:line="273" w:lineRule="auto"/>
        <w:tabs>
          <w:tab w:leader="none" w:pos="7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Other Pertinent Provisions.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 and Tenant agree that, effective as of the date of this Amendment (unless different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date(s) is/are specifically referenced in this Section), the Lease shall be amended in the following additional respects:</w:t>
      </w:r>
    </w:p>
    <w:p>
      <w:pPr>
        <w:spacing w:after="0" w:line="151" w:lineRule="exact"/>
        <w:rPr>
          <w:rFonts w:ascii="Times New Roman" w:cs="Times New Roman" w:eastAsia="Times New Roman" w:hAnsi="Times New Roman"/>
          <w:sz w:val="20"/>
          <w:szCs w:val="20"/>
          <w:color w:val="auto"/>
        </w:rPr>
      </w:pPr>
    </w:p>
    <w:p>
      <w:pPr>
        <w:ind w:left="1500" w:hanging="749"/>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7.1</w:t>
      </w:r>
      <w:r>
        <w:rPr>
          <w:rFonts w:ascii="Times New Roman" w:cs="Times New Roman" w:eastAsia="Times New Roman" w:hAnsi="Times New Roman"/>
          <w:sz w:val="20"/>
          <w:szCs w:val="20"/>
          <w:b w:val="1"/>
          <w:bCs w:val="1"/>
          <w:color w:val="auto"/>
        </w:rPr>
        <w:t>Parking</w:t>
      </w:r>
      <w:r>
        <w:rPr>
          <w:rFonts w:ascii="Times New Roman" w:cs="Times New Roman" w:eastAsia="Times New Roman" w:hAnsi="Times New Roman"/>
          <w:sz w:val="20"/>
          <w:szCs w:val="20"/>
          <w:color w:val="auto"/>
        </w:rPr>
        <w:t>. Commencing upon the Expansion Effective Date, Tenant shall have the right, at no additional charge, to 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three (3) additional unreserved parking passes for every 1,000 rentable square feet of the Expansion Space, subject to the terms of Article 28 of the Lease. In addition, Tenant shall have the right to reserve up to seven (7) dedicated parking stalls adjacent to either entrance to the Building. Landlord shall have no obligation to enforce or monitor Tenant’s parking spaces nor shall Landlord be responsible for enforcing Tenant’s parking rights against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34" w:name="page135"/>
    <w:bookmarkEnd w:id="134"/>
    <w:p>
      <w:pPr>
        <w:spacing w:after="0" w:line="10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any third parties, except that Landlord shall install signage indicating that Tenant’s reservation of such parking spaces.</w:t>
      </w:r>
    </w:p>
    <w:p>
      <w:pPr>
        <w:spacing w:after="0" w:line="212" w:lineRule="exact"/>
        <w:rPr>
          <w:sz w:val="20"/>
          <w:szCs w:val="20"/>
          <w:color w:val="auto"/>
        </w:rPr>
      </w:pPr>
    </w:p>
    <w:p>
      <w:pPr>
        <w:jc w:val="right"/>
        <w:spacing w:after="0" w:line="255"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b w:val="1"/>
          <w:bCs w:val="1"/>
          <w:color w:val="auto"/>
        </w:rPr>
        <w:t>Right of First Offer</w:t>
      </w:r>
      <w:r>
        <w:rPr>
          <w:rFonts w:ascii="Times New Roman" w:cs="Times New Roman" w:eastAsia="Times New Roman" w:hAnsi="Times New Roman"/>
          <w:sz w:val="20"/>
          <w:szCs w:val="20"/>
          <w:color w:val="auto"/>
        </w:rPr>
        <w:t>. Section 1.3 of the Lease is hereby deleted in its entirety. Landlord hereby grants to the originally named Tenant or any Permitted Transferee pursuant to a Permitted Transfer ("</w:t>
      </w:r>
      <w:r>
        <w:rPr>
          <w:rFonts w:ascii="Times New Roman" w:cs="Times New Roman" w:eastAsia="Times New Roman" w:hAnsi="Times New Roman"/>
          <w:sz w:val="20"/>
          <w:szCs w:val="20"/>
          <w:b w:val="1"/>
          <w:bCs w:val="1"/>
          <w:color w:val="auto"/>
        </w:rPr>
        <w:t>Original Tenant</w:t>
      </w:r>
      <w:r>
        <w:rPr>
          <w:rFonts w:ascii="Times New Roman" w:cs="Times New Roman" w:eastAsia="Times New Roman" w:hAnsi="Times New Roman"/>
          <w:sz w:val="20"/>
          <w:szCs w:val="20"/>
          <w:color w:val="auto"/>
        </w:rPr>
        <w:t>") an ongoing right of first</w:t>
      </w:r>
    </w:p>
    <w:p>
      <w:pPr>
        <w:spacing w:after="0" w:line="1" w:lineRule="exact"/>
        <w:rPr>
          <w:sz w:val="20"/>
          <w:szCs w:val="20"/>
          <w:color w:val="auto"/>
        </w:rPr>
      </w:pPr>
    </w:p>
    <w:p>
      <w:pPr>
        <w:jc w:val="both"/>
        <w:ind w:left="740"/>
        <w:spacing w:after="0" w:line="237" w:lineRule="auto"/>
        <w:rPr>
          <w:sz w:val="20"/>
          <w:szCs w:val="20"/>
          <w:color w:val="auto"/>
        </w:rPr>
      </w:pPr>
      <w:r>
        <w:rPr>
          <w:rFonts w:ascii="Times New Roman" w:cs="Times New Roman" w:eastAsia="Times New Roman" w:hAnsi="Times New Roman"/>
          <w:sz w:val="20"/>
          <w:szCs w:val="20"/>
          <w:color w:val="auto"/>
        </w:rPr>
        <w:t>offer (the “</w:t>
      </w:r>
      <w:r>
        <w:rPr>
          <w:rFonts w:ascii="Times New Roman" w:cs="Times New Roman" w:eastAsia="Times New Roman" w:hAnsi="Times New Roman"/>
          <w:sz w:val="20"/>
          <w:szCs w:val="20"/>
          <w:b w:val="1"/>
          <w:bCs w:val="1"/>
          <w:color w:val="auto"/>
        </w:rPr>
        <w:t>Offer Right</w:t>
      </w:r>
      <w:r>
        <w:rPr>
          <w:rFonts w:ascii="Times New Roman" w:cs="Times New Roman" w:eastAsia="Times New Roman" w:hAnsi="Times New Roman"/>
          <w:sz w:val="20"/>
          <w:szCs w:val="20"/>
          <w:color w:val="auto"/>
        </w:rPr>
        <w:t>”) with respect to each of the following spaces located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0"/>
          <w:szCs w:val="20"/>
          <w:color w:val="auto"/>
        </w:rPr>
        <w:t>) floor of the Building: (i) Suite 350 containing approximately 3,270 rentable square feet; (ii) Suite 300 containing approximately 10,829 rentable square feet; and (iii) Suite 310 containing approximately 4,169 rentable square feet (each, a “</w:t>
      </w:r>
      <w:r>
        <w:rPr>
          <w:rFonts w:ascii="Times New Roman" w:cs="Times New Roman" w:eastAsia="Times New Roman" w:hAnsi="Times New Roman"/>
          <w:sz w:val="20"/>
          <w:szCs w:val="20"/>
          <w:b w:val="1"/>
          <w:bCs w:val="1"/>
          <w:color w:val="auto"/>
        </w:rPr>
        <w:t>First Offer Space</w:t>
      </w:r>
      <w:r>
        <w:rPr>
          <w:rFonts w:ascii="Times New Roman" w:cs="Times New Roman" w:eastAsia="Times New Roman" w:hAnsi="Times New Roman"/>
          <w:sz w:val="20"/>
          <w:szCs w:val="20"/>
          <w:color w:val="auto"/>
        </w:rPr>
        <w:t>”). Landlord and Tenant acknowledge that as of the date of this Lease, each First Offer Space is currently leased. If Tenant, following its receipt of a First Offer Notice fails to exercise its right to lease all or any portion of a First Offer Space, then Landlord may lease the First Offer Space to any party on the terms set forth in the First Offer Notice. Notwithstanding anything to the contrary in this Section 7.2, if Tenant was entitled to exercise its right of first offer pursuant to this Section 7.2, but did not accept Landlord’s offer set forth in Landlord’s First Offer Notice, and Landlord proposes to lease the First Offer Space to a prospective tenant on material terms that are substantially more favorable to the tenant than those set forth in the First Offer Notice, then the terms of this Section 7.2 shall apply again as if Landlord had not provided the First Offer Notice to Tenant; provided, however, Tenant's Exercise Period with respect to such new First Offer Notice shall be amended to be a period of five (5) days. For purposes hereof, the material terms offered to another party (the “</w:t>
      </w:r>
      <w:r>
        <w:rPr>
          <w:rFonts w:ascii="Times New Roman" w:cs="Times New Roman" w:eastAsia="Times New Roman" w:hAnsi="Times New Roman"/>
          <w:sz w:val="20"/>
          <w:szCs w:val="20"/>
          <w:b w:val="1"/>
          <w:bCs w:val="1"/>
          <w:color w:val="auto"/>
        </w:rPr>
        <w:t>Proposed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Terms</w:t>
      </w:r>
      <w:r>
        <w:rPr>
          <w:rFonts w:ascii="Times New Roman" w:cs="Times New Roman" w:eastAsia="Times New Roman" w:hAnsi="Times New Roman"/>
          <w:sz w:val="20"/>
          <w:szCs w:val="20"/>
          <w:color w:val="auto"/>
        </w:rPr>
        <w:t>”) shall not be deemed to be substantially more favorable than those set forth in an First Offer Notice unless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annualized net present value of the rent for the First Offer Space as provided under the Proposed Terms is less than ninety-five percent (95%) of the annualized net present value of the rent for the First Offer Space as provided under the First Offer Notice, as reasonably determined in good faith by Landlord using a discount rate selected in good faith by Landlord and taking into account all proposed material terms relating to the First Offer Space, including the length of the term, the net rent, any base year, any tax or expense escalation or other financial escalation, and any allowances or other financial concessions, but excluding any right to extend the term or any right to expand the leased premises (whether in the form of an expansion option, a right of first offer or refusal, or any similar right).</w:t>
      </w:r>
    </w:p>
    <w:p>
      <w:pPr>
        <w:spacing w:after="0" w:line="193" w:lineRule="exact"/>
        <w:rPr>
          <w:sz w:val="20"/>
          <w:szCs w:val="20"/>
          <w:color w:val="auto"/>
        </w:rPr>
      </w:pPr>
    </w:p>
    <w:p>
      <w:pPr>
        <w:jc w:val="both"/>
        <w:ind w:left="1500" w:hanging="748"/>
        <w:spacing w:after="0" w:line="244" w:lineRule="auto"/>
        <w:tabs>
          <w:tab w:leader="none" w:pos="1480" w:val="left"/>
        </w:tabs>
        <w:rPr>
          <w:sz w:val="20"/>
          <w:szCs w:val="20"/>
          <w:color w:val="auto"/>
        </w:rPr>
      </w:pPr>
      <w:r>
        <w:rPr>
          <w:rFonts w:ascii="Times New Roman" w:cs="Times New Roman" w:eastAsia="Times New Roman" w:hAnsi="Times New Roman"/>
          <w:sz w:val="20"/>
          <w:szCs w:val="20"/>
          <w:color w:val="auto"/>
        </w:rPr>
        <w:t>7.2.1</w:t>
      </w:r>
      <w:r>
        <w:rPr>
          <w:sz w:val="20"/>
          <w:szCs w:val="20"/>
          <w:color w:val="auto"/>
        </w:rPr>
        <w:tab/>
      </w:r>
      <w:r>
        <w:rPr>
          <w:rFonts w:ascii="Times New Roman" w:cs="Times New Roman" w:eastAsia="Times New Roman" w:hAnsi="Times New Roman"/>
          <w:sz w:val="20"/>
          <w:szCs w:val="20"/>
          <w:color w:val="auto"/>
        </w:rPr>
        <w:t>Landlord shall notify Tenant (a "</w:t>
      </w:r>
      <w:r>
        <w:rPr>
          <w:rFonts w:ascii="Times New Roman" w:cs="Times New Roman" w:eastAsia="Times New Roman" w:hAnsi="Times New Roman"/>
          <w:sz w:val="20"/>
          <w:szCs w:val="20"/>
          <w:b w:val="1"/>
          <w:bCs w:val="1"/>
          <w:color w:val="auto"/>
        </w:rPr>
        <w:t>First Offer Notice</w:t>
      </w:r>
      <w:r>
        <w:rPr>
          <w:rFonts w:ascii="Times New Roman" w:cs="Times New Roman" w:eastAsia="Times New Roman" w:hAnsi="Times New Roman"/>
          <w:sz w:val="20"/>
          <w:szCs w:val="20"/>
          <w:color w:val="auto"/>
        </w:rPr>
        <w:t>") from time to time when a First Offer Space becomes "Available," as that term is defined hereinbelow. Pursuant to such First Offer Notice, Landlord shall offer to lease to Tenant the then available First Offer Space. A First Offer Notice shall describe the space so offered to Tenant and shall set forth the "First Offer Rent" and the other economic terms upon which Landlord is willing to lease such space to Tenant. For purposes of this Section 7.2, a First Offer Space shall be deemed “</w:t>
      </w:r>
      <w:r>
        <w:rPr>
          <w:rFonts w:ascii="Times New Roman" w:cs="Times New Roman" w:eastAsia="Times New Roman" w:hAnsi="Times New Roman"/>
          <w:sz w:val="20"/>
          <w:szCs w:val="20"/>
          <w:b w:val="1"/>
          <w:bCs w:val="1"/>
          <w:color w:val="auto"/>
        </w:rPr>
        <w:t>Available</w:t>
      </w:r>
      <w:r>
        <w:rPr>
          <w:rFonts w:ascii="Times New Roman" w:cs="Times New Roman" w:eastAsia="Times New Roman" w:hAnsi="Times New Roman"/>
          <w:sz w:val="20"/>
          <w:szCs w:val="20"/>
          <w:color w:val="auto"/>
        </w:rPr>
        <w:t>” on the date Landlord determines that the existing tenant of the applicable First Offer Space will not extend or renew the term of its lease or enter into a new lease for the First Offer Space and Landlord intends to offer the First offer Space for lease to the public.</w:t>
      </w:r>
    </w:p>
    <w:p>
      <w:pPr>
        <w:spacing w:after="0" w:line="186" w:lineRule="exact"/>
        <w:rPr>
          <w:sz w:val="20"/>
          <w:szCs w:val="20"/>
          <w:color w:val="auto"/>
        </w:rPr>
      </w:pPr>
    </w:p>
    <w:p>
      <w:pPr>
        <w:jc w:val="both"/>
        <w:ind w:left="1500" w:hanging="748"/>
        <w:spacing w:after="0" w:line="244" w:lineRule="auto"/>
        <w:tabs>
          <w:tab w:leader="none" w:pos="1480" w:val="left"/>
        </w:tabs>
        <w:rPr>
          <w:sz w:val="20"/>
          <w:szCs w:val="20"/>
          <w:color w:val="auto"/>
        </w:rPr>
      </w:pPr>
      <w:r>
        <w:rPr>
          <w:rFonts w:ascii="Times New Roman" w:cs="Times New Roman" w:eastAsia="Times New Roman" w:hAnsi="Times New Roman"/>
          <w:sz w:val="20"/>
          <w:szCs w:val="20"/>
          <w:color w:val="auto"/>
        </w:rPr>
        <w:t>7.2.2</w:t>
      </w:r>
      <w:r>
        <w:rPr>
          <w:sz w:val="20"/>
          <w:szCs w:val="20"/>
          <w:color w:val="auto"/>
        </w:rPr>
        <w:tab/>
      </w:r>
      <w:r>
        <w:rPr>
          <w:rFonts w:ascii="Times New Roman" w:cs="Times New Roman" w:eastAsia="Times New Roman" w:hAnsi="Times New Roman"/>
          <w:sz w:val="20"/>
          <w:szCs w:val="20"/>
          <w:color w:val="auto"/>
        </w:rPr>
        <w:t>If Tenant wishes to exercise Tenant's right of first offer with respect to the space described in a First Offer Notice, then within fifteen (15) business days of delivery of such First Offer Notice to Tenant (“</w:t>
      </w:r>
      <w:r>
        <w:rPr>
          <w:rFonts w:ascii="Times New Roman" w:cs="Times New Roman" w:eastAsia="Times New Roman" w:hAnsi="Times New Roman"/>
          <w:sz w:val="20"/>
          <w:szCs w:val="20"/>
          <w:b w:val="1"/>
          <w:bCs w:val="1"/>
          <w:color w:val="auto"/>
        </w:rPr>
        <w:t>Tenant’s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Exercise Period</w:t>
      </w:r>
      <w:r>
        <w:rPr>
          <w:rFonts w:ascii="Times New Roman" w:cs="Times New Roman" w:eastAsia="Times New Roman" w:hAnsi="Times New Roman"/>
          <w:sz w:val="20"/>
          <w:szCs w:val="20"/>
          <w:color w:val="auto"/>
        </w:rPr>
        <w:t>”), Tenant shall deliver notice to Landlord of Tenant's intention to exercise its right of first offer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the First Offer Space described in such First Offer Notice on the terms contained therein. If Tenant does not so notify Landlord within the fifteen (15) business day period, then, subject to the terms of Section 7.2.1 above, Landlord shall be free to lease the space described in such First Offer Notice to anyone to whom Landlord desires on any terms Landlord desires. Notwithstanding anything to the contrary contained</w:t>
      </w:r>
    </w:p>
    <w:p>
      <w:pPr>
        <w:spacing w:after="0" w:line="38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464185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35" w:name="page136"/>
    <w:bookmarkEnd w:id="135"/>
    <w:p>
      <w:pPr>
        <w:spacing w:after="0" w:line="108" w:lineRule="exact"/>
        <w:rPr>
          <w:sz w:val="20"/>
          <w:szCs w:val="20"/>
          <w:color w:val="auto"/>
        </w:rPr>
      </w:pPr>
    </w:p>
    <w:p>
      <w:pPr>
        <w:jc w:val="both"/>
        <w:ind w:left="1140"/>
        <w:spacing w:after="0" w:line="243" w:lineRule="auto"/>
        <w:rPr>
          <w:sz w:val="20"/>
          <w:szCs w:val="20"/>
          <w:color w:val="auto"/>
        </w:rPr>
      </w:pPr>
      <w:r>
        <w:rPr>
          <w:rFonts w:ascii="Times New Roman" w:cs="Times New Roman" w:eastAsia="Times New Roman" w:hAnsi="Times New Roman"/>
          <w:sz w:val="20"/>
          <w:szCs w:val="20"/>
          <w:color w:val="auto"/>
        </w:rPr>
        <w:t>herein, Tenant must elect to exercise its right of first offer, if at all, with respect to the First Offer Space offered by Landlord to Tenant at any particular time, and Tenant may not elect to lease only a portion thereof. If Tenant does not exercise its right of first offer with respect to the First Offer Space described in a First Offer Notice or if Tenant fails to respond to a First Offer Notice within fifteen (15) business days of delivery thereof, then Tenant's right of first offer as set forth in this Section 7.2 shall not apply for twelve (12) months thereafter to the extent of the space covered by the First Offer Notice and, subject to the terms of Section 7.2.1 above, Landlord shall be free to lease such space and/or otherwise grant options or rights to such space on any terms and conditions whatsoever free and clear of the First Offer Right.</w:t>
      </w:r>
    </w:p>
    <w:p>
      <w:pPr>
        <w:spacing w:after="0" w:line="185" w:lineRule="exact"/>
        <w:rPr>
          <w:sz w:val="20"/>
          <w:szCs w:val="20"/>
          <w:color w:val="auto"/>
        </w:rPr>
      </w:pPr>
    </w:p>
    <w:p>
      <w:pPr>
        <w:jc w:val="both"/>
        <w:ind w:left="1140" w:hanging="748"/>
        <w:spacing w:after="0" w:line="255" w:lineRule="auto"/>
        <w:tabs>
          <w:tab w:leader="none" w:pos="1120" w:val="left"/>
        </w:tabs>
        <w:rPr>
          <w:sz w:val="20"/>
          <w:szCs w:val="20"/>
          <w:color w:val="auto"/>
        </w:rPr>
      </w:pPr>
      <w:r>
        <w:rPr>
          <w:rFonts w:ascii="Times New Roman" w:cs="Times New Roman" w:eastAsia="Times New Roman" w:hAnsi="Times New Roman"/>
          <w:sz w:val="20"/>
          <w:szCs w:val="20"/>
          <w:color w:val="auto"/>
        </w:rPr>
        <w:t>7.2.3</w:t>
      </w:r>
      <w:r>
        <w:rPr>
          <w:sz w:val="20"/>
          <w:szCs w:val="20"/>
          <w:color w:val="auto"/>
        </w:rPr>
        <w:tab/>
      </w:r>
      <w:r>
        <w:rPr>
          <w:rFonts w:ascii="Times New Roman" w:cs="Times New Roman" w:eastAsia="Times New Roman" w:hAnsi="Times New Roman"/>
          <w:sz w:val="19"/>
          <w:szCs w:val="19"/>
          <w:color w:val="auto"/>
        </w:rPr>
        <w:t>The annual Rent payable by Tenant for the First Offer Space (the "</w:t>
      </w:r>
      <w:r>
        <w:rPr>
          <w:rFonts w:ascii="Times New Roman" w:cs="Times New Roman" w:eastAsia="Times New Roman" w:hAnsi="Times New Roman"/>
          <w:sz w:val="19"/>
          <w:szCs w:val="19"/>
          <w:b w:val="1"/>
          <w:bCs w:val="1"/>
          <w:color w:val="auto"/>
        </w:rPr>
        <w:t>First Offer Rent</w:t>
      </w:r>
      <w:r>
        <w:rPr>
          <w:rFonts w:ascii="Times New Roman" w:cs="Times New Roman" w:eastAsia="Times New Roman" w:hAnsi="Times New Roman"/>
          <w:sz w:val="19"/>
          <w:szCs w:val="19"/>
          <w:color w:val="auto"/>
        </w:rPr>
        <w:t>") shall be equal to the "Fair Rental Value," as that term is defined below, for the First Offer Space, pursuant to transactions consummated within the nine (9)-month period preceding the First Offer Commencement Date. The new Base Year with respect to the First Offer Space only shall be the calendar year in which the First Offer Commencement Date occurs (unless the First Offer Commencement Date occurs in the last quarter of a calendar year, in which event the Base Year shall be the following year). The Fair Rental Value shall take into account (a) rental abatement concessions, if any, being granted such tenants in connection with such comparable space; (b) tenant improvements or allowances provided or to be provided for such comparable space, and taking into account the value, if any, of the existing improvements in the subject space, such value to be based upon the age, condition, design, quality of finishes and layout of the improvements and the extent to which the same can be utilized by a general office user other than Tenant; and (c) other reasonable monetary concessions being granted such tenants in connection with such comparable space. The "</w:t>
      </w:r>
      <w:r>
        <w:rPr>
          <w:rFonts w:ascii="Times New Roman" w:cs="Times New Roman" w:eastAsia="Times New Roman" w:hAnsi="Times New Roman"/>
          <w:sz w:val="19"/>
          <w:szCs w:val="19"/>
          <w:b w:val="1"/>
          <w:bCs w:val="1"/>
          <w:color w:val="auto"/>
        </w:rPr>
        <w:t>Fair Rental Value</w:t>
      </w:r>
      <w:r>
        <w:rPr>
          <w:rFonts w:ascii="Times New Roman" w:cs="Times New Roman" w:eastAsia="Times New Roman" w:hAnsi="Times New Roman"/>
          <w:sz w:val="19"/>
          <w:szCs w:val="19"/>
          <w:color w:val="auto"/>
        </w:rPr>
        <w:t>," as used in this Amendment, shall be equal to the annual rent per rentable square foot (including additional rent and considering any "base year" or "expense stop" applicable thereto at which tenants, are leasing non-sublease, non-encumbered, non-equity space which is not significantly greater or smaller in size than the subject space for a comparable lease term, in an arm's length transaction, which comparable space is located in comparable buildings in Redwood City, California.</w:t>
      </w:r>
    </w:p>
    <w:p>
      <w:pPr>
        <w:spacing w:after="0" w:line="178" w:lineRule="exact"/>
        <w:rPr>
          <w:sz w:val="20"/>
          <w:szCs w:val="20"/>
          <w:color w:val="auto"/>
        </w:rPr>
      </w:pPr>
    </w:p>
    <w:p>
      <w:pPr>
        <w:jc w:val="both"/>
        <w:ind w:left="1140" w:hanging="748"/>
        <w:spacing w:after="0" w:line="254" w:lineRule="auto"/>
        <w:tabs>
          <w:tab w:leader="none" w:pos="1120" w:val="left"/>
        </w:tabs>
        <w:rPr>
          <w:sz w:val="20"/>
          <w:szCs w:val="20"/>
          <w:color w:val="auto"/>
        </w:rPr>
      </w:pPr>
      <w:r>
        <w:rPr>
          <w:rFonts w:ascii="Times New Roman" w:cs="Times New Roman" w:eastAsia="Times New Roman" w:hAnsi="Times New Roman"/>
          <w:sz w:val="20"/>
          <w:szCs w:val="20"/>
          <w:color w:val="auto"/>
        </w:rPr>
        <w:t>7.2.4</w:t>
      </w:r>
      <w:r>
        <w:rPr>
          <w:sz w:val="20"/>
          <w:szCs w:val="20"/>
          <w:color w:val="auto"/>
        </w:rPr>
        <w:tab/>
      </w:r>
      <w:r>
        <w:rPr>
          <w:rFonts w:ascii="Times New Roman" w:cs="Times New Roman" w:eastAsia="Times New Roman" w:hAnsi="Times New Roman"/>
          <w:sz w:val="20"/>
          <w:szCs w:val="20"/>
          <w:color w:val="auto"/>
        </w:rPr>
        <w:t>Tenant shall accept the First Offer Space in its then existing "as is" condition, except as set forth in the First Offer Notice. The construction of improvements in the First Offer Space shall comply with the terms of Article 8 of the Lease.</w:t>
      </w:r>
    </w:p>
    <w:p>
      <w:pPr>
        <w:spacing w:after="0" w:line="174" w:lineRule="exact"/>
        <w:rPr>
          <w:sz w:val="20"/>
          <w:szCs w:val="20"/>
          <w:color w:val="auto"/>
        </w:rPr>
      </w:pPr>
    </w:p>
    <w:p>
      <w:pPr>
        <w:jc w:val="both"/>
        <w:ind w:left="1140" w:hanging="748"/>
        <w:spacing w:after="0" w:line="245" w:lineRule="auto"/>
        <w:tabs>
          <w:tab w:leader="none" w:pos="1120" w:val="left"/>
        </w:tabs>
        <w:rPr>
          <w:sz w:val="20"/>
          <w:szCs w:val="20"/>
          <w:color w:val="auto"/>
        </w:rPr>
      </w:pPr>
      <w:r>
        <w:rPr>
          <w:rFonts w:ascii="Times New Roman" w:cs="Times New Roman" w:eastAsia="Times New Roman" w:hAnsi="Times New Roman"/>
          <w:sz w:val="20"/>
          <w:szCs w:val="20"/>
          <w:color w:val="auto"/>
        </w:rPr>
        <w:t>7.2.5</w:t>
      </w:r>
      <w:r>
        <w:rPr>
          <w:sz w:val="20"/>
          <w:szCs w:val="20"/>
          <w:color w:val="auto"/>
        </w:rPr>
        <w:tab/>
      </w:r>
      <w:r>
        <w:rPr>
          <w:rFonts w:ascii="Times New Roman" w:cs="Times New Roman" w:eastAsia="Times New Roman" w:hAnsi="Times New Roman"/>
          <w:sz w:val="20"/>
          <w:szCs w:val="20"/>
          <w:color w:val="auto"/>
        </w:rPr>
        <w:t>If Tenant timely exercises Tenant's right to lease First Offer Space as set forth herein, then, within fifteen (15) days thereafter, Landlord and Tenant shall execute an amendment (the "</w:t>
      </w:r>
      <w:r>
        <w:rPr>
          <w:rFonts w:ascii="Times New Roman" w:cs="Times New Roman" w:eastAsia="Times New Roman" w:hAnsi="Times New Roman"/>
          <w:sz w:val="20"/>
          <w:szCs w:val="20"/>
          <w:b w:val="1"/>
          <w:bCs w:val="1"/>
          <w:color w:val="auto"/>
        </w:rPr>
        <w:t>First Offer Amendment</w:t>
      </w:r>
      <w:r>
        <w:rPr>
          <w:rFonts w:ascii="Times New Roman" w:cs="Times New Roman" w:eastAsia="Times New Roman" w:hAnsi="Times New Roman"/>
          <w:sz w:val="20"/>
          <w:szCs w:val="20"/>
          <w:color w:val="auto"/>
        </w:rPr>
        <w:t>") adding such First Offer Space to the Premises upon the terms and conditions as set forth in the First Offer Notice therefor and this Section 7.2. Tenant shall commence payment of Rent for such First Offer Space, and the term of such First Offer Space shall commence on the commencement date set forth in the First Offer Notice (the "</w:t>
      </w:r>
      <w:r>
        <w:rPr>
          <w:rFonts w:ascii="Times New Roman" w:cs="Times New Roman" w:eastAsia="Times New Roman" w:hAnsi="Times New Roman"/>
          <w:sz w:val="20"/>
          <w:szCs w:val="20"/>
          <w:b w:val="1"/>
          <w:bCs w:val="1"/>
          <w:color w:val="auto"/>
        </w:rPr>
        <w:t>First Offer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Commencement Date</w:t>
      </w:r>
      <w:r>
        <w:rPr>
          <w:rFonts w:ascii="Times New Roman" w:cs="Times New Roman" w:eastAsia="Times New Roman" w:hAnsi="Times New Roman"/>
          <w:sz w:val="20"/>
          <w:szCs w:val="20"/>
          <w:color w:val="auto"/>
        </w:rPr>
        <w:t>") and terminate on the date set forth in the First Offer Notice therefor.</w:t>
      </w:r>
    </w:p>
    <w:p>
      <w:pPr>
        <w:spacing w:after="0" w:line="3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464185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36" w:name="page137"/>
    <w:bookmarkEnd w:id="136"/>
    <w:p>
      <w:pPr>
        <w:spacing w:after="0" w:line="108" w:lineRule="exact"/>
        <w:rPr>
          <w:sz w:val="20"/>
          <w:szCs w:val="20"/>
          <w:color w:val="auto"/>
        </w:rPr>
      </w:pPr>
    </w:p>
    <w:p>
      <w:pPr>
        <w:jc w:val="both"/>
        <w:ind w:left="2260" w:hanging="748"/>
        <w:spacing w:after="0" w:line="243" w:lineRule="auto"/>
        <w:tabs>
          <w:tab w:leader="none" w:pos="2240" w:val="left"/>
        </w:tabs>
        <w:rPr>
          <w:sz w:val="20"/>
          <w:szCs w:val="20"/>
          <w:color w:val="auto"/>
        </w:rPr>
      </w:pPr>
      <w:r>
        <w:rPr>
          <w:rFonts w:ascii="Times New Roman" w:cs="Times New Roman" w:eastAsia="Times New Roman" w:hAnsi="Times New Roman"/>
          <w:sz w:val="20"/>
          <w:szCs w:val="20"/>
          <w:color w:val="auto"/>
        </w:rPr>
        <w:t>7.2.6</w:t>
      </w:r>
      <w:r>
        <w:rPr>
          <w:sz w:val="20"/>
          <w:szCs w:val="20"/>
          <w:color w:val="auto"/>
        </w:rPr>
        <w:tab/>
      </w:r>
      <w:r>
        <w:rPr>
          <w:rFonts w:ascii="Times New Roman" w:cs="Times New Roman" w:eastAsia="Times New Roman" w:hAnsi="Times New Roman"/>
          <w:sz w:val="20"/>
          <w:szCs w:val="20"/>
          <w:color w:val="auto"/>
        </w:rPr>
        <w:t>The rights contained in this Section 7.2 shall be personal to Original Tenant and any Permitted Transferee pursuant to a Permitted Transfer, and may only be exercised by Original Tenant and any Permitted Transferee if Original Tenant or Permitted Transferee leases the entire Premises. Tenant shall not have the right to lease First Offer Space if, as of the date of the attempted exercise of any right of first offer by Tenant, as of the date Landlord and Tenant execute the First Offer Amendment, or as of the scheduled date of delivery of such First Offer Space to Tenant, Tenant is in default under this Lease beyond any applicable notice or cure period or Tenant has previously been in monetary default or material non-monetary default beyond any applicable notice and cure period under this Lease more than twice (the "</w:t>
      </w:r>
      <w:r>
        <w:rPr>
          <w:rFonts w:ascii="Times New Roman" w:cs="Times New Roman" w:eastAsia="Times New Roman" w:hAnsi="Times New Roman"/>
          <w:sz w:val="20"/>
          <w:szCs w:val="20"/>
          <w:b w:val="1"/>
          <w:bCs w:val="1"/>
          <w:color w:val="auto"/>
        </w:rPr>
        <w:t>Option Conditions</w:t>
      </w:r>
      <w:r>
        <w:rPr>
          <w:rFonts w:ascii="Times New Roman" w:cs="Times New Roman" w:eastAsia="Times New Roman" w:hAnsi="Times New Roman"/>
          <w:sz w:val="20"/>
          <w:szCs w:val="20"/>
          <w:color w:val="auto"/>
        </w:rPr>
        <w:t>"); provided Landlord shall have the right to waive the Option Conditions in Landlord's sole discretion.</w:t>
      </w:r>
    </w:p>
    <w:p>
      <w:pPr>
        <w:spacing w:after="0" w:line="182" w:lineRule="exact"/>
        <w:rPr>
          <w:sz w:val="20"/>
          <w:szCs w:val="20"/>
          <w:color w:val="auto"/>
        </w:rPr>
      </w:pPr>
    </w:p>
    <w:p>
      <w:pPr>
        <w:ind w:left="760" w:hanging="752"/>
        <w:spacing w:after="0"/>
        <w:tabs>
          <w:tab w:leader="none" w:pos="7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215" w:lineRule="exact"/>
        <w:rPr>
          <w:rFonts w:ascii="Times New Roman" w:cs="Times New Roman" w:eastAsia="Times New Roman" w:hAnsi="Times New Roman"/>
          <w:sz w:val="20"/>
          <w:szCs w:val="20"/>
          <w:color w:val="auto"/>
        </w:rPr>
      </w:pPr>
    </w:p>
    <w:p>
      <w:pPr>
        <w:ind w:left="1500" w:hanging="749"/>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8.1This Amendment, including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(Outline and Location of Expansion Space) and </w:t>
      </w:r>
      <w:r>
        <w:rPr>
          <w:rFonts w:ascii="Times New Roman" w:cs="Times New Roman" w:eastAsia="Times New Roman" w:hAnsi="Times New Roman"/>
          <w:sz w:val="20"/>
          <w:szCs w:val="20"/>
          <w:b w:val="1"/>
          <w:bCs w:val="1"/>
          <w:color w:val="auto"/>
        </w:rPr>
        <w:t>Exhibit B</w:t>
      </w:r>
      <w:r>
        <w:rPr>
          <w:rFonts w:ascii="Times New Roman" w:cs="Times New Roman" w:eastAsia="Times New Roman" w:hAnsi="Times New Roman"/>
          <w:sz w:val="20"/>
          <w:szCs w:val="20"/>
          <w:color w:val="auto"/>
        </w:rPr>
        <w:t xml:space="preserve"> (Tenant Alterations) attached hereto, sets forth the entire agreement between the parties with respect to the matters set forth herein. There have been no additional oral or written representations or agreements. Under no circumstances shall Tenant be entitled to any Rent abatement, improvement allowance, leasehold improvements, or other work to the Premises, or any similar economic incentives that may have been provided Tenant in connection with entering into the Lease, unless specifically set forth in this Amendment.</w:t>
      </w:r>
    </w:p>
    <w:p>
      <w:pPr>
        <w:spacing w:after="0" w:line="182" w:lineRule="exact"/>
        <w:rPr>
          <w:rFonts w:ascii="Times New Roman" w:cs="Times New Roman" w:eastAsia="Times New Roman" w:hAnsi="Times New Roman"/>
          <w:sz w:val="20"/>
          <w:szCs w:val="20"/>
          <w:color w:val="auto"/>
        </w:rPr>
      </w:pPr>
    </w:p>
    <w:p>
      <w:pPr>
        <w:ind w:left="1500" w:right="20" w:hanging="749"/>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8.2Except as herein modified or amended, the provisions, conditions and terms of the Lease shall remain unchanged and in full force and effect. In the case of any inconsistency between the provisions of the Lease and this Amendment, the provisions of this Amendment shall govern and control.</w:t>
      </w:r>
    </w:p>
    <w:p>
      <w:pPr>
        <w:spacing w:after="0" w:line="174" w:lineRule="exact"/>
        <w:rPr>
          <w:rFonts w:ascii="Times New Roman" w:cs="Times New Roman" w:eastAsia="Times New Roman" w:hAnsi="Times New Roman"/>
          <w:sz w:val="20"/>
          <w:szCs w:val="20"/>
          <w:color w:val="auto"/>
        </w:rPr>
      </w:pPr>
    </w:p>
    <w:p>
      <w:pPr>
        <w:ind w:left="1500" w:hanging="749"/>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8.3Submission of this Amendment by Landlord is not an offer to enter into this Amendment but rather is a solicitation for such an offer by Tenant. Landlord shall not be bound by this Amendment until Landlord has executed and delivered the same to Tenant.</w:t>
      </w:r>
    </w:p>
    <w:p>
      <w:pPr>
        <w:spacing w:after="0" w:line="174" w:lineRule="exact"/>
        <w:rPr>
          <w:rFonts w:ascii="Times New Roman" w:cs="Times New Roman" w:eastAsia="Times New Roman" w:hAnsi="Times New Roman"/>
          <w:sz w:val="20"/>
          <w:szCs w:val="20"/>
          <w:color w:val="auto"/>
        </w:rPr>
      </w:pPr>
    </w:p>
    <w:p>
      <w:pPr>
        <w:ind w:left="1500" w:right="20" w:hanging="749"/>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8.4Tenant hereby represents to Landlord that Tenant has dealt with no broker in connection with this Amendment, other than Jones Lang LaSalle. Tenant agrees to indemnify and hold Landlord and the Landlord Parties harmless from all claims of any other brokers claiming to have represented Tenant in connection with this Amendment.</w:t>
      </w:r>
    </w:p>
    <w:p>
      <w:pPr>
        <w:spacing w:after="0" w:line="174" w:lineRule="exact"/>
        <w:rPr>
          <w:rFonts w:ascii="Times New Roman" w:cs="Times New Roman" w:eastAsia="Times New Roman" w:hAnsi="Times New Roman"/>
          <w:sz w:val="20"/>
          <w:szCs w:val="20"/>
          <w:color w:val="auto"/>
        </w:rPr>
      </w:pPr>
    </w:p>
    <w:p>
      <w:pPr>
        <w:ind w:left="1500" w:hanging="749"/>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8.5Each signatory of this Amendment represents hereby that he or she has the authority to execute and deliver the same on behalf of the party hereto for which such signatory is acting. Tenant hereby represents and warrants that neither Tenant, nor any persons or entities holding any legal or beneficial interest whatsoever in Tenant, are (i) the target of any sanctions program that is established by Executive Order of the President or published by the Office of Foreign Assets Control, U.S. Department of the Treasury (“</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xml:space="preserve">”); (ii) designated by the President or OFAC pursuant to the Trading with the Enemy Act, 50 </w:t>
      </w:r>
      <w:r>
        <w:rPr>
          <w:rFonts w:ascii="Times New Roman" w:cs="Times New Roman" w:eastAsia="Times New Roman" w:hAnsi="Times New Roman"/>
          <w:sz w:val="17"/>
          <w:szCs w:val="17"/>
          <w:color w:val="auto"/>
        </w:rPr>
        <w:t>U.S.C. App. § 5, the International Emergency Economic Powers Act, 50 U.S.C. §§ 1701-06, the Patriot Act, Public Law 107-56, Executive Order 13224 (September 23, 2001) or any Executive Order of the President issued pursuant to such statutes; or (iii) named on the following list that is published by OFAC: “List of Specially Designated Nationals and Blocked Persons.” If the foregoing representation is untrue at any time during the Term, a default under the Lease will be deemed to have occurred, without the necessity of notice to Tenant.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08" w:lineRule="exact"/>
        <w:rPr>
          <w:sz w:val="20"/>
          <w:szCs w:val="20"/>
          <w:color w:val="auto"/>
        </w:rPr>
      </w:pPr>
    </w:p>
    <w:p>
      <w:pPr>
        <w:jc w:val="both"/>
        <w:ind w:left="380" w:hanging="748"/>
        <w:spacing w:after="0" w:line="249" w:lineRule="auto"/>
        <w:tabs>
          <w:tab w:leader="none" w:pos="360" w:val="left"/>
        </w:tabs>
        <w:rPr>
          <w:sz w:val="20"/>
          <w:szCs w:val="20"/>
          <w:color w:val="auto"/>
        </w:rPr>
      </w:pPr>
      <w:r>
        <w:rPr>
          <w:rFonts w:ascii="Times New Roman" w:cs="Times New Roman" w:eastAsia="Times New Roman" w:hAnsi="Times New Roman"/>
          <w:sz w:val="20"/>
          <w:szCs w:val="20"/>
          <w:color w:val="auto"/>
        </w:rPr>
        <w:t>8.6</w:t>
      </w:r>
      <w:r>
        <w:rPr>
          <w:sz w:val="20"/>
          <w:szCs w:val="20"/>
          <w:color w:val="auto"/>
        </w:rPr>
        <w:tab/>
      </w:r>
      <w:r>
        <w:rPr>
          <w:rFonts w:ascii="Times New Roman" w:cs="Times New Roman" w:eastAsia="Times New Roman" w:hAnsi="Times New Roman"/>
          <w:sz w:val="20"/>
          <w:szCs w:val="20"/>
          <w:color w:val="auto"/>
        </w:rPr>
        <w:t>Tenant shall not bring upon the Premises or any portion of the Building or use the Premises or permit the Premises or any portion thereof to be used for the growing, manufacturing, administration, distribution (including without limitation, any retail sales), possession, use or consumption of any cannabis, marijuana or cannabinoid product or compound, regardless of the legality or illegality of the same.</w:t>
      </w:r>
    </w:p>
    <w:p>
      <w:pPr>
        <w:spacing w:after="0" w:line="180" w:lineRule="exact"/>
        <w:rPr>
          <w:sz w:val="20"/>
          <w:szCs w:val="20"/>
          <w:color w:val="auto"/>
        </w:rPr>
      </w:pPr>
    </w:p>
    <w:p>
      <w:pPr>
        <w:jc w:val="both"/>
        <w:ind w:left="380" w:hanging="748"/>
        <w:spacing w:after="0" w:line="260" w:lineRule="auto"/>
        <w:tabs>
          <w:tab w:leader="none" w:pos="360" w:val="left"/>
        </w:tabs>
        <w:rPr>
          <w:sz w:val="20"/>
          <w:szCs w:val="20"/>
          <w:color w:val="auto"/>
        </w:rPr>
      </w:pPr>
      <w:r>
        <w:rPr>
          <w:rFonts w:ascii="Times New Roman" w:cs="Times New Roman" w:eastAsia="Times New Roman" w:hAnsi="Times New Roman"/>
          <w:sz w:val="20"/>
          <w:szCs w:val="20"/>
          <w:color w:val="auto"/>
        </w:rPr>
        <w:t>8.7</w:t>
      </w:r>
      <w:r>
        <w:rPr>
          <w:sz w:val="20"/>
          <w:szCs w:val="20"/>
          <w:color w:val="auto"/>
        </w:rPr>
        <w:tab/>
      </w:r>
      <w:r>
        <w:rPr>
          <w:rFonts w:ascii="Times New Roman" w:cs="Times New Roman" w:eastAsia="Times New Roman" w:hAnsi="Times New Roman"/>
          <w:sz w:val="19"/>
          <w:szCs w:val="19"/>
          <w:color w:val="auto"/>
        </w:rPr>
        <w:t xml:space="preserve">Signatures to this Amendment transmitted by telecopy or electronic signatures shall be valid and effective to bind the party so signing. This Amendment may be executed in two or more counterparts, each of which shall be deemed an original and all of which together shall constitute one and same agreement. </w:t>
      </w:r>
      <w:r>
        <w:rPr>
          <w:rFonts w:ascii="Times New Roman" w:cs="Times New Roman" w:eastAsia="Times New Roman" w:hAnsi="Times New Roman"/>
          <w:sz w:val="19"/>
          <w:szCs w:val="19"/>
          <w:b w:val="1"/>
          <w:bCs w:val="1"/>
          <w:color w:val="auto"/>
        </w:rPr>
        <w:t>THE PARTIES HERETO CONSENT AND</w:t>
      </w:r>
    </w:p>
    <w:p>
      <w:pPr>
        <w:jc w:val="both"/>
        <w:ind w:left="380"/>
        <w:spacing w:after="0" w:line="241" w:lineRule="auto"/>
        <w:rPr>
          <w:sz w:val="20"/>
          <w:szCs w:val="20"/>
          <w:color w:val="auto"/>
        </w:rPr>
      </w:pPr>
      <w:r>
        <w:rPr>
          <w:rFonts w:ascii="Times New Roman" w:cs="Times New Roman" w:eastAsia="Times New Roman" w:hAnsi="Times New Roman"/>
          <w:sz w:val="20"/>
          <w:szCs w:val="20"/>
          <w:b w:val="1"/>
          <w:bCs w:val="1"/>
          <w:color w:val="auto"/>
        </w:rPr>
        <w:t>AGREE THAT THIS AMENDMENT MAY BE SIGNED USING ELECTRONIC SIGNATURE TECHNOLOGY (E.G., VIA DOCUSIGN OR SIMILAR ELECTRONIC SIGNATURE TECHNOLOGY), AND THAT SUCH SIGNED ELECTRONIC RECORD SHALL BE VALID AND AS EFFECTIVE TO BIND THE PARTY SO SIGNING AS A PAPER COPY BEARING SUCH PARTY’S HAND-WRITTEN SIGNATURE</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left="380" w:hanging="748"/>
        <w:spacing w:after="0" w:line="255" w:lineRule="auto"/>
        <w:tabs>
          <w:tab w:leader="none" w:pos="360" w:val="left"/>
        </w:tabs>
        <w:rPr>
          <w:sz w:val="20"/>
          <w:szCs w:val="20"/>
          <w:color w:val="auto"/>
        </w:rPr>
      </w:pPr>
      <w:r>
        <w:rPr>
          <w:rFonts w:ascii="Times New Roman" w:cs="Times New Roman" w:eastAsia="Times New Roman" w:hAnsi="Times New Roman"/>
          <w:sz w:val="20"/>
          <w:szCs w:val="20"/>
          <w:color w:val="auto"/>
        </w:rPr>
        <w:t>8.8</w:t>
      </w:r>
      <w:r>
        <w:rPr>
          <w:sz w:val="20"/>
          <w:szCs w:val="20"/>
          <w:color w:val="auto"/>
        </w:rPr>
        <w:tab/>
      </w:r>
      <w:r>
        <w:rPr>
          <w:rFonts w:ascii="Times New Roman" w:cs="Times New Roman" w:eastAsia="Times New Roman" w:hAnsi="Times New Roman"/>
          <w:sz w:val="19"/>
          <w:szCs w:val="19"/>
          <w:color w:val="auto"/>
        </w:rPr>
        <w:t>For purposes of Section 1938 of the California Civil Code, Landlord hereby discloses to Tenant, and Tenant hereby acknowledges, that the Expansion Space has not undergone inspection by a Certified Access Specialists (CASp).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 inspection requested by Tenant shall be conducted, at Tenant's sole cost and expense, by a CASp approved in advance by Landlord; and (b) any repairs within the Expansion Space to correct violations of construction-related accessibility standards; and any repairs to the Building (outside the Premises) required to correct violations of construction-related accessibility standards, shall be governed by the terms of Article 24 of the Lease.</w:t>
      </w:r>
    </w:p>
    <w:p>
      <w:pPr>
        <w:spacing w:after="0" w:line="179" w:lineRule="exact"/>
        <w:rPr>
          <w:sz w:val="20"/>
          <w:szCs w:val="20"/>
          <w:color w:val="auto"/>
        </w:rPr>
      </w:pPr>
    </w:p>
    <w:p>
      <w:pPr>
        <w:jc w:val="both"/>
        <w:ind w:left="380" w:hanging="748"/>
        <w:spacing w:after="0" w:line="244" w:lineRule="auto"/>
        <w:tabs>
          <w:tab w:leader="none" w:pos="360" w:val="left"/>
        </w:tabs>
        <w:rPr>
          <w:sz w:val="20"/>
          <w:szCs w:val="20"/>
          <w:color w:val="auto"/>
        </w:rPr>
      </w:pPr>
      <w:r>
        <w:rPr>
          <w:rFonts w:ascii="Times New Roman" w:cs="Times New Roman" w:eastAsia="Times New Roman" w:hAnsi="Times New Roman"/>
          <w:sz w:val="20"/>
          <w:szCs w:val="20"/>
          <w:color w:val="auto"/>
        </w:rPr>
        <w:t>8.9</w:t>
      </w:r>
      <w:r>
        <w:rPr>
          <w:sz w:val="20"/>
          <w:szCs w:val="20"/>
          <w:color w:val="auto"/>
        </w:rPr>
        <w:tab/>
      </w:r>
      <w:r>
        <w:rPr>
          <w:rFonts w:ascii="Times New Roman" w:cs="Times New Roman" w:eastAsia="Times New Roman" w:hAnsi="Times New Roman"/>
          <w:sz w:val="20"/>
          <w:szCs w:val="20"/>
          <w:color w:val="auto"/>
        </w:rPr>
        <w:t>Redress for any claim against Landlord under the Lease and this Amendment shall be limited to and enforceable only against and to the extent of Landlord’s interest in the Building. The obligations of Landlord under the Lease are not intended to and shall not be personally binding on, nor shall any resort be had to the private properties of, any of its trustees or board of directors and officers, as the case may be, its investment manager, the general partners thereof, or any beneficiaries, stockholders, employees, or agents of Landlord or the investment manager, and in no case shall Landlord be liable to Tenant hereunder for any lost profits, damage to business, or any form of special, indirect or consequential damages.</w:t>
      </w:r>
    </w:p>
    <w:p>
      <w:pPr>
        <w:spacing w:after="0" w:line="39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b w:val="1"/>
          <w:bCs w:val="1"/>
          <w:color w:val="auto"/>
        </w:rPr>
        <w:t>[REMAINDER OF PAGE INTENTIONALLY LEFT BLANK]</w:t>
      </w:r>
    </w:p>
    <w:p>
      <w:pPr>
        <w:spacing w:after="0" w:line="200" w:lineRule="exact"/>
        <w:rPr>
          <w:sz w:val="20"/>
          <w:szCs w:val="20"/>
          <w:color w:val="auto"/>
        </w:rPr>
      </w:pPr>
    </w:p>
    <w:p>
      <w:pPr>
        <w:spacing w:after="0" w:line="2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464185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38" w:name="page139"/>
    <w:bookmarkEnd w:id="138"/>
    <w:p>
      <w:pPr>
        <w:spacing w:after="0" w:line="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Landlord and Tenant have duly executed this Amendment as of the day and year first above written.</w:t>
      </w:r>
    </w:p>
    <w:p>
      <w:pPr>
        <w:spacing w:after="0" w:line="243"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20"/>
          <w:szCs w:val="20"/>
          <w:b w:val="1"/>
          <w:bCs w:val="1"/>
          <w:color w:val="auto"/>
        </w:rPr>
        <w:t>LANDLORD:</w:t>
      </w:r>
      <w:r>
        <w:rPr>
          <w:sz w:val="20"/>
          <w:szCs w:val="20"/>
          <w:color w:val="auto"/>
        </w:rPr>
        <w:tab/>
      </w:r>
      <w:r>
        <w:rPr>
          <w:rFonts w:ascii="Times New Roman" w:cs="Times New Roman" w:eastAsia="Times New Roman" w:hAnsi="Times New Roman"/>
          <w:sz w:val="20"/>
          <w:szCs w:val="20"/>
          <w:b w:val="1"/>
          <w:bCs w:val="1"/>
          <w:color w:val="auto"/>
        </w:rPr>
        <w:t>TENANT: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1 TWIN PROPERTY OWNER, LLC,</w:t>
            </w:r>
          </w:p>
        </w:tc>
        <w:tc>
          <w:tcPr>
            <w:tcW w:w="6140" w:type="dxa"/>
            <w:vAlign w:val="bottom"/>
            <w:gridSpan w:val="4"/>
          </w:tcPr>
          <w:p>
            <w:pPr>
              <w:ind w:left="640"/>
              <w:spacing w:after="0"/>
              <w:rPr>
                <w:sz w:val="20"/>
                <w:szCs w:val="20"/>
                <w:color w:val="auto"/>
              </w:rPr>
            </w:pPr>
            <w:r>
              <w:rPr>
                <w:rFonts w:ascii="Times New Roman" w:cs="Times New Roman" w:eastAsia="Times New Roman" w:hAnsi="Times New Roman"/>
                <w:sz w:val="20"/>
                <w:szCs w:val="20"/>
                <w:b w:val="1"/>
                <w:bCs w:val="1"/>
                <w:color w:val="auto"/>
              </w:rPr>
              <w:t>SOLENO THERAPEUTICS, INC.,</w:t>
            </w:r>
          </w:p>
        </w:tc>
      </w:tr>
      <w:tr>
        <w:trPr>
          <w:trHeight w:val="262"/>
        </w:trPr>
        <w:tc>
          <w:tcPr>
            <w:tcW w:w="51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a Delaware limited liability company</w:t>
            </w:r>
          </w:p>
        </w:tc>
        <w:tc>
          <w:tcPr>
            <w:tcW w:w="6140" w:type="dxa"/>
            <w:vAlign w:val="bottom"/>
            <w:gridSpan w:val="4"/>
          </w:tcPr>
          <w:p>
            <w:pPr>
              <w:ind w:left="640"/>
              <w:spacing w:after="0"/>
              <w:rPr>
                <w:sz w:val="20"/>
                <w:szCs w:val="20"/>
                <w:color w:val="auto"/>
              </w:rPr>
            </w:pPr>
            <w:r>
              <w:rPr>
                <w:rFonts w:ascii="Times New Roman" w:cs="Times New Roman" w:eastAsia="Times New Roman" w:hAnsi="Times New Roman"/>
                <w:sz w:val="20"/>
                <w:szCs w:val="20"/>
                <w:b w:val="1"/>
                <w:bCs w:val="1"/>
                <w:color w:val="auto"/>
              </w:rPr>
              <w:t>a Delaware corporation</w:t>
            </w:r>
          </w:p>
        </w:tc>
      </w:tr>
      <w:tr>
        <w:trPr>
          <w:trHeight w:val="453"/>
        </w:trPr>
        <w:tc>
          <w:tcPr>
            <w:tcW w:w="51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Alex Valner</w:t>
            </w:r>
          </w:p>
        </w:tc>
        <w:tc>
          <w:tcPr>
            <w:tcW w:w="6140" w:type="dxa"/>
            <w:vAlign w:val="bottom"/>
            <w:gridSpan w:val="4"/>
          </w:tcPr>
          <w:p>
            <w:pPr>
              <w:ind w:left="640"/>
              <w:spacing w:after="0"/>
              <w:rPr>
                <w:sz w:val="20"/>
                <w:szCs w:val="20"/>
                <w:color w:val="auto"/>
              </w:rPr>
            </w:pPr>
            <w:r>
              <w:rPr>
                <w:rFonts w:ascii="Times New Roman" w:cs="Times New Roman" w:eastAsia="Times New Roman" w:hAnsi="Times New Roman"/>
                <w:sz w:val="20"/>
                <w:szCs w:val="20"/>
                <w:color w:val="auto"/>
              </w:rPr>
              <w:t>By:  /s/ James Mackaness</w:t>
            </w:r>
          </w:p>
        </w:tc>
      </w:tr>
      <w:tr>
        <w:trPr>
          <w:trHeight w:val="223"/>
        </w:trPr>
        <w:tc>
          <w:tcPr>
            <w:tcW w:w="8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Name:</w:t>
            </w:r>
          </w:p>
        </w:tc>
        <w:tc>
          <w:tcPr>
            <w:tcW w:w="12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Alex Valner</w:t>
            </w:r>
          </w:p>
        </w:tc>
        <w:tc>
          <w:tcPr>
            <w:tcW w:w="3060" w:type="dxa"/>
            <w:vAlign w:val="bottom"/>
            <w:tcBorders>
              <w:top w:val="single" w:sz="8" w:color="auto"/>
            </w:tcBorders>
          </w:tcPr>
          <w:p>
            <w:pPr>
              <w:spacing w:after="0"/>
              <w:rPr>
                <w:sz w:val="19"/>
                <w:szCs w:val="19"/>
                <w:color w:val="auto"/>
              </w:rPr>
            </w:pPr>
          </w:p>
        </w:tc>
        <w:tc>
          <w:tcPr>
            <w:tcW w:w="1360" w:type="dxa"/>
            <w:vAlign w:val="bottom"/>
          </w:tcPr>
          <w:p>
            <w:pPr>
              <w:ind w:left="640"/>
              <w:spacing w:after="0" w:line="223" w:lineRule="exact"/>
              <w:rPr>
                <w:sz w:val="20"/>
                <w:szCs w:val="20"/>
                <w:color w:val="auto"/>
              </w:rPr>
            </w:pPr>
            <w:r>
              <w:rPr>
                <w:rFonts w:ascii="Times New Roman" w:cs="Times New Roman" w:eastAsia="Times New Roman" w:hAnsi="Times New Roman"/>
                <w:sz w:val="20"/>
                <w:szCs w:val="20"/>
                <w:color w:val="auto"/>
              </w:rPr>
              <w:t>Name:</w:t>
            </w:r>
          </w:p>
        </w:tc>
        <w:tc>
          <w:tcPr>
            <w:tcW w:w="18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James Mackaness</w:t>
            </w:r>
          </w:p>
        </w:tc>
        <w:tc>
          <w:tcPr>
            <w:tcW w:w="2920" w:type="dxa"/>
            <w:vAlign w:val="bottom"/>
            <w:tcBorders>
              <w:top w:val="single" w:sz="8" w:color="auto"/>
            </w:tcBorders>
          </w:tcPr>
          <w:p>
            <w:pPr>
              <w:spacing w:after="0"/>
              <w:rPr>
                <w:sz w:val="19"/>
                <w:szCs w:val="19"/>
                <w:color w:val="auto"/>
              </w:rPr>
            </w:pPr>
          </w:p>
        </w:tc>
      </w:tr>
      <w:tr>
        <w:trPr>
          <w:trHeight w:val="223"/>
        </w:trPr>
        <w:tc>
          <w:tcPr>
            <w:tcW w:w="8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Title:</w:t>
            </w:r>
          </w:p>
        </w:tc>
        <w:tc>
          <w:tcPr>
            <w:tcW w:w="20" w:type="dxa"/>
            <w:vAlign w:val="bottom"/>
            <w:tcBorders>
              <w:bottom w:val="single" w:sz="8" w:color="auto"/>
            </w:tcBorders>
          </w:tcPr>
          <w:p>
            <w:pPr>
              <w:spacing w:after="0"/>
              <w:rPr>
                <w:sz w:val="19"/>
                <w:szCs w:val="19"/>
                <w:color w:val="auto"/>
              </w:rPr>
            </w:pPr>
          </w:p>
        </w:tc>
        <w:tc>
          <w:tcPr>
            <w:tcW w:w="4280" w:type="dxa"/>
            <w:vAlign w:val="bottom"/>
            <w:tcBorders>
              <w:top w:val="single" w:sz="8" w:color="auto"/>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0"/>
                <w:szCs w:val="20"/>
                <w:color w:val="auto"/>
              </w:rPr>
              <w:t>Managing Partner</w:t>
            </w:r>
          </w:p>
        </w:tc>
        <w:tc>
          <w:tcPr>
            <w:tcW w:w="1360" w:type="dxa"/>
            <w:vAlign w:val="bottom"/>
          </w:tcPr>
          <w:p>
            <w:pPr>
              <w:ind w:left="640"/>
              <w:spacing w:after="0" w:line="223" w:lineRule="exact"/>
              <w:rPr>
                <w:sz w:val="20"/>
                <w:szCs w:val="20"/>
                <w:color w:val="auto"/>
              </w:rPr>
            </w:pPr>
            <w:r>
              <w:rPr>
                <w:rFonts w:ascii="Times New Roman" w:cs="Times New Roman" w:eastAsia="Times New Roman" w:hAnsi="Times New Roman"/>
                <w:sz w:val="20"/>
                <w:szCs w:val="20"/>
                <w:color w:val="auto"/>
              </w:rPr>
              <w:t>Title:</w:t>
            </w:r>
          </w:p>
        </w:tc>
        <w:tc>
          <w:tcPr>
            <w:tcW w:w="180" w:type="dxa"/>
            <w:vAlign w:val="bottom"/>
          </w:tcPr>
          <w:p>
            <w:pPr>
              <w:spacing w:after="0"/>
              <w:rPr>
                <w:sz w:val="19"/>
                <w:szCs w:val="19"/>
                <w:color w:val="auto"/>
              </w:rPr>
            </w:pPr>
          </w:p>
        </w:tc>
        <w:tc>
          <w:tcPr>
            <w:tcW w:w="4600" w:type="dxa"/>
            <w:vAlign w:val="bottom"/>
            <w:tcBorders>
              <w:top w:val="single" w:sz="8" w:color="auto"/>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0"/>
                <w:szCs w:val="20"/>
                <w:color w:val="auto"/>
              </w:rPr>
              <w:t>Chief FinancialOfficer</w:t>
            </w:r>
          </w:p>
        </w:tc>
      </w:tr>
      <w:tr>
        <w:trPr>
          <w:trHeight w:val="223"/>
        </w:trPr>
        <w:tc>
          <w:tcPr>
            <w:tcW w:w="8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Dated:</w:t>
            </w:r>
          </w:p>
        </w:tc>
        <w:tc>
          <w:tcPr>
            <w:tcW w:w="4300" w:type="dxa"/>
            <w:vAlign w:val="bottom"/>
            <w:gridSpan w:val="3"/>
          </w:tcPr>
          <w:p>
            <w:pPr>
              <w:spacing w:after="0" w:line="223" w:lineRule="exact"/>
              <w:rPr>
                <w:sz w:val="20"/>
                <w:szCs w:val="20"/>
                <w:color w:val="auto"/>
              </w:rPr>
            </w:pPr>
            <w:r>
              <w:rPr>
                <w:rFonts w:ascii="Times New Roman" w:cs="Times New Roman" w:eastAsia="Times New Roman" w:hAnsi="Times New Roman"/>
                <w:sz w:val="20"/>
                <w:szCs w:val="20"/>
                <w:color w:val="auto"/>
              </w:rPr>
              <w:t>November 25, 2025</w:t>
            </w:r>
          </w:p>
        </w:tc>
        <w:tc>
          <w:tcPr>
            <w:tcW w:w="1360" w:type="dxa"/>
            <w:vAlign w:val="bottom"/>
          </w:tcPr>
          <w:p>
            <w:pPr>
              <w:ind w:left="640"/>
              <w:spacing w:after="0" w:line="223" w:lineRule="exact"/>
              <w:rPr>
                <w:sz w:val="20"/>
                <w:szCs w:val="20"/>
                <w:color w:val="auto"/>
              </w:rPr>
            </w:pPr>
            <w:r>
              <w:rPr>
                <w:rFonts w:ascii="Times New Roman" w:cs="Times New Roman" w:eastAsia="Times New Roman" w:hAnsi="Times New Roman"/>
                <w:sz w:val="20"/>
                <w:szCs w:val="20"/>
                <w:color w:val="auto"/>
              </w:rPr>
              <w:t>Dated:</w:t>
            </w:r>
          </w:p>
        </w:tc>
        <w:tc>
          <w:tcPr>
            <w:tcW w:w="180" w:type="dxa"/>
            <w:vAlign w:val="bottom"/>
          </w:tcPr>
          <w:p>
            <w:pPr>
              <w:spacing w:after="0"/>
              <w:rPr>
                <w:sz w:val="19"/>
                <w:szCs w:val="19"/>
                <w:color w:val="auto"/>
              </w:rPr>
            </w:pPr>
          </w:p>
        </w:tc>
        <w:tc>
          <w:tcPr>
            <w:tcW w:w="16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11/10/2025</w:t>
            </w:r>
          </w:p>
        </w:tc>
        <w:tc>
          <w:tcPr>
            <w:tcW w:w="2920" w:type="dxa"/>
            <w:vAlign w:val="bottom"/>
          </w:tcPr>
          <w:p>
            <w:pPr>
              <w:spacing w:after="0"/>
              <w:rPr>
                <w:sz w:val="19"/>
                <w:szCs w:val="19"/>
                <w:color w:val="auto"/>
              </w:rPr>
            </w:pPr>
          </w:p>
        </w:tc>
      </w:tr>
      <w:tr>
        <w:trPr>
          <w:trHeight w:val="850"/>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13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9</w:t>
            </w:r>
          </w:p>
        </w:tc>
        <w:tc>
          <w:tcPr>
            <w:tcW w:w="18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2920" w:type="dxa"/>
            <w:vAlign w:val="bottom"/>
            <w:tcBorders>
              <w:top w:val="single" w:sz="8" w:color="auto"/>
            </w:tcBorders>
          </w:tcPr>
          <w:p>
            <w:pPr>
              <w:spacing w:after="0"/>
              <w:rPr>
                <w:sz w:val="24"/>
                <w:szCs w:val="24"/>
                <w:color w:val="auto"/>
              </w:rPr>
            </w:pPr>
          </w:p>
        </w:tc>
      </w:tr>
      <w:tr>
        <w:trPr>
          <w:trHeight w:val="730"/>
        </w:trPr>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0"/>
          <w:szCs w:val="20"/>
          <w:color w:val="auto"/>
        </w:rPr>
        <w:t>Soleno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EXHIBIT A - OUTLINE AND LOCATION OF EXPANSION SPACE</w:t>
      </w:r>
    </w:p>
    <w:p>
      <w:pPr>
        <w:spacing w:after="0" w:line="216"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b w:val="1"/>
          <w:bCs w:val="1"/>
          <w:color w:val="auto"/>
        </w:rPr>
        <w:t>attached to and made a part of the Amendment dated as of November 5, 2025,</w:t>
      </w:r>
    </w:p>
    <w:p>
      <w:pPr>
        <w:spacing w:after="0" w:line="26" w:lineRule="exact"/>
        <w:rPr>
          <w:sz w:val="20"/>
          <w:szCs w:val="20"/>
          <w:color w:val="auto"/>
        </w:rPr>
      </w:pPr>
    </w:p>
    <w:p>
      <w:pPr>
        <w:ind w:left="4240" w:right="80" w:hanging="3445"/>
        <w:spacing w:after="0" w:line="246" w:lineRule="auto"/>
        <w:rPr>
          <w:sz w:val="20"/>
          <w:szCs w:val="20"/>
          <w:color w:val="auto"/>
        </w:rPr>
      </w:pPr>
      <w:r>
        <w:rPr>
          <w:rFonts w:ascii="Times New Roman" w:cs="Times New Roman" w:eastAsia="Times New Roman" w:hAnsi="Times New Roman"/>
          <w:sz w:val="20"/>
          <w:szCs w:val="20"/>
          <w:b w:val="1"/>
          <w:bCs w:val="1"/>
          <w:color w:val="auto"/>
        </w:rPr>
        <w:t>between 1 Twin Property Owner, LLC, a Delaware limited liability company, as Landlord and Soleno Therapeutics, Inc., a Delaware corporation, as Tenant</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Exhibit A </w:t>
      </w:r>
      <w:r>
        <w:rPr>
          <w:rFonts w:ascii="Times New Roman" w:cs="Times New Roman" w:eastAsia="Times New Roman" w:hAnsi="Times New Roman"/>
          <w:sz w:val="20"/>
          <w:szCs w:val="20"/>
          <w:color w:val="auto"/>
        </w:rPr>
        <w:t>is intended only to show the general layout of the Expansion Space as of the beginning of Expansion Effective Date. It does not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way supersede any of Landlord’s rights set forth in the Lease with respect to arrangements and/or locations of public parts of the Building and changes in such arrangements and/or locations. It is not to be scaled; any measurements or distances shown should be taken as approximate.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3888105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163195</wp:posOffset>
            </wp:positionV>
            <wp:extent cx="5254625" cy="30175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8">
                      <a:extLst>
                        <a:ext uri="{28A0092B-C50C-407E-A947-70E740481C1C}"/>
                      </a:extLst>
                    </a:blip>
                    <a:srcRect/>
                    <a:stretch>
                      <a:fillRect/>
                    </a:stretch>
                  </pic:blipFill>
                  <pic:spPr bwMode="auto">
                    <a:xfrm>
                      <a:off x="0" y="0"/>
                      <a:ext cx="5254625" cy="301752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0"/>
          <w:szCs w:val="20"/>
          <w:b w:val="1"/>
          <w:bCs w:val="1"/>
          <w:color w:val="auto"/>
        </w:rPr>
        <w:t>EXHIBIT B - TENANT ALTERATIONS</w:t>
      </w:r>
    </w:p>
    <w:p>
      <w:pPr>
        <w:spacing w:after="0" w:line="216"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b w:val="1"/>
          <w:bCs w:val="1"/>
          <w:color w:val="auto"/>
        </w:rPr>
        <w:t>attached to and made a part of the Amendment dated as of November 5, 2025,</w:t>
      </w:r>
    </w:p>
    <w:p>
      <w:pPr>
        <w:spacing w:after="0" w:line="26" w:lineRule="exact"/>
        <w:rPr>
          <w:sz w:val="20"/>
          <w:szCs w:val="20"/>
          <w:color w:val="auto"/>
        </w:rPr>
      </w:pPr>
    </w:p>
    <w:p>
      <w:pPr>
        <w:ind w:left="4240" w:right="80" w:hanging="3445"/>
        <w:spacing w:after="0" w:line="246" w:lineRule="auto"/>
        <w:rPr>
          <w:sz w:val="20"/>
          <w:szCs w:val="20"/>
          <w:color w:val="auto"/>
        </w:rPr>
      </w:pPr>
      <w:r>
        <w:rPr>
          <w:rFonts w:ascii="Times New Roman" w:cs="Times New Roman" w:eastAsia="Times New Roman" w:hAnsi="Times New Roman"/>
          <w:sz w:val="20"/>
          <w:szCs w:val="20"/>
          <w:b w:val="1"/>
          <w:bCs w:val="1"/>
          <w:color w:val="auto"/>
        </w:rPr>
        <w:t>between 1 Twin Property Owner, LLC, a Delaware limited liability company, as Landlord and Soleno Therapeutics, Inc., a Delaware corporation, as Tenant</w:t>
      </w:r>
    </w:p>
    <w:p>
      <w:pPr>
        <w:spacing w:after="0" w:line="182" w:lineRule="exact"/>
        <w:rPr>
          <w:sz w:val="20"/>
          <w:szCs w:val="20"/>
          <w:color w:val="auto"/>
        </w:rPr>
      </w:pPr>
    </w:p>
    <w:p>
      <w:pPr>
        <w:jc w:val="both"/>
        <w:ind w:firstLine="757"/>
        <w:spacing w:after="0" w:line="245" w:lineRule="auto"/>
        <w:tabs>
          <w:tab w:leader="none" w:pos="101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at its sole cost and expense (subject to the terms and provisions of Section 2 below) shall perform improvements to the Expansion Space in accordance with the following work list (the “</w:t>
      </w:r>
      <w:r>
        <w:rPr>
          <w:rFonts w:ascii="Times New Roman" w:cs="Times New Roman" w:eastAsia="Times New Roman" w:hAnsi="Times New Roman"/>
          <w:sz w:val="20"/>
          <w:szCs w:val="20"/>
          <w:b w:val="1"/>
          <w:bCs w:val="1"/>
          <w:color w:val="auto"/>
        </w:rPr>
        <w:t>Work List</w:t>
      </w:r>
      <w:r>
        <w:rPr>
          <w:rFonts w:ascii="Times New Roman" w:cs="Times New Roman" w:eastAsia="Times New Roman" w:hAnsi="Times New Roman"/>
          <w:sz w:val="20"/>
          <w:szCs w:val="20"/>
          <w:color w:val="auto"/>
        </w:rPr>
        <w:t>”) and space plan attached hereto as Schedule 1 (the “</w:t>
      </w:r>
      <w:r>
        <w:rPr>
          <w:rFonts w:ascii="Times New Roman" w:cs="Times New Roman" w:eastAsia="Times New Roman" w:hAnsi="Times New Roman"/>
          <w:sz w:val="20"/>
          <w:szCs w:val="20"/>
          <w:b w:val="1"/>
          <w:bCs w:val="1"/>
          <w:color w:val="auto"/>
        </w:rPr>
        <w:t>Space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using Building standard methods, materials and finishes. The improvements to be performed in accordance with the Work List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hereinafter referred to as the “</w:t>
      </w:r>
      <w:r>
        <w:rPr>
          <w:rFonts w:ascii="Times New Roman" w:cs="Times New Roman" w:eastAsia="Times New Roman" w:hAnsi="Times New Roman"/>
          <w:sz w:val="20"/>
          <w:szCs w:val="20"/>
          <w:b w:val="1"/>
          <w:bCs w:val="1"/>
          <w:color w:val="auto"/>
        </w:rPr>
        <w:t>Tenant Alterations</w:t>
      </w:r>
      <w:r>
        <w:rPr>
          <w:rFonts w:ascii="Times New Roman" w:cs="Times New Roman" w:eastAsia="Times New Roman" w:hAnsi="Times New Roman"/>
          <w:sz w:val="20"/>
          <w:szCs w:val="20"/>
          <w:color w:val="auto"/>
        </w:rPr>
        <w:t>”. Landlord shall enter into a direct contract for the Tenant Alterations with a general contractor selected by Landlord. In addition, Landlord shall have the right to select and/or approve of any subcontractors used in connection with the Tenant Alterations.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WORK LIST</w:t>
      </w:r>
    </w:p>
    <w:p>
      <w:pPr>
        <w:spacing w:after="0" w:line="205" w:lineRule="exact"/>
        <w:rPr>
          <w:sz w:val="20"/>
          <w:szCs w:val="20"/>
          <w:color w:val="auto"/>
        </w:rPr>
      </w:pPr>
    </w:p>
    <w:p>
      <w:pPr>
        <w:ind w:left="1500" w:hanging="369"/>
        <w:spacing w:after="0"/>
        <w:tabs>
          <w:tab w:leader="none" w:pos="15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Removal of film and cleaning of exterior windows on the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w:t>
      </w:r>
    </w:p>
    <w:p>
      <w:pPr>
        <w:spacing w:after="0" w:line="120"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Paint 2-3 accent color walls that Tenant chooses (green or blue).</w:t>
      </w:r>
    </w:p>
    <w:p>
      <w:pPr>
        <w:spacing w:after="0" w:line="175"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Fill in any holes in walls + fresh paint throughout space.</w:t>
      </w:r>
    </w:p>
    <w:p>
      <w:pPr>
        <w:spacing w:after="0" w:line="188"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Match the red/gray carpet throughout space.</w:t>
      </w:r>
    </w:p>
    <w:p>
      <w:pPr>
        <w:spacing w:after="0" w:line="175"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Match the tile that is in the kitchen on the 4th floor to the 5th floor space near the kitchenette.</w:t>
      </w:r>
    </w:p>
    <w:p>
      <w:pPr>
        <w:spacing w:after="0" w:line="187"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Match the smaller kitchenette area cabinets to what is in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 breakroom.</w:t>
      </w:r>
    </w:p>
    <w:p>
      <w:pPr>
        <w:spacing w:after="0" w:line="134"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Remove dishwasher in small kitchenette.</w:t>
      </w:r>
    </w:p>
    <w:p>
      <w:pPr>
        <w:spacing w:after="0" w:line="187"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larger mailspace, replace the mailboxes with cabinets similar to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w:t>
      </w:r>
    </w:p>
    <w:p>
      <w:pPr>
        <w:spacing w:after="0" w:line="120"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Match the overhead hanging lighting.</w:t>
      </w:r>
    </w:p>
    <w:p>
      <w:pPr>
        <w:spacing w:after="0" w:line="188"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Replace any open/damaged ceiling tiles.</w:t>
      </w:r>
    </w:p>
    <w:p>
      <w:pPr>
        <w:spacing w:after="0" w:line="175"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Install "bee hive" hexagon privacy shading on the conference room glass walls.</w:t>
      </w:r>
    </w:p>
    <w:p>
      <w:pPr>
        <w:spacing w:after="0" w:line="187"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Remove wall near main entrance, similar to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w:t>
      </w:r>
    </w:p>
    <w:p>
      <w:pPr>
        <w:spacing w:after="0" w:line="134"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Combine offices (outlined in red on the Space Plan) to create three additional conference rooms.</w:t>
      </w:r>
    </w:p>
    <w:p>
      <w:pPr>
        <w:spacing w:after="0" w:line="215" w:lineRule="exact"/>
        <w:rPr>
          <w:rFonts w:ascii="Times New Roman" w:cs="Times New Roman" w:eastAsia="Times New Roman" w:hAnsi="Times New Roman"/>
          <w:sz w:val="20"/>
          <w:szCs w:val="20"/>
          <w:color w:val="auto"/>
        </w:rPr>
      </w:pPr>
    </w:p>
    <w:p>
      <w:pPr>
        <w:jc w:val="both"/>
        <w:ind w:firstLine="757"/>
        <w:spacing w:after="0" w:line="274" w:lineRule="auto"/>
        <w:tabs>
          <w:tab w:leader="none" w:pos="1018"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other work and upgrades, subject to Landlord’s approval, not to be unreasonably withheld, shall be at Tenant’s sole cost and expense, plus any applicable state sales or use tax thereon, payable upon demand as Additional Rent. Tenant shall be responsible for any Tenant Delay in completion of the Tenant Alterations resulting from any such other work and upgrades requested or performed by Tenant.</w:t>
      </w:r>
    </w:p>
    <w:p>
      <w:pPr>
        <w:spacing w:after="0" w:line="156" w:lineRule="exact"/>
        <w:rPr>
          <w:rFonts w:ascii="Times New Roman" w:cs="Times New Roman" w:eastAsia="Times New Roman" w:hAnsi="Times New Roman"/>
          <w:sz w:val="19"/>
          <w:szCs w:val="19"/>
          <w:color w:val="auto"/>
        </w:rPr>
      </w:pPr>
    </w:p>
    <w:p>
      <w:pPr>
        <w:ind w:firstLine="757"/>
        <w:spacing w:after="0" w:line="269" w:lineRule="auto"/>
        <w:tabs>
          <w:tab w:leader="none" w:pos="101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Landlord’s supervision or performance of any work for or on behalf of Tenant shall not be deemed to be a representation by Landlord that such work complies with applicable insurance requirements,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building codes, ordinances, laws or regulations or that the improvements constructed will be adequate for Tenant's use.</w:t>
      </w:r>
    </w:p>
    <w:p>
      <w:pPr>
        <w:spacing w:after="0" w:line="17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41" w:name="page142"/>
    <w:bookmarkEnd w:id="141"/>
    <w:p>
      <w:pPr>
        <w:spacing w:after="0" w:line="108" w:lineRule="exact"/>
        <w:rPr>
          <w:sz w:val="20"/>
          <w:szCs w:val="20"/>
          <w:color w:val="auto"/>
        </w:rPr>
      </w:pPr>
    </w:p>
    <w:p>
      <w:pPr>
        <w:jc w:val="both"/>
        <w:ind w:firstLine="757"/>
        <w:spacing w:after="0" w:line="243"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the Lease and in addition to, and without limitation of, Landlord’s obligations under the Lease and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Tenant shall have a period of nine (9) months after the Delivery Date during which to notify Landlord in writing of any repairs, replacements or restoration resulting from any defect or improper workmanship in the Tenant Alterations, or materials or equipment furnished by Landlord in connection with the construction of the Tenant Alterations. If Tenant determines there are required repairs, replacements or restoration resulting from any defect or improper workmanship in the Tenant Alterations, or materials or equipment furnished by Landlord in connection with the construction of the Tenant Alterations, and Tenant provides Landlord with notice of the same within nine (9) months following the Delivery Date, Landlord shall be responsible for repairing or restoring the same at Landlord’s sole cost.</w:t>
      </w:r>
    </w:p>
    <w:p>
      <w:pPr>
        <w:spacing w:after="0" w:line="185"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xml:space="preserve"> shall not be deemed applicable to any additional space added to the Premises at any time or from time to time, whether by any options under the Lease or otherwise, or to any portion of the original Premises or any additions to the Premises in the event of a renewal or extension of the original Lease Term, whether by any options under the Lease or otherwise, unless expressly so provided in the Lease or any amendment or supplement to the Lease.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[REMAINDER OF PAGE INTENTIONALLY LEFT BLANK]</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Schedule 1 to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178435</wp:posOffset>
            </wp:positionV>
            <wp:extent cx="3214370" cy="18599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1">
                      <a:extLst>
                        <a:ext uri="{28A0092B-C50C-407E-A947-70E740481C1C}"/>
                      </a:extLst>
                    </a:blip>
                    <a:srcRect/>
                    <a:stretch>
                      <a:fillRect/>
                    </a:stretch>
                  </pic:blipFill>
                  <pic:spPr bwMode="auto">
                    <a:xfrm>
                      <a:off x="0" y="0"/>
                      <a:ext cx="3214370" cy="1859915"/>
                    </a:xfrm>
                    <a:prstGeom prst="rect">
                      <a:avLst/>
                    </a:prstGeom>
                    <a:noFill/>
                  </pic:spPr>
                </pic:pic>
              </a:graphicData>
            </a:graphic>
          </wp:anchor>
        </w:drawing>
      </w:r>
    </w:p>
    <w:p>
      <w:pPr>
        <w:sectPr>
          <w:pgSz w:w="11900" w:h="16838" w:orient="portrait"/>
          <w:cols w:equalWidth="0" w:num="1">
            <w:col w:w="9019"/>
          </w:cols>
          <w:pgMar w:left="1440" w:top="13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471805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28" w:right="1440" w:bottom="1440" w:gutter="0" w:footer="0" w:header="0"/>
          <w:type w:val="continuous"/>
        </w:sectPr>
      </w:pPr>
    </w:p>
    <w:bookmarkStart w:id="143" w:name="page144"/>
    <w:bookmarkEnd w:id="143"/>
    <w:p>
      <w:pPr>
        <w:ind w:left="102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Soleno Therapeutics, Inc.</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191"/>
        </w:trPr>
        <w:tc>
          <w:tcPr>
            <w:tcW w:w="5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Soleno Therapeutics U.K. Ltd.</w:t>
            </w:r>
          </w:p>
        </w:tc>
        <w:tc>
          <w:tcPr>
            <w:tcW w:w="220" w:type="dxa"/>
            <w:vAlign w:val="bottom"/>
          </w:tcPr>
          <w:p>
            <w:pPr>
              <w:spacing w:after="0"/>
              <w:rPr>
                <w:sz w:val="16"/>
                <w:szCs w:val="16"/>
                <w:color w:val="auto"/>
              </w:rPr>
            </w:pPr>
          </w:p>
        </w:tc>
        <w:tc>
          <w:tcPr>
            <w:tcW w:w="5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Soleno Therapeutics Europe Ltd.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Ireland</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Essentialis, Inc.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1640"/>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4" w:name="page145"/>
    <w:bookmarkEnd w:id="144"/>
    <w:p>
      <w:pPr>
        <w:ind w:left="1026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of Soleno Therapeutics, Inc. (the "Company") on Form S-8 (File No.’s 333-200175, 333-210563, 333-220056, 333-224070, 333-230402, 333-235999, 333-239496, 333-252014, 333-264035, 333-270285, 333-273816, 333-276548, 333-276785, 333-281339 and 333-285435) and Form S-3 (File No.'s 333-275120 and 333-276344) of our reports dated February 25, 2026, with respect to our audit of the consolidated financial statements of the Company as of and for the year ended December 31, 2025 and the effectiveness of internal control over financial reporting of the Company of December 31, 2025, which reports are included in this Annual Report on Form 10-K for the year ended December 31, 2025.</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CBIZ CPA</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ind w:left="10260"/>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of Soleno Therapeutics, Inc. (the “Company”) on Form S-8 (File No.’s 333-200175, 333-210563, 333-220056, 333-224070, 333-230402, 333-235999, 333-239496, 333-252014, 333-264035, 333-270285, 333-273816, 333-276548, 333-276785, 333-281339 and 333-285435) and Form S-3 (File No.’s 333-275120 and 333-276344) of our report dated February 28, 2025, with respect to the consolidated financial statements of Soleno Therapeutics, Inc. as of December 31, 2024 and for each of the two years in the period ended December 31, 2024 included in this Annual Report on Form 10-K.</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resigned as the Company’s independent registered public accounting firm on April 17, 2025 and, accordingly we have not performed any audit or review procedures with respect to any financial statements for the periods after that date.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6" w:name="page147"/>
    <w:bookmarkEnd w:id="146"/>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Anish Bhatnagar, M.D., certify that:</w:t>
      </w:r>
    </w:p>
    <w:p>
      <w:pPr>
        <w:spacing w:after="0" w:line="117" w:lineRule="exact"/>
        <w:rPr>
          <w:sz w:val="20"/>
          <w:szCs w:val="20"/>
          <w:color w:val="auto"/>
        </w:rPr>
      </w:pPr>
    </w:p>
    <w:p>
      <w:pPr>
        <w:ind w:left="520" w:hanging="512"/>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Soleno Therapeutics,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011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7" w:name="page148"/>
    <w:bookmarkEnd w:id="147"/>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James Mackaness, certify that:</w:t>
      </w:r>
    </w:p>
    <w:p>
      <w:pPr>
        <w:spacing w:after="0" w:line="117" w:lineRule="exact"/>
        <w:rPr>
          <w:sz w:val="20"/>
          <w:szCs w:val="20"/>
          <w:color w:val="auto"/>
        </w:rPr>
      </w:pPr>
    </w:p>
    <w:p>
      <w:pPr>
        <w:ind w:left="520" w:hanging="512"/>
        <w:spacing w:after="0"/>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Soleno Therapeutics,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011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Mackaness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Soleno Therapeutics, Inc. (the “Company”) on Form 10-K for the fiscal year ended December 31, 2025, as filed with the Securities and Exchange Commission (the “Report”), Anish Bhatnagar, President, Chief Executive Officer of the Company, do hereby certify, pursuant to 18 U.S.C. Section 1350, as adopted pursuant to Section 906 of the Sarbanes-Oxley Act of 2002, that:</w:t>
      </w:r>
    </w:p>
    <w:p>
      <w:pPr>
        <w:spacing w:after="0" w:line="68" w:lineRule="exact"/>
        <w:rPr>
          <w:sz w:val="20"/>
          <w:szCs w:val="20"/>
          <w:color w:val="auto"/>
        </w:rPr>
      </w:pPr>
    </w:p>
    <w:p>
      <w:pPr>
        <w:ind w:left="1020" w:hanging="368"/>
        <w:spacing w:after="0"/>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Report fairly presents, in all material respects, the financial condition and results of operations of the Company.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011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49" w:name="page150"/>
    <w:bookmarkEnd w:id="149"/>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Soleno Therapeutics, Inc. (the “Company”) on Form 10-K for the fiscal year ended December 31, 2025, as filed with the Securities and Exchange Commission (the “Report”), James Mackaness, Chief Financial Officer of the Company, do hereby certify, pursuant to 18 U.S.C. Section 1350, as adopted pursuant to Section 906 of the Sarbanes-Oxley Act of 2002, that:</w:t>
      </w:r>
    </w:p>
    <w:p>
      <w:pPr>
        <w:spacing w:after="0" w:line="68" w:lineRule="exact"/>
        <w:rPr>
          <w:sz w:val="20"/>
          <w:szCs w:val="20"/>
          <w:color w:val="auto"/>
        </w:rPr>
      </w:pPr>
    </w:p>
    <w:p>
      <w:pPr>
        <w:ind w:left="1020" w:hanging="368"/>
        <w:spacing w:after="0"/>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Report fairly presents, in all material respects, the financial condition and results of operations of the Company.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2011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Mackaness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50" w:name="page151"/>
    <w:bookmarkEnd w:id="1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
      <w:numFmt w:val="bullet"/>
      <w:start w:val="1"/>
    </w:lvl>
    <w:lvl w:ilvl="1">
      <w:lvlJc w:val="left"/>
      <w:lvlText w:val="%2"/>
      <w:numFmt w:val="decimal"/>
      <w:start w:val="104"/>
    </w:lvl>
  </w:abstractNum>
  <w:abstractNum w:abstractNumId="46">
    <w:nsid w:val="310C50B3"/>
    <w:multiLevelType w:val="hybridMultilevel"/>
    <w:lvl w:ilvl="0">
      <w:lvlJc w:val="left"/>
      <w:lvlText w:val="%1."/>
      <w:numFmt w:val="decimal"/>
      <w:start w:val="1"/>
    </w:lvl>
    <w:lvl w:ilvl="1">
      <w:lvlJc w:val="left"/>
      <w:lvlText w:val="(%2)"/>
      <w:numFmt w:val="lowerLetter"/>
      <w:start w:val="1"/>
    </w:lvl>
  </w:abstractNum>
  <w:abstractNum w:abstractNumId="47">
    <w:nsid w:val="5FF87E05"/>
    <w:multiLevelType w:val="hybridMultilevel"/>
    <w:lvl w:ilvl="0">
      <w:lvlJc w:val="left"/>
      <w:lvlText w:val="%1"/>
      <w:numFmt w:val="decimal"/>
      <w:start w:val="1"/>
    </w:lvl>
    <w:lvl w:ilvl="1">
      <w:lvlJc w:val="left"/>
      <w:lvlText w:val="(%2)"/>
      <w:numFmt w:val="lowerLetter"/>
      <w:start w:val="2"/>
    </w:lvl>
  </w:abstractNum>
  <w:abstractNum w:abstractNumId="48">
    <w:nsid w:val="2F305DEF"/>
    <w:multiLevelType w:val="hybridMultilevel"/>
    <w:lvl w:ilvl="0">
      <w:lvlJc w:val="left"/>
      <w:lvlText w:val="%1."/>
      <w:numFmt w:val="decimal"/>
      <w:start w:val="5"/>
    </w:lvl>
    <w:lvl w:ilvl="1">
      <w:lvlJc w:val="left"/>
      <w:lvlText w:val="%2"/>
      <w:numFmt w:val="lowerLetter"/>
      <w:start w:val="1"/>
    </w:lvl>
  </w:abstractNum>
  <w:abstractNum w:abstractNumId="49">
    <w:nsid w:val="25A70BF7"/>
    <w:multiLevelType w:val="hybridMultilevel"/>
    <w:lvl w:ilvl="0">
      <w:lvlJc w:val="left"/>
      <w:lvlText w:val="%1."/>
      <w:numFmt w:val="decimal"/>
      <w:start w:val="8"/>
    </w:lvl>
    <w:lvl w:ilvl="1">
      <w:lvlJc w:val="left"/>
      <w:lvlText w:val="(%2)"/>
      <w:numFmt w:val="lowerLetter"/>
      <w:start w:val="1"/>
    </w:lvl>
  </w:abstractNum>
  <w:abstractNum w:abstractNumId="50">
    <w:nsid w:val="1DBABF00"/>
    <w:multiLevelType w:val="hybridMultilevel"/>
    <w:lvl w:ilvl="0">
      <w:lvlJc w:val="left"/>
      <w:lvlText w:val="(%1)"/>
      <w:numFmt w:val="lowerLetter"/>
      <w:start w:val="1"/>
    </w:lvl>
  </w:abstractNum>
  <w:abstractNum w:abstractNumId="51">
    <w:nsid w:val="4AD084E9"/>
    <w:multiLevelType w:val="hybridMultilevel"/>
    <w:lvl w:ilvl="0">
      <w:lvlJc w:val="left"/>
      <w:lvlText w:val="%1"/>
      <w:numFmt w:val="decimal"/>
      <w:start w:val="1"/>
    </w:lvl>
    <w:lvl w:ilvl="1">
      <w:lvlJc w:val="left"/>
      <w:lvlText w:val="(%2)"/>
      <w:numFmt w:val="decimal"/>
      <w:start w:val="18"/>
    </w:lvl>
    <w:lvl w:ilvl="2">
      <w:lvlJc w:val="left"/>
      <w:lvlText w:val="%3"/>
      <w:numFmt w:val="lowerLetter"/>
      <w:start w:val="1"/>
    </w:lvl>
  </w:abstractNum>
  <w:abstractNum w:abstractNumId="52">
    <w:nsid w:val="1F48EAA1"/>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abstractNum>
  <w:abstractNum w:abstractNumId="53">
    <w:nsid w:val="1381823A"/>
    <w:multiLevelType w:val="hybridMultilevel"/>
    <w:lvl w:ilvl="0">
      <w:lvlJc w:val="left"/>
      <w:lvlText w:val="(%1)"/>
      <w:numFmt w:val="lowerRoman"/>
      <w:start w:val="1"/>
    </w:lvl>
  </w:abstractNum>
  <w:abstractNum w:abstractNumId="54">
    <w:nsid w:val="5DB70AE5"/>
    <w:multiLevelType w:val="hybridMultilevel"/>
    <w:lvl w:ilvl="0">
      <w:lvlJc w:val="left"/>
      <w:lvlText w:val="%1"/>
      <w:numFmt w:val="decimal"/>
      <w:start w:val="1"/>
    </w:lvl>
    <w:lvl w:ilvl="1">
      <w:lvlJc w:val="left"/>
      <w:lvlText w:val="(%2)"/>
      <w:numFmt w:val="lowerLetter"/>
      <w:start w:val="22"/>
    </w:lvl>
    <w:lvl w:ilvl="2">
      <w:lvlJc w:val="left"/>
      <w:lvlText w:val="(%3)"/>
      <w:numFmt w:val="lowerLetter"/>
      <w:start w:val="4"/>
    </w:lvl>
  </w:abstractNum>
  <w:abstractNum w:abstractNumId="55">
    <w:nsid w:val="100F8FCA"/>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56">
    <w:nsid w:val="6590700B"/>
    <w:multiLevelType w:val="hybridMultilevel"/>
    <w:lvl w:ilvl="0">
      <w:lvlJc w:val="left"/>
      <w:lvlText w:val="%1"/>
      <w:numFmt w:val="decimal"/>
      <w:start w:val="1"/>
    </w:lvl>
    <w:lvl w:ilvl="1">
      <w:lvlJc w:val="left"/>
      <w:lvlText w:val="(%2)"/>
      <w:numFmt w:val="lowerLetter"/>
      <w:start w:val="5"/>
    </w:lvl>
  </w:abstractNum>
  <w:abstractNum w:abstractNumId="57">
    <w:nsid w:val="15014ACB"/>
    <w:multiLevelType w:val="hybridMultilevel"/>
    <w:lvl w:ilvl="0">
      <w:lvlJc w:val="left"/>
      <w:lvlText w:val="%1."/>
      <w:numFmt w:val="decimal"/>
      <w:start w:val="11"/>
    </w:lvl>
    <w:lvl w:ilvl="1">
      <w:lvlJc w:val="left"/>
      <w:lvlText w:val="(%2)"/>
      <w:numFmt w:val="lowerLetter"/>
      <w:start w:val="1"/>
    </w:lvl>
  </w:abstractNum>
  <w:abstractNum w:abstractNumId="58">
    <w:nsid w:val="5F5E7FD0"/>
    <w:multiLevelType w:val="hybridMultilevel"/>
    <w:lvl w:ilvl="0">
      <w:lvlJc w:val="left"/>
      <w:lvlText w:val="%1."/>
      <w:numFmt w:val="decimal"/>
      <w:start w:val="12"/>
    </w:lvl>
  </w:abstractNum>
  <w:abstractNum w:abstractNumId="59">
    <w:nsid w:val="98A3148"/>
    <w:multiLevelType w:val="hybridMultilevel"/>
    <w:lvl w:ilvl="0">
      <w:lvlJc w:val="left"/>
      <w:lvlText w:val="%1."/>
      <w:numFmt w:val="decimal"/>
      <w:start w:val="15"/>
    </w:lvl>
  </w:abstractNum>
  <w:abstractNum w:abstractNumId="60">
    <w:nsid w:val="799D0247"/>
    <w:multiLevelType w:val="hybridMultilevel"/>
    <w:lvl w:ilvl="0">
      <w:lvlJc w:val="left"/>
      <w:lvlText w:val="%1."/>
      <w:numFmt w:val="decimal"/>
      <w:start w:val="18"/>
    </w:lvl>
  </w:abstractNum>
  <w:abstractNum w:abstractNumId="61">
    <w:nsid w:val="6B94764"/>
    <w:multiLevelType w:val="hybridMultilevel"/>
    <w:lvl w:ilvl="0">
      <w:lvlJc w:val="left"/>
      <w:lvlText w:val="%1."/>
      <w:numFmt w:val="lowerLetter"/>
      <w:start w:val="1"/>
    </w:lvl>
  </w:abstractNum>
  <w:abstractNum w:abstractNumId="62">
    <w:nsid w:val="42C296BD"/>
    <w:multiLevelType w:val="hybridMultilevel"/>
    <w:lvl w:ilvl="0">
      <w:lvlJc w:val="left"/>
      <w:lvlText w:val="%1."/>
      <w:numFmt w:val="lowerLetter"/>
      <w:start w:val="3"/>
    </w:lvl>
  </w:abstractNum>
  <w:abstractNum w:abstractNumId="63">
    <w:nsid w:val="168E121F"/>
    <w:multiLevelType w:val="hybridMultilevel"/>
    <w:lvl w:ilvl="0">
      <w:lvlJc w:val="left"/>
      <w:lvlText w:val="%1."/>
      <w:numFmt w:val="lowerLetter"/>
      <w:start w:val="4"/>
    </w:lvl>
  </w:abstractNum>
  <w:abstractNum w:abstractNumId="64">
    <w:nsid w:val="1EBA5D23"/>
    <w:multiLevelType w:val="hybridMultilevel"/>
    <w:lvl w:ilvl="0">
      <w:lvlJc w:val="left"/>
      <w:lvlText w:val="%1."/>
      <w:numFmt w:val="lowerLetter"/>
      <w:start w:val="5"/>
    </w:lvl>
  </w:abstractNum>
  <w:abstractNum w:abstractNumId="65">
    <w:nsid w:val="661E3F1E"/>
    <w:multiLevelType w:val="hybridMultilevel"/>
    <w:lvl w:ilvl="0">
      <w:lvlJc w:val="left"/>
      <w:lvlText w:val="%1."/>
      <w:numFmt w:val="upperLetter"/>
      <w:start w:val="1"/>
    </w:lvl>
  </w:abstractNum>
  <w:abstractNum w:abstractNumId="66">
    <w:nsid w:val="5DC79EA8"/>
    <w:multiLevelType w:val="hybridMultilevel"/>
    <w:lvl w:ilvl="0">
      <w:lvlJc w:val="left"/>
      <w:lvlText w:val="%1."/>
      <w:numFmt w:val="decimal"/>
      <w:start w:val="1"/>
    </w:lvl>
  </w:abstractNum>
  <w:abstractNum w:abstractNumId="67">
    <w:nsid w:val="540A471C"/>
    <w:multiLevelType w:val="hybridMultilevel"/>
    <w:lvl w:ilvl="0">
      <w:lvlJc w:val="left"/>
      <w:lvlText w:val="%1."/>
      <w:numFmt w:val="decimal"/>
      <w:start w:val="2"/>
    </w:lvl>
  </w:abstractNum>
  <w:abstractNum w:abstractNumId="68">
    <w:nsid w:val="7BD3EE7B"/>
    <w:multiLevelType w:val="hybridMultilevel"/>
    <w:lvl w:ilvl="0">
      <w:lvlJc w:val="left"/>
      <w:lvlText w:val="%1."/>
      <w:numFmt w:val="decimal"/>
      <w:start w:val="3"/>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1."/>
      <w:numFmt w:val="decimal"/>
      <w:start w:val="4"/>
    </w:lvl>
  </w:abstractNum>
  <w:abstractNum w:abstractNumId="73">
    <w:nsid w:val="42963E5A"/>
    <w:multiLevelType w:val="hybridMultilevel"/>
    <w:lvl w:ilvl="0">
      <w:lvlJc w:val="left"/>
      <w:lvlText w:val="%1."/>
      <w:numFmt w:val="decimal"/>
      <w:start w:val="8"/>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decimal"/>
      <w:start w:val="1"/>
    </w:lvl>
    <w:lvl w:ilvl="1">
      <w:lvlJc w:val="left"/>
      <w:lvlText w:val="•"/>
      <w:numFmt w:val="bullet"/>
      <w:start w:val="1"/>
    </w:lvl>
  </w:abstractNum>
  <w:abstractNum w:abstractNumId="76">
    <w:nsid w:val="1A32234B"/>
    <w:multiLevelType w:val="hybridMultilevel"/>
    <w:lvl w:ilvl="0">
      <w:lvlJc w:val="left"/>
      <w:lvlText w:val="%1."/>
      <w:numFmt w:val="decimal"/>
      <w:start w:val="4"/>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
      <w:numFmt w:val="bullet"/>
      <w:start w:val="1"/>
    </w:lvl>
  </w:abstractNum>
  <w:abstractNum w:abstractNumId="80">
    <w:nsid w:val="60B6DF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413" Type="http://schemas.openxmlformats.org/officeDocument/2006/relationships/image" Target="media/image391.png"/><Relationship Id="rId414" Type="http://schemas.openxmlformats.org/officeDocument/2006/relationships/image" Target="media/image392.png"/><Relationship Id="rId427" Type="http://schemas.openxmlformats.org/officeDocument/2006/relationships/image" Target="media/image393.png"/><Relationship Id="rId430" Type="http://schemas.openxmlformats.org/officeDocument/2006/relationships/image" Target="media/image394.png"/><Relationship Id="rId431" Type="http://schemas.openxmlformats.org/officeDocument/2006/relationships/image" Target="media/image395.png"/><Relationship Id="rId432" Type="http://schemas.openxmlformats.org/officeDocument/2006/relationships/image" Target="media/image396.png"/><Relationship Id="rId433" Type="http://schemas.openxmlformats.org/officeDocument/2006/relationships/image" Target="media/image397.png"/><Relationship Id="rId434" Type="http://schemas.openxmlformats.org/officeDocument/2006/relationships/image" Target="media/image398.png"/><Relationship Id="rId435" Type="http://schemas.openxmlformats.org/officeDocument/2006/relationships/image" Target="media/image399.png"/><Relationship Id="rId436" Type="http://schemas.openxmlformats.org/officeDocument/2006/relationships/image" Target="media/image400.png"/><Relationship Id="rId437" Type="http://schemas.openxmlformats.org/officeDocument/2006/relationships/image" Target="media/image401.png"/><Relationship Id="rId438" Type="http://schemas.openxmlformats.org/officeDocument/2006/relationships/image" Target="media/image402.png"/><Relationship Id="rId439" Type="http://schemas.openxmlformats.org/officeDocument/2006/relationships/image" Target="media/image403.png"/><Relationship Id="rId440" Type="http://schemas.openxmlformats.org/officeDocument/2006/relationships/image" Target="media/image404.png"/><Relationship Id="rId441" Type="http://schemas.openxmlformats.org/officeDocument/2006/relationships/image" Target="media/image405.png"/><Relationship Id="rId442" Type="http://schemas.openxmlformats.org/officeDocument/2006/relationships/image" Target="media/image406.png"/><Relationship Id="rId443" Type="http://schemas.openxmlformats.org/officeDocument/2006/relationships/image" Target="media/image407.png"/><Relationship Id="rId444" Type="http://schemas.openxmlformats.org/officeDocument/2006/relationships/image" Target="media/image408.png"/><Relationship Id="rId445" Type="http://schemas.openxmlformats.org/officeDocument/2006/relationships/image" Target="media/image409.png"/><Relationship Id="rId446" Type="http://schemas.openxmlformats.org/officeDocument/2006/relationships/image" Target="media/image410.png"/><Relationship Id="rId447" Type="http://schemas.openxmlformats.org/officeDocument/2006/relationships/image" Target="media/image411.png"/><Relationship Id="rId448" Type="http://schemas.openxmlformats.org/officeDocument/2006/relationships/image" Target="media/image412.png"/><Relationship Id="rId449" Type="http://schemas.openxmlformats.org/officeDocument/2006/relationships/image" Target="media/image413.png"/><Relationship Id="rId450" Type="http://schemas.openxmlformats.org/officeDocument/2006/relationships/image" Target="media/image414.png"/><Relationship Id="rId451" Type="http://schemas.openxmlformats.org/officeDocument/2006/relationships/image" Target="media/image415.png"/><Relationship Id="rId452" Type="http://schemas.openxmlformats.org/officeDocument/2006/relationships/image" Target="media/image416.png"/><Relationship Id="rId453" Type="http://schemas.openxmlformats.org/officeDocument/2006/relationships/image" Target="media/image417.png"/><Relationship Id="rId454" Type="http://schemas.openxmlformats.org/officeDocument/2006/relationships/image" Target="media/image418.png"/><Relationship Id="rId455" Type="http://schemas.openxmlformats.org/officeDocument/2006/relationships/image" Target="media/image419.png"/><Relationship Id="rId456" Type="http://schemas.openxmlformats.org/officeDocument/2006/relationships/image" Target="media/image420.png"/><Relationship Id="rId457" Type="http://schemas.openxmlformats.org/officeDocument/2006/relationships/image" Target="media/image421.png"/><Relationship Id="rId458" Type="http://schemas.openxmlformats.org/officeDocument/2006/relationships/image" Target="media/image422.png"/><Relationship Id="rId459" Type="http://schemas.openxmlformats.org/officeDocument/2006/relationships/image" Target="media/image423.png"/><Relationship Id="rId460" Type="http://schemas.openxmlformats.org/officeDocument/2006/relationships/image" Target="media/image424.png"/><Relationship Id="rId461" Type="http://schemas.openxmlformats.org/officeDocument/2006/relationships/image" Target="media/image425.png"/><Relationship Id="rId462" Type="http://schemas.openxmlformats.org/officeDocument/2006/relationships/image" Target="media/image426.png"/><Relationship Id="rId463" Type="http://schemas.openxmlformats.org/officeDocument/2006/relationships/image" Target="media/image427.png"/><Relationship Id="rId464" Type="http://schemas.openxmlformats.org/officeDocument/2006/relationships/image" Target="media/image428.png"/><Relationship Id="rId465" Type="http://schemas.openxmlformats.org/officeDocument/2006/relationships/image" Target="media/image429.png"/><Relationship Id="rId466" Type="http://schemas.openxmlformats.org/officeDocument/2006/relationships/image" Target="media/image430.png"/><Relationship Id="rId467" Type="http://schemas.openxmlformats.org/officeDocument/2006/relationships/image" Target="media/image431.png"/><Relationship Id="rId468" Type="http://schemas.openxmlformats.org/officeDocument/2006/relationships/image" Target="media/image432.jpeg"/><Relationship Id="rId469" Type="http://schemas.openxmlformats.org/officeDocument/2006/relationships/image" Target="media/image433.png"/><Relationship Id="rId470" Type="http://schemas.openxmlformats.org/officeDocument/2006/relationships/image" Target="media/image434.png"/><Relationship Id="rId471" Type="http://schemas.openxmlformats.org/officeDocument/2006/relationships/image" Target="media/image435.jpeg"/><Relationship Id="rId472" Type="http://schemas.openxmlformats.org/officeDocument/2006/relationships/image" Target="media/image436.png"/><Relationship Id="rId473" Type="http://schemas.openxmlformats.org/officeDocument/2006/relationships/image" Target="media/image437.png"/><Relationship Id="rId474" Type="http://schemas.openxmlformats.org/officeDocument/2006/relationships/image" Target="media/image438.png"/><Relationship Id="rId475" Type="http://schemas.openxmlformats.org/officeDocument/2006/relationships/image" Target="media/image439.png"/><Relationship Id="rId476" Type="http://schemas.openxmlformats.org/officeDocument/2006/relationships/image" Target="media/image440.png"/><Relationship Id="rId477" Type="http://schemas.openxmlformats.org/officeDocument/2006/relationships/image" Target="media/image441.png"/><Relationship Id="rId478" Type="http://schemas.openxmlformats.org/officeDocument/2006/relationships/image" Target="media/image442.png"/><Relationship Id="rId479" Type="http://schemas.openxmlformats.org/officeDocument/2006/relationships/image" Target="media/image443.png"/><Relationship Id="rId480" Type="http://schemas.openxmlformats.org/officeDocument/2006/relationships/image" Target="media/image444.png"/><Relationship Id="rId481" Type="http://schemas.openxmlformats.org/officeDocument/2006/relationships/image" Target="media/image445.png"/><Relationship Id="rId482" Type="http://schemas.openxmlformats.org/officeDocument/2006/relationships/image" Target="media/image446.png"/><Relationship Id="rId483" Type="http://schemas.openxmlformats.org/officeDocument/2006/relationships/image" Target="media/image447.png"/><Relationship Id="rId484" Type="http://schemas.openxmlformats.org/officeDocument/2006/relationships/image" Target="media/image448.png"/><Relationship Id="rId398" Type="http://schemas.openxmlformats.org/officeDocument/2006/relationships/hyperlink" Target="https://www.sec.gov/Archives/edgar/data/1484565/000119312516803934/d282262dex21.htm" TargetMode="External"/><Relationship Id="rId399" Type="http://schemas.openxmlformats.org/officeDocument/2006/relationships/hyperlink" Target="https://www.sec.gov/Archives/edgar/data/1484565/000119312514300848/d711637dex32.htm" TargetMode="External"/><Relationship Id="rId400" Type="http://schemas.openxmlformats.org/officeDocument/2006/relationships/hyperlink" Target="https://www.sec.gov/Archives/edgar/data/1484565/000119312514256995/d711637dex34.htm" TargetMode="External"/><Relationship Id="rId401" Type="http://schemas.openxmlformats.org/officeDocument/2006/relationships/hyperlink" Target="https://www.sec.gov/Archives/edgar/data/1484565/000162828017005427/exhibit31.htm" TargetMode="External"/><Relationship Id="rId402" Type="http://schemas.openxmlformats.org/officeDocument/2006/relationships/hyperlink" Target="https://www.sec.gov/Archives/edgar/data/1484565/000162828017009761/soleno-certificateofamendm.htm" TargetMode="External"/><Relationship Id="rId403" Type="http://schemas.openxmlformats.org/officeDocument/2006/relationships/hyperlink" Target="https://www.sec.gov/Archives/edgar/data/1484565/000119312522228929/d394864dex31.htm" TargetMode="External"/><Relationship Id="rId404" Type="http://schemas.openxmlformats.org/officeDocument/2006/relationships/hyperlink" Target="https://www.sec.gov/Archives/edgar/data/1484565/000119312514293949/d711637dex41.htm" TargetMode="External"/><Relationship Id="rId405" Type="http://schemas.openxmlformats.org/officeDocument/2006/relationships/hyperlink" Target="https://www.sec.gov/Archives/edgar/data/1484565/000156459020008705/slno-ex429_382.htm" TargetMode="External"/><Relationship Id="rId406" Type="http://schemas.openxmlformats.org/officeDocument/2006/relationships/hyperlink" Target="https://www.sec.gov/Archives/edgar/data/1484565/000119312522090063/d334959dex42.htm" TargetMode="External"/><Relationship Id="rId407" Type="http://schemas.openxmlformats.org/officeDocument/2006/relationships/hyperlink" Target="https://www.sec.gov/Archives/edgar/data/1484565/000119312522308395/d393394dex103.htm" TargetMode="External"/><Relationship Id="rId408" Type="http://schemas.openxmlformats.org/officeDocument/2006/relationships/hyperlink" Target="https://www.sec.gov/ix?doc=/Archives/edgar/data/1484565/000119312523247533/d331815d8k.htm" TargetMode="External"/><Relationship Id="rId409" Type="http://schemas.openxmlformats.org/officeDocument/2006/relationships/hyperlink" Target="https://www.sec.gov/Archives/edgar/data/1484565/000119312514231812/d711637dex101.htm" TargetMode="External"/><Relationship Id="rId410" Type="http://schemas.openxmlformats.org/officeDocument/2006/relationships/hyperlink" Target="https://www.sec.gov/Archives/edgar/data/1484565/000119312514231812/d711637dex102.htm" TargetMode="External"/><Relationship Id="rId411" Type="http://schemas.openxmlformats.org/officeDocument/2006/relationships/hyperlink" Target="https://www.sec.gov/Archives/edgar/data/1484565/000119312514231812/d711637dex103.htm" TargetMode="External"/><Relationship Id="rId412" Type="http://schemas.openxmlformats.org/officeDocument/2006/relationships/hyperlink" Target="https://www.sec.gov/Archives/edgar/data/1484565/000119312524156113/d834951dex101.htm" TargetMode="External"/><Relationship Id="rId415" Type="http://schemas.openxmlformats.org/officeDocument/2006/relationships/hyperlink" Target="https://www.sec.gov/Archives/edgar/data/1484565/000119312514256995/d711637dex105.htm" TargetMode="External"/><Relationship Id="rId416" Type="http://schemas.openxmlformats.org/officeDocument/2006/relationships/hyperlink" Target="https://www.sec.gov/Archives/edgar/data/1484565/000119312524019500/d721921dex101.htm" TargetMode="External"/><Relationship Id="rId417" Type="http://schemas.openxmlformats.org/officeDocument/2006/relationships/hyperlink" Target="https://www.sec.gov/Archives/edgar/data/1484565/000119312520292974/d937820dex101.htm" TargetMode="External"/><Relationship Id="rId418" Type="http://schemas.openxmlformats.org/officeDocument/2006/relationships/hyperlink" Target="https://www.sec.gov/Archives/edgar/data/1484565/000119312521008129/d15884dex101.htm" TargetMode="External"/><Relationship Id="rId419" Type="http://schemas.openxmlformats.org/officeDocument/2006/relationships/hyperlink" Target="https://www.sec.gov/Archives/edgar/data/1484565/000095017025029545/slno-ex10_10.htm" TargetMode="External"/><Relationship Id="rId420" Type="http://schemas.openxmlformats.org/officeDocument/2006/relationships/hyperlink" Target="https://www.sec.gov/Archives/edgar/data/1484565/000119312521008129/d15884dex103.htm" TargetMode="External"/><Relationship Id="rId421" Type="http://schemas.openxmlformats.org/officeDocument/2006/relationships/hyperlink" Target="https://www.sec.gov/Archives/edgar/data/1484565/000095017025029545/slno-ex10_12.htm" TargetMode="External"/><Relationship Id="rId422" Type="http://schemas.openxmlformats.org/officeDocument/2006/relationships/hyperlink" Target="https://www.sec.gov/ix?doc=/Archives/edgar/data/1484565/000095017024027500/slno-20231231.htm" TargetMode="External"/><Relationship Id="rId423" Type="http://schemas.openxmlformats.org/officeDocument/2006/relationships/hyperlink" Target="https://www.sec.gov/Archives/edgar/data/1484565/000095017024092713/slno-ex10_1.htm" TargetMode="External"/><Relationship Id="rId424" Type="http://schemas.openxmlformats.org/officeDocument/2006/relationships/hyperlink" Target="https://www.sec.gov/Archives/edgar/data/1484565/000119312524181717/d817873dex11.htm" TargetMode="External"/><Relationship Id="rId425" Type="http://schemas.openxmlformats.org/officeDocument/2006/relationships/hyperlink" Target="https://www.sec.gov/Archives/edgar/data/1484565/000095017025029545/slno-ex10_16.htm" TargetMode="External"/><Relationship Id="rId426" Type="http://schemas.openxmlformats.org/officeDocument/2006/relationships/hyperlink" Target="https://www.sec.gov/Archives/edgar/data/1484565/000119312525275674/d63564dex102.htm" TargetMode="External"/><Relationship Id="rId428" Type="http://schemas.openxmlformats.org/officeDocument/2006/relationships/hyperlink" Target="https://www.sec.gov/Archives/edgar/data/1484565/000119312526021229/d93569dex101.htm" TargetMode="External"/><Relationship Id="rId429" Type="http://schemas.openxmlformats.org/officeDocument/2006/relationships/hyperlink" Target="https://www.sec.gov/Archives/edgar/data/1484565/000095017025029545/slno-ex1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2026-02-25T15:51:01Z</dcterms:created>
  <dcterms:modified xsi:type="dcterms:W3CDTF">2026-02-25T15:51:01Z</dcterms:modified>
</cp:coreProperties>
</file>