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slno-20230630.htm"/>
      <w:bookmarkStart w:id="1" w:name="ksslno20230630"/>
      <w:bookmarkEnd w:id="0"/>
      <w:bookmarkEnd w:id="1"/>
      <w:r>
        <w:rPr/>
        <w:t> </w:t>
      </w:r>
    </w:p>
    <w:p>
      <w:pPr>
        <w:pStyle w:val="TextBody"/>
        <w:bidi w:val="0"/>
        <w:spacing w:before="0" w:after="0"/>
        <w:jc w:val="center"/>
        <w:rPr>
          <w:rFonts w:ascii="Times New Roman;serif" w:hAnsi="Times New Roman;serif"/>
          <w:b w:val="false"/>
          <w:sz w:val="2"/>
        </w:rPr>
      </w:pPr>
      <w:r>
        <w:rPr>
          <w:rFonts w:ascii="Times New Roman;serif" w:hAnsi="Times New Roman;serif"/>
          <w:b w:val="false"/>
          <w:sz w:val="2"/>
        </w:rPr>
        <w:t>2</w:t>
      </w:r>
    </w:p>
    <w:p>
      <w:pPr>
        <w:pStyle w:val="TextBody"/>
        <w:bidi w:val="0"/>
        <w:spacing w:before="8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8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80" w:after="0"/>
        <w:jc w:val="left"/>
        <w:rPr>
          <w:rFonts w:ascii="Times New Roman" w:hAnsi="Times New Roman"/>
          <w:sz w:val="20"/>
        </w:rPr>
      </w:pPr>
      <w:r>
        <w:rPr>
          <w:rFonts w:ascii="Times New Roman;serif" w:hAnsi="Times New Roman;serif"/>
          <w:b/>
          <w:sz w:val="20"/>
        </w:rPr>
        <w:t>(Mark One)</w:t>
      </w:r>
      <w:r>
        <w:rPr>
          <w:rFonts w:ascii="Times New Roman" w:hAnsi="Times New Roman"/>
          <w:sz w:val="20"/>
        </w:rPr>
        <w:t xml:space="preserve"> </w:t>
      </w:r>
    </w:p>
    <w:p>
      <w:pPr>
        <w:pStyle w:val="TextBody"/>
        <w:bidi w:val="0"/>
        <w:spacing w:before="0" w:after="0"/>
        <w:jc w:val="left"/>
        <w:rPr/>
      </w:pPr>
      <w:r>
        <w:rPr/>
        <w:t xml:space="preserve">☒ </w:t>
      </w:r>
      <w:r>
        <w:rPr>
          <w:rFonts w:ascii="Times New Roman;serif" w:hAnsi="Times New Roman;serif"/>
          <w:b/>
          <w:sz w:val="24"/>
        </w:rPr>
        <w:t>QUARTERLY REPORT PURSUANT TO SECTION 13 OR 15(d) OF THE SECURITIES EXCHANGE ACT OF 1934</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8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bidi w:val="0"/>
        <w:spacing w:before="80" w:after="0"/>
        <w:jc w:val="left"/>
        <w:rPr/>
      </w:pPr>
      <w:r>
        <w:rPr/>
        <w:t xml:space="preserve">☐ </w:t>
      </w:r>
      <w:r>
        <w:rPr>
          <w:rFonts w:ascii="Times New Roman;serif" w:hAnsi="Times New Roman;serif"/>
          <w:b/>
          <w:sz w:val="24"/>
        </w:rPr>
        <w:t>TRANSITION REPORT PURSUANT TO SECTION 13 OR 15(d) OF THE SECURITIES EXCHANGE ACT OF 1934</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20"/>
        </w:rPr>
        <w:t>Commission File Number: 001-36593</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80" w:after="0"/>
        <w:jc w:val="center"/>
        <w:rPr>
          <w:rFonts w:ascii="Times New Roman" w:hAnsi="Times New Roman"/>
          <w:sz w:val="20"/>
        </w:rPr>
      </w:pPr>
      <w:r>
        <w:rPr>
          <w:rFonts w:ascii="Times New Roman;serif" w:hAnsi="Times New Roman;serif"/>
          <w:b/>
          <w:sz w:val="48"/>
        </w:rPr>
        <w:t>SOLENO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0" w:after="0"/>
        <w:jc w:val="left"/>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Delaware</w:t>
            </w:r>
          </w:p>
        </w:tc>
        <w:tc>
          <w:tcPr>
            <w:tcW w:w="1486" w:type="dxa"/>
            <w:tcBorders/>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77-0523891</w:t>
            </w:r>
          </w:p>
        </w:tc>
      </w:tr>
      <w:tr>
        <w:trPr/>
        <w:tc>
          <w:tcPr>
            <w:tcW w:w="237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Identification No.)</w:t>
            </w:r>
          </w:p>
        </w:tc>
      </w:tr>
    </w:tbl>
    <w:p>
      <w:pPr>
        <w:pStyle w:val="TextBody"/>
        <w:bidi w:val="0"/>
        <w:spacing w:before="80" w:after="0"/>
        <w:jc w:val="center"/>
        <w:rPr>
          <w:rFonts w:ascii="Times New Roman" w:hAnsi="Times New Roman"/>
          <w:sz w:val="20"/>
        </w:rPr>
      </w:pPr>
      <w:r>
        <w:rPr>
          <w:rFonts w:ascii="Times New Roman;serif" w:hAnsi="Times New Roman;serif"/>
          <w:b/>
          <w:sz w:val="19"/>
        </w:rPr>
        <w:t>203 Redwood Shores Parkway, Suite 500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9"/>
        </w:rPr>
        <w:t>Redwood City, California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(Address of principal executive offices)</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19"/>
        </w:rPr>
        <w:t>94065</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(Zip Code)</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19"/>
        </w:rPr>
        <w:t>(650) 213-8444</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(Registrant’s telephone number, including area code)</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tbl>
      <w:tblPr>
        <w:tblW w:w="7248" w:type="dxa"/>
        <w:jc w:val="left"/>
        <w:tblInd w:w="0" w:type="dxa"/>
        <w:tblLayout w:type="fixed"/>
        <w:tblCellMar>
          <w:top w:w="28" w:type="dxa"/>
          <w:left w:w="28" w:type="dxa"/>
          <w:bottom w:w="28" w:type="dxa"/>
          <w:right w:w="28" w:type="dxa"/>
        </w:tblCellMar>
      </w:tblPr>
      <w:tblGrid>
        <w:gridCol w:w="2476"/>
        <w:gridCol w:w="1456"/>
        <w:gridCol w:w="3316"/>
      </w:tblGrid>
      <w:tr>
        <w:trPr/>
        <w:tc>
          <w:tcPr>
            <w:tcW w:w="247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spacing w:before="0" w:after="0"/>
              <w:ind w:left="0" w:right="0" w:firstLine="490"/>
              <w:jc w:val="left"/>
              <w:rPr/>
            </w:pPr>
            <w:r>
              <w:rPr/>
              <w:t> </w:t>
            </w:r>
          </w:p>
          <w:p>
            <w:pPr>
              <w:pStyle w:val="TableContents"/>
              <w:bidi w:val="0"/>
              <w:spacing w:before="0" w:after="0"/>
              <w:ind w:left="0" w:right="0" w:firstLine="490"/>
              <w:jc w:val="left"/>
              <w:rPr>
                <w:rFonts w:ascii="Times New Roman;serif" w:hAnsi="Times New Roman;serif"/>
                <w:b w:val="false"/>
                <w:sz w:val="17"/>
              </w:rPr>
            </w:pPr>
            <w:r>
              <w:rPr>
                <w:rFonts w:ascii="Times New Roman;serif" w:hAnsi="Times New Roman;serif"/>
                <w:b w:val="false"/>
                <w:sz w:val="17"/>
              </w:rPr>
              <w:t>Securities registered pursuant to Section 12(b) of the Act:</w:t>
            </w:r>
          </w:p>
        </w:tc>
      </w:tr>
      <w:tr>
        <w:trPr/>
        <w:tc>
          <w:tcPr>
            <w:tcW w:w="247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left"/>
              <w:rPr/>
            </w:pPr>
            <w:r>
              <w:rPr/>
              <w:t> </w:t>
            </w:r>
          </w:p>
        </w:tc>
        <w:tc>
          <w:tcPr>
            <w:tcW w:w="3316" w:type="dxa"/>
            <w:tcBorders/>
            <w:vAlign w:val="center"/>
          </w:tcPr>
          <w:p>
            <w:pPr>
              <w:pStyle w:val="TableContents"/>
              <w:bidi w:val="0"/>
              <w:spacing w:before="0" w:after="0"/>
              <w:ind w:left="0" w:right="0" w:hanging="0"/>
              <w:jc w:val="left"/>
              <w:rPr/>
            </w:pPr>
            <w:r>
              <w:rPr/>
              <w:t> </w:t>
            </w:r>
          </w:p>
        </w:tc>
      </w:tr>
      <w:tr>
        <w:trPr/>
        <w:tc>
          <w:tcPr>
            <w:tcW w:w="2476" w:type="dxa"/>
            <w:tcBorders>
              <w:top w:val="single" w:sz="8" w:space="0" w:color="000000"/>
              <w:left w:val="single" w:sz="8" w:space="0" w:color="000000"/>
            </w:tcBorders>
            <w:tcMar>
              <w:top w:w="30" w:type="dxa"/>
              <w:left w:w="3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Title of each class</w:t>
            </w:r>
          </w:p>
        </w:tc>
        <w:tc>
          <w:tcPr>
            <w:tcW w:w="1456" w:type="dxa"/>
            <w:tcBorders>
              <w:top w:val="single" w:sz="8" w:space="0" w:color="000000"/>
              <w:left w:val="single" w:sz="8" w:space="0" w:color="000000"/>
            </w:tcBorders>
            <w:tcMar>
              <w:top w:w="30" w:type="dxa"/>
              <w:left w:w="3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Trading Symbol(s)</w:t>
            </w:r>
          </w:p>
        </w:tc>
        <w:tc>
          <w:tcPr>
            <w:tcW w:w="3316" w:type="dxa"/>
            <w:tcBorders>
              <w:top w:val="single" w:sz="8" w:space="0" w:color="000000"/>
              <w:left w:val="single" w:sz="8" w:space="0" w:color="000000"/>
              <w:right w:val="single" w:sz="8" w:space="0" w:color="000000"/>
            </w:tcBorders>
            <w:tcMar>
              <w:top w:w="30" w:type="dxa"/>
              <w:left w:w="30" w:type="dxa"/>
              <w:bottom w:w="0" w:type="dxa"/>
              <w:right w:w="3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Name of each exchange on which registered</w:t>
            </w:r>
          </w:p>
        </w:tc>
      </w:tr>
      <w:tr>
        <w:trPr/>
        <w:tc>
          <w:tcPr>
            <w:tcW w:w="2476" w:type="dxa"/>
            <w:tcBorders>
              <w:top w:val="single" w:sz="8" w:space="0" w:color="000000"/>
              <w:left w:val="single" w:sz="8" w:space="0" w:color="000000"/>
              <w:bottom w:val="single" w:sz="8" w:space="0" w:color="000000"/>
            </w:tcBorders>
            <w:tcMar>
              <w:top w:w="30" w:type="dxa"/>
              <w:left w:w="30" w:type="dxa"/>
              <w:bottom w:w="30" w:type="dxa"/>
              <w:right w:w="0" w:type="dxa"/>
            </w:tcMar>
            <w:vAlign w:val="center"/>
          </w:tcPr>
          <w:p>
            <w:pPr>
              <w:pStyle w:val="TableContents"/>
              <w:bidi w:val="0"/>
              <w:spacing w:before="0" w:after="0"/>
              <w:ind w:left="0" w:right="0" w:hanging="0"/>
              <w:jc w:val="center"/>
              <w:rPr>
                <w:rFonts w:ascii="Times New Roman;serif" w:hAnsi="Times New Roman;serif"/>
                <w:b w:val="false"/>
                <w:sz w:val="17"/>
              </w:rPr>
            </w:pPr>
            <w:r>
              <w:rPr>
                <w:rFonts w:ascii="Times New Roman;serif" w:hAnsi="Times New Roman;serif"/>
                <w:b w:val="false"/>
                <w:sz w:val="17"/>
              </w:rPr>
              <w:t>Common Stock, $0.001 par value</w:t>
            </w:r>
          </w:p>
        </w:tc>
        <w:tc>
          <w:tcPr>
            <w:tcW w:w="1456" w:type="dxa"/>
            <w:tcBorders>
              <w:top w:val="single" w:sz="8" w:space="0" w:color="000000"/>
              <w:left w:val="single" w:sz="8" w:space="0" w:color="000000"/>
              <w:bottom w:val="single" w:sz="8" w:space="0" w:color="000000"/>
            </w:tcBorders>
            <w:tcMar>
              <w:top w:w="30" w:type="dxa"/>
              <w:left w:w="30" w:type="dxa"/>
              <w:bottom w:w="30" w:type="dxa"/>
              <w:right w:w="0" w:type="dxa"/>
            </w:tcMar>
            <w:vAlign w:val="center"/>
          </w:tcPr>
          <w:p>
            <w:pPr>
              <w:pStyle w:val="TableContents"/>
              <w:bidi w:val="0"/>
              <w:spacing w:before="0" w:after="0"/>
              <w:ind w:left="0" w:right="0" w:hanging="0"/>
              <w:jc w:val="center"/>
              <w:rPr>
                <w:rFonts w:ascii="Times New Roman;serif" w:hAnsi="Times New Roman;serif"/>
                <w:b w:val="false"/>
                <w:sz w:val="17"/>
              </w:rPr>
            </w:pPr>
            <w:r>
              <w:rPr>
                <w:rFonts w:ascii="Times New Roman;serif" w:hAnsi="Times New Roman;serif"/>
                <w:b w:val="false"/>
                <w:sz w:val="17"/>
              </w:rPr>
              <w:t>SLNO</w:t>
            </w:r>
          </w:p>
        </w:tc>
        <w:tc>
          <w:tcPr>
            <w:tcW w:w="3316" w:type="dxa"/>
            <w:tcBorders>
              <w:top w:val="single" w:sz="8" w:space="0" w:color="000000"/>
              <w:left w:val="single" w:sz="8" w:space="0" w:color="000000"/>
              <w:bottom w:val="single" w:sz="8" w:space="0" w:color="000000"/>
              <w:right w:val="single" w:sz="8" w:space="0" w:color="000000"/>
            </w:tcBorders>
            <w:tcMar>
              <w:top w:w="30" w:type="dxa"/>
              <w:left w:w="30" w:type="dxa"/>
              <w:bottom w:w="30" w:type="dxa"/>
              <w:right w:w="30" w:type="dxa"/>
            </w:tcMar>
            <w:vAlign w:val="center"/>
          </w:tcPr>
          <w:p>
            <w:pPr>
              <w:pStyle w:val="TableContents"/>
              <w:bidi w:val="0"/>
              <w:spacing w:before="0" w:after="0"/>
              <w:ind w:left="0" w:right="0" w:hanging="0"/>
              <w:jc w:val="center"/>
              <w:rPr>
                <w:rFonts w:ascii="Times New Roman;serif" w:hAnsi="Times New Roman;serif"/>
                <w:b w:val="false"/>
                <w:sz w:val="17"/>
              </w:rPr>
            </w:pPr>
            <w:r>
              <w:rPr>
                <w:rFonts w:ascii="Times New Roman;serif" w:hAnsi="Times New Roman;serif"/>
                <w:b w:val="false"/>
                <w:sz w:val="17"/>
              </w:rPr>
              <w:t>NASDAQ</w:t>
            </w:r>
          </w:p>
        </w:tc>
      </w:tr>
    </w:tbl>
    <w:p>
      <w:pPr>
        <w:pStyle w:val="TextBody"/>
        <w:bidi w:val="0"/>
        <w:spacing w:before="80" w:after="0"/>
        <w:jc w:val="left"/>
        <w:rPr>
          <w:rFonts w:ascii="Times New Roman" w:hAnsi="Times New Roman"/>
          <w:sz w:val="20"/>
        </w:rPr>
      </w:pPr>
      <w:r>
        <w:rPr>
          <w:rFonts w:ascii="Times New Roman;serif" w:hAnsi="Times New Roman;serif"/>
          <w:b w:val="false"/>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7"/>
        </w:rPr>
        <w:t xml:space="preserve">No </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Times New Roman;serif" w:hAnsi="Times New Roman;serif"/>
          <w:b w:val="false"/>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7"/>
        </w:rPr>
        <w:t xml:space="preserve">No </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Times New Roman;serif" w:hAnsi="Times New Roman;serif"/>
          <w:b w:val="false"/>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Non-accelerated filer</w:t>
            </w:r>
          </w:p>
        </w:tc>
        <w:tc>
          <w:tcPr>
            <w:tcW w:w="316" w:type="dxa"/>
            <w:tcBorders/>
            <w:vAlign w:val="center"/>
          </w:tcPr>
          <w:p>
            <w:pPr>
              <w:pStyle w:val="TableContents"/>
              <w:bidi w:val="0"/>
              <w:spacing w:before="0" w:after="2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60" w:after="0"/>
        <w:jc w:val="left"/>
        <w:rPr>
          <w:rFonts w:ascii="Times New Roman" w:hAnsi="Times New Roman"/>
          <w:sz w:val="20"/>
        </w:rPr>
      </w:pPr>
      <w:r>
        <w:rPr>
          <w:rFonts w:ascii="Times New Roman;serif" w:hAnsi="Times New Roman;serif"/>
          <w:b w:val="false"/>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Times New Roman;serif" w:hAnsi="Times New Roman;serif"/>
          <w:b w:val="false"/>
          <w:sz w:val="17"/>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7"/>
        </w:rPr>
        <w:t xml:space="preserve">No </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Times New Roman;serif" w:hAnsi="Times New Roman;serif"/>
          <w:b w:val="false"/>
          <w:sz w:val="17"/>
        </w:rPr>
        <w:t>As of August 3, 2023, there were 9,992,178</w:t>
      </w:r>
      <w:r>
        <w:rPr>
          <w:rFonts w:ascii="Times New Roman" w:hAnsi="Times New Roman"/>
          <w:sz w:val="20"/>
        </w:rPr>
        <w:t xml:space="preserve"> </w:t>
      </w:r>
      <w:r>
        <w:rPr>
          <w:rFonts w:ascii="Times New Roman;serif" w:hAnsi="Times New Roman;serif"/>
          <w:b w:val="false"/>
          <w:sz w:val="17"/>
        </w:rPr>
        <w:t>shares of the registrant’s Common Stock, par value $0.001 per share, outstanding</w:t>
      </w:r>
      <w:r>
        <w:rPr>
          <w:rFonts w:ascii="Times New Roman;serif" w:hAnsi="Times New Roman;serif"/>
          <w:b w:val="false"/>
          <w:sz w:val="20"/>
        </w:rPr>
        <w:t>.</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SOLENO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2" w:name="toc"/>
      <w:bookmarkEnd w:id="2"/>
      <w:r>
        <w:rPr>
          <w:rFonts w:ascii="Times New Roman;serif" w:hAnsi="Times New Roman;serif"/>
          <w:b/>
          <w:sz w:val="20"/>
        </w:rPr>
        <w:t>TABLE OF CONTENTS</w:t>
      </w:r>
      <w:r>
        <w:rPr>
          <w:rFonts w:ascii="Times New Roman" w:hAnsi="Times New Roman"/>
          <w:sz w:val="20"/>
        </w:rPr>
        <w:t xml:space="preserve"> </w:t>
      </w:r>
    </w:p>
    <w:p>
      <w:pPr>
        <w:pStyle w:val="TextBody"/>
        <w:bidi w:val="0"/>
        <w:spacing w:before="0" w:after="0"/>
        <w:jc w:val="left"/>
        <w:rPr/>
      </w:pPr>
      <w:r>
        <w:rPr/>
        <w:t> </w:t>
      </w:r>
    </w:p>
    <w:tbl>
      <w:tblPr>
        <w:tblW w:w="9437" w:type="dxa"/>
        <w:jc w:val="left"/>
        <w:tblInd w:w="0" w:type="dxa"/>
        <w:tblLayout w:type="fixed"/>
        <w:tblCellMar>
          <w:top w:w="28" w:type="dxa"/>
          <w:left w:w="28" w:type="dxa"/>
          <w:bottom w:w="28" w:type="dxa"/>
          <w:right w:w="28" w:type="dxa"/>
        </w:tblCellMar>
      </w:tblPr>
      <w:tblGrid>
        <w:gridCol w:w="7981"/>
        <w:gridCol w:w="1456"/>
      </w:tblGrid>
      <w:tr>
        <w:trPr/>
        <w:tc>
          <w:tcPr>
            <w:tcW w:w="7981"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before="0" w:after="283"/>
              <w:jc w:val="left"/>
              <w:rPr>
                <w:sz w:val="4"/>
                <w:szCs w:val="4"/>
              </w:rPr>
            </w:pPr>
            <w:r>
              <w:rPr>
                <w:sz w:val="4"/>
                <w:szCs w:val="4"/>
              </w:rPr>
            </w:r>
          </w:p>
        </w:tc>
      </w:tr>
      <w:tr>
        <w:trPr/>
        <w:tc>
          <w:tcPr>
            <w:tcW w:w="7981"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0"/>
              <w:ind w:left="0" w:right="0" w:firstLine="240"/>
              <w:jc w:val="center"/>
              <w:rPr>
                <w:rFonts w:ascii="Times New Roman;serif" w:hAnsi="Times New Roman;serif"/>
                <w:b/>
                <w:sz w:val="20"/>
              </w:rPr>
            </w:pPr>
            <w:r>
              <w:rPr>
                <w:rFonts w:ascii="Times New Roman;serif" w:hAnsi="Times New Roman;serif"/>
                <w:b/>
                <w:sz w:val="20"/>
              </w:rPr>
              <w:t>Page</w:t>
            </w:r>
          </w:p>
        </w:tc>
      </w:tr>
      <w:tr>
        <w:trPr/>
        <w:tc>
          <w:tcPr>
            <w:tcW w:w="7981" w:type="dxa"/>
            <w:tcBorders/>
            <w:vAlign w:val="center"/>
          </w:tcPr>
          <w:p>
            <w:pPr>
              <w:pStyle w:val="TableContents"/>
              <w:pBdr/>
              <w:bidi w:val="0"/>
              <w:spacing w:before="0" w:after="0"/>
              <w:ind w:left="0" w:right="0" w:hanging="240"/>
              <w:jc w:val="left"/>
              <w:rPr/>
            </w:pPr>
            <w:hyperlink w:anchor="part_ifinancial_information">
              <w:r>
                <w:rPr>
                  <w:rStyle w:val="InternetLink"/>
                  <w:rFonts w:ascii="Times New Roman;serif" w:hAnsi="Times New Roman;serif"/>
                  <w:b/>
                  <w:sz w:val="20"/>
                  <w:u w:val="single"/>
                </w:rPr>
                <w:t>PART I—FINANCIAL INFORMATION</w:t>
              </w:r>
            </w:hyperlink>
            <w:r>
              <w:rPr>
                <w:rFonts w:ascii="Times New Roman" w:hAnsi="Times New Roman"/>
                <w:sz w:val="20"/>
              </w:rPr>
              <w:t xml:space="preserve"> </w:t>
            </w:r>
          </w:p>
        </w:tc>
        <w:tc>
          <w:tcPr>
            <w:tcW w:w="1456" w:type="dxa"/>
            <w:tcBorders/>
            <w:vAlign w:val="center"/>
          </w:tcPr>
          <w:p>
            <w:pPr>
              <w:pStyle w:val="TableContents"/>
              <w:bidi w:val="0"/>
              <w:spacing w:before="0" w:after="0"/>
              <w:ind w:left="0" w:right="0" w:firstLine="720"/>
              <w:jc w:val="right"/>
              <w:rPr>
                <w:rFonts w:ascii="Times New Roman;serif" w:hAnsi="Times New Roman;serif"/>
                <w:b w:val="false"/>
                <w:sz w:val="20"/>
              </w:rPr>
            </w:pPr>
            <w:r>
              <w:rPr>
                <w:rFonts w:ascii="Times New Roman;serif" w:hAnsi="Times New Roman;serif"/>
                <w:b w:val="false"/>
                <w:sz w:val="20"/>
              </w:rPr>
              <w:t>3</w:t>
            </w:r>
          </w:p>
        </w:tc>
      </w:tr>
      <w:tr>
        <w:trPr/>
        <w:tc>
          <w:tcPr>
            <w:tcW w:w="7981" w:type="dxa"/>
            <w:tcBorders/>
            <w:vAlign w:val="center"/>
          </w:tcPr>
          <w:p>
            <w:pPr>
              <w:pStyle w:val="TableContents"/>
              <w:pBdr/>
              <w:bidi w:val="0"/>
              <w:spacing w:before="0" w:after="0"/>
              <w:ind w:left="480" w:right="0" w:hanging="240"/>
              <w:jc w:val="left"/>
              <w:rPr/>
            </w:pPr>
            <w:hyperlink w:anchor="item1_financial_statements">
              <w:r>
                <w:rPr>
                  <w:rStyle w:val="InternetLink"/>
                  <w:rFonts w:ascii="Times New Roman;serif" w:hAnsi="Times New Roman;serif"/>
                  <w:b w:val="false"/>
                  <w:sz w:val="20"/>
                  <w:u w:val="single"/>
                </w:rPr>
                <w:t>Item 1. Financial Statements</w:t>
              </w:r>
            </w:hyperlink>
          </w:p>
        </w:tc>
        <w:tc>
          <w:tcPr>
            <w:tcW w:w="1456" w:type="dxa"/>
            <w:tcBorders/>
            <w:vAlign w:val="center"/>
          </w:tcPr>
          <w:p>
            <w:pPr>
              <w:pStyle w:val="TableContents"/>
              <w:bidi w:val="0"/>
              <w:spacing w:before="0" w:after="0"/>
              <w:ind w:left="0" w:right="0" w:firstLine="1200"/>
              <w:jc w:val="right"/>
              <w:rPr>
                <w:rFonts w:ascii="Times New Roman;serif" w:hAnsi="Times New Roman;serif"/>
                <w:b w:val="false"/>
                <w:sz w:val="20"/>
              </w:rPr>
            </w:pPr>
            <w:r>
              <w:rPr>
                <w:rFonts w:ascii="Times New Roman;serif" w:hAnsi="Times New Roman;serif"/>
                <w:b w:val="false"/>
                <w:sz w:val="20"/>
              </w:rPr>
              <w:t>3</w:t>
            </w:r>
          </w:p>
        </w:tc>
      </w:tr>
      <w:tr>
        <w:trPr/>
        <w:tc>
          <w:tcPr>
            <w:tcW w:w="7981" w:type="dxa"/>
            <w:tcBorders/>
            <w:vAlign w:val="center"/>
          </w:tcPr>
          <w:p>
            <w:pPr>
              <w:pStyle w:val="TableContents"/>
              <w:pBdr/>
              <w:bidi w:val="0"/>
              <w:spacing w:before="0" w:after="0"/>
              <w:ind w:left="960" w:right="0" w:hanging="240"/>
              <w:jc w:val="left"/>
              <w:rPr/>
            </w:pPr>
            <w:hyperlink w:anchor="condensed_consolidated_balance_sheets">
              <w:r>
                <w:rPr>
                  <w:rStyle w:val="InternetLink"/>
                  <w:rFonts w:ascii="Times New Roman;serif" w:hAnsi="Times New Roman;serif"/>
                  <w:b w:val="false"/>
                  <w:sz w:val="20"/>
                  <w:u w:val="single"/>
                </w:rPr>
                <w:t>Condensed Consolidated Balance Sheets (unaudited)</w:t>
              </w:r>
            </w:hyperlink>
          </w:p>
        </w:tc>
        <w:tc>
          <w:tcPr>
            <w:tcW w:w="1456" w:type="dxa"/>
            <w:tcBorders/>
            <w:vAlign w:val="center"/>
          </w:tcPr>
          <w:p>
            <w:pPr>
              <w:pStyle w:val="TableContents"/>
              <w:bidi w:val="0"/>
              <w:spacing w:before="0" w:after="0"/>
              <w:ind w:left="0" w:right="0" w:firstLine="1200"/>
              <w:jc w:val="right"/>
              <w:rPr>
                <w:rFonts w:ascii="Times New Roman;serif" w:hAnsi="Times New Roman;serif"/>
                <w:b w:val="false"/>
                <w:sz w:val="20"/>
              </w:rPr>
            </w:pPr>
            <w:r>
              <w:rPr>
                <w:rFonts w:ascii="Times New Roman;serif" w:hAnsi="Times New Roman;serif"/>
                <w:b w:val="false"/>
                <w:sz w:val="20"/>
              </w:rPr>
              <w:t>3</w:t>
            </w:r>
          </w:p>
        </w:tc>
      </w:tr>
      <w:tr>
        <w:trPr/>
        <w:tc>
          <w:tcPr>
            <w:tcW w:w="7981" w:type="dxa"/>
            <w:tcBorders/>
            <w:vAlign w:val="center"/>
          </w:tcPr>
          <w:p>
            <w:pPr>
              <w:pStyle w:val="TableContents"/>
              <w:pBdr/>
              <w:bidi w:val="0"/>
              <w:spacing w:before="0" w:after="0"/>
              <w:ind w:left="960" w:right="0" w:hanging="240"/>
              <w:jc w:val="left"/>
              <w:rPr/>
            </w:pPr>
            <w:hyperlink w:anchor="cndnsd_cnsldtd_stmnt_oprns_comprehensive">
              <w:r>
                <w:rPr>
                  <w:rStyle w:val="InternetLink"/>
                  <w:rFonts w:ascii="Times New Roman;serif" w:hAnsi="Times New Roman;serif"/>
                  <w:b w:val="false"/>
                  <w:sz w:val="20"/>
                  <w:u w:val="single"/>
                </w:rPr>
                <w:t>Condensed Consolidated Statements of Operations and Comprehensive Loss (unaudited)</w:t>
              </w:r>
            </w:hyperlink>
            <w:hyperlink w:anchor="cndnsd_cnsldtd_stmnt_oprns_comprehensive">
              <w:r>
                <w:rPr>
                  <w:rStyle w:val="InternetLink"/>
                  <w:rFonts w:ascii="Times New Roman" w:hAnsi="Times New Roman"/>
                  <w:sz w:val="20"/>
                </w:rPr>
                <w:t xml:space="preserve"> </w:t>
              </w:r>
            </w:hyperlink>
          </w:p>
        </w:tc>
        <w:tc>
          <w:tcPr>
            <w:tcW w:w="1456" w:type="dxa"/>
            <w:tcBorders/>
            <w:vAlign w:val="center"/>
          </w:tcPr>
          <w:p>
            <w:pPr>
              <w:pStyle w:val="TableContents"/>
              <w:bidi w:val="0"/>
              <w:spacing w:before="0" w:after="0"/>
              <w:ind w:left="0" w:right="0" w:firstLine="1200"/>
              <w:jc w:val="right"/>
              <w:rPr>
                <w:rFonts w:ascii="Times New Roman;serif" w:hAnsi="Times New Roman;serif"/>
                <w:b w:val="false"/>
                <w:sz w:val="20"/>
              </w:rPr>
            </w:pPr>
            <w:r>
              <w:rPr>
                <w:rFonts w:ascii="Times New Roman;serif" w:hAnsi="Times New Roman;serif"/>
                <w:b w:val="false"/>
                <w:sz w:val="20"/>
              </w:rPr>
              <w:t>4</w:t>
            </w:r>
          </w:p>
        </w:tc>
      </w:tr>
      <w:tr>
        <w:trPr/>
        <w:tc>
          <w:tcPr>
            <w:tcW w:w="7981" w:type="dxa"/>
            <w:tcBorders/>
            <w:vAlign w:val="center"/>
          </w:tcPr>
          <w:p>
            <w:pPr>
              <w:pStyle w:val="TableContents"/>
              <w:pBdr/>
              <w:bidi w:val="0"/>
              <w:spacing w:before="0" w:after="0"/>
              <w:ind w:left="960" w:right="0" w:hanging="240"/>
              <w:jc w:val="left"/>
              <w:rPr/>
            </w:pPr>
            <w:hyperlink w:anchor="condensed_consolidated_statements_stockh">
              <w:r>
                <w:rPr>
                  <w:rStyle w:val="InternetLink"/>
                  <w:rFonts w:ascii="Times New Roman;serif" w:hAnsi="Times New Roman;serif"/>
                  <w:b w:val="false"/>
                  <w:sz w:val="20"/>
                  <w:u w:val="single"/>
                </w:rPr>
                <w:t>Condensed Consolidated Statements of Stockholders’ Equity (unaudited)</w:t>
              </w:r>
            </w:hyperlink>
          </w:p>
        </w:tc>
        <w:tc>
          <w:tcPr>
            <w:tcW w:w="1456" w:type="dxa"/>
            <w:tcBorders/>
            <w:vAlign w:val="center"/>
          </w:tcPr>
          <w:p>
            <w:pPr>
              <w:pStyle w:val="TableContents"/>
              <w:bidi w:val="0"/>
              <w:spacing w:before="0" w:after="0"/>
              <w:ind w:left="0" w:right="0" w:firstLine="1200"/>
              <w:jc w:val="right"/>
              <w:rPr>
                <w:rFonts w:ascii="Times New Roman;serif" w:hAnsi="Times New Roman;serif"/>
                <w:b w:val="false"/>
                <w:sz w:val="20"/>
              </w:rPr>
            </w:pPr>
            <w:r>
              <w:rPr>
                <w:rFonts w:ascii="Times New Roman;serif" w:hAnsi="Times New Roman;serif"/>
                <w:b w:val="false"/>
                <w:sz w:val="20"/>
              </w:rPr>
              <w:t>5</w:t>
            </w:r>
          </w:p>
        </w:tc>
      </w:tr>
      <w:tr>
        <w:trPr/>
        <w:tc>
          <w:tcPr>
            <w:tcW w:w="7981" w:type="dxa"/>
            <w:tcBorders/>
            <w:vAlign w:val="center"/>
          </w:tcPr>
          <w:p>
            <w:pPr>
              <w:pStyle w:val="TableContents"/>
              <w:pBdr/>
              <w:bidi w:val="0"/>
              <w:spacing w:before="0" w:after="0"/>
              <w:ind w:left="960" w:right="0" w:hanging="240"/>
              <w:jc w:val="left"/>
              <w:rPr/>
            </w:pPr>
            <w:hyperlink w:anchor="cndnsd_cnsolidated_statements_cash_flows">
              <w:r>
                <w:rPr>
                  <w:rStyle w:val="InternetLink"/>
                  <w:rFonts w:ascii="Times New Roman;serif" w:hAnsi="Times New Roman;serif"/>
                  <w:b w:val="false"/>
                  <w:sz w:val="20"/>
                  <w:u w:val="single"/>
                </w:rPr>
                <w:t>Condensed Consolidated Statements of Cash Flows (unaudited)</w:t>
              </w:r>
            </w:hyperlink>
            <w:hyperlink w:anchor="cndnsd_cnsolidated_statements_cash_flows">
              <w:r>
                <w:rPr>
                  <w:rStyle w:val="InternetLink"/>
                  <w:rFonts w:ascii="Times New Roman" w:hAnsi="Times New Roman"/>
                  <w:sz w:val="20"/>
                </w:rPr>
                <w:t xml:space="preserve"> </w:t>
              </w:r>
            </w:hyperlink>
          </w:p>
        </w:tc>
        <w:tc>
          <w:tcPr>
            <w:tcW w:w="1456" w:type="dxa"/>
            <w:tcBorders/>
            <w:vAlign w:val="center"/>
          </w:tcPr>
          <w:p>
            <w:pPr>
              <w:pStyle w:val="TableContents"/>
              <w:bidi w:val="0"/>
              <w:spacing w:before="0" w:after="0"/>
              <w:ind w:left="0" w:right="0" w:firstLine="1200"/>
              <w:jc w:val="right"/>
              <w:rPr>
                <w:rFonts w:ascii="Times New Roman;serif" w:hAnsi="Times New Roman;serif"/>
                <w:b w:val="false"/>
                <w:sz w:val="20"/>
              </w:rPr>
            </w:pPr>
            <w:r>
              <w:rPr>
                <w:rFonts w:ascii="Times New Roman;serif" w:hAnsi="Times New Roman;serif"/>
                <w:b w:val="false"/>
                <w:sz w:val="20"/>
              </w:rPr>
              <w:t>6</w:t>
            </w:r>
          </w:p>
        </w:tc>
      </w:tr>
      <w:tr>
        <w:trPr/>
        <w:tc>
          <w:tcPr>
            <w:tcW w:w="7981" w:type="dxa"/>
            <w:tcBorders/>
            <w:vAlign w:val="center"/>
          </w:tcPr>
          <w:p>
            <w:pPr>
              <w:pStyle w:val="TableContents"/>
              <w:pBdr/>
              <w:bidi w:val="0"/>
              <w:spacing w:before="0" w:after="0"/>
              <w:ind w:left="960" w:right="0" w:hanging="240"/>
              <w:jc w:val="left"/>
              <w:rPr/>
            </w:pPr>
            <w:hyperlink w:anchor="notes_consolidated_financial_statements">
              <w:r>
                <w:rPr>
                  <w:rStyle w:val="InternetLink"/>
                  <w:rFonts w:ascii="Times New Roman;serif" w:hAnsi="Times New Roman;serif"/>
                  <w:b w:val="false"/>
                  <w:sz w:val="20"/>
                  <w:u w:val="single"/>
                </w:rPr>
                <w:t>Notes to Condensed Consolidated Financial Statements (unaudited)</w:t>
              </w:r>
            </w:hyperlink>
          </w:p>
        </w:tc>
        <w:tc>
          <w:tcPr>
            <w:tcW w:w="1456" w:type="dxa"/>
            <w:tcBorders/>
            <w:vAlign w:val="center"/>
          </w:tcPr>
          <w:p>
            <w:pPr>
              <w:pStyle w:val="TableContents"/>
              <w:bidi w:val="0"/>
              <w:spacing w:before="0" w:after="0"/>
              <w:ind w:left="0" w:right="0" w:firstLine="720"/>
              <w:jc w:val="right"/>
              <w:rPr>
                <w:rFonts w:ascii="Times New Roman;serif" w:hAnsi="Times New Roman;serif"/>
                <w:b w:val="false"/>
                <w:sz w:val="20"/>
              </w:rPr>
            </w:pPr>
            <w:r>
              <w:rPr>
                <w:rFonts w:ascii="Times New Roman;serif" w:hAnsi="Times New Roman;serif"/>
                <w:b w:val="false"/>
                <w:sz w:val="20"/>
              </w:rPr>
              <w:t>7</w:t>
            </w:r>
          </w:p>
        </w:tc>
      </w:tr>
      <w:tr>
        <w:trPr/>
        <w:tc>
          <w:tcPr>
            <w:tcW w:w="7981" w:type="dxa"/>
            <w:tcBorders/>
            <w:vAlign w:val="center"/>
          </w:tcPr>
          <w:p>
            <w:pPr>
              <w:pStyle w:val="TableContents"/>
              <w:pBdr/>
              <w:bidi w:val="0"/>
              <w:spacing w:before="0" w:after="0"/>
              <w:ind w:left="480" w:right="0" w:hanging="240"/>
              <w:jc w:val="left"/>
              <w:rPr/>
            </w:pPr>
            <w:hyperlink w:anchor="item_2_managements_discussion_analysis_f">
              <w:r>
                <w:rPr>
                  <w:rStyle w:val="InternetLink"/>
                  <w:rFonts w:ascii="Times New Roman;serif" w:hAnsi="Times New Roman;serif"/>
                  <w:b w:val="false"/>
                  <w:sz w:val="20"/>
                  <w:u w:val="single"/>
                </w:rPr>
                <w:t>Item 2. Management’s Discussion and Analysis of Financial Condition and Results of Operations</w:t>
              </w:r>
            </w:hyperlink>
          </w:p>
        </w:tc>
        <w:tc>
          <w:tcPr>
            <w:tcW w:w="1456" w:type="dxa"/>
            <w:tcBorders/>
            <w:vAlign w:val="center"/>
          </w:tcPr>
          <w:p>
            <w:pPr>
              <w:pStyle w:val="TableContents"/>
              <w:bidi w:val="0"/>
              <w:spacing w:before="0" w:after="0"/>
              <w:ind w:left="0" w:right="0" w:firstLine="720"/>
              <w:jc w:val="right"/>
              <w:rPr>
                <w:rFonts w:ascii="Times New Roman;serif" w:hAnsi="Times New Roman;serif"/>
                <w:b w:val="false"/>
                <w:sz w:val="20"/>
              </w:rPr>
            </w:pPr>
            <w:r>
              <w:rPr>
                <w:rFonts w:ascii="Times New Roman;serif" w:hAnsi="Times New Roman;serif"/>
                <w:b w:val="false"/>
                <w:sz w:val="20"/>
              </w:rPr>
              <w:t>17</w:t>
            </w:r>
          </w:p>
        </w:tc>
      </w:tr>
      <w:tr>
        <w:trPr/>
        <w:tc>
          <w:tcPr>
            <w:tcW w:w="7981" w:type="dxa"/>
            <w:tcBorders/>
            <w:vAlign w:val="center"/>
          </w:tcPr>
          <w:p>
            <w:pPr>
              <w:pStyle w:val="TableContents"/>
              <w:pBdr/>
              <w:bidi w:val="0"/>
              <w:spacing w:before="0" w:after="0"/>
              <w:ind w:left="480" w:right="0" w:hanging="240"/>
              <w:jc w:val="left"/>
              <w:rPr/>
            </w:pPr>
            <w:hyperlink w:anchor="item_3_quantitative_and_qualitative">
              <w:r>
                <w:rPr>
                  <w:rStyle w:val="InternetLink"/>
                  <w:rFonts w:ascii="Times New Roman;serif" w:hAnsi="Times New Roman;serif"/>
                  <w:b w:val="false"/>
                  <w:sz w:val="20"/>
                  <w:u w:val="single"/>
                </w:rPr>
                <w:t>Item 3. Quantitative and Qualitative Disclosures About Market Risk</w:t>
              </w:r>
            </w:hyperlink>
          </w:p>
        </w:tc>
        <w:tc>
          <w:tcPr>
            <w:tcW w:w="1456" w:type="dxa"/>
            <w:tcBorders/>
            <w:vAlign w:val="center"/>
          </w:tcPr>
          <w:p>
            <w:pPr>
              <w:pStyle w:val="TableContents"/>
              <w:bidi w:val="0"/>
              <w:spacing w:before="0" w:after="0"/>
              <w:ind w:left="0" w:right="0" w:firstLine="720"/>
              <w:jc w:val="right"/>
              <w:rPr>
                <w:rFonts w:ascii="Times New Roman;serif" w:hAnsi="Times New Roman;serif"/>
                <w:b w:val="false"/>
                <w:sz w:val="20"/>
              </w:rPr>
            </w:pPr>
            <w:r>
              <w:rPr>
                <w:rFonts w:ascii="Times New Roman;serif" w:hAnsi="Times New Roman;serif"/>
                <w:b w:val="false"/>
                <w:sz w:val="20"/>
              </w:rPr>
              <w:t>21</w:t>
            </w:r>
          </w:p>
        </w:tc>
      </w:tr>
      <w:tr>
        <w:trPr/>
        <w:tc>
          <w:tcPr>
            <w:tcW w:w="7981" w:type="dxa"/>
            <w:tcBorders/>
            <w:vAlign w:val="center"/>
          </w:tcPr>
          <w:p>
            <w:pPr>
              <w:pStyle w:val="TableContents"/>
              <w:pBdr/>
              <w:bidi w:val="0"/>
              <w:spacing w:before="0" w:after="0"/>
              <w:ind w:left="480" w:right="0" w:hanging="240"/>
              <w:jc w:val="left"/>
              <w:rPr/>
            </w:pPr>
            <w:hyperlink w:anchor="controls_and_procedures">
              <w:r>
                <w:rPr>
                  <w:rStyle w:val="InternetLink"/>
                  <w:rFonts w:ascii="Times New Roman;serif" w:hAnsi="Times New Roman;serif"/>
                  <w:b w:val="false"/>
                  <w:sz w:val="20"/>
                  <w:u w:val="single"/>
                </w:rPr>
                <w:t>Item 4. Controls and Procedures</w:t>
              </w:r>
            </w:hyperlink>
          </w:p>
        </w:tc>
        <w:tc>
          <w:tcPr>
            <w:tcW w:w="1456" w:type="dxa"/>
            <w:tcBorders/>
            <w:vAlign w:val="center"/>
          </w:tcPr>
          <w:p>
            <w:pPr>
              <w:pStyle w:val="TableContents"/>
              <w:bidi w:val="0"/>
              <w:spacing w:before="0" w:after="0"/>
              <w:ind w:left="0" w:right="0" w:firstLine="240"/>
              <w:jc w:val="right"/>
              <w:rPr>
                <w:rFonts w:ascii="Times New Roman;serif" w:hAnsi="Times New Roman;serif"/>
                <w:b w:val="false"/>
                <w:sz w:val="20"/>
              </w:rPr>
            </w:pPr>
            <w:r>
              <w:rPr>
                <w:rFonts w:ascii="Times New Roman;serif" w:hAnsi="Times New Roman;serif"/>
                <w:b w:val="false"/>
                <w:sz w:val="20"/>
              </w:rPr>
              <w:t>21</w:t>
            </w:r>
          </w:p>
        </w:tc>
      </w:tr>
      <w:tr>
        <w:trPr/>
        <w:tc>
          <w:tcPr>
            <w:tcW w:w="7981" w:type="dxa"/>
            <w:tcBorders/>
            <w:vAlign w:val="center"/>
          </w:tcPr>
          <w:p>
            <w:pPr>
              <w:pStyle w:val="TableContents"/>
              <w:pBdr/>
              <w:bidi w:val="0"/>
              <w:spacing w:before="0" w:after="0"/>
              <w:ind w:left="0" w:right="0" w:hanging="240"/>
              <w:jc w:val="left"/>
              <w:rPr/>
            </w:pPr>
            <w:hyperlink w:anchor="part_ii_other_information">
              <w:r>
                <w:rPr>
                  <w:rStyle w:val="InternetLink"/>
                  <w:rFonts w:ascii="Times New Roman;serif" w:hAnsi="Times New Roman;serif"/>
                  <w:b/>
                  <w:sz w:val="20"/>
                  <w:u w:val="single"/>
                </w:rPr>
                <w:t>PART II—OTHER INFORMATION</w:t>
              </w:r>
            </w:hyperlink>
          </w:p>
        </w:tc>
        <w:tc>
          <w:tcPr>
            <w:tcW w:w="1456" w:type="dxa"/>
            <w:tcBorders/>
            <w:vAlign w:val="center"/>
          </w:tcPr>
          <w:p>
            <w:pPr>
              <w:pStyle w:val="TableContents"/>
              <w:bidi w:val="0"/>
              <w:spacing w:before="0" w:after="0"/>
              <w:ind w:left="0" w:right="0" w:firstLine="720"/>
              <w:jc w:val="right"/>
              <w:rPr>
                <w:rFonts w:ascii="Times New Roman;serif" w:hAnsi="Times New Roman;serif"/>
                <w:b w:val="false"/>
                <w:sz w:val="20"/>
              </w:rPr>
            </w:pPr>
            <w:r>
              <w:rPr>
                <w:rFonts w:ascii="Times New Roman;serif" w:hAnsi="Times New Roman;serif"/>
                <w:b w:val="false"/>
                <w:sz w:val="20"/>
              </w:rPr>
              <w:t>23</w:t>
            </w:r>
          </w:p>
        </w:tc>
      </w:tr>
      <w:tr>
        <w:trPr/>
        <w:tc>
          <w:tcPr>
            <w:tcW w:w="7981" w:type="dxa"/>
            <w:tcBorders/>
            <w:vAlign w:val="center"/>
          </w:tcPr>
          <w:p>
            <w:pPr>
              <w:pStyle w:val="TableContents"/>
              <w:pBdr/>
              <w:bidi w:val="0"/>
              <w:spacing w:before="0" w:after="0"/>
              <w:ind w:left="480" w:right="0" w:hanging="240"/>
              <w:jc w:val="left"/>
              <w:rPr/>
            </w:pPr>
            <w:hyperlink w:anchor="item_1_legal_proceedings">
              <w:r>
                <w:rPr>
                  <w:rStyle w:val="InternetLink"/>
                  <w:rFonts w:ascii="Times New Roman;serif" w:hAnsi="Times New Roman;serif"/>
                  <w:b w:val="false"/>
                  <w:sz w:val="20"/>
                  <w:u w:val="single"/>
                </w:rPr>
                <w:t>Item 1. Legal Proceedings</w:t>
              </w:r>
            </w:hyperlink>
          </w:p>
        </w:tc>
        <w:tc>
          <w:tcPr>
            <w:tcW w:w="1456" w:type="dxa"/>
            <w:tcBorders/>
            <w:vAlign w:val="center"/>
          </w:tcPr>
          <w:p>
            <w:pPr>
              <w:pStyle w:val="TableContents"/>
              <w:bidi w:val="0"/>
              <w:spacing w:before="0" w:after="0"/>
              <w:ind w:left="0" w:right="0" w:firstLine="720"/>
              <w:jc w:val="right"/>
              <w:rPr>
                <w:rFonts w:ascii="Times New Roman;serif" w:hAnsi="Times New Roman;serif"/>
                <w:b w:val="false"/>
                <w:sz w:val="20"/>
              </w:rPr>
            </w:pPr>
            <w:r>
              <w:rPr>
                <w:rFonts w:ascii="Times New Roman;serif" w:hAnsi="Times New Roman;serif"/>
                <w:b w:val="false"/>
                <w:sz w:val="20"/>
              </w:rPr>
              <w:t>23</w:t>
            </w:r>
          </w:p>
        </w:tc>
      </w:tr>
      <w:tr>
        <w:trPr/>
        <w:tc>
          <w:tcPr>
            <w:tcW w:w="7981" w:type="dxa"/>
            <w:tcBorders/>
            <w:vAlign w:val="center"/>
          </w:tcPr>
          <w:p>
            <w:pPr>
              <w:pStyle w:val="TableContents"/>
              <w:pBdr/>
              <w:bidi w:val="0"/>
              <w:spacing w:before="0" w:after="0"/>
              <w:ind w:left="480" w:right="0" w:hanging="240"/>
              <w:jc w:val="left"/>
              <w:rPr/>
            </w:pPr>
            <w:hyperlink w:anchor="item_1a_risk_factors">
              <w:r>
                <w:rPr>
                  <w:rStyle w:val="InternetLink"/>
                  <w:rFonts w:ascii="Times New Roman;serif" w:hAnsi="Times New Roman;serif"/>
                  <w:b w:val="false"/>
                  <w:sz w:val="20"/>
                  <w:u w:val="single"/>
                </w:rPr>
                <w:t>Item 1A. Risk Factors</w:t>
              </w:r>
            </w:hyperlink>
          </w:p>
        </w:tc>
        <w:tc>
          <w:tcPr>
            <w:tcW w:w="1456" w:type="dxa"/>
            <w:tcBorders/>
            <w:vAlign w:val="center"/>
          </w:tcPr>
          <w:p>
            <w:pPr>
              <w:pStyle w:val="TableContents"/>
              <w:bidi w:val="0"/>
              <w:spacing w:before="0" w:after="0"/>
              <w:ind w:left="0" w:right="0" w:firstLine="720"/>
              <w:jc w:val="right"/>
              <w:rPr>
                <w:rFonts w:ascii="Times New Roman;serif" w:hAnsi="Times New Roman;serif"/>
                <w:b w:val="false"/>
                <w:sz w:val="20"/>
              </w:rPr>
            </w:pPr>
            <w:r>
              <w:rPr>
                <w:rFonts w:ascii="Times New Roman;serif" w:hAnsi="Times New Roman;serif"/>
                <w:b w:val="false"/>
                <w:sz w:val="20"/>
              </w:rPr>
              <w:t>23</w:t>
            </w:r>
          </w:p>
        </w:tc>
      </w:tr>
      <w:tr>
        <w:trPr/>
        <w:tc>
          <w:tcPr>
            <w:tcW w:w="7981" w:type="dxa"/>
            <w:tcBorders/>
            <w:vAlign w:val="center"/>
          </w:tcPr>
          <w:p>
            <w:pPr>
              <w:pStyle w:val="TableContents"/>
              <w:pBdr/>
              <w:bidi w:val="0"/>
              <w:spacing w:before="0" w:after="0"/>
              <w:ind w:left="480" w:right="0" w:hanging="240"/>
              <w:jc w:val="left"/>
              <w:rPr/>
            </w:pPr>
            <w:hyperlink w:anchor="item_2_unregistered_sales_equity_securit">
              <w:r>
                <w:rPr>
                  <w:rStyle w:val="InternetLink"/>
                  <w:rFonts w:ascii="Times New Roman;serif" w:hAnsi="Times New Roman;serif"/>
                  <w:b w:val="false"/>
                  <w:sz w:val="20"/>
                  <w:u w:val="single"/>
                </w:rPr>
                <w:t>Item 2. Unregistered Sales of Equity Securities and Use of Proceeds</w:t>
              </w:r>
            </w:hyperlink>
          </w:p>
        </w:tc>
        <w:tc>
          <w:tcPr>
            <w:tcW w:w="1456" w:type="dxa"/>
            <w:tcBorders/>
            <w:vAlign w:val="center"/>
          </w:tcPr>
          <w:p>
            <w:pPr>
              <w:pStyle w:val="TableContents"/>
              <w:bidi w:val="0"/>
              <w:spacing w:before="0" w:after="0"/>
              <w:ind w:left="0" w:right="0" w:firstLine="720"/>
              <w:jc w:val="right"/>
              <w:rPr>
                <w:rFonts w:ascii="Times New Roman;serif" w:hAnsi="Times New Roman;serif"/>
                <w:b w:val="false"/>
                <w:sz w:val="20"/>
              </w:rPr>
            </w:pPr>
            <w:r>
              <w:rPr>
                <w:rFonts w:ascii="Times New Roman;serif" w:hAnsi="Times New Roman;serif"/>
                <w:b w:val="false"/>
                <w:sz w:val="20"/>
              </w:rPr>
              <w:t>23</w:t>
            </w:r>
          </w:p>
        </w:tc>
      </w:tr>
      <w:tr>
        <w:trPr/>
        <w:tc>
          <w:tcPr>
            <w:tcW w:w="7981" w:type="dxa"/>
            <w:tcBorders/>
            <w:vAlign w:val="center"/>
          </w:tcPr>
          <w:p>
            <w:pPr>
              <w:pStyle w:val="TableContents"/>
              <w:pBdr/>
              <w:bidi w:val="0"/>
              <w:spacing w:before="0" w:after="0"/>
              <w:ind w:left="480" w:right="0" w:hanging="240"/>
              <w:jc w:val="left"/>
              <w:rPr/>
            </w:pPr>
            <w:hyperlink w:anchor="item_3_defaults_upon_senior_securities">
              <w:r>
                <w:rPr>
                  <w:rStyle w:val="InternetLink"/>
                  <w:rFonts w:ascii="Times New Roman;serif" w:hAnsi="Times New Roman;serif"/>
                  <w:b w:val="false"/>
                  <w:sz w:val="20"/>
                  <w:u w:val="single"/>
                </w:rPr>
                <w:t>Item 3. Defaults Upon Senior Securities</w:t>
              </w:r>
            </w:hyperlink>
          </w:p>
        </w:tc>
        <w:tc>
          <w:tcPr>
            <w:tcW w:w="1456" w:type="dxa"/>
            <w:tcBorders/>
            <w:vAlign w:val="center"/>
          </w:tcPr>
          <w:p>
            <w:pPr>
              <w:pStyle w:val="TableContents"/>
              <w:bidi w:val="0"/>
              <w:spacing w:before="0" w:after="0"/>
              <w:ind w:left="0" w:right="0" w:firstLine="720"/>
              <w:jc w:val="right"/>
              <w:rPr>
                <w:rFonts w:ascii="Times New Roman;serif" w:hAnsi="Times New Roman;serif"/>
                <w:b w:val="false"/>
                <w:sz w:val="20"/>
              </w:rPr>
            </w:pPr>
            <w:r>
              <w:rPr>
                <w:rFonts w:ascii="Times New Roman;serif" w:hAnsi="Times New Roman;serif"/>
                <w:b w:val="false"/>
                <w:sz w:val="20"/>
              </w:rPr>
              <w:t>23</w:t>
            </w:r>
          </w:p>
        </w:tc>
      </w:tr>
      <w:tr>
        <w:trPr/>
        <w:tc>
          <w:tcPr>
            <w:tcW w:w="7981" w:type="dxa"/>
            <w:tcBorders/>
            <w:vAlign w:val="center"/>
          </w:tcPr>
          <w:p>
            <w:pPr>
              <w:pStyle w:val="TableContents"/>
              <w:pBdr/>
              <w:bidi w:val="0"/>
              <w:spacing w:before="0" w:after="0"/>
              <w:ind w:left="480" w:right="0" w:hanging="240"/>
              <w:jc w:val="left"/>
              <w:rPr/>
            </w:pPr>
            <w:hyperlink w:anchor="item_4_mine_safety_disclosures">
              <w:r>
                <w:rPr>
                  <w:rStyle w:val="InternetLink"/>
                  <w:rFonts w:ascii="Times New Roman;serif" w:hAnsi="Times New Roman;serif"/>
                  <w:b w:val="false"/>
                  <w:sz w:val="20"/>
                  <w:u w:val="single"/>
                </w:rPr>
                <w:t>Item 4. Mine Safety Disclosures</w:t>
              </w:r>
            </w:hyperlink>
          </w:p>
        </w:tc>
        <w:tc>
          <w:tcPr>
            <w:tcW w:w="1456" w:type="dxa"/>
            <w:tcBorders/>
            <w:vAlign w:val="center"/>
          </w:tcPr>
          <w:p>
            <w:pPr>
              <w:pStyle w:val="TableContents"/>
              <w:bidi w:val="0"/>
              <w:spacing w:before="0" w:after="0"/>
              <w:ind w:left="0" w:right="0" w:firstLine="720"/>
              <w:jc w:val="right"/>
              <w:rPr>
                <w:rFonts w:ascii="Times New Roman;serif" w:hAnsi="Times New Roman;serif"/>
                <w:b w:val="false"/>
                <w:sz w:val="20"/>
              </w:rPr>
            </w:pPr>
            <w:r>
              <w:rPr>
                <w:rFonts w:ascii="Times New Roman;serif" w:hAnsi="Times New Roman;serif"/>
                <w:b w:val="false"/>
                <w:sz w:val="20"/>
              </w:rPr>
              <w:t>23</w:t>
            </w:r>
          </w:p>
        </w:tc>
      </w:tr>
      <w:tr>
        <w:trPr/>
        <w:tc>
          <w:tcPr>
            <w:tcW w:w="7981" w:type="dxa"/>
            <w:tcBorders/>
            <w:vAlign w:val="center"/>
          </w:tcPr>
          <w:p>
            <w:pPr>
              <w:pStyle w:val="TableContents"/>
              <w:pBdr/>
              <w:bidi w:val="0"/>
              <w:spacing w:before="0" w:after="0"/>
              <w:ind w:left="480" w:right="0" w:hanging="240"/>
              <w:jc w:val="left"/>
              <w:rPr/>
            </w:pPr>
            <w:hyperlink w:anchor="item_5_or_information">
              <w:r>
                <w:rPr>
                  <w:rStyle w:val="InternetLink"/>
                  <w:rFonts w:ascii="Times New Roman;serif" w:hAnsi="Times New Roman;serif"/>
                  <w:b w:val="false"/>
                  <w:sz w:val="20"/>
                  <w:u w:val="single"/>
                </w:rPr>
                <w:t>Item 5. Other Information</w:t>
              </w:r>
            </w:hyperlink>
          </w:p>
        </w:tc>
        <w:tc>
          <w:tcPr>
            <w:tcW w:w="1456" w:type="dxa"/>
            <w:tcBorders/>
            <w:vAlign w:val="center"/>
          </w:tcPr>
          <w:p>
            <w:pPr>
              <w:pStyle w:val="TableContents"/>
              <w:bidi w:val="0"/>
              <w:spacing w:before="0" w:after="0"/>
              <w:ind w:left="0" w:right="0" w:firstLine="720"/>
              <w:jc w:val="right"/>
              <w:rPr>
                <w:rFonts w:ascii="Times New Roman;serif" w:hAnsi="Times New Roman;serif"/>
                <w:b w:val="false"/>
                <w:sz w:val="20"/>
              </w:rPr>
            </w:pPr>
            <w:r>
              <w:rPr>
                <w:rFonts w:ascii="Times New Roman;serif" w:hAnsi="Times New Roman;serif"/>
                <w:b w:val="false"/>
                <w:sz w:val="20"/>
              </w:rPr>
              <w:t>23</w:t>
            </w:r>
          </w:p>
        </w:tc>
      </w:tr>
      <w:tr>
        <w:trPr/>
        <w:tc>
          <w:tcPr>
            <w:tcW w:w="7981" w:type="dxa"/>
            <w:tcBorders/>
            <w:vAlign w:val="center"/>
          </w:tcPr>
          <w:p>
            <w:pPr>
              <w:pStyle w:val="TableContents"/>
              <w:pBdr/>
              <w:bidi w:val="0"/>
              <w:spacing w:before="0" w:after="0"/>
              <w:ind w:left="480" w:right="0" w:hanging="240"/>
              <w:jc w:val="left"/>
              <w:rPr/>
            </w:pPr>
            <w:hyperlink w:anchor="item_6_exhibits">
              <w:r>
                <w:rPr>
                  <w:rStyle w:val="InternetLink"/>
                  <w:rFonts w:ascii="Times New Roman;serif" w:hAnsi="Times New Roman;serif"/>
                  <w:b w:val="false"/>
                  <w:sz w:val="20"/>
                  <w:u w:val="single"/>
                </w:rPr>
                <w:t>Item 6. Exhibits</w:t>
              </w:r>
            </w:hyperlink>
          </w:p>
        </w:tc>
        <w:tc>
          <w:tcPr>
            <w:tcW w:w="1456" w:type="dxa"/>
            <w:tcBorders/>
            <w:vAlign w:val="center"/>
          </w:tcPr>
          <w:p>
            <w:pPr>
              <w:pStyle w:val="TableContents"/>
              <w:bidi w:val="0"/>
              <w:spacing w:before="0" w:after="0"/>
              <w:ind w:left="0" w:right="0" w:firstLine="240"/>
              <w:jc w:val="right"/>
              <w:rPr>
                <w:rFonts w:ascii="Times New Roman;serif" w:hAnsi="Times New Roman;serif"/>
                <w:b w:val="false"/>
                <w:sz w:val="20"/>
              </w:rPr>
            </w:pPr>
            <w:r>
              <w:rPr>
                <w:rFonts w:ascii="Times New Roman;serif" w:hAnsi="Times New Roman;serif"/>
                <w:b w:val="false"/>
                <w:sz w:val="20"/>
              </w:rPr>
              <w:t>24</w:t>
            </w:r>
          </w:p>
        </w:tc>
      </w:tr>
      <w:tr>
        <w:trPr/>
        <w:tc>
          <w:tcPr>
            <w:tcW w:w="7981" w:type="dxa"/>
            <w:tcBorders/>
            <w:vAlign w:val="center"/>
          </w:tcPr>
          <w:p>
            <w:pPr>
              <w:pStyle w:val="TableContents"/>
              <w:pBdr/>
              <w:bidi w:val="0"/>
              <w:spacing w:before="0" w:after="0"/>
              <w:ind w:left="0" w:right="0" w:hanging="240"/>
              <w:jc w:val="left"/>
              <w:rPr/>
            </w:pPr>
            <w:hyperlink w:anchor="exhibit_index">
              <w:r>
                <w:rPr>
                  <w:rStyle w:val="InternetLink"/>
                  <w:rFonts w:ascii="Times New Roman;serif" w:hAnsi="Times New Roman;serif"/>
                  <w:b/>
                  <w:sz w:val="20"/>
                  <w:u w:val="single"/>
                </w:rPr>
                <w:t>EXHIBIT INDEX</w:t>
              </w:r>
            </w:hyperlink>
          </w:p>
        </w:tc>
        <w:tc>
          <w:tcPr>
            <w:tcW w:w="1456" w:type="dxa"/>
            <w:tcBorders/>
            <w:vAlign w:val="center"/>
          </w:tcPr>
          <w:p>
            <w:pPr>
              <w:pStyle w:val="TableContents"/>
              <w:bidi w:val="0"/>
              <w:spacing w:before="0" w:after="0"/>
              <w:ind w:left="0" w:right="0" w:firstLine="240"/>
              <w:jc w:val="right"/>
              <w:rPr>
                <w:rFonts w:ascii="Times New Roman;serif" w:hAnsi="Times New Roman;serif"/>
                <w:b w:val="false"/>
                <w:sz w:val="20"/>
              </w:rPr>
            </w:pPr>
            <w:r>
              <w:rPr>
                <w:rFonts w:ascii="Times New Roman;serif" w:hAnsi="Times New Roman;serif"/>
                <w:b w:val="false"/>
                <w:sz w:val="20"/>
              </w:rPr>
              <w:t>25</w:t>
            </w:r>
          </w:p>
        </w:tc>
      </w:tr>
      <w:tr>
        <w:trPr/>
        <w:tc>
          <w:tcPr>
            <w:tcW w:w="7981" w:type="dxa"/>
            <w:tcBorders/>
            <w:vAlign w:val="center"/>
          </w:tcPr>
          <w:p>
            <w:pPr>
              <w:pStyle w:val="TableContents"/>
              <w:pBdr/>
              <w:bidi w:val="0"/>
              <w:spacing w:before="0" w:after="0"/>
              <w:ind w:left="0" w:right="0" w:hanging="240"/>
              <w:jc w:val="left"/>
              <w:rPr/>
            </w:pPr>
            <w:hyperlink w:anchor="signatures">
              <w:r>
                <w:rPr>
                  <w:rStyle w:val="InternetLink"/>
                  <w:rFonts w:ascii="Times New Roman;serif" w:hAnsi="Times New Roman;serif"/>
                  <w:b/>
                  <w:sz w:val="20"/>
                  <w:u w:val="single"/>
                </w:rPr>
                <w:t>SIGNATURES</w:t>
              </w:r>
            </w:hyperlink>
          </w:p>
        </w:tc>
        <w:tc>
          <w:tcPr>
            <w:tcW w:w="14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3" w:name="part_ifinancial_information"/>
      <w:bookmarkEnd w:id="3"/>
      <w:r>
        <w:rPr>
          <w:rFonts w:ascii="Times New Roman;serif" w:hAnsi="Times New Roman;serif"/>
          <w:b/>
          <w:sz w:val="20"/>
        </w:rPr>
        <w:t>PART I—FINANCIAL INFORMATION</w:t>
      </w:r>
    </w:p>
    <w:p>
      <w:pPr>
        <w:pStyle w:val="TextBody"/>
        <w:bidi w:val="0"/>
        <w:spacing w:before="120" w:after="0"/>
        <w:jc w:val="left"/>
        <w:rPr>
          <w:rFonts w:ascii="Times New Roman" w:hAnsi="Times New Roman"/>
          <w:sz w:val="20"/>
        </w:rPr>
      </w:pPr>
      <w:bookmarkStart w:id="4" w:name="item1_financial_statements"/>
      <w:bookmarkEnd w:id="4"/>
      <w:r>
        <w:rPr>
          <w:rFonts w:ascii="Times New Roman;serif" w:hAnsi="Times New Roman;serif"/>
          <w:b/>
          <w:sz w:val="20"/>
        </w:rPr>
        <w:t>Item 1.</w:t>
      </w:r>
      <w:r>
        <w:rPr>
          <w:rFonts w:ascii="Times New Roman" w:hAnsi="Times New Roman"/>
          <w:sz w:val="20"/>
        </w:rPr>
        <w:t xml:space="preserve"> </w:t>
      </w:r>
      <w:r>
        <w:rPr>
          <w:rFonts w:ascii="Times New Roman;serif" w:hAnsi="Times New Roman;serif"/>
          <w:b/>
          <w:sz w:val="20"/>
        </w:rPr>
        <w:t>Financial Statements</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Soleno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5" w:name="condensed_consolidated_balance_sheets"/>
      <w:bookmarkEnd w:id="5"/>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i/>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584"/>
        <w:gridCol w:w="146"/>
        <w:gridCol w:w="217"/>
        <w:gridCol w:w="868"/>
        <w:gridCol w:w="166"/>
        <w:gridCol w:w="146"/>
        <w:gridCol w:w="217"/>
        <w:gridCol w:w="868"/>
        <w:gridCol w:w="993"/>
      </w:tblGrid>
      <w:tr>
        <w:trPr/>
        <w:tc>
          <w:tcPr>
            <w:tcW w:w="6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658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5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993" w:type="dxa"/>
            <w:tcBorders/>
            <w:vAlign w:val="center"/>
          </w:tcPr>
          <w:p>
            <w:pPr>
              <w:pStyle w:val="TableContents"/>
              <w:bidi w:val="0"/>
              <w:spacing w:before="0" w:after="0"/>
              <w:ind w:left="0" w:right="0" w:hanging="0"/>
              <w:jc w:val="right"/>
              <w:rPr/>
            </w:pPr>
            <w:r>
              <w:rPr/>
              <w:t> </w:t>
            </w:r>
          </w:p>
        </w:tc>
      </w:tr>
      <w:tr>
        <w:trPr/>
        <w:tc>
          <w:tcPr>
            <w:tcW w:w="6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993" w:type="dxa"/>
            <w:tcBorders/>
            <w:vAlign w:val="center"/>
          </w:tcPr>
          <w:p>
            <w:pPr>
              <w:pStyle w:val="TableContents"/>
              <w:bidi w:val="0"/>
              <w:spacing w:before="0" w:after="0"/>
              <w:ind w:left="0" w:right="0" w:firstLine="600"/>
              <w:jc w:val="right"/>
              <w:rPr/>
            </w:pPr>
            <w:r>
              <w:rPr/>
              <w:t> </w:t>
            </w:r>
          </w:p>
        </w:tc>
      </w:tr>
      <w:tr>
        <w:trPr/>
        <w:tc>
          <w:tcPr>
            <w:tcW w:w="658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14,602</w:t>
            </w:r>
          </w:p>
        </w:tc>
        <w:tc>
          <w:tcPr>
            <w:tcW w:w="993" w:type="dxa"/>
            <w:tcBorders/>
            <w:vAlign w:val="center"/>
          </w:tcPr>
          <w:p>
            <w:pPr>
              <w:pStyle w:val="TableContents"/>
              <w:bidi w:val="0"/>
              <w:spacing w:before="0" w:after="0"/>
              <w:ind w:left="0" w:right="0" w:firstLine="600"/>
              <w:jc w:val="left"/>
              <w:rPr/>
            </w:pPr>
            <w:r>
              <w:rPr/>
              <w:t> </w:t>
            </w:r>
          </w:p>
        </w:tc>
      </w:tr>
      <w:tr>
        <w:trPr/>
        <w:tc>
          <w:tcPr>
            <w:tcW w:w="658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584"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15,647</w:t>
            </w:r>
          </w:p>
        </w:tc>
        <w:tc>
          <w:tcPr>
            <w:tcW w:w="993" w:type="dxa"/>
            <w:tcBorders/>
            <w:vAlign w:val="center"/>
          </w:tcPr>
          <w:p>
            <w:pPr>
              <w:pStyle w:val="TableContents"/>
              <w:bidi w:val="0"/>
              <w:spacing w:before="0" w:after="0"/>
              <w:ind w:left="0" w:right="0" w:hanging="0"/>
              <w:jc w:val="left"/>
              <w:rPr/>
            </w:pPr>
            <w:r>
              <w:rPr/>
              <w:t> </w:t>
            </w:r>
          </w:p>
        </w:tc>
      </w:tr>
      <w:tr>
        <w:trPr/>
        <w:tc>
          <w:tcPr>
            <w:tcW w:w="6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assets</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993" w:type="dxa"/>
            <w:tcBorders/>
            <w:vAlign w:val="center"/>
          </w:tcPr>
          <w:p>
            <w:pPr>
              <w:pStyle w:val="TableContents"/>
              <w:bidi w:val="0"/>
              <w:spacing w:before="0" w:after="0"/>
              <w:ind w:left="0" w:right="0" w:firstLine="600"/>
              <w:jc w:val="right"/>
              <w:rPr/>
            </w:pPr>
            <w:r>
              <w:rPr/>
              <w:t> </w:t>
            </w:r>
          </w:p>
        </w:tc>
      </w:tr>
      <w:tr>
        <w:trPr/>
        <w:tc>
          <w:tcPr>
            <w:tcW w:w="658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993" w:type="dxa"/>
            <w:tcBorders/>
            <w:vAlign w:val="center"/>
          </w:tcPr>
          <w:p>
            <w:pPr>
              <w:pStyle w:val="TableContents"/>
              <w:bidi w:val="0"/>
              <w:spacing w:before="0" w:after="0"/>
              <w:ind w:left="0" w:right="0" w:firstLine="600"/>
              <w:jc w:val="left"/>
              <w:rPr/>
            </w:pPr>
            <w:r>
              <w:rPr/>
              <w:t> </w:t>
            </w:r>
          </w:p>
        </w:tc>
      </w:tr>
      <w:tr>
        <w:trPr/>
        <w:tc>
          <w:tcPr>
            <w:tcW w:w="658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993" w:type="dxa"/>
            <w:tcBorders/>
            <w:vAlign w:val="center"/>
          </w:tcPr>
          <w:p>
            <w:pPr>
              <w:pStyle w:val="TableContents"/>
              <w:bidi w:val="0"/>
              <w:spacing w:before="0" w:after="0"/>
              <w:ind w:left="0" w:right="0" w:firstLine="600"/>
              <w:jc w:val="left"/>
              <w:rPr/>
            </w:pPr>
            <w:r>
              <w:rPr/>
              <w:t> </w:t>
            </w:r>
          </w:p>
        </w:tc>
      </w:tr>
      <w:tr>
        <w:trPr/>
        <w:tc>
          <w:tcPr>
            <w:tcW w:w="658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10,693</w:t>
            </w:r>
          </w:p>
        </w:tc>
        <w:tc>
          <w:tcPr>
            <w:tcW w:w="993" w:type="dxa"/>
            <w:tcBorders/>
            <w:vAlign w:val="center"/>
          </w:tcPr>
          <w:p>
            <w:pPr>
              <w:pStyle w:val="TableContents"/>
              <w:bidi w:val="0"/>
              <w:spacing w:before="0" w:after="0"/>
              <w:ind w:left="0" w:right="0" w:firstLine="600"/>
              <w:jc w:val="left"/>
              <w:rPr/>
            </w:pPr>
            <w:r>
              <w:rPr/>
              <w:t> </w:t>
            </w:r>
          </w:p>
        </w:tc>
      </w:tr>
      <w:tr>
        <w:trPr/>
        <w:tc>
          <w:tcPr>
            <w:tcW w:w="658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584"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26,497</w:t>
            </w:r>
          </w:p>
        </w:tc>
        <w:tc>
          <w:tcPr>
            <w:tcW w:w="9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8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993" w:type="dxa"/>
            <w:tcBorders/>
            <w:vAlign w:val="center"/>
          </w:tcPr>
          <w:p>
            <w:pPr>
              <w:pStyle w:val="TableContents"/>
              <w:bidi w:val="0"/>
              <w:spacing w:before="0" w:after="0"/>
              <w:ind w:left="0" w:right="0" w:hanging="0"/>
              <w:jc w:val="right"/>
              <w:rPr/>
            </w:pPr>
            <w:r>
              <w:rPr/>
              <w:t> </w:t>
            </w:r>
          </w:p>
        </w:tc>
      </w:tr>
      <w:tr>
        <w:trPr/>
        <w:tc>
          <w:tcPr>
            <w:tcW w:w="6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993" w:type="dxa"/>
            <w:tcBorders/>
            <w:vAlign w:val="center"/>
          </w:tcPr>
          <w:p>
            <w:pPr>
              <w:pStyle w:val="TableContents"/>
              <w:bidi w:val="0"/>
              <w:spacing w:before="0" w:after="0"/>
              <w:ind w:left="0" w:right="0" w:firstLine="600"/>
              <w:jc w:val="right"/>
              <w:rPr/>
            </w:pPr>
            <w:r>
              <w:rPr/>
              <w:t> </w:t>
            </w:r>
          </w:p>
        </w:tc>
      </w:tr>
      <w:tr>
        <w:trPr/>
        <w:tc>
          <w:tcPr>
            <w:tcW w:w="658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1,777</w:t>
            </w:r>
          </w:p>
        </w:tc>
        <w:tc>
          <w:tcPr>
            <w:tcW w:w="993" w:type="dxa"/>
            <w:tcBorders/>
            <w:vAlign w:val="center"/>
          </w:tcPr>
          <w:p>
            <w:pPr>
              <w:pStyle w:val="TableContents"/>
              <w:bidi w:val="0"/>
              <w:spacing w:before="0" w:after="0"/>
              <w:ind w:left="0" w:right="0" w:firstLine="600"/>
              <w:jc w:val="left"/>
              <w:rPr/>
            </w:pPr>
            <w:r>
              <w:rPr/>
              <w:t> </w:t>
            </w:r>
          </w:p>
        </w:tc>
      </w:tr>
      <w:tr>
        <w:trPr/>
        <w:tc>
          <w:tcPr>
            <w:tcW w:w="658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1,675</w:t>
            </w:r>
          </w:p>
        </w:tc>
        <w:tc>
          <w:tcPr>
            <w:tcW w:w="993" w:type="dxa"/>
            <w:tcBorders/>
            <w:vAlign w:val="center"/>
          </w:tcPr>
          <w:p>
            <w:pPr>
              <w:pStyle w:val="TableContents"/>
              <w:bidi w:val="0"/>
              <w:spacing w:before="0" w:after="0"/>
              <w:ind w:left="0" w:right="0" w:firstLine="600"/>
              <w:jc w:val="left"/>
              <w:rPr/>
            </w:pPr>
            <w:r>
              <w:rPr/>
              <w:t> </w:t>
            </w:r>
          </w:p>
        </w:tc>
      </w:tr>
      <w:tr>
        <w:trPr/>
        <w:tc>
          <w:tcPr>
            <w:tcW w:w="658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clinical trial site costs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3,222</w:t>
            </w:r>
          </w:p>
        </w:tc>
        <w:tc>
          <w:tcPr>
            <w:tcW w:w="993" w:type="dxa"/>
            <w:tcBorders/>
            <w:vAlign w:val="center"/>
          </w:tcPr>
          <w:p>
            <w:pPr>
              <w:pStyle w:val="TableContents"/>
              <w:bidi w:val="0"/>
              <w:spacing w:before="0" w:after="0"/>
              <w:ind w:left="0" w:right="0" w:firstLine="600"/>
              <w:jc w:val="left"/>
              <w:rPr/>
            </w:pPr>
            <w:r>
              <w:rPr/>
              <w:t> </w:t>
            </w:r>
          </w:p>
        </w:tc>
      </w:tr>
      <w:tr>
        <w:trPr/>
        <w:tc>
          <w:tcPr>
            <w:tcW w:w="658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Operating lease liabilities - current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993" w:type="dxa"/>
            <w:tcBorders/>
            <w:vAlign w:val="center"/>
          </w:tcPr>
          <w:p>
            <w:pPr>
              <w:pStyle w:val="TableContents"/>
              <w:bidi w:val="0"/>
              <w:spacing w:before="0" w:after="0"/>
              <w:ind w:left="0" w:right="0" w:firstLine="600"/>
              <w:jc w:val="left"/>
              <w:rPr/>
            </w:pPr>
            <w:r>
              <w:rPr/>
              <w:t> </w:t>
            </w:r>
          </w:p>
        </w:tc>
      </w:tr>
      <w:tr>
        <w:trPr/>
        <w:tc>
          <w:tcPr>
            <w:tcW w:w="658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584"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7,313</w:t>
            </w:r>
          </w:p>
        </w:tc>
        <w:tc>
          <w:tcPr>
            <w:tcW w:w="993" w:type="dxa"/>
            <w:tcBorders/>
            <w:vAlign w:val="center"/>
          </w:tcPr>
          <w:p>
            <w:pPr>
              <w:pStyle w:val="TableContents"/>
              <w:bidi w:val="0"/>
              <w:spacing w:before="0" w:after="0"/>
              <w:ind w:left="0" w:right="0" w:hanging="0"/>
              <w:jc w:val="left"/>
              <w:rPr/>
            </w:pPr>
            <w:r>
              <w:rPr/>
              <w:t> </w:t>
            </w:r>
          </w:p>
        </w:tc>
      </w:tr>
      <w:tr>
        <w:trPr/>
        <w:tc>
          <w:tcPr>
            <w:tcW w:w="6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liabilities</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993" w:type="dxa"/>
            <w:tcBorders/>
            <w:vAlign w:val="center"/>
          </w:tcPr>
          <w:p>
            <w:pPr>
              <w:pStyle w:val="TableContents"/>
              <w:bidi w:val="0"/>
              <w:spacing w:before="0" w:after="0"/>
              <w:ind w:left="0" w:right="0" w:firstLine="600"/>
              <w:jc w:val="right"/>
              <w:rPr/>
            </w:pPr>
            <w:r>
              <w:rPr/>
              <w:t> </w:t>
            </w:r>
          </w:p>
        </w:tc>
      </w:tr>
      <w:tr>
        <w:trPr/>
        <w:tc>
          <w:tcPr>
            <w:tcW w:w="658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2018 PIPE Warrant liability</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993" w:type="dxa"/>
            <w:tcBorders/>
            <w:vAlign w:val="center"/>
          </w:tcPr>
          <w:p>
            <w:pPr>
              <w:pStyle w:val="TableContents"/>
              <w:bidi w:val="0"/>
              <w:spacing w:before="0" w:after="0"/>
              <w:ind w:left="0" w:right="0" w:firstLine="600"/>
              <w:jc w:val="left"/>
              <w:rPr/>
            </w:pPr>
            <w:r>
              <w:rPr/>
              <w:t> </w:t>
            </w:r>
          </w:p>
        </w:tc>
      </w:tr>
      <w:tr>
        <w:trPr/>
        <w:tc>
          <w:tcPr>
            <w:tcW w:w="658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Operating lease liabilities - noncurrent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93" w:type="dxa"/>
            <w:tcBorders/>
            <w:vAlign w:val="center"/>
          </w:tcPr>
          <w:p>
            <w:pPr>
              <w:pStyle w:val="TableContents"/>
              <w:bidi w:val="0"/>
              <w:spacing w:before="0" w:after="0"/>
              <w:ind w:left="0" w:right="0" w:firstLine="600"/>
              <w:jc w:val="left"/>
              <w:rPr/>
            </w:pPr>
            <w:r>
              <w:rPr/>
              <w:t> </w:t>
            </w:r>
          </w:p>
        </w:tc>
      </w:tr>
      <w:tr>
        <w:trPr/>
        <w:tc>
          <w:tcPr>
            <w:tcW w:w="6584"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Contingent liability for Essentialis purchase price</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8,835</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584"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16,149</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6)</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993" w:type="dxa"/>
            <w:tcBorders/>
            <w:vAlign w:val="center"/>
          </w:tcPr>
          <w:p>
            <w:pPr>
              <w:pStyle w:val="TableContents"/>
              <w:bidi w:val="0"/>
              <w:spacing w:before="0" w:after="0"/>
              <w:ind w:left="0" w:right="0" w:hanging="0"/>
              <w:jc w:val="right"/>
              <w:rPr/>
            </w:pPr>
            <w:r>
              <w:rPr/>
              <w:t> </w:t>
            </w:r>
          </w:p>
        </w:tc>
      </w:tr>
      <w:tr>
        <w:trPr/>
        <w:tc>
          <w:tcPr>
            <w:tcW w:w="6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993" w:type="dxa"/>
            <w:tcBorders/>
            <w:vAlign w:val="center"/>
          </w:tcPr>
          <w:p>
            <w:pPr>
              <w:pStyle w:val="TableContents"/>
              <w:bidi w:val="0"/>
              <w:spacing w:before="0" w:after="0"/>
              <w:ind w:left="0" w:right="0" w:hanging="0"/>
              <w:jc w:val="right"/>
              <w:rPr/>
            </w:pPr>
            <w:r>
              <w:rPr/>
              <w:t> </w:t>
            </w:r>
          </w:p>
        </w:tc>
      </w:tr>
      <w:tr>
        <w:trPr/>
        <w:tc>
          <w:tcPr>
            <w:tcW w:w="6584"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Preferred stock, $0.001</w:t>
            </w:r>
            <w:r>
              <w:rPr>
                <w:rFonts w:ascii="Times New Roman" w:hAnsi="Times New Roman"/>
                <w:sz w:val="20"/>
              </w:rPr>
              <w:t> </w:t>
            </w:r>
            <w:r>
              <w:rPr>
                <w:rFonts w:ascii="Times New Roman;serif" w:hAnsi="Times New Roman;serif"/>
                <w:b w:val="false"/>
                <w:sz w:val="20"/>
              </w:rPr>
              <w:t>par value; 10,000,000</w:t>
            </w:r>
            <w:r>
              <w:rPr>
                <w:rFonts w:ascii="Times New Roman" w:hAnsi="Times New Roman"/>
                <w:sz w:val="20"/>
              </w:rPr>
              <w:t> </w:t>
            </w:r>
            <w:r>
              <w:rPr>
                <w:rFonts w:ascii="Times New Roman;serif" w:hAnsi="Times New Roman;serif"/>
                <w:b w:val="false"/>
                <w:sz w:val="20"/>
              </w:rPr>
              <w:t>shares authorized, no</w:t>
            </w:r>
            <w:r>
              <w:rPr>
                <w:rFonts w:ascii="Times New Roman" w:hAnsi="Times New Roman"/>
                <w:sz w:val="20"/>
              </w:rPr>
              <w:t> </w:t>
            </w:r>
            <w:r>
              <w:rPr>
                <w:rFonts w:ascii="Times New Roman;serif" w:hAnsi="Times New Roman;serif"/>
                <w:b w:val="false"/>
                <w:sz w:val="20"/>
              </w:rPr>
              <w:t>shares issued and outstanding</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93" w:type="dxa"/>
            <w:tcBorders/>
            <w:vAlign w:val="center"/>
          </w:tcPr>
          <w:p>
            <w:pPr>
              <w:pStyle w:val="TableContents"/>
              <w:bidi w:val="0"/>
              <w:spacing w:before="0" w:after="0"/>
              <w:ind w:left="0" w:right="0" w:hanging="0"/>
              <w:jc w:val="left"/>
              <w:rPr/>
            </w:pPr>
            <w:r>
              <w:rPr/>
              <w:t> </w:t>
            </w:r>
          </w:p>
        </w:tc>
      </w:tr>
      <w:tr>
        <w:trPr/>
        <w:tc>
          <w:tcPr>
            <w:tcW w:w="6584"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100,000,000</w:t>
            </w:r>
            <w:r>
              <w:rPr>
                <w:rFonts w:ascii="Times New Roman" w:hAnsi="Times New Roman"/>
                <w:sz w:val="20"/>
              </w:rPr>
              <w:t> </w:t>
            </w:r>
            <w:r>
              <w:rPr>
                <w:rFonts w:ascii="Times New Roman;serif" w:hAnsi="Times New Roman;serif"/>
                <w:b w:val="false"/>
                <w:sz w:val="20"/>
              </w:rPr>
              <w:t>shares authorized,</w:t>
              <w:br/>
              <w:t> 9,141,185</w:t>
            </w:r>
            <w:r>
              <w:rPr>
                <w:rFonts w:ascii="Times New Roman" w:hAnsi="Times New Roman"/>
                <w:sz w:val="20"/>
              </w:rPr>
              <w:t> </w:t>
            </w:r>
            <w:r>
              <w:rPr>
                <w:rFonts w:ascii="Times New Roman;serif" w:hAnsi="Times New Roman;serif"/>
                <w:b w:val="false"/>
                <w:sz w:val="20"/>
              </w:rPr>
              <w:t>and 8,159,382</w:t>
            </w:r>
            <w:r>
              <w:rPr>
                <w:rFonts w:ascii="Times New Roman" w:hAnsi="Times New Roman"/>
                <w:sz w:val="20"/>
              </w:rPr>
              <w:t> </w:t>
            </w:r>
            <w:r>
              <w:rPr>
                <w:rFonts w:ascii="Times New Roman;serif" w:hAnsi="Times New Roman;serif"/>
                <w:b w:val="false"/>
                <w:sz w:val="20"/>
              </w:rPr>
              <w:t>shares issued and outstanding at</w:t>
              <w:br/>
              <w: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993" w:type="dxa"/>
            <w:tcBorders/>
            <w:vAlign w:val="center"/>
          </w:tcPr>
          <w:p>
            <w:pPr>
              <w:pStyle w:val="TableContents"/>
              <w:bidi w:val="0"/>
              <w:spacing w:before="0" w:after="0"/>
              <w:ind w:left="0" w:right="0" w:hanging="0"/>
              <w:jc w:val="left"/>
              <w:rPr/>
            </w:pPr>
            <w:r>
              <w:rPr/>
              <w:t> </w:t>
            </w:r>
          </w:p>
        </w:tc>
      </w:tr>
      <w:tr>
        <w:trPr/>
        <w:tc>
          <w:tcPr>
            <w:tcW w:w="6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paid-in-capital</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266,669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247,762</w:t>
            </w:r>
          </w:p>
        </w:tc>
        <w:tc>
          <w:tcPr>
            <w:tcW w:w="993" w:type="dxa"/>
            <w:tcBorders/>
            <w:vAlign w:val="center"/>
          </w:tcPr>
          <w:p>
            <w:pPr>
              <w:pStyle w:val="TableContents"/>
              <w:bidi w:val="0"/>
              <w:spacing w:before="0" w:after="0"/>
              <w:ind w:left="0" w:right="0" w:hanging="0"/>
              <w:jc w:val="left"/>
              <w:rPr/>
            </w:pPr>
            <w:r>
              <w:rPr/>
              <w:t> </w:t>
            </w:r>
          </w:p>
        </w:tc>
      </w:tr>
      <w:tr>
        <w:trPr/>
        <w:tc>
          <w:tcPr>
            <w:tcW w:w="6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(254,253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(237,422</w:t>
            </w:r>
          </w:p>
        </w:tc>
        <w:tc>
          <w:tcPr>
            <w:tcW w:w="9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5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other comprehensive income</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8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10,348</w:t>
            </w:r>
          </w:p>
        </w:tc>
        <w:tc>
          <w:tcPr>
            <w:tcW w:w="9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8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26,497</w:t>
            </w:r>
          </w:p>
        </w:tc>
        <w:tc>
          <w:tcPr>
            <w:tcW w:w="9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i/>
          <w:sz w:val="20"/>
        </w:rPr>
        <w:t>See accompanying notes to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Soleno Therapeutics, Inc.</w:t>
      </w:r>
    </w:p>
    <w:p>
      <w:pPr>
        <w:pStyle w:val="TextBody"/>
        <w:bidi w:val="0"/>
        <w:spacing w:before="0" w:after="0"/>
        <w:jc w:val="center"/>
        <w:rPr>
          <w:rFonts w:ascii="Times New Roman;serif" w:hAnsi="Times New Roman;serif"/>
          <w:b/>
          <w:sz w:val="20"/>
        </w:rPr>
      </w:pPr>
      <w:bookmarkStart w:id="6" w:name="cndnsd_cnsldtd_stmnt_oprns_comprehensive"/>
      <w:bookmarkEnd w:id="6"/>
      <w:r>
        <w:rPr>
          <w:rFonts w:ascii="Times New Roman;serif" w:hAnsi="Times New Roman;serif"/>
          <w:b/>
          <w:sz w:val="20"/>
        </w:rPr>
        <w:t>Condensed Consolidated Statements of Operations and Comprehensive Loss</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i/>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605"/>
        <w:gridCol w:w="211"/>
        <w:gridCol w:w="1036"/>
        <w:gridCol w:w="166"/>
        <w:gridCol w:w="146"/>
        <w:gridCol w:w="211"/>
        <w:gridCol w:w="931"/>
        <w:gridCol w:w="546"/>
        <w:gridCol w:w="146"/>
        <w:gridCol w:w="211"/>
        <w:gridCol w:w="931"/>
        <w:gridCol w:w="166"/>
        <w:gridCol w:w="146"/>
        <w:gridCol w:w="211"/>
        <w:gridCol w:w="931"/>
        <w:gridCol w:w="611"/>
      </w:tblGrid>
      <w:tr>
        <w:trPr/>
        <w:tc>
          <w:tcPr>
            <w:tcW w:w="3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605" w:type="dxa"/>
            <w:tcBorders/>
            <w:vAlign w:val="center"/>
          </w:tcPr>
          <w:p>
            <w:pPr>
              <w:pStyle w:val="TableContents"/>
              <w:bidi w:val="0"/>
              <w:spacing w:before="0" w:after="0"/>
              <w:ind w:left="0" w:right="0" w:hanging="0"/>
              <w:jc w:val="center"/>
              <w:rPr/>
            </w:pPr>
            <w:r>
              <w:rPr/>
              <w:t> </w:t>
            </w:r>
          </w:p>
        </w:tc>
        <w:tc>
          <w:tcPr>
            <w:tcW w:w="270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05"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36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3,696</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7,684</w:t>
            </w:r>
          </w:p>
        </w:tc>
        <w:tc>
          <w:tcPr>
            <w:tcW w:w="611" w:type="dxa"/>
            <w:tcBorders/>
            <w:vAlign w:val="center"/>
          </w:tcPr>
          <w:p>
            <w:pPr>
              <w:pStyle w:val="TableContents"/>
              <w:bidi w:val="0"/>
              <w:spacing w:before="0" w:after="0"/>
              <w:ind w:left="0" w:right="0" w:firstLine="200"/>
              <w:jc w:val="left"/>
              <w:rPr/>
            </w:pPr>
            <w:r>
              <w:rPr/>
              <w:t> </w:t>
            </w:r>
          </w:p>
        </w:tc>
      </w:tr>
      <w:tr>
        <w:trPr/>
        <w:tc>
          <w:tcPr>
            <w:tcW w:w="36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2,467</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5,110</w:t>
            </w:r>
          </w:p>
        </w:tc>
        <w:tc>
          <w:tcPr>
            <w:tcW w:w="611" w:type="dxa"/>
            <w:tcBorders/>
            <w:vAlign w:val="center"/>
          </w:tcPr>
          <w:p>
            <w:pPr>
              <w:pStyle w:val="TableContents"/>
              <w:bidi w:val="0"/>
              <w:spacing w:before="0" w:after="0"/>
              <w:ind w:left="0" w:right="0" w:firstLine="200"/>
              <w:jc w:val="left"/>
              <w:rPr/>
            </w:pPr>
            <w:r>
              <w:rPr/>
              <w:t> </w:t>
            </w:r>
          </w:p>
        </w:tc>
      </w:tr>
      <w:tr>
        <w:trPr/>
        <w:tc>
          <w:tcPr>
            <w:tcW w:w="36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contingent consideration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60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6,779</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1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12,552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(6,779</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(12,552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6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warrants liabilities</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4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611" w:type="dxa"/>
            <w:tcBorders/>
            <w:vAlign w:val="center"/>
          </w:tcPr>
          <w:p>
            <w:pPr>
              <w:pStyle w:val="TableContents"/>
              <w:bidi w:val="0"/>
              <w:spacing w:before="0" w:after="0"/>
              <w:ind w:left="0" w:right="0" w:firstLine="200"/>
              <w:jc w:val="left"/>
              <w:rPr/>
            </w:pPr>
            <w:r>
              <w:rPr/>
              <w:t> </w:t>
            </w:r>
          </w:p>
        </w:tc>
      </w:tr>
      <w:tr>
        <w:trPr/>
        <w:tc>
          <w:tcPr>
            <w:tcW w:w="36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60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1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(6,725</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(12,449</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05"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36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6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comprehensive loss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(6,724</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(12,450</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05"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36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common share, basic and diluted</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(0.72</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 used to calculate basic and diluted net loss per common share</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10,423,598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9,339,254</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9,938,171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7,348,045</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05"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i/>
          <w:sz w:val="20"/>
        </w:rPr>
        <w:t>See accompanying notes to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Soleno Therapeutics,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bookmarkStart w:id="7" w:name="condensed_consolidated_statements_stockh"/>
      <w:bookmarkEnd w:id="7"/>
      <w:r>
        <w:rPr>
          <w:rFonts w:ascii="Times New Roman;serif" w:hAnsi="Times New Roman;serif"/>
          <w:b/>
          <w:sz w:val="20"/>
        </w:rPr>
        <w:t>Condensed Consolidated Statements of Stockholders’ Equity</w:t>
      </w:r>
    </w:p>
    <w:p>
      <w:pPr>
        <w:pStyle w:val="TextBody"/>
        <w:bidi w:val="0"/>
        <w:spacing w:before="0" w:after="0"/>
        <w:jc w:val="center"/>
        <w:rPr>
          <w:rFonts w:ascii="Times New Roman" w:hAnsi="Times New Roman"/>
          <w:sz w:val="20"/>
        </w:rPr>
      </w:pPr>
      <w:r>
        <w:rPr>
          <w:rFonts w:ascii="Times New Roman;serif" w:hAnsi="Times New Roman;serif"/>
          <w:b/>
          <w:sz w:val="20"/>
        </w:rPr>
        <w:t>For the Three and Six Months Ended June 30, 2023 and 2022</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i/>
          <w:sz w:val="20"/>
        </w:rPr>
        <w:t>(in thousands, except share data)</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36"/>
        <w:gridCol w:w="146"/>
        <w:gridCol w:w="146"/>
        <w:gridCol w:w="931"/>
        <w:gridCol w:w="166"/>
        <w:gridCol w:w="146"/>
        <w:gridCol w:w="276"/>
        <w:gridCol w:w="415"/>
        <w:gridCol w:w="146"/>
        <w:gridCol w:w="146"/>
        <w:gridCol w:w="211"/>
        <w:gridCol w:w="781"/>
        <w:gridCol w:w="166"/>
        <w:gridCol w:w="146"/>
        <w:gridCol w:w="211"/>
        <w:gridCol w:w="841"/>
        <w:gridCol w:w="166"/>
        <w:gridCol w:w="146"/>
        <w:gridCol w:w="436"/>
        <w:gridCol w:w="780"/>
        <w:gridCol w:w="166"/>
        <w:gridCol w:w="146"/>
        <w:gridCol w:w="247"/>
        <w:gridCol w:w="795"/>
        <w:gridCol w:w="413"/>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0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80" w:type="dxa"/>
            <w:gridSpan w:val="6"/>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gridSpan w:val="2"/>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r>
      <w:tr>
        <w:trPr/>
        <w:tc>
          <w:tcPr>
            <w:tcW w:w="20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3" w:type="dxa"/>
            <w:tcBorders/>
            <w:vAlign w:val="center"/>
          </w:tcPr>
          <w:p>
            <w:pPr>
              <w:pStyle w:val="TableContents"/>
              <w:bidi w:val="0"/>
              <w:spacing w:before="0" w:after="0"/>
              <w:ind w:left="0" w:right="0" w:hanging="0"/>
              <w:jc w:val="center"/>
              <w:rPr/>
            </w:pPr>
            <w:r>
              <w:rPr/>
              <w:t> </w:t>
            </w:r>
          </w:p>
        </w:tc>
      </w:tr>
      <w:tr>
        <w:trPr/>
        <w:tc>
          <w:tcPr>
            <w:tcW w:w="20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8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413" w:type="dxa"/>
            <w:tcBorders/>
            <w:vAlign w:val="center"/>
          </w:tcPr>
          <w:p>
            <w:pPr>
              <w:pStyle w:val="TableContents"/>
              <w:bidi w:val="0"/>
              <w:spacing w:before="0" w:after="0"/>
              <w:ind w:left="0" w:right="0" w:hanging="0"/>
              <w:jc w:val="center"/>
              <w:rPr/>
            </w:pPr>
            <w:r>
              <w:rPr/>
              <w:t> </w:t>
            </w:r>
          </w:p>
        </w:tc>
      </w:tr>
      <w:tr>
        <w:trPr/>
        <w:tc>
          <w:tcPr>
            <w:tcW w:w="20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8,159,382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247,762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(237,422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10,348</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restricted stock units under equity incentive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Tax withholding payments for net share-settled equity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(8,356</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8,168,788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248,393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(245,778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2,639</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warrants, net of issuance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9,973</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 of common stock, net of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1,772,397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7,101</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(8,475</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9,941,185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266,669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(254,253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12,426</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gridSpan w:val="2"/>
            <w:tcBorders/>
            <w:vAlign w:val="center"/>
          </w:tcPr>
          <w:p>
            <w:pPr>
              <w:pStyle w:val="TableContents"/>
              <w:bidi w:val="0"/>
              <w:spacing w:before="0" w:after="0"/>
              <w:ind w:left="0" w:right="0" w:hanging="0"/>
              <w:jc w:val="right"/>
              <w:rPr/>
            </w:pPr>
            <w:r>
              <w:rPr/>
              <w:t> </w:t>
            </w:r>
          </w:p>
        </w:tc>
        <w:tc>
          <w:tcPr>
            <w:tcW w:w="413" w:type="dxa"/>
            <w:tcBorders/>
            <w:vAlign w:val="center"/>
          </w:tcPr>
          <w:p>
            <w:pPr>
              <w:pStyle w:val="TableContents"/>
              <w:bidi w:val="0"/>
              <w:spacing w:before="0" w:after="0"/>
              <w:ind w:left="0" w:right="0" w:firstLine="200"/>
              <w:jc w:val="right"/>
              <w:rPr/>
            </w:pPr>
            <w:r>
              <w:rPr/>
              <w:t> </w:t>
            </w:r>
          </w:p>
        </w:tc>
      </w:tr>
      <w:tr>
        <w:trPr/>
        <w:tc>
          <w:tcPr>
            <w:tcW w:w="203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gridSpan w:val="2"/>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3" w:type="dxa"/>
            <w:tcBorders/>
            <w:vAlign w:val="center"/>
          </w:tcPr>
          <w:p>
            <w:pPr>
              <w:pStyle w:val="TableContents"/>
              <w:bidi w:val="0"/>
              <w:spacing w:before="0" w:after="0"/>
              <w:ind w:left="0" w:right="0" w:hanging="0"/>
              <w:jc w:val="center"/>
              <w:rPr/>
            </w:pPr>
            <w:r>
              <w:rPr/>
              <w:t> </w:t>
            </w:r>
          </w:p>
        </w:tc>
      </w:tr>
      <w:tr>
        <w:trPr/>
        <w:tc>
          <w:tcPr>
            <w:tcW w:w="20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8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413" w:type="dxa"/>
            <w:tcBorders/>
            <w:vAlign w:val="center"/>
          </w:tcPr>
          <w:p>
            <w:pPr>
              <w:pStyle w:val="TableContents"/>
              <w:bidi w:val="0"/>
              <w:spacing w:before="0" w:after="0"/>
              <w:ind w:left="0" w:right="0" w:hanging="0"/>
              <w:jc w:val="center"/>
              <w:rPr/>
            </w:pPr>
            <w:r>
              <w:rPr/>
              <w:t> </w:t>
            </w:r>
          </w:p>
        </w:tc>
      </w:tr>
      <w:tr>
        <w:trPr/>
        <w:tc>
          <w:tcPr>
            <w:tcW w:w="20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5,324,287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231,143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(213,355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17,793</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restricted stock units under equity incentive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Tax withholding payments for net share-settled equity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 of common stock and pre-funded warrants in public offering, net of costs of $1,034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2,666,667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13,766</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(5,724</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8,005,921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245,534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(219,079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26,461</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3" w:type="dxa"/>
            <w:tcBorders/>
            <w:vAlign w:val="center"/>
          </w:tcPr>
          <w:p>
            <w:pPr>
              <w:pStyle w:val="TableContents"/>
              <w:bidi w:val="0"/>
              <w:spacing w:before="0" w:after="0"/>
              <w:ind w:left="0" w:right="0" w:firstLine="200"/>
              <w:jc w:val="left"/>
              <w:rPr/>
            </w:pPr>
            <w:r>
              <w:rPr/>
              <w:t> </w:t>
            </w:r>
          </w:p>
        </w:tc>
      </w:tr>
      <w:tr>
        <w:trPr/>
        <w:tc>
          <w:tcPr>
            <w:tcW w:w="2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(6,725</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Balances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8,005,921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246,105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(225,804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20,308</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i/>
          <w:sz w:val="20"/>
        </w:rPr>
        <w:t>See accompanying notes to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Soleno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8" w:name="cndnsd_cnsolidated_statements_cash_flows"/>
      <w:bookmarkEnd w:id="8"/>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i/>
          <w:sz w:val="20"/>
        </w:rPr>
        <w:t>(in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42"/>
        <w:gridCol w:w="146"/>
        <w:gridCol w:w="211"/>
        <w:gridCol w:w="736"/>
        <w:gridCol w:w="166"/>
        <w:gridCol w:w="146"/>
        <w:gridCol w:w="211"/>
        <w:gridCol w:w="736"/>
        <w:gridCol w:w="811"/>
      </w:tblGrid>
      <w:tr>
        <w:trPr/>
        <w:tc>
          <w:tcPr>
            <w:tcW w:w="7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0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(12,449</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704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984</w:t>
            </w:r>
          </w:p>
        </w:tc>
        <w:tc>
          <w:tcPr>
            <w:tcW w:w="811" w:type="dxa"/>
            <w:tcBorders/>
            <w:vAlign w:val="center"/>
          </w:tcPr>
          <w:p>
            <w:pPr>
              <w:pStyle w:val="TableContents"/>
              <w:bidi w:val="0"/>
              <w:spacing w:before="0" w:after="0"/>
              <w:ind w:left="0" w:right="0" w:firstLine="200"/>
              <w:jc w:val="left"/>
              <w:rPr/>
            </w:pPr>
            <w:r>
              <w:rPr/>
              <w:t> </w:t>
            </w:r>
          </w:p>
        </w:tc>
      </w:tr>
      <w:tr>
        <w:trPr/>
        <w:tc>
          <w:tcPr>
            <w:tcW w:w="704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811" w:type="dxa"/>
            <w:tcBorders/>
            <w:vAlign w:val="center"/>
          </w:tcPr>
          <w:p>
            <w:pPr>
              <w:pStyle w:val="TableContents"/>
              <w:bidi w:val="0"/>
              <w:spacing w:before="0" w:after="0"/>
              <w:ind w:left="0" w:right="0" w:firstLine="200"/>
              <w:jc w:val="left"/>
              <w:rPr/>
            </w:pPr>
            <w:r>
              <w:rPr/>
              <w:t> </w:t>
            </w:r>
          </w:p>
        </w:tc>
      </w:tr>
      <w:tr>
        <w:trPr/>
        <w:tc>
          <w:tcPr>
            <w:tcW w:w="704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1,215</w:t>
            </w:r>
          </w:p>
        </w:tc>
        <w:tc>
          <w:tcPr>
            <w:tcW w:w="811" w:type="dxa"/>
            <w:tcBorders/>
            <w:vAlign w:val="center"/>
          </w:tcPr>
          <w:p>
            <w:pPr>
              <w:pStyle w:val="TableContents"/>
              <w:bidi w:val="0"/>
              <w:spacing w:before="0" w:after="0"/>
              <w:ind w:left="0" w:right="0" w:firstLine="200"/>
              <w:jc w:val="left"/>
              <w:rPr/>
            </w:pPr>
            <w:r>
              <w:rPr/>
              <w:t> </w:t>
            </w:r>
          </w:p>
        </w:tc>
      </w:tr>
      <w:tr>
        <w:trPr/>
        <w:tc>
          <w:tcPr>
            <w:tcW w:w="704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stock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non-cash reconciling items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400"/>
              <w:jc w:val="right"/>
              <w:rPr/>
            </w:pPr>
            <w:r>
              <w:rPr/>
              <w:t> </w:t>
            </w:r>
          </w:p>
        </w:tc>
      </w:tr>
      <w:tr>
        <w:trPr/>
        <w:tc>
          <w:tcPr>
            <w:tcW w:w="704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other current assets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w:t>
            </w:r>
          </w:p>
        </w:tc>
        <w:tc>
          <w:tcPr>
            <w:tcW w:w="811" w:type="dxa"/>
            <w:tcBorders/>
            <w:vAlign w:val="center"/>
          </w:tcPr>
          <w:p>
            <w:pPr>
              <w:pStyle w:val="TableContents"/>
              <w:bidi w:val="0"/>
              <w:spacing w:before="0" w:after="0"/>
              <w:ind w:left="0" w:right="0" w:firstLine="400"/>
              <w:jc w:val="left"/>
              <w:rPr/>
            </w:pPr>
            <w:r>
              <w:rPr/>
              <w:t> </w:t>
            </w:r>
          </w:p>
        </w:tc>
      </w:tr>
      <w:tr>
        <w:trPr/>
        <w:tc>
          <w:tcPr>
            <w:tcW w:w="704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811" w:type="dxa"/>
            <w:tcBorders/>
            <w:vAlign w:val="center"/>
          </w:tcPr>
          <w:p>
            <w:pPr>
              <w:pStyle w:val="TableContents"/>
              <w:bidi w:val="0"/>
              <w:spacing w:before="0" w:after="0"/>
              <w:ind w:left="0" w:right="0" w:firstLine="400"/>
              <w:jc w:val="left"/>
              <w:rPr/>
            </w:pPr>
            <w:r>
              <w:rPr/>
              <w:t> </w:t>
            </w:r>
          </w:p>
        </w:tc>
      </w:tr>
      <w:tr>
        <w:trPr/>
        <w:tc>
          <w:tcPr>
            <w:tcW w:w="704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clinical trial site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7042" w:type="dxa"/>
            <w:tcBorders/>
            <w:vAlign w:val="center"/>
          </w:tcPr>
          <w:p>
            <w:pPr>
              <w:pStyle w:val="TableContents"/>
              <w:bidi w:val="0"/>
              <w:spacing w:before="0" w:after="0"/>
              <w:ind w:left="600" w:right="0" w:hanging="0"/>
              <w:jc w:val="left"/>
              <w:rPr>
                <w:rFonts w:ascii="Times New Roman;serif" w:hAnsi="Times New Roman;serif"/>
                <w:b/>
                <w:sz w:val="20"/>
              </w:rPr>
            </w:pPr>
            <w:r>
              <w:rPr>
                <w:rFonts w:ascii="Times New Roman;serif" w:hAnsi="Times New Roman;serif"/>
                <w:b/>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(10,982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vAlign w:val="center"/>
          </w:tcPr>
          <w:p>
            <w:pPr>
              <w:pStyle w:val="TableContents"/>
              <w:bidi w:val="0"/>
              <w:spacing w:before="0" w:after="0"/>
              <w:ind w:left="600" w:right="0" w:hanging="0"/>
              <w:jc w:val="left"/>
              <w:rPr>
                <w:rFonts w:ascii="Times New Roman;serif" w:hAnsi="Times New Roman;serif"/>
                <w:b/>
                <w:sz w:val="20"/>
              </w:rPr>
            </w:pPr>
            <w:r>
              <w:rPr>
                <w:rFonts w:ascii="Times New Roman;serif" w:hAnsi="Times New Roman;serif"/>
                <w:b/>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sale of common stock and common stock warrants, net of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11" w:type="dxa"/>
            <w:tcBorders/>
            <w:vAlign w:val="center"/>
          </w:tcPr>
          <w:p>
            <w:pPr>
              <w:pStyle w:val="TableContents"/>
              <w:bidi w:val="0"/>
              <w:spacing w:before="0" w:after="0"/>
              <w:ind w:left="0" w:right="0" w:hanging="0"/>
              <w:jc w:val="left"/>
              <w:rPr/>
            </w:pPr>
            <w:r>
              <w:rPr/>
              <w:t> </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sale of common stock and pre-funded warrants, net of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13,766</w:t>
            </w:r>
          </w:p>
        </w:tc>
        <w:tc>
          <w:tcPr>
            <w:tcW w:w="811" w:type="dxa"/>
            <w:tcBorders/>
            <w:vAlign w:val="center"/>
          </w:tcPr>
          <w:p>
            <w:pPr>
              <w:pStyle w:val="TableContents"/>
              <w:bidi w:val="0"/>
              <w:spacing w:before="0" w:after="0"/>
              <w:ind w:left="0" w:right="0" w:hanging="0"/>
              <w:jc w:val="left"/>
              <w:rPr/>
            </w:pPr>
            <w:r>
              <w:rPr/>
              <w:t> </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 withholding payments for net share-settled equity awards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7042" w:type="dxa"/>
            <w:tcBorders/>
            <w:vAlign w:val="center"/>
          </w:tcPr>
          <w:p>
            <w:pPr>
              <w:pStyle w:val="TableContents"/>
              <w:bidi w:val="0"/>
              <w:spacing w:before="0" w:after="0"/>
              <w:ind w:left="600" w:right="0" w:hanging="0"/>
              <w:jc w:val="left"/>
              <w:rPr>
                <w:rFonts w:ascii="Times New Roman;serif" w:hAnsi="Times New Roman;serif"/>
                <w:b/>
                <w:sz w:val="20"/>
              </w:rPr>
            </w:pPr>
            <w:r>
              <w:rPr>
                <w:rFonts w:ascii="Times New Roman;serif" w:hAnsi="Times New Roman;serif"/>
                <w:b/>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2,761</w:t>
            </w:r>
          </w:p>
        </w:tc>
        <w:tc>
          <w:tcPr>
            <w:tcW w:w="811" w:type="dxa"/>
            <w:tcBorders/>
            <w:vAlign w:val="center"/>
          </w:tcPr>
          <w:p>
            <w:pPr>
              <w:pStyle w:val="TableContents"/>
              <w:bidi w:val="0"/>
              <w:spacing w:before="0" w:after="0"/>
              <w:ind w:left="0" w:right="0" w:hanging="0"/>
              <w:jc w:val="left"/>
              <w:rPr/>
            </w:pPr>
            <w:r>
              <w:rPr/>
              <w:t> </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21,304</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24,065</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42"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704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non-cash financing information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600"/>
              <w:jc w:val="right"/>
              <w:rPr/>
            </w:pPr>
            <w:r>
              <w:rPr/>
              <w:t> </w:t>
            </w:r>
          </w:p>
        </w:tc>
      </w:tr>
      <w:tr>
        <w:trPr/>
        <w:tc>
          <w:tcPr>
            <w:tcW w:w="7042"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Operating lease right-of-use assets obtained in exchange for operating lease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11" w:type="dxa"/>
            <w:tcBorders/>
            <w:vAlign w:val="center"/>
          </w:tcPr>
          <w:p>
            <w:pPr>
              <w:pStyle w:val="TableContents"/>
              <w:bidi w:val="0"/>
              <w:spacing w:before="0" w:after="0"/>
              <w:ind w:left="0" w:right="0" w:firstLine="600"/>
              <w:jc w:val="left"/>
              <w:rPr/>
            </w:pPr>
            <w:r>
              <w:rPr/>
              <w:t> </w:t>
            </w:r>
          </w:p>
        </w:tc>
      </w:tr>
      <w:tr>
        <w:trPr/>
        <w:tc>
          <w:tcPr>
            <w:tcW w:w="7042"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Unpaid financing costs included in 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i/>
          <w:sz w:val="20"/>
        </w:rPr>
        <w:t>See accompanying notes to condensed consolidated financial statements.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18"/>
        </w:rPr>
        <w:t>Soleno Therapeutics, Inc.</w:t>
      </w:r>
      <w:r>
        <w:rPr>
          <w:rFonts w:ascii="Times New Roman" w:hAnsi="Times New Roman"/>
          <w:sz w:val="20"/>
        </w:rPr>
        <w:t xml:space="preserve"> </w:t>
      </w:r>
    </w:p>
    <w:p>
      <w:pPr>
        <w:pStyle w:val="TextBody"/>
        <w:bidi w:val="0"/>
        <w:spacing w:before="0" w:after="0"/>
        <w:jc w:val="center"/>
        <w:rPr>
          <w:rFonts w:ascii="Times New Roman;serif" w:hAnsi="Times New Roman;serif"/>
          <w:b/>
          <w:sz w:val="18"/>
        </w:rPr>
      </w:pPr>
      <w:r>
        <w:rPr>
          <w:rFonts w:ascii="Times New Roman;serif" w:hAnsi="Times New Roman;serif"/>
          <w:b/>
          <w:sz w:val="18"/>
        </w:rPr>
        <w:t>June 30, 2023</w:t>
      </w:r>
    </w:p>
    <w:p>
      <w:pPr>
        <w:pStyle w:val="TextBody"/>
        <w:bidi w:val="0"/>
        <w:spacing w:before="0" w:after="0"/>
        <w:jc w:val="center"/>
        <w:rPr>
          <w:rFonts w:ascii="Times New Roman" w:hAnsi="Times New Roman"/>
          <w:sz w:val="20"/>
        </w:rPr>
      </w:pPr>
      <w:bookmarkStart w:id="9" w:name="notes_consolidated_financial_statements"/>
      <w:bookmarkEnd w:id="9"/>
      <w:r>
        <w:rPr>
          <w:rFonts w:ascii="Times New Roman;serif" w:hAnsi="Times New Roman;serif"/>
          <w:b/>
          <w:sz w:val="18"/>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8"/>
        </w:rPr>
        <w:t>(unaudited)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Note 1. Overview</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Soleno Therapeutics, Inc. (the Company or Soleno) is focused on the development and commercialization of novel therapeutics for the treatment of rare diseases. Its lead candidate is DCCR (Diazoxide Choline Extended-Release) tablets, a once-daily oral tablet for the treatment of Prader-Willi Syndrome (PWS). DCCR has received orphan designation for the treatment of PWS in the United States (U.S.) as well as in the European Union (E.U.).</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pStyle w:val="TextBody"/>
        <w:bidi w:val="0"/>
        <w:spacing w:before="360" w:after="0"/>
        <w:jc w:val="left"/>
        <w:rPr>
          <w:rFonts w:ascii="Times New Roman" w:hAnsi="Times New Roman"/>
          <w:sz w:val="20"/>
        </w:rPr>
      </w:pPr>
      <w:r>
        <w:rPr>
          <w:rFonts w:ascii="Times New Roman;serif" w:hAnsi="Times New Roman;serif"/>
          <w:b/>
          <w:sz w:val="20"/>
        </w:rPr>
        <w:t>Note 2. Going Concern and Management’s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had a net loss of $16.8</w:t>
      </w:r>
      <w:r>
        <w:rPr>
          <w:rFonts w:ascii="Times New Roman" w:hAnsi="Times New Roman"/>
          <w:sz w:val="20"/>
        </w:rPr>
        <w:t xml:space="preserve"> </w:t>
      </w:r>
      <w:r>
        <w:rPr>
          <w:rFonts w:ascii="Times New Roman;serif" w:hAnsi="Times New Roman;serif"/>
          <w:b w:val="false"/>
          <w:sz w:val="20"/>
        </w:rPr>
        <w:t>million during the six months ended June 30, 2023 and has an accumulated deficit of $254.3</w:t>
      </w:r>
      <w:r>
        <w:rPr>
          <w:rFonts w:ascii="Times New Roman" w:hAnsi="Times New Roman"/>
          <w:sz w:val="20"/>
        </w:rPr>
        <w:t xml:space="preserve"> </w:t>
      </w:r>
      <w:r>
        <w:rPr>
          <w:rFonts w:ascii="Times New Roman;serif" w:hAnsi="Times New Roman;serif"/>
          <w:b w:val="false"/>
          <w:sz w:val="20"/>
        </w:rPr>
        <w:t>million at June 30, 2023 resulting from having incurred losses since its inception. The Company had $19.4</w:t>
      </w:r>
      <w:r>
        <w:rPr>
          <w:rFonts w:ascii="Times New Roman" w:hAnsi="Times New Roman"/>
          <w:sz w:val="20"/>
        </w:rPr>
        <w:t xml:space="preserve"> </w:t>
      </w:r>
      <w:r>
        <w:rPr>
          <w:rFonts w:ascii="Times New Roman;serif" w:hAnsi="Times New Roman;serif"/>
          <w:b w:val="false"/>
          <w:sz w:val="20"/>
        </w:rPr>
        <w:t>million of cash and cash equivalents on hand at June 30, 2023 and used $12.3</w:t>
      </w:r>
      <w:r>
        <w:rPr>
          <w:rFonts w:ascii="Times New Roman" w:hAnsi="Times New Roman"/>
          <w:sz w:val="20"/>
        </w:rPr>
        <w:t xml:space="preserve"> </w:t>
      </w:r>
      <w:r>
        <w:rPr>
          <w:rFonts w:ascii="Times New Roman;serif" w:hAnsi="Times New Roman;serif"/>
          <w:b w:val="false"/>
          <w:sz w:val="20"/>
        </w:rPr>
        <w:t>million of cash in its operating activities during the six months ended June 30, 2023.</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have been prepared under the assumption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expects to continue incurring losses for the foreseeable future and will be required to raise additional capital to complete its clinical trials, pursue product development initiatives, obtain regulatory approval and penetrate markets for the sale of its products. In December 2022, the Company entered into a Securities Purchase Agreement for up to $60.0</w:t>
      </w:r>
      <w:r>
        <w:rPr>
          <w:rFonts w:ascii="Times New Roman" w:hAnsi="Times New Roman"/>
          <w:sz w:val="20"/>
        </w:rPr>
        <w:t xml:space="preserve"> </w:t>
      </w:r>
      <w:r>
        <w:rPr>
          <w:rFonts w:ascii="Times New Roman;serif" w:hAnsi="Times New Roman;serif"/>
          <w:b w:val="false"/>
          <w:sz w:val="20"/>
        </w:rPr>
        <w:t>million in additional funding if certain conditions are met. We completed the closing of the sale and issuance of the warrants for $10.0</w:t>
      </w:r>
      <w:r>
        <w:rPr>
          <w:rFonts w:ascii="Times New Roman" w:hAnsi="Times New Roman"/>
          <w:sz w:val="20"/>
        </w:rPr>
        <w:t xml:space="preserve"> </w:t>
      </w:r>
      <w:r>
        <w:rPr>
          <w:rFonts w:ascii="Times New Roman;serif" w:hAnsi="Times New Roman;serif"/>
          <w:b w:val="false"/>
          <w:sz w:val="20"/>
        </w:rPr>
        <w:t>million in May 2023. The receipt of up to $50.0</w:t>
      </w:r>
      <w:r>
        <w:rPr>
          <w:rFonts w:ascii="Times New Roman" w:hAnsi="Times New Roman"/>
          <w:sz w:val="20"/>
        </w:rPr>
        <w:t xml:space="preserve"> </w:t>
      </w:r>
      <w:r>
        <w:rPr>
          <w:rFonts w:ascii="Times New Roman;serif" w:hAnsi="Times New Roman;serif"/>
          <w:b w:val="false"/>
          <w:sz w:val="20"/>
        </w:rPr>
        <w:t>million is contingent upon the exercise of the warrants and the future performance of the Company.</w:t>
      </w:r>
      <w:r>
        <w:rPr>
          <w:rFonts w:ascii="Times New Roman" w:hAnsi="Times New Roman"/>
          <w:sz w:val="20"/>
        </w:rPr>
        <w:t xml:space="preserve"> </w:t>
      </w:r>
      <w:r>
        <w:rPr>
          <w:rFonts w:ascii="Times New Roman;serif" w:hAnsi="Times New Roman;serif"/>
          <w:b w:val="false"/>
          <w:sz w:val="20"/>
        </w:rPr>
        <w:t>As the remaining funds are contingent, under accounting principles generally accepted in the United States of America (GAAP), management is not able to consider them available when assessing the Company's ability to operate as a going concern. Management believes that the Company will continue to have access to capital resources through possible public or private equity offerings, debt financings, corporate collaborations or other means. However, access to such capital resources is uncertain and not assured.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are critical to the realization of its business plan and the future operations of the Company.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through at least the next twelve months from the date of this filing.</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Note 3. Basis of Presentation and Summary of Significant Accounting Policies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Significant Accounting Policies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have been no material changes to the significant accounting policies during the three and six months ended June 30, 2023 as compared to the significant accounting policies described in Note 3 of the “Notes to Consolidated Financial Statements” in the Company’s Annual Report on Form 10-K for the year ended December 31,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of the Company have been prepared on a going concern basis in accordance with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and six months ended June 30, 2023, are not necessarily indicative of the results that may be expected for any other interim period or for the fiscal year ending December 31, 2023. For further information, refer to the financial statements and footnotes included in the Company’s annual financial statements for the fiscal year ended December 31, 2022, which are included in the Company’s annual report on Form 10-K filed with the SEC on March 22, 2023.</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Reverse Stock Split</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26, 2022, the Company filed a Certificate of Amendment to its Amended and Restated Certificate of Incorporation in order to effectuate a reverse stock split of the Company’s issued and outstanding common stock on a one-for-fifteen</w:t>
      </w:r>
      <w:r>
        <w:rPr>
          <w:rFonts w:ascii="Times New Roman" w:hAnsi="Times New Roman"/>
          <w:sz w:val="20"/>
        </w:rPr>
        <w:t xml:space="preserve"> </w:t>
      </w:r>
      <w:r>
        <w:rPr>
          <w:rFonts w:ascii="Times New Roman;serif" w:hAnsi="Times New Roman;serif"/>
          <w:b w:val="false"/>
          <w:sz w:val="20"/>
        </w:rPr>
        <w:t>basis. All common share and per share data are retrospectively restated to give effect of the split for all periods presented herein. After giving effect to the reverse stock split, the total number of shares of all classes of capital stock that the Corporation is authorized to issue is 110,000,000</w:t>
      </w:r>
      <w:r>
        <w:rPr>
          <w:rFonts w:ascii="Times New Roman" w:hAnsi="Times New Roman"/>
          <w:sz w:val="20"/>
        </w:rPr>
        <w:t xml:space="preserve"> </w:t>
      </w:r>
      <w:r>
        <w:rPr>
          <w:rFonts w:ascii="Times New Roman;serif" w:hAnsi="Times New Roman;serif"/>
          <w:b w:val="false"/>
          <w:sz w:val="20"/>
        </w:rPr>
        <w:t>shares, consisting of 100,000,000</w:t>
      </w:r>
      <w:r>
        <w:rPr>
          <w:rFonts w:ascii="Times New Roman" w:hAnsi="Times New Roman"/>
          <w:sz w:val="20"/>
        </w:rPr>
        <w:t xml:space="preserve"> </w:t>
      </w:r>
      <w:r>
        <w:rPr>
          <w:rFonts w:ascii="Times New Roman;serif" w:hAnsi="Times New Roman;serif"/>
          <w:b w:val="false"/>
          <w:sz w:val="20"/>
        </w:rPr>
        <w:t>shares of common stock, having a par value of $0.001</w:t>
      </w:r>
      <w:r>
        <w:rPr>
          <w:rFonts w:ascii="Times New Roman" w:hAnsi="Times New Roman"/>
          <w:sz w:val="20"/>
        </w:rPr>
        <w:t xml:space="preserve"> </w:t>
      </w:r>
      <w:r>
        <w:rPr>
          <w:rFonts w:ascii="Times New Roman;serif" w:hAnsi="Times New Roman;serif"/>
          <w:b w:val="false"/>
          <w:sz w:val="20"/>
        </w:rPr>
        <w:t>and 10,000,000</w:t>
      </w:r>
      <w:r>
        <w:rPr>
          <w:rFonts w:ascii="Times New Roman" w:hAnsi="Times New Roman"/>
          <w:sz w:val="20"/>
        </w:rPr>
        <w:t xml:space="preserve"> </w:t>
      </w:r>
      <w:r>
        <w:rPr>
          <w:rFonts w:ascii="Times New Roman;serif" w:hAnsi="Times New Roman;serif"/>
          <w:b w:val="false"/>
          <w:sz w:val="20"/>
        </w:rPr>
        <w:t>shares of preferred stock, having a par value of $0.001.</w:t>
      </w:r>
    </w:p>
    <w:p>
      <w:pPr>
        <w:pStyle w:val="TextBody"/>
        <w:bidi w:val="0"/>
        <w:spacing w:before="24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and the valuation of contingent liabilities for the purchase price of assets obtained through acquisition.</w:t>
      </w:r>
    </w:p>
    <w:p>
      <w:pPr>
        <w:pStyle w:val="TextBody"/>
        <w:bidi w:val="0"/>
        <w:spacing w:before="240" w:after="0"/>
        <w:jc w:val="left"/>
        <w:rPr>
          <w:rFonts w:ascii="Times New Roman" w:hAnsi="Times New Roman"/>
          <w:sz w:val="20"/>
        </w:rPr>
      </w:pPr>
      <w:r>
        <w:rPr>
          <w:rFonts w:ascii="Times New Roman;serif" w:hAnsi="Times New Roman;serif"/>
          <w:b/>
          <w:i/>
          <w:sz w:val="20"/>
        </w:rPr>
        <w:t>Recently Adopted Accounting Pronouncements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new accounting pronouncements are issued by the Financial Accounting Standards Board (FASB) or other standard setting bodies that are adopted by the Company as of the specified effective date.</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June 2016, the FASB issued ASU No. 2016-13, </w:t>
      </w:r>
      <w:r>
        <w:rPr>
          <w:rFonts w:ascii="Times New Roman;serif" w:hAnsi="Times New Roman;serif"/>
          <w:b w:val="false"/>
          <w:i/>
          <w:sz w:val="20"/>
        </w:rPr>
        <w:t>Financial Instruments - Credit Losses (Topic 326): Measurement of Credit Losses of Financial Instruments</w:t>
      </w:r>
      <w:r>
        <w:rPr>
          <w:rFonts w:ascii="Times New Roman;serif" w:hAnsi="Times New Roman;serif"/>
          <w:b w:val="false"/>
          <w:sz w:val="20"/>
        </w:rPr>
        <w:t>, which, together with subsequent amendments, amends the requirement on the measurement and recognition of expected credit losses for financial assets held. ASU 2016-13 is effective for the Company for the annual periods beginning after December 15, 2022, including interim periods within those fiscal years, with early adoption permitted. The Company adopted this ASU effective January 1, 2023. There was no</w:t>
      </w:r>
      <w:r>
        <w:rPr>
          <w:rFonts w:ascii="Times New Roman" w:hAnsi="Times New Roman"/>
          <w:sz w:val="20"/>
        </w:rPr>
        <w:t xml:space="preserve"> </w:t>
      </w:r>
      <w:r>
        <w:rPr>
          <w:rFonts w:ascii="Times New Roman;serif" w:hAnsi="Times New Roman;serif"/>
          <w:b w:val="false"/>
          <w:sz w:val="20"/>
        </w:rPr>
        <w:t>impact on the Company's financial statements upon the adoption</w:t>
      </w:r>
      <w:r>
        <w:rPr>
          <w:rFonts w:ascii="Times New Roman" w:hAnsi="Times New Roman"/>
          <w:sz w:val="20"/>
        </w:rPr>
        <w:t xml:space="preserve"> </w:t>
      </w:r>
      <w:r>
        <w:rPr>
          <w:rFonts w:ascii="Times New Roman;serif" w:hAnsi="Times New Roman;serif"/>
          <w:b w:val="false"/>
          <w:sz w:val="20"/>
        </w:rPr>
        <w:t>of this ASU.</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Note 4. Fair Value of Financial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carrying value of the Company’s cash, cash equivalents and accounts payable, approximate fair value due to the short-term nature of these items.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fair value hierarchy defines a three-level valuation hierarchy for disclosure of fair value measurements as follows: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Level I — Unadjusted quoted prices in active markets for identical assets or liabilities;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Level III — Unobservable inputs that are supported by little or no market activity for the related assets or liabilities. </w:t>
      </w:r>
    </w:p>
    <w:p>
      <w:pPr>
        <w:pStyle w:val="TextBody"/>
        <w:bidi w:val="0"/>
        <w:spacing w:before="120" w:after="0"/>
        <w:jc w:val="left"/>
        <w:rPr>
          <w:rFonts w:ascii="Times New Roman" w:hAnsi="Times New Roman"/>
          <w:sz w:val="20"/>
        </w:rPr>
      </w:pPr>
      <w:r>
        <w:rPr>
          <w:rFonts w:ascii="Times New Roman;serif" w:hAnsi="Times New Roman;serif"/>
          <w:b w:val="false"/>
          <w:sz w:val="20"/>
        </w:rPr>
        <w:t>The categorization of a financial instrument within the valuation hierarchy is based upon the lowest level of input that is significant to the fair value measurement.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sets forth the Company’s financial instruments that were measured at fair value on a recurring basis by level within the fair value hierarchy (in thousands):</w:t>
      </w:r>
      <w:r>
        <w:rPr>
          <w:rFonts w:ascii="Times New Roman" w:hAnsi="Times New Roman"/>
          <w:sz w:val="20"/>
        </w:rPr>
        <w:t xml:space="preserve"> </w:t>
      </w:r>
    </w:p>
    <w:p>
      <w:pPr>
        <w:pStyle w:val="TextBody"/>
        <w:bidi w:val="0"/>
        <w:spacing w:before="0" w:after="0"/>
        <w:jc w:val="left"/>
        <w:rPr/>
      </w:pPr>
      <w:r>
        <w:rPr/>
        <w:t> </w:t>
      </w:r>
    </w:p>
    <w:tbl>
      <w:tblPr>
        <w:tblW w:w="8213" w:type="dxa"/>
        <w:jc w:val="left"/>
        <w:tblInd w:w="0" w:type="dxa"/>
        <w:tblLayout w:type="fixed"/>
        <w:tblCellMar>
          <w:top w:w="28" w:type="dxa"/>
          <w:left w:w="28" w:type="dxa"/>
          <w:bottom w:w="28" w:type="dxa"/>
          <w:right w:w="28" w:type="dxa"/>
        </w:tblCellMar>
      </w:tblPr>
      <w:tblGrid>
        <w:gridCol w:w="3976"/>
        <w:gridCol w:w="146"/>
        <w:gridCol w:w="211"/>
        <w:gridCol w:w="571"/>
        <w:gridCol w:w="146"/>
        <w:gridCol w:w="146"/>
        <w:gridCol w:w="239"/>
        <w:gridCol w:w="391"/>
        <w:gridCol w:w="146"/>
        <w:gridCol w:w="146"/>
        <w:gridCol w:w="239"/>
        <w:gridCol w:w="391"/>
        <w:gridCol w:w="146"/>
        <w:gridCol w:w="146"/>
        <w:gridCol w:w="211"/>
        <w:gridCol w:w="571"/>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70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 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2018 PIPE warrant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Essentialis purchase price contingency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common stock warrant and contingent</w:t>
              <w:br/>
              <w:t>   consideration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237" w:type="dxa"/>
        <w:jc w:val="left"/>
        <w:tblInd w:w="0" w:type="dxa"/>
        <w:tblLayout w:type="fixed"/>
        <w:tblCellMar>
          <w:top w:w="28" w:type="dxa"/>
          <w:left w:w="28" w:type="dxa"/>
          <w:bottom w:w="28" w:type="dxa"/>
          <w:right w:w="28" w:type="dxa"/>
        </w:tblCellMar>
      </w:tblPr>
      <w:tblGrid>
        <w:gridCol w:w="3976"/>
        <w:gridCol w:w="146"/>
        <w:gridCol w:w="213"/>
        <w:gridCol w:w="578"/>
        <w:gridCol w:w="147"/>
        <w:gridCol w:w="147"/>
        <w:gridCol w:w="238"/>
        <w:gridCol w:w="392"/>
        <w:gridCol w:w="147"/>
        <w:gridCol w:w="147"/>
        <w:gridCol w:w="238"/>
        <w:gridCol w:w="392"/>
        <w:gridCol w:w="147"/>
        <w:gridCol w:w="147"/>
        <w:gridCol w:w="213"/>
        <w:gridCol w:w="578"/>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72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 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7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left"/>
              <w:rPr/>
            </w:pPr>
            <w:r>
              <w:rPr/>
              <w:t> </w:t>
            </w:r>
          </w:p>
        </w:tc>
        <w:tc>
          <w:tcPr>
            <w:tcW w:w="791" w:type="dxa"/>
            <w:gridSpan w:val="2"/>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791"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2018 PIPE warrant liability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vAlign w:val="center"/>
          </w:tcPr>
          <w:p>
            <w:pPr>
              <w:pStyle w:val="TableContents"/>
              <w:bidi w:val="0"/>
              <w:spacing w:before="0" w:after="0"/>
              <w:ind w:left="0" w:right="0" w:hanging="0"/>
              <w:jc w:val="left"/>
              <w:rPr/>
            </w:pPr>
            <w:r>
              <w:rPr/>
              <w:t> </w:t>
            </w:r>
          </w:p>
        </w:tc>
      </w:tr>
      <w:tr>
        <w:trPr/>
        <w:tc>
          <w:tcPr>
            <w:tcW w:w="3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Essentialis purchase price contingency liability</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8,835</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common stock warrant and contingent</w:t>
              <w:br/>
              <w:t>   consideration liability</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8,836</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Company’s estimated fair value of the 2018 PIPE Warrants was calculated using a Black-Scholes pricing model. The Black-Scholes pricing model requires the input of highly subjective assumptions including the expected stock price volatility, the expected term, the expected dividend yield and the risk-free interest rate.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Based on the terms of the Company’s completed merger with Essentialis on March 7, 2017, the Company is obligated to make cash earnout payments of up to a maximum of $21.2</w:t>
      </w:r>
      <w:r>
        <w:rPr>
          <w:rFonts w:ascii="Times New Roman" w:hAnsi="Times New Roman"/>
          <w:sz w:val="20"/>
        </w:rPr>
        <w:t xml:space="preserve"> </w:t>
      </w:r>
      <w:r>
        <w:rPr>
          <w:rFonts w:ascii="Times New Roman;serif" w:hAnsi="Times New Roman;serif"/>
          <w:b w:val="false"/>
          <w:sz w:val="20"/>
        </w:rPr>
        <w:t>million to the former Essentialis stockholders. The fair value of the Essentialis purchase price contingent liability is estimated using scenario-based methods based upon the Company’s analysis of the likelihood of obtaining specified approvals from the U.S. Food and Drug Administration (FDA) as well as achieving two commercial sales milestones of $100</w:t>
      </w:r>
      <w:r>
        <w:rPr>
          <w:rFonts w:ascii="Times New Roman" w:hAnsi="Times New Roman"/>
          <w:sz w:val="20"/>
        </w:rPr>
        <w:t xml:space="preserve"> </w:t>
      </w:r>
      <w:r>
        <w:rPr>
          <w:rFonts w:ascii="Times New Roman;serif" w:hAnsi="Times New Roman;serif"/>
          <w:b w:val="false"/>
          <w:sz w:val="20"/>
        </w:rPr>
        <w:t>million and $200</w:t>
      </w:r>
      <w:r>
        <w:rPr>
          <w:rFonts w:ascii="Times New Roman" w:hAnsi="Times New Roman"/>
          <w:sz w:val="20"/>
        </w:rPr>
        <w:t xml:space="preserve"> </w:t>
      </w:r>
      <w:r>
        <w:rPr>
          <w:rFonts w:ascii="Times New Roman;serif" w:hAnsi="Times New Roman;serif"/>
          <w:b w:val="false"/>
          <w:sz w:val="20"/>
        </w:rPr>
        <w:t>million in revenue, respectively. The Level 3 estimates are based, in part, on subjective assumptions. In determining the likelihood of this occurring, the analysis relied on published research relating to clinical development success rates. Based on management’s assessment, a 72% probability of achieving each milestone was determined to be reasonable as of each of June 30, 2023 and December 31, 2022. During the periods presented, the Company has not changed the manner in which it values its Essentialis purchase price contingent liability.</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recognizes transfers between levels of the fair value hierarchy as of the end of the reporting period. There were no transfers between levels within the hierarchy during the periods presented.</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sets forth a summary of the changes in the fair value of the Company’s Level 3 liabilities for the six months ended June 30, 2023 and 2022 (dollars in thousands):</w:t>
      </w:r>
      <w:r>
        <w:rPr>
          <w:rFonts w:ascii="Times New Roman" w:hAnsi="Times New Roman"/>
          <w:sz w:val="20"/>
        </w:rPr>
        <w:t xml:space="preserve"> </w:t>
      </w:r>
    </w:p>
    <w:p>
      <w:pPr>
        <w:pStyle w:val="TextBody"/>
        <w:bidi w:val="0"/>
        <w:spacing w:before="0" w:after="0"/>
        <w:jc w:val="left"/>
        <w:rPr/>
      </w:pPr>
      <w:r>
        <w:rPr/>
        <w:t> </w:t>
      </w:r>
    </w:p>
    <w:tbl>
      <w:tblPr>
        <w:tblW w:w="7083" w:type="dxa"/>
        <w:jc w:val="left"/>
        <w:tblInd w:w="0" w:type="dxa"/>
        <w:tblLayout w:type="fixed"/>
        <w:tblCellMar>
          <w:top w:w="28" w:type="dxa"/>
          <w:left w:w="28" w:type="dxa"/>
          <w:bottom w:w="28" w:type="dxa"/>
          <w:right w:w="28" w:type="dxa"/>
        </w:tblCellMar>
      </w:tblPr>
      <w:tblGrid>
        <w:gridCol w:w="3331"/>
        <w:gridCol w:w="146"/>
        <w:gridCol w:w="157"/>
        <w:gridCol w:w="728"/>
        <w:gridCol w:w="146"/>
        <w:gridCol w:w="146"/>
        <w:gridCol w:w="259"/>
        <w:gridCol w:w="462"/>
        <w:gridCol w:w="166"/>
        <w:gridCol w:w="146"/>
        <w:gridCol w:w="320"/>
        <w:gridCol w:w="865"/>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9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2018 PIPE Warrants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Purchase Price</w:t>
            </w:r>
          </w:p>
        </w:tc>
        <w:tc>
          <w:tcPr>
            <w:tcW w:w="211" w:type="dxa"/>
            <w:tcBorders/>
            <w:vAlign w:val="center"/>
          </w:tcPr>
          <w:p>
            <w:pPr>
              <w:pStyle w:val="TableContents"/>
              <w:bidi w:val="0"/>
              <w:spacing w:before="0" w:after="0"/>
              <w:ind w:left="0" w:right="0" w:hanging="0"/>
              <w:jc w:val="center"/>
              <w:rPr/>
            </w:pPr>
            <w:r>
              <w:rPr/>
              <w:t> </w:t>
            </w:r>
          </w:p>
        </w:tc>
      </w:tr>
      <w:tr>
        <w:trPr/>
        <w:tc>
          <w:tcPr>
            <w:tcW w:w="3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Warrants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Liability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Contingent</w:t>
              <w:br/>
              <w:t>Liability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January 1, 2023</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8,835</w:t>
            </w:r>
          </w:p>
        </w:tc>
        <w:tc>
          <w:tcPr>
            <w:tcW w:w="21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value of 2018 PIPE Warrants</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4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value of contingent liability</w:t>
            </w:r>
          </w:p>
        </w:tc>
        <w:tc>
          <w:tcPr>
            <w:tcW w:w="146" w:type="dxa"/>
            <w:tcBorders/>
            <w:vAlign w:val="center"/>
          </w:tcPr>
          <w:p>
            <w:pPr>
              <w:pStyle w:val="TableContents"/>
              <w:bidi w:val="0"/>
              <w:spacing w:before="0" w:after="0"/>
              <w:ind w:left="0" w:right="0" w:hanging="0"/>
              <w:jc w:val="righ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2023</w:t>
            </w:r>
          </w:p>
        </w:tc>
        <w:tc>
          <w:tcPr>
            <w:tcW w:w="146" w:type="dxa"/>
            <w:tcBorders/>
            <w:vAlign w:val="center"/>
          </w:tcPr>
          <w:p>
            <w:pPr>
              <w:pStyle w:val="TableContents"/>
              <w:bidi w:val="0"/>
              <w:spacing w:before="0" w:after="0"/>
              <w:ind w:left="0" w:right="0" w:hanging="0"/>
              <w:jc w:val="righ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9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2018 PIPE Warrants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Purchase Price</w:t>
            </w:r>
          </w:p>
        </w:tc>
        <w:tc>
          <w:tcPr>
            <w:tcW w:w="211" w:type="dxa"/>
            <w:tcBorders/>
            <w:vAlign w:val="center"/>
          </w:tcPr>
          <w:p>
            <w:pPr>
              <w:pStyle w:val="TableContents"/>
              <w:bidi w:val="0"/>
              <w:spacing w:before="0" w:after="0"/>
              <w:ind w:left="0" w:right="0" w:hanging="0"/>
              <w:jc w:val="center"/>
              <w:rPr/>
            </w:pPr>
            <w:r>
              <w:rPr/>
              <w:t> </w:t>
            </w:r>
          </w:p>
        </w:tc>
      </w:tr>
      <w:tr>
        <w:trPr/>
        <w:tc>
          <w:tcPr>
            <w:tcW w:w="33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Warrants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Liability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Contingent</w:t>
              <w:br/>
              <w:t>Liability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January 1, 2022</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9,547</w:t>
            </w:r>
          </w:p>
        </w:tc>
        <w:tc>
          <w:tcPr>
            <w:tcW w:w="21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value of 2018 PIPE Warrants</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72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4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value of contingent liability</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2022</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9,305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left"/>
        <w:rPr>
          <w:rFonts w:ascii="Times New Roman;serif" w:hAnsi="Times New Roman;serif"/>
          <w:b/>
          <w:sz w:val="20"/>
        </w:rPr>
      </w:pPr>
      <w:r>
        <w:rPr>
          <w:rFonts w:ascii="Times New Roman;serif" w:hAnsi="Times New Roman;serif"/>
          <w:b/>
          <w:sz w:val="20"/>
        </w:rPr>
        <w:t>Note 5. Warrants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has issued multiple warrant series, of which the 2018 PIPE Warrants were determined to be liabilities pursuant to the guidance established by </w:t>
      </w:r>
      <w:r>
        <w:rPr>
          <w:rFonts w:ascii="Times New Roman;serif" w:hAnsi="Times New Roman;serif"/>
          <w:b w:val="false"/>
          <w:i/>
          <w:sz w:val="20"/>
        </w:rPr>
        <w:t>ASC 815 Derivatives and Hedging.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Warrants Issued as Part of the Units in the 2018 PIPE Offering</w:t>
      </w:r>
      <w:r>
        <w:rPr>
          <w:rFonts w:ascii="Times New Roman" w:hAnsi="Times New Roman"/>
          <w:sz w:val="20"/>
        </w:rPr>
        <w:t xml:space="preserve"> </w:t>
      </w:r>
    </w:p>
    <w:p>
      <w:pPr>
        <w:pStyle w:val="TextBody"/>
        <w:bidi w:val="0"/>
        <w:spacing w:before="120" w:after="0"/>
        <w:jc w:val="left"/>
        <w:rPr>
          <w:rFonts w:ascii="Times New Roman;serif" w:hAnsi="Times New Roman;serif"/>
          <w:sz w:val="20"/>
        </w:rPr>
      </w:pPr>
      <w:r>
        <w:rPr>
          <w:rFonts w:ascii="Times New Roman;serif" w:hAnsi="Times New Roman;serif"/>
          <w:b w:val="false"/>
          <w:sz w:val="20"/>
        </w:rPr>
        <w:t>The 2018 PIPE Warrants were issued on December 19, 2018 in the 2018 PIPE Offering, pursuant to a Warrant Agreement with each of the investors in the 2018 PIPE Offering, and entitle the holders to purchase 34,241</w:t>
      </w:r>
      <w:r>
        <w:rPr>
          <w:rFonts w:ascii="Times New Roman;serif" w:hAnsi="Times New Roman;serif"/>
          <w:sz w:val="20"/>
        </w:rPr>
        <w:t xml:space="preserve"> </w:t>
      </w:r>
      <w:r>
        <w:rPr>
          <w:rFonts w:ascii="Times New Roman;serif" w:hAnsi="Times New Roman;serif"/>
          <w:b w:val="false"/>
          <w:sz w:val="20"/>
        </w:rPr>
        <w:t>shares of the Company’s common stock at an exercise price equal to $30.00</w:t>
      </w:r>
      <w:r>
        <w:rPr>
          <w:rFonts w:ascii="Times New Roman;serif" w:hAnsi="Times New Roman;serif"/>
          <w:sz w:val="20"/>
        </w:rPr>
        <w:t xml:space="preserve"> </w:t>
      </w:r>
      <w:r>
        <w:rPr>
          <w:rFonts w:ascii="Times New Roman;serif" w:hAnsi="Times New Roman;serif"/>
          <w:b w:val="false"/>
          <w:sz w:val="20"/>
        </w:rPr>
        <w:t xml:space="preserve">per share, subject to adjustment as discussed below, at any time commencing upon issuance of the 2018 PIPE Warrants and terminating on December 21, 2023. </w:t>
      </w:r>
    </w:p>
    <w:p>
      <w:pPr>
        <w:pStyle w:val="TextBody"/>
        <w:bidi w:val="0"/>
        <w:spacing w:before="120" w:after="0"/>
        <w:jc w:val="left"/>
        <w:rPr>
          <w:rFonts w:ascii="Times New Roman" w:hAnsi="Times New Roman"/>
          <w:sz w:val="20"/>
        </w:rPr>
      </w:pPr>
      <w:r>
        <w:rPr>
          <w:rFonts w:ascii="Times New Roman;serif" w:hAnsi="Times New Roman;serif"/>
          <w:b w:val="false"/>
          <w:sz w:val="20"/>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$30.00.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Since the Company may be obligated to settle the 2018 PIPE Warrants in cash, the Company classified the 2018 PIPE Warrants as long-term liabilities at their fair value and will re-measure the warrants at each balance sheet date until they are exercised or expire. Any change in the fair value is recognized as Other income (expense) in the Company’s condensed consolidated statements of operations and comprehensive loss.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the fair value of the 2018 PIPE Warrants was estimated at approximately $0</w:t>
      </w:r>
      <w:r>
        <w:rPr>
          <w:rFonts w:ascii="Times New Roman" w:hAnsi="Times New Roman"/>
          <w:sz w:val="20"/>
        </w:rPr>
        <w:t xml:space="preserve"> </w:t>
      </w:r>
      <w:r>
        <w:rPr>
          <w:rFonts w:ascii="Times New Roman;serif" w:hAnsi="Times New Roman;serif"/>
          <w:b w:val="false"/>
          <w:sz w:val="20"/>
        </w:rPr>
        <w:t>and $1,000, respectively.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Company has calculated the fair value of the 2018 PIPE Warrants using a Black-Scholes pricing model. The following summarizes certain key assumptions used in estimating the fair value: </w:t>
      </w:r>
    </w:p>
    <w:p>
      <w:pPr>
        <w:pStyle w:val="TextBody"/>
        <w:bidi w:val="0"/>
        <w:spacing w:before="0" w:after="0"/>
        <w:jc w:val="left"/>
        <w:rPr/>
      </w:pPr>
      <w:r>
        <w:rPr/>
        <w:t> </w:t>
      </w:r>
    </w:p>
    <w:tbl>
      <w:tblPr>
        <w:tblW w:w="4825" w:type="dxa"/>
        <w:jc w:val="left"/>
        <w:tblInd w:w="0" w:type="dxa"/>
        <w:tblLayout w:type="fixed"/>
        <w:tblCellMar>
          <w:top w:w="28" w:type="dxa"/>
          <w:left w:w="28" w:type="dxa"/>
          <w:bottom w:w="28" w:type="dxa"/>
          <w:right w:w="28" w:type="dxa"/>
        </w:tblCellMar>
      </w:tblPr>
      <w:tblGrid>
        <w:gridCol w:w="2131"/>
        <w:gridCol w:w="146"/>
        <w:gridCol w:w="172"/>
        <w:gridCol w:w="548"/>
        <w:gridCol w:w="271"/>
        <w:gridCol w:w="146"/>
        <w:gridCol w:w="261"/>
        <w:gridCol w:w="834"/>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Volatility</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Contractual term (years)</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6" w:type="dxa"/>
            <w:tcBorders/>
            <w:vAlign w:val="center"/>
          </w:tcPr>
          <w:p>
            <w:pPr>
              <w:pStyle w:val="TableContents"/>
              <w:bidi w:val="0"/>
              <w:spacing w:before="0" w:after="0"/>
              <w:ind w:left="0" w:right="0" w:hanging="0"/>
              <w:jc w:val="left"/>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rate</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Black-Scholes pricing model requires the use of highly subjective assumptions to estimate the fair value of stock-based awards. These assumptions include the following estimates:</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i/>
          <w:sz w:val="20"/>
        </w:rPr>
        <w:t>Volatility:</w:t>
      </w:r>
      <w:r>
        <w:rPr/>
        <w:t xml:space="preserve"> </w:t>
      </w:r>
      <w:r>
        <w:rPr>
          <w:rFonts w:ascii="Times New Roman;serif" w:hAnsi="Times New Roman;serif"/>
          <w:b w:val="false"/>
          <w:sz w:val="20"/>
        </w:rPr>
        <w:t xml:space="preserve">The Company calculated the estimated volatility rate based on its historical volatility over the expected life of the warrants.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Contractual term:</w:t>
      </w:r>
      <w:r>
        <w:rPr/>
        <w:t xml:space="preserve"> </w:t>
      </w:r>
      <w:r>
        <w:rPr>
          <w:rFonts w:ascii="Times New Roman;serif" w:hAnsi="Times New Roman;serif"/>
          <w:b w:val="false"/>
          <w:sz w:val="20"/>
        </w:rPr>
        <w:t>The expected life of the warrants, which is based on the contractual term of the warrants.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Expected dividend yield:</w:t>
      </w:r>
      <w:r>
        <w:rPr/>
        <w:t xml:space="preserve"> </w:t>
      </w:r>
      <w:r>
        <w:rPr>
          <w:rFonts w:ascii="Times New Roman;serif" w:hAnsi="Times New Roman;serif"/>
          <w:b w:val="false"/>
          <w:sz w:val="20"/>
        </w:rPr>
        <w:t>The Company has never declared or paid any cash dividends and does not currently plan to pay cash dividends in the foreseeable future. Consequently, the Company used an expected dividend yield of zero.</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i/>
          <w:sz w:val="20"/>
        </w:rPr>
        <w:t>Risk-free rate:</w:t>
      </w:r>
      <w:r>
        <w:rPr/>
        <w:t xml:space="preserve"> </w:t>
      </w:r>
      <w:r>
        <w:rPr>
          <w:rFonts w:ascii="Times New Roman;serif" w:hAnsi="Times New Roman;serif"/>
          <w:b w:val="false"/>
          <w:sz w:val="20"/>
        </w:rPr>
        <w:t>The risk-free interest rate is based on the U.S. Treasury rate for similar periods as the expected life of the warrants.</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sz w:val="20"/>
        </w:rPr>
        <w:t>Note 6.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Facility 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operating lease for its headquarters facility office space in Redwood City, California began in June 2021</w:t>
      </w:r>
      <w:r>
        <w:rPr>
          <w:rFonts w:ascii="Times New Roman;serif" w:hAnsi="Times New Roman;serif"/>
          <w:sz w:val="20"/>
        </w:rPr>
        <w:t xml:space="preserve"> </w:t>
      </w:r>
      <w:r>
        <w:rPr>
          <w:rFonts w:ascii="Times New Roman;serif" w:hAnsi="Times New Roman;serif"/>
          <w:b w:val="false"/>
          <w:sz w:val="20"/>
        </w:rPr>
        <w:t>and expired in May 2023.</w:t>
      </w:r>
      <w:r>
        <w:rPr>
          <w:rFonts w:ascii="Times New Roman" w:hAnsi="Times New Roman"/>
          <w:sz w:val="20"/>
        </w:rPr>
        <w:t xml:space="preserve"> </w:t>
      </w:r>
      <w:r>
        <w:rPr>
          <w:rFonts w:ascii="Times New Roman;serif" w:hAnsi="Times New Roman;serif"/>
          <w:b w:val="false"/>
          <w:sz w:val="20"/>
        </w:rPr>
        <w:t>In April 2023, the Company entered into a twenty-four month lease extension commencing on June 1, 2023. The term of the lease extension expires in May 2025.</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recorded an increase to its right-of-use asset by $0.6</w:t>
      </w:r>
      <w:r>
        <w:rPr>
          <w:rFonts w:ascii="Times New Roman" w:hAnsi="Times New Roman"/>
          <w:sz w:val="20"/>
        </w:rPr>
        <w:t xml:space="preserve"> </w:t>
      </w:r>
      <w:r>
        <w:rPr>
          <w:rFonts w:ascii="Times New Roman;serif" w:hAnsi="Times New Roman;serif"/>
          <w:b w:val="false"/>
          <w:sz w:val="20"/>
        </w:rPr>
        <w:t>million and an increase to its lease liability by $0.6</w:t>
      </w:r>
      <w:r>
        <w:rPr>
          <w:rFonts w:ascii="Times New Roman" w:hAnsi="Times New Roman"/>
          <w:sz w:val="20"/>
        </w:rPr>
        <w:t xml:space="preserve"> </w:t>
      </w:r>
      <w:r>
        <w:rPr>
          <w:rFonts w:ascii="Times New Roman;serif" w:hAnsi="Times New Roman;serif"/>
          <w:b w:val="false"/>
          <w:sz w:val="20"/>
        </w:rPr>
        <w:t>million as a result of the lease extension. The weighted average discount rate related to the Company's lease liabilities as of June 30, 2023 was 8.25% over a remaining term of 23</w:t>
      </w:r>
      <w:r>
        <w:rPr>
          <w:rFonts w:ascii="Times New Roman" w:hAnsi="Times New Roman"/>
          <w:sz w:val="20"/>
        </w:rPr>
        <w:t xml:space="preserve"> </w:t>
      </w:r>
      <w:r>
        <w:rPr>
          <w:rFonts w:ascii="Times New Roman;serif" w:hAnsi="Times New Roman;serif"/>
          <w:b w:val="false"/>
          <w:sz w:val="20"/>
        </w:rPr>
        <w:t>months. The weighted average discount rate related to the Company's lease liabilities as of December 31, 2022 was 9% over a remaining term of 5 months. The discount rate was determined based on estimates of the Company’s incremental borrowing rate, as the discount rate implicit in the lease cannot be readily determined.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is a schedule by year of future maturities of the Company's operating lease liabilities as of June 30, 2023 (in thousands):</w:t>
      </w:r>
    </w:p>
    <w:p>
      <w:pPr>
        <w:pStyle w:val="TextBody"/>
        <w:bidi w:val="0"/>
        <w:spacing w:before="120" w:after="0"/>
        <w:jc w:val="left"/>
        <w:rPr/>
      </w:pPr>
      <w:r>
        <w:rPr/>
        <w:t> </w:t>
      </w:r>
    </w:p>
    <w:tbl>
      <w:tblPr>
        <w:tblW w:w="3605" w:type="dxa"/>
        <w:jc w:val="left"/>
        <w:tblInd w:w="0" w:type="dxa"/>
        <w:tblLayout w:type="fixed"/>
        <w:tblCellMar>
          <w:top w:w="28" w:type="dxa"/>
          <w:left w:w="28" w:type="dxa"/>
          <w:bottom w:w="28" w:type="dxa"/>
          <w:right w:w="28" w:type="dxa"/>
        </w:tblCellMar>
      </w:tblPr>
      <w:tblGrid>
        <w:gridCol w:w="2416"/>
        <w:gridCol w:w="211"/>
        <w:gridCol w:w="146"/>
        <w:gridCol w:w="421"/>
        <w:gridCol w:w="411"/>
      </w:tblGrid>
      <w:tr>
        <w:trPr/>
        <w:tc>
          <w:tcPr>
            <w:tcW w:w="2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(remainder of the year)</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411"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w:t>
            </w:r>
          </w:p>
        </w:tc>
        <w:tc>
          <w:tcPr>
            <w:tcW w:w="411"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211"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w:t>
            </w:r>
          </w:p>
        </w:tc>
        <w:tc>
          <w:tcPr>
            <w:tcW w:w="411"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interest</w:t>
            </w:r>
          </w:p>
        </w:tc>
        <w:tc>
          <w:tcPr>
            <w:tcW w:w="211"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components of lease expense during the three and six months ended June 30, 2023 and 2022 were as follows (in thousands):</w:t>
      </w:r>
    </w:p>
    <w:p>
      <w:pPr>
        <w:pStyle w:val="TextBody"/>
        <w:bidi w:val="0"/>
        <w:spacing w:before="120" w:after="0"/>
        <w:jc w:val="left"/>
        <w:rPr/>
      </w:pPr>
      <w:r>
        <w:rPr/>
        <w:t> </w:t>
      </w:r>
    </w:p>
    <w:tbl>
      <w:tblPr>
        <w:tblW w:w="6049" w:type="dxa"/>
        <w:jc w:val="left"/>
        <w:tblInd w:w="0" w:type="dxa"/>
        <w:tblLayout w:type="fixed"/>
        <w:tblCellMar>
          <w:top w:w="28" w:type="dxa"/>
          <w:left w:w="28" w:type="dxa"/>
          <w:bottom w:w="28" w:type="dxa"/>
          <w:right w:w="28" w:type="dxa"/>
        </w:tblCellMar>
      </w:tblPr>
      <w:tblGrid>
        <w:gridCol w:w="2206"/>
        <w:gridCol w:w="251"/>
        <w:gridCol w:w="377"/>
        <w:gridCol w:w="174"/>
        <w:gridCol w:w="174"/>
        <w:gridCol w:w="251"/>
        <w:gridCol w:w="377"/>
        <w:gridCol w:w="146"/>
        <w:gridCol w:w="146"/>
        <w:gridCol w:w="211"/>
        <w:gridCol w:w="421"/>
        <w:gridCol w:w="146"/>
        <w:gridCol w:w="146"/>
        <w:gridCol w:w="211"/>
        <w:gridCol w:w="421"/>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0"/>
              <w:ind w:left="0" w:right="0" w:hanging="0"/>
              <w:jc w:val="left"/>
              <w:rPr/>
            </w:pPr>
            <w:r>
              <w:rPr/>
              <w:t> </w:t>
            </w:r>
          </w:p>
        </w:tc>
        <w:tc>
          <w:tcPr>
            <w:tcW w:w="160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06" w:type="dxa"/>
            <w:tcBorders/>
            <w:vAlign w:val="center"/>
          </w:tcPr>
          <w:p>
            <w:pPr>
              <w:pStyle w:val="TableContents"/>
              <w:bidi w:val="0"/>
              <w:spacing w:before="0" w:after="0"/>
              <w:ind w:left="0" w:right="0" w:hanging="0"/>
              <w:jc w:val="left"/>
              <w:rPr/>
            </w:pPr>
            <w:r>
              <w:rPr/>
              <w:t> </w:t>
            </w:r>
          </w:p>
        </w:tc>
        <w:tc>
          <w:tcPr>
            <w:tcW w:w="6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4" w:type="dxa"/>
            <w:tcBorders/>
            <w:vAlign w:val="center"/>
          </w:tcPr>
          <w:p>
            <w:pPr>
              <w:pStyle w:val="TableContents"/>
              <w:bidi w:val="0"/>
              <w:spacing w:before="0" w:after="0"/>
              <w:ind w:left="0" w:right="0" w:hanging="0"/>
              <w:jc w:val="center"/>
              <w:rPr/>
            </w:pPr>
            <w:r>
              <w:rPr/>
              <w:t> </w:t>
            </w:r>
          </w:p>
        </w:tc>
        <w:tc>
          <w:tcPr>
            <w:tcW w:w="6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628" w:type="dxa"/>
            <w:gridSpan w:val="2"/>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62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74"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391" w:type="dxa"/>
            <w:tcBorders/>
            <w:vAlign w:val="center"/>
          </w:tcPr>
          <w:p>
            <w:pPr>
              <w:pStyle w:val="TableContents"/>
              <w:bidi w:val="0"/>
              <w:spacing w:before="0" w:after="0"/>
              <w:ind w:left="0" w:right="0" w:firstLine="200"/>
              <w:jc w:val="left"/>
              <w:rPr/>
            </w:pPr>
            <w:r>
              <w:rPr/>
              <w:t> </w:t>
            </w:r>
          </w:p>
        </w:tc>
      </w:tr>
      <w:tr>
        <w:trPr/>
        <w:tc>
          <w:tcPr>
            <w:tcW w:w="2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lease cost</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lease cost</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pPr>
            <w:r>
              <w:rPr/>
              <w:t> </w:t>
            </w:r>
          </w:p>
        </w:tc>
        <w:tc>
          <w:tcPr>
            <w:tcW w:w="628" w:type="dxa"/>
            <w:gridSpan w:val="2"/>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62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360" w:after="0"/>
        <w:jc w:val="left"/>
        <w:rPr>
          <w:rFonts w:ascii="Times New Roman" w:hAnsi="Times New Roman"/>
          <w:sz w:val="20"/>
        </w:rPr>
      </w:pPr>
      <w:r>
        <w:rPr>
          <w:rFonts w:ascii="Times New Roman;serif" w:hAnsi="Times New Roman;serif"/>
          <w:b/>
          <w:i/>
          <w:sz w:val="20"/>
        </w:rPr>
        <w:t>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Note 7. Stockholders’ Equity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Convertible Preferred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authorized to issue 10,000,000</w:t>
      </w:r>
      <w:r>
        <w:rPr>
          <w:rFonts w:ascii="Times New Roman" w:hAnsi="Times New Roman"/>
          <w:sz w:val="20"/>
        </w:rPr>
        <w:t xml:space="preserve"> </w:t>
      </w:r>
      <w:r>
        <w:rPr>
          <w:rFonts w:ascii="Times New Roman;serif" w:hAnsi="Times New Roman;serif"/>
          <w:b w:val="false"/>
          <w:sz w:val="20"/>
        </w:rPr>
        <w:t>shares of Preferred Stock.</w:t>
      </w:r>
      <w:r>
        <w:rPr>
          <w:rFonts w:ascii="Times New Roman" w:hAnsi="Times New Roman"/>
          <w:sz w:val="20"/>
        </w:rPr>
        <w:t xml:space="preserve"> </w:t>
      </w:r>
    </w:p>
    <w:p>
      <w:pPr>
        <w:pStyle w:val="TextBody"/>
        <w:bidi w:val="0"/>
        <w:spacing w:before="240" w:after="240"/>
        <w:jc w:val="left"/>
        <w:rPr>
          <w:rFonts w:ascii="Times New Roman;serif" w:hAnsi="Times New Roman;serif"/>
          <w:b/>
          <w:i/>
          <w:sz w:val="20"/>
        </w:rPr>
      </w:pPr>
      <w:r>
        <w:rPr>
          <w:rFonts w:ascii="Times New Roman;serif" w:hAnsi="Times New Roman;serif"/>
          <w:b/>
          <w:i/>
          <w:sz w:val="20"/>
        </w:rPr>
        <w:t>Securities Purchase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December 16, 2022, the Company entered into a Securities Purchase Agreement for a private placement (Private Placement) with certain entities and members of management (collectively, Purchasers). Pursuant to the Securities Purchase Agreement, the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Company agreed to sell to the Purchasers warrants to purchase up to an aggregate of 22,598,870</w:t>
      </w:r>
      <w:r>
        <w:rPr>
          <w:rFonts w:ascii="Times New Roman" w:hAnsi="Times New Roman"/>
          <w:sz w:val="20"/>
        </w:rPr>
        <w:t xml:space="preserve"> </w:t>
      </w:r>
      <w:r>
        <w:rPr>
          <w:rFonts w:ascii="Times New Roman;serif" w:hAnsi="Times New Roman;serif"/>
          <w:b w:val="false"/>
          <w:sz w:val="20"/>
        </w:rPr>
        <w:t>shares of the Company’s common stock, at a purchase price of $0.4425</w:t>
      </w:r>
      <w:r>
        <w:rPr>
          <w:rFonts w:ascii="Times New Roman" w:hAnsi="Times New Roman"/>
          <w:sz w:val="20"/>
        </w:rPr>
        <w:t xml:space="preserve"> </w:t>
      </w:r>
      <w:r>
        <w:rPr>
          <w:rFonts w:ascii="Times New Roman;serif" w:hAnsi="Times New Roman;serif"/>
          <w:b w:val="false"/>
          <w:sz w:val="20"/>
        </w:rPr>
        <w:t>per warrant. The closing of the Private Placement occurred on May 8, 2023 (the Issue Date), following the satisfaction of certain closing conditions, including</w:t>
      </w:r>
      <w:r>
        <w:rPr>
          <w:rFonts w:ascii="Times New Roman" w:hAnsi="Times New Roman"/>
          <w:sz w:val="20"/>
        </w:rPr>
        <w:t xml:space="preserve"> </w:t>
      </w:r>
      <w:r>
        <w:rPr>
          <w:rFonts w:ascii="Times New Roman;serif" w:hAnsi="Times New Roman;serif"/>
          <w:b w:val="false"/>
          <w:sz w:val="20"/>
        </w:rPr>
        <w:t>the completion of enrollment in the randomized withdrawal period of Study C602, an ongoing open-label extension study of DCCR for the treatment of PWS. The Company received gross proceeds of $10.0</w:t>
      </w:r>
      <w:r>
        <w:rPr>
          <w:rFonts w:ascii="Times New Roman" w:hAnsi="Times New Roman"/>
          <w:sz w:val="20"/>
        </w:rPr>
        <w:t xml:space="preserve"> </w:t>
      </w:r>
      <w:r>
        <w:rPr>
          <w:rFonts w:ascii="Times New Roman;serif" w:hAnsi="Times New Roman;serif"/>
          <w:b w:val="false"/>
          <w:sz w:val="20"/>
        </w:rPr>
        <w:t>million for the sale and issuance of warrants to purchase common stock.</w:t>
      </w:r>
    </w:p>
    <w:p>
      <w:pPr>
        <w:pStyle w:val="TextBody"/>
        <w:bidi w:val="0"/>
        <w:spacing w:before="120" w:after="0"/>
        <w:jc w:val="left"/>
        <w:rPr>
          <w:rFonts w:ascii="Times New Roman" w:hAnsi="Times New Roman"/>
          <w:sz w:val="20"/>
        </w:rPr>
      </w:pPr>
      <w:r>
        <w:rPr>
          <w:rFonts w:ascii="Times New Roman;serif" w:hAnsi="Times New Roman;serif"/>
          <w:b w:val="false"/>
          <w:sz w:val="20"/>
        </w:rPr>
        <w:t>The warrants are separated into two tranches with 8,598,870</w:t>
      </w:r>
      <w:r>
        <w:rPr>
          <w:rFonts w:ascii="Times New Roman" w:hAnsi="Times New Roman"/>
          <w:sz w:val="20"/>
        </w:rPr>
        <w:t xml:space="preserve"> </w:t>
      </w:r>
      <w:r>
        <w:rPr>
          <w:rFonts w:ascii="Times New Roman;serif" w:hAnsi="Times New Roman;serif"/>
          <w:b w:val="false"/>
          <w:sz w:val="20"/>
        </w:rPr>
        <w:t>Tranche A Warrants and 14,000,000</w:t>
      </w:r>
      <w:r>
        <w:rPr>
          <w:rFonts w:ascii="Times New Roman" w:hAnsi="Times New Roman"/>
          <w:sz w:val="20"/>
        </w:rPr>
        <w:t xml:space="preserve"> </w:t>
      </w:r>
      <w:r>
        <w:rPr>
          <w:rFonts w:ascii="Times New Roman;serif" w:hAnsi="Times New Roman;serif"/>
          <w:b w:val="false"/>
          <w:sz w:val="20"/>
        </w:rPr>
        <w:t>Tranche B Warrants. The Tranche A warrants are exercisable for $1.75</w:t>
      </w:r>
      <w:r>
        <w:rPr>
          <w:rFonts w:ascii="Times New Roman" w:hAnsi="Times New Roman"/>
          <w:sz w:val="20"/>
        </w:rPr>
        <w:t xml:space="preserve"> </w:t>
      </w:r>
      <w:r>
        <w:rPr>
          <w:rFonts w:ascii="Times New Roman;serif" w:hAnsi="Times New Roman;serif"/>
          <w:b w:val="false"/>
          <w:sz w:val="20"/>
        </w:rPr>
        <w:t>per share, with an aggregate exercise price of up to approximately $15.0</w:t>
      </w:r>
      <w:r>
        <w:rPr>
          <w:rFonts w:ascii="Times New Roman" w:hAnsi="Times New Roman"/>
          <w:sz w:val="20"/>
        </w:rPr>
        <w:t xml:space="preserve"> </w:t>
      </w:r>
      <w:r>
        <w:rPr>
          <w:rFonts w:ascii="Times New Roman;serif" w:hAnsi="Times New Roman;serif"/>
          <w:b w:val="false"/>
          <w:sz w:val="20"/>
        </w:rPr>
        <w:t>million, and the Tranche B warrants are exercisable for $2.50</w:t>
      </w:r>
      <w:r>
        <w:rPr>
          <w:rFonts w:ascii="Times New Roman" w:hAnsi="Times New Roman"/>
          <w:sz w:val="20"/>
        </w:rPr>
        <w:t xml:space="preserve"> </w:t>
      </w:r>
      <w:r>
        <w:rPr>
          <w:rFonts w:ascii="Times New Roman;serif" w:hAnsi="Times New Roman;serif"/>
          <w:b w:val="false"/>
          <w:sz w:val="20"/>
        </w:rPr>
        <w:t>per share, with an aggregate exercise price of up to $35.0</w:t>
      </w:r>
      <w:r>
        <w:rPr>
          <w:rFonts w:ascii="Times New Roman" w:hAnsi="Times New Roman"/>
          <w:sz w:val="20"/>
        </w:rPr>
        <w:t xml:space="preserve"> </w:t>
      </w:r>
      <w:r>
        <w:rPr>
          <w:rFonts w:ascii="Times New Roman;serif" w:hAnsi="Times New Roman;serif"/>
          <w:b w:val="false"/>
          <w:sz w:val="20"/>
        </w:rPr>
        <w:t>million. The Tranche A warrants are immediately exercisable and must be exercised within 30</w:t>
      </w:r>
      <w:r>
        <w:rPr>
          <w:rFonts w:ascii="Times New Roman" w:hAnsi="Times New Roman"/>
          <w:sz w:val="20"/>
        </w:rPr>
        <w:t xml:space="preserve"> </w:t>
      </w:r>
      <w:r>
        <w:rPr>
          <w:rFonts w:ascii="Times New Roman;serif" w:hAnsi="Times New Roman;serif"/>
          <w:b w:val="false"/>
          <w:sz w:val="20"/>
        </w:rPr>
        <w:t>days of announcement of positive top-line data from the randomized withdrawal period of Study C602 and will expire if positive top-line data is not announced prior to the 3.5</w:t>
      </w:r>
      <w:r>
        <w:rPr>
          <w:rFonts w:ascii="Times New Roman" w:hAnsi="Times New Roman"/>
          <w:sz w:val="20"/>
        </w:rPr>
        <w:t xml:space="preserve"> </w:t>
      </w:r>
      <w:r>
        <w:rPr>
          <w:rFonts w:ascii="Times New Roman;serif" w:hAnsi="Times New Roman;serif"/>
          <w:b w:val="false"/>
          <w:sz w:val="20"/>
        </w:rPr>
        <w:t>year anniversary of the date of issuance. As of June 30, 2023, such announcement has not occurred. The Tranche B warrants are also immediately exercisable and expire upon the earlier of 3.5</w:t>
      </w:r>
      <w:r>
        <w:rPr>
          <w:rFonts w:ascii="Times New Roman" w:hAnsi="Times New Roman"/>
          <w:sz w:val="20"/>
        </w:rPr>
        <w:t xml:space="preserve"> </w:t>
      </w:r>
      <w:r>
        <w:rPr>
          <w:rFonts w:ascii="Times New Roman;serif" w:hAnsi="Times New Roman;serif"/>
          <w:b w:val="false"/>
          <w:sz w:val="20"/>
        </w:rPr>
        <w:t>years from the date of issuance or 30</w:t>
      </w:r>
      <w:r>
        <w:rPr>
          <w:rFonts w:ascii="Times New Roman" w:hAnsi="Times New Roman"/>
          <w:sz w:val="20"/>
        </w:rPr>
        <w:t xml:space="preserve"> </w:t>
      </w:r>
      <w:r>
        <w:rPr>
          <w:rFonts w:ascii="Times New Roman;serif" w:hAnsi="Times New Roman;serif"/>
          <w:b w:val="false"/>
          <w:sz w:val="20"/>
        </w:rPr>
        <w:t>days following receipt of U.S. Food and Drug Administration approval of DCCR for the treatment of PWS.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Underwritten Public Offering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March 31, 2022, the Company sold 2,666,667</w:t>
      </w:r>
      <w:r>
        <w:rPr>
          <w:rFonts w:ascii="Times New Roman" w:hAnsi="Times New Roman"/>
          <w:sz w:val="20"/>
        </w:rPr>
        <w:t xml:space="preserve"> </w:t>
      </w:r>
      <w:r>
        <w:rPr>
          <w:rFonts w:ascii="Times New Roman;serif" w:hAnsi="Times New Roman;serif"/>
          <w:b w:val="false"/>
          <w:sz w:val="20"/>
        </w:rPr>
        <w:t>shares of its common stock at a public offering price of $3.75, and for certain investors, in lieu of common stock, pre-funded warrants (the 2022 pre-funded warrants) to purchase 1,333,333</w:t>
      </w:r>
      <w:r>
        <w:rPr>
          <w:rFonts w:ascii="Times New Roman" w:hAnsi="Times New Roman"/>
          <w:sz w:val="20"/>
        </w:rPr>
        <w:t xml:space="preserve"> </w:t>
      </w:r>
      <w:r>
        <w:rPr>
          <w:rFonts w:ascii="Times New Roman;serif" w:hAnsi="Times New Roman;serif"/>
          <w:b w:val="false"/>
          <w:sz w:val="20"/>
        </w:rPr>
        <w:t>shares of its common stock at a public offering price $3.60</w:t>
      </w:r>
      <w:r>
        <w:rPr>
          <w:rFonts w:ascii="Times New Roman" w:hAnsi="Times New Roman"/>
          <w:sz w:val="20"/>
        </w:rPr>
        <w:t xml:space="preserve"> </w:t>
      </w:r>
      <w:r>
        <w:rPr>
          <w:rFonts w:ascii="Times New Roman;serif" w:hAnsi="Times New Roman;serif"/>
          <w:b w:val="false"/>
          <w:sz w:val="20"/>
        </w:rPr>
        <w:t>per pre-funded warrant, which represents the per share public offering price for the common stock less the $0.15</w:t>
      </w:r>
      <w:r>
        <w:rPr>
          <w:rFonts w:ascii="Times New Roman" w:hAnsi="Times New Roman"/>
          <w:sz w:val="20"/>
        </w:rPr>
        <w:t xml:space="preserve"> </w:t>
      </w:r>
      <w:r>
        <w:rPr>
          <w:rFonts w:ascii="Times New Roman;serif" w:hAnsi="Times New Roman;serif"/>
          <w:b w:val="false"/>
          <w:sz w:val="20"/>
        </w:rPr>
        <w:t>per share exercise price for each 2022 pre-funded warrant. The 2022 pre-funded warrants are immediately exercisable and may be exercised at any time until all 2022 pre-funded warrants are exercised in full. Each share of common stock or 2022 pre-funded warrant was sold together with one, immediately exercisable, common warrant (the 2022 common warrants) with a five-year</w:t>
      </w:r>
      <w:r>
        <w:rPr>
          <w:rFonts w:ascii="Times New Roman" w:hAnsi="Times New Roman"/>
          <w:sz w:val="20"/>
        </w:rPr>
        <w:t xml:space="preserve"> </w:t>
      </w:r>
      <w:r>
        <w:rPr>
          <w:rFonts w:ascii="Times New Roman;serif" w:hAnsi="Times New Roman;serif"/>
          <w:b w:val="false"/>
          <w:sz w:val="20"/>
        </w:rPr>
        <w:t>term to purchase one share of common stock at an exercise price of $4.50</w:t>
      </w:r>
      <w:r>
        <w:rPr>
          <w:rFonts w:ascii="Times New Roman" w:hAnsi="Times New Roman"/>
          <w:sz w:val="20"/>
        </w:rPr>
        <w:t xml:space="preserve"> </w:t>
      </w:r>
      <w:r>
        <w:rPr>
          <w:rFonts w:ascii="Times New Roman;serif" w:hAnsi="Times New Roman;serif"/>
          <w:b w:val="false"/>
          <w:sz w:val="20"/>
        </w:rPr>
        <w:t>per share. The net proceeds of the offering were $13.8</w:t>
      </w:r>
      <w:r>
        <w:rPr>
          <w:rFonts w:ascii="Times New Roman" w:hAnsi="Times New Roman"/>
          <w:sz w:val="20"/>
        </w:rPr>
        <w:t xml:space="preserve"> </w:t>
      </w:r>
      <w:r>
        <w:rPr>
          <w:rFonts w:ascii="Times New Roman;serif" w:hAnsi="Times New Roman;serif"/>
          <w:b w:val="false"/>
          <w:sz w:val="20"/>
        </w:rPr>
        <w:t>million, after deducting the underwriting discount and other offering expenses.</w:t>
      </w:r>
      <w:r>
        <w:rPr>
          <w:rFonts w:ascii="Times New Roman" w:hAnsi="Times New Roman"/>
          <w:sz w:val="20"/>
        </w:rPr>
        <w:t xml:space="preserve"> </w:t>
      </w:r>
      <w:r>
        <w:rPr>
          <w:rFonts w:ascii="Times New Roman;serif" w:hAnsi="Times New Roman;serif"/>
          <w:b w:val="false"/>
          <w:sz w:val="20"/>
        </w:rPr>
        <w:t>The Company is not required under any circumstance to settle any of the 2022 pre-funded warrants or the 2022 common warrants for cash, and therefore classified both types of warrants as permanent equity.</w:t>
      </w:r>
    </w:p>
    <w:p>
      <w:pPr>
        <w:pStyle w:val="TextBody"/>
        <w:bidi w:val="0"/>
        <w:spacing w:before="240" w:after="0"/>
        <w:jc w:val="left"/>
        <w:rPr>
          <w:rFonts w:ascii="Times New Roman" w:hAnsi="Times New Roman"/>
          <w:sz w:val="20"/>
        </w:rPr>
      </w:pPr>
      <w:r>
        <w:rPr>
          <w:rFonts w:ascii="Times New Roman;serif" w:hAnsi="Times New Roman;serif"/>
          <w:b/>
          <w:i/>
          <w:sz w:val="20"/>
        </w:rPr>
        <w:t>At the Market Offering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July 2021, the Company entered into a Controlled Equity Offering Sales Agreement under which the Company may sell shares of its common stock having an aggregate offering price of up to $25.0</w:t>
      </w:r>
      <w:r>
        <w:rPr>
          <w:rFonts w:ascii="Times New Roman" w:hAnsi="Times New Roman"/>
          <w:sz w:val="20"/>
        </w:rPr>
        <w:t xml:space="preserve"> </w:t>
      </w:r>
      <w:r>
        <w:rPr>
          <w:rFonts w:ascii="Times New Roman;serif" w:hAnsi="Times New Roman;serif"/>
          <w:b w:val="false"/>
          <w:sz w:val="20"/>
        </w:rPr>
        <w:t>million from time to time in any method permitted by law deemed to be an “at the market” Rule 415 under the Securities Act of 1933, as amended. As of June 30, 2023, the Company has sold an aggregate of 1,877,170</w:t>
      </w:r>
      <w:r>
        <w:rPr>
          <w:rFonts w:ascii="Times New Roman" w:hAnsi="Times New Roman"/>
          <w:sz w:val="20"/>
        </w:rPr>
        <w:t xml:space="preserve"> </w:t>
      </w:r>
      <w:r>
        <w:rPr>
          <w:rFonts w:ascii="Times New Roman;serif" w:hAnsi="Times New Roman;serif"/>
          <w:b w:val="false"/>
          <w:sz w:val="20"/>
        </w:rPr>
        <w:t>shares of common stock through the at the market program, totaling $7.4</w:t>
      </w:r>
      <w:r>
        <w:rPr>
          <w:rFonts w:ascii="Times New Roman" w:hAnsi="Times New Roman"/>
          <w:sz w:val="20"/>
        </w:rPr>
        <w:t xml:space="preserve"> </w:t>
      </w:r>
      <w:r>
        <w:rPr>
          <w:rFonts w:ascii="Times New Roman;serif" w:hAnsi="Times New Roman;serif"/>
          <w:b w:val="false"/>
          <w:sz w:val="20"/>
        </w:rPr>
        <w:t>million in net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Other Common Stock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Company had 6,804</w:t>
      </w:r>
      <w:r>
        <w:rPr>
          <w:rFonts w:ascii="Times New Roman" w:hAnsi="Times New Roman"/>
          <w:sz w:val="20"/>
        </w:rPr>
        <w:t xml:space="preserve"> </w:t>
      </w:r>
      <w:r>
        <w:rPr>
          <w:rFonts w:ascii="Times New Roman;serif" w:hAnsi="Times New Roman;serif"/>
          <w:b w:val="false"/>
          <w:sz w:val="20"/>
        </w:rPr>
        <w:t>common stock warrants outstanding from the 2010/2012 convertible notes, with an exercise price of $365.25</w:t>
      </w:r>
      <w:r>
        <w:rPr>
          <w:rFonts w:ascii="Times New Roman" w:hAnsi="Times New Roman"/>
          <w:sz w:val="20"/>
        </w:rPr>
        <w:t xml:space="preserve"> </w:t>
      </w:r>
      <w:r>
        <w:rPr>
          <w:rFonts w:ascii="Times New Roman;serif" w:hAnsi="Times New Roman;serif"/>
          <w:b w:val="false"/>
          <w:sz w:val="20"/>
        </w:rPr>
        <w:t>and a term of 10</w:t>
      </w:r>
      <w:r>
        <w:rPr>
          <w:rFonts w:ascii="Times New Roman" w:hAnsi="Times New Roman"/>
          <w:sz w:val="20"/>
        </w:rPr>
        <w:t xml:space="preserve"> </w:t>
      </w:r>
      <w:r>
        <w:rPr>
          <w:rFonts w:ascii="Times New Roman;serif" w:hAnsi="Times New Roman;serif"/>
          <w:b w:val="false"/>
          <w:sz w:val="20"/>
        </w:rPr>
        <w:t>years expiring in November 2024. The Company also had 1,100</w:t>
      </w:r>
      <w:r>
        <w:rPr>
          <w:rFonts w:ascii="Times New Roman" w:hAnsi="Times New Roman"/>
          <w:sz w:val="20"/>
        </w:rPr>
        <w:t xml:space="preserve"> </w:t>
      </w:r>
      <w:r>
        <w:rPr>
          <w:rFonts w:ascii="Times New Roman;serif" w:hAnsi="Times New Roman;serif"/>
          <w:b w:val="false"/>
          <w:sz w:val="20"/>
        </w:rPr>
        <w:t>common stock warrants issued to the underwriter in the Company’s IPO, with an exercise price of $535.50</w:t>
      </w:r>
      <w:r>
        <w:rPr>
          <w:rFonts w:ascii="Times New Roman" w:hAnsi="Times New Roman"/>
          <w:sz w:val="20"/>
        </w:rPr>
        <w:t xml:space="preserve"> </w:t>
      </w:r>
      <w:r>
        <w:rPr>
          <w:rFonts w:ascii="Times New Roman;serif" w:hAnsi="Times New Roman;serif"/>
          <w:b w:val="false"/>
          <w:sz w:val="20"/>
        </w:rPr>
        <w:t>and a term of 10</w:t>
      </w:r>
      <w:r>
        <w:rPr>
          <w:rFonts w:ascii="Times New Roman" w:hAnsi="Times New Roman"/>
          <w:sz w:val="20"/>
        </w:rPr>
        <w:t xml:space="preserve"> </w:t>
      </w:r>
      <w:r>
        <w:rPr>
          <w:rFonts w:ascii="Times New Roman;serif" w:hAnsi="Times New Roman;serif"/>
          <w:b w:val="false"/>
          <w:sz w:val="20"/>
        </w:rPr>
        <w:t>years, expiring in November 2024.</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and December 31, 2022, the following table summarizes the Company's outstanding common stock warrants:</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1345"/>
        <w:gridCol w:w="146"/>
        <w:gridCol w:w="203"/>
        <w:gridCol w:w="1444"/>
        <w:gridCol w:w="146"/>
        <w:gridCol w:w="146"/>
        <w:gridCol w:w="373"/>
        <w:gridCol w:w="1196"/>
        <w:gridCol w:w="146"/>
        <w:gridCol w:w="146"/>
        <w:gridCol w:w="213"/>
        <w:gridCol w:w="1359"/>
        <w:gridCol w:w="146"/>
        <w:gridCol w:w="146"/>
        <w:gridCol w:w="373"/>
        <w:gridCol w:w="1196"/>
        <w:gridCol w:w="146"/>
        <w:gridCol w:w="146"/>
        <w:gridCol w:w="1189"/>
      </w:tblGrid>
      <w:tr>
        <w:trPr/>
        <w:tc>
          <w:tcPr>
            <w:tcW w:w="1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34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50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43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9" w:type="dxa"/>
            <w:tcBorders/>
            <w:vAlign w:val="center"/>
          </w:tcPr>
          <w:p>
            <w:pPr>
              <w:pStyle w:val="TableContents"/>
              <w:bidi w:val="0"/>
              <w:spacing w:before="0" w:after="0"/>
              <w:ind w:left="0" w:right="0" w:hanging="0"/>
              <w:jc w:val="center"/>
              <w:rPr/>
            </w:pPr>
            <w:r>
              <w:rPr/>
              <w:t> </w:t>
            </w:r>
          </w:p>
        </w:tc>
      </w:tr>
      <w:tr>
        <w:trPr/>
        <w:tc>
          <w:tcPr>
            <w:tcW w:w="134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Common Warrant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Exercise Price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Common Warrant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Exercise Price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Expiration Date</w:t>
            </w:r>
          </w:p>
        </w:tc>
      </w:tr>
      <w:tr>
        <w:trPr/>
        <w:tc>
          <w:tcPr>
            <w:tcW w:w="13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warrants</w:t>
            </w:r>
          </w:p>
        </w:tc>
        <w:tc>
          <w:tcPr>
            <w:tcW w:w="1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pPr>
            <w:r>
              <w:rPr/>
              <w:t> </w:t>
            </w:r>
          </w:p>
        </w:tc>
        <w:tc>
          <w:tcPr>
            <w:tcW w:w="1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November 2024</w:t>
            </w:r>
          </w:p>
        </w:tc>
      </w:tr>
      <w:tr>
        <w:trPr/>
        <w:tc>
          <w:tcPr>
            <w:tcW w:w="13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2018 PIPE warrants</w:t>
            </w:r>
          </w:p>
        </w:tc>
        <w:tc>
          <w:tcPr>
            <w:tcW w:w="1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pPr>
            <w:r>
              <w:rPr/>
              <w:t> </w:t>
            </w:r>
          </w:p>
        </w:tc>
        <w:tc>
          <w:tcPr>
            <w:tcW w:w="1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December 2023</w:t>
            </w:r>
          </w:p>
        </w:tc>
      </w:tr>
      <w:tr>
        <w:trPr/>
        <w:tc>
          <w:tcPr>
            <w:tcW w:w="13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2022 Common warrants</w:t>
            </w:r>
          </w:p>
        </w:tc>
        <w:tc>
          <w:tcPr>
            <w:tcW w:w="1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pPr>
            <w:r>
              <w:rPr/>
              <w:t> </w:t>
            </w:r>
          </w:p>
        </w:tc>
        <w:tc>
          <w:tcPr>
            <w:tcW w:w="1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2027</w:t>
            </w:r>
          </w:p>
        </w:tc>
      </w:tr>
      <w:tr>
        <w:trPr/>
        <w:tc>
          <w:tcPr>
            <w:tcW w:w="13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2022 Pre-funded warrants</w:t>
            </w:r>
          </w:p>
        </w:tc>
        <w:tc>
          <w:tcPr>
            <w:tcW w:w="1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pPr>
            <w:r>
              <w:rPr/>
              <w:t> </w:t>
            </w:r>
          </w:p>
        </w:tc>
        <w:tc>
          <w:tcPr>
            <w:tcW w:w="1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1,280,965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1,280,965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2027</w:t>
            </w:r>
          </w:p>
        </w:tc>
      </w:tr>
      <w:tr>
        <w:trPr/>
        <w:tc>
          <w:tcPr>
            <w:tcW w:w="13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Tranche A warrants</w:t>
            </w:r>
          </w:p>
        </w:tc>
        <w:tc>
          <w:tcPr>
            <w:tcW w:w="146" w:type="dxa"/>
            <w:tcBorders/>
            <w:vAlign w:val="center"/>
          </w:tcPr>
          <w:p>
            <w:pPr>
              <w:pStyle w:val="TableContents"/>
              <w:bidi w:val="0"/>
              <w:spacing w:before="0" w:after="0"/>
              <w:ind w:left="0" w:right="0" w:hanging="0"/>
              <w:jc w:val="right"/>
              <w:rPr/>
            </w:pPr>
            <w:r>
              <w:rPr/>
              <w:t> </w:t>
            </w:r>
          </w:p>
        </w:tc>
        <w:tc>
          <w:tcPr>
            <w:tcW w:w="203" w:type="dxa"/>
            <w:tcBorders/>
            <w:vAlign w:val="center"/>
          </w:tcPr>
          <w:p>
            <w:pPr>
              <w:pStyle w:val="TableContents"/>
              <w:bidi w:val="0"/>
              <w:spacing w:before="0" w:after="0"/>
              <w:ind w:left="0" w:right="0" w:hanging="0"/>
              <w:jc w:val="left"/>
              <w:rPr/>
            </w:pPr>
            <w:r>
              <w:rPr/>
              <w:t> </w:t>
            </w:r>
          </w:p>
        </w:tc>
        <w:tc>
          <w:tcPr>
            <w:tcW w:w="14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8,598,870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135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9"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November 2026</w:t>
            </w:r>
            <w:r>
              <w:rPr>
                <w:rFonts w:ascii="Times New Roman" w:hAnsi="Times New Roman"/>
                <w:sz w:val="20"/>
              </w:rPr>
              <w:t xml:space="preserve"> </w:t>
            </w:r>
            <w:r>
              <w:rPr>
                <w:rFonts w:ascii="Times New Roman;serif" w:hAnsi="Times New Roman;serif"/>
                <w:b w:val="false"/>
                <w:sz w:val="13"/>
              </w:rPr>
              <w:t>(1)</w:t>
            </w:r>
          </w:p>
        </w:tc>
      </w:tr>
      <w:tr>
        <w:trPr/>
        <w:tc>
          <w:tcPr>
            <w:tcW w:w="13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Tranche B warrants</w:t>
            </w:r>
          </w:p>
        </w:tc>
        <w:tc>
          <w:tcPr>
            <w:tcW w:w="146" w:type="dxa"/>
            <w:tcBorders/>
            <w:vAlign w:val="center"/>
          </w:tcPr>
          <w:p>
            <w:pPr>
              <w:pStyle w:val="TableContents"/>
              <w:bidi w:val="0"/>
              <w:spacing w:before="0" w:after="0"/>
              <w:ind w:left="0" w:right="0" w:hanging="0"/>
              <w:jc w:val="right"/>
              <w:rPr/>
            </w:pPr>
            <w:r>
              <w:rPr/>
              <w:t> </w:t>
            </w:r>
          </w:p>
        </w:tc>
        <w:tc>
          <w:tcPr>
            <w:tcW w:w="2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9"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November 2026</w:t>
            </w:r>
            <w:r>
              <w:rPr>
                <w:rFonts w:ascii="Times New Roman" w:hAnsi="Times New Roman"/>
                <w:sz w:val="20"/>
              </w:rPr>
              <w:t> </w:t>
            </w:r>
            <w:r>
              <w:rPr>
                <w:rFonts w:ascii="Times New Roman;serif" w:hAnsi="Times New Roman;serif"/>
                <w:b w:val="false"/>
                <w:sz w:val="13"/>
              </w:rPr>
              <w:t>(1)</w:t>
            </w:r>
          </w:p>
        </w:tc>
      </w:tr>
      <w:tr>
        <w:trPr/>
        <w:tc>
          <w:tcPr>
            <w:tcW w:w="13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2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27,921,980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5,323,110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6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9" w:type="dxa"/>
            <w:tcBorders/>
            <w:vAlign w:val="center"/>
          </w:tcPr>
          <w:p>
            <w:pPr>
              <w:pStyle w:val="TableContents"/>
              <w:bidi w:val="0"/>
              <w:spacing w:before="0" w:after="0"/>
              <w:ind w:left="0" w:right="0" w:hanging="0"/>
              <w:jc w:val="center"/>
              <w:rPr/>
            </w:pPr>
            <w:r>
              <w:rPr/>
              <w:t> </w:t>
            </w:r>
          </w:p>
        </w:tc>
      </w:tr>
      <w:tr>
        <w:trPr/>
        <w:tc>
          <w:tcPr>
            <w:tcW w:w="13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6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5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56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89" w:type="dxa"/>
            <w:tcBorders/>
            <w:vAlign w:val="center"/>
          </w:tcPr>
          <w:p>
            <w:pPr>
              <w:pStyle w:val="TableContents"/>
              <w:bidi w:val="0"/>
              <w:spacing w:before="0" w:after="0"/>
              <w:ind w:left="0" w:right="0" w:hanging="0"/>
              <w:jc w:val="righ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Subject to earlier expiration as described above.</w:t>
      </w:r>
    </w:p>
    <w:p>
      <w:pPr>
        <w:pStyle w:val="TextBody"/>
        <w:bidi w:val="0"/>
        <w:spacing w:before="240" w:after="0"/>
        <w:jc w:val="left"/>
        <w:rPr>
          <w:rFonts w:ascii="Times New Roman" w:hAnsi="Times New Roman"/>
          <w:sz w:val="20"/>
        </w:rPr>
      </w:pPr>
      <w:r>
        <w:rPr>
          <w:rFonts w:ascii="Times New Roman;serif" w:hAnsi="Times New Roman;serif"/>
          <w:b/>
          <w:i/>
          <w:sz w:val="20"/>
        </w:rPr>
        <w:t>Equity Incentive Plans</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2014 Plan</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for service-based stock options is normally monthly over a period of 4</w:t>
      </w:r>
      <w:r>
        <w:rPr>
          <w:rFonts w:ascii="Times New Roman" w:hAnsi="Times New Roman"/>
          <w:sz w:val="20"/>
        </w:rPr>
        <w:t xml:space="preserve"> </w:t>
      </w:r>
      <w:r>
        <w:rPr>
          <w:rFonts w:ascii="Times New Roman;serif" w:hAnsi="Times New Roman;serif"/>
          <w:b w:val="false"/>
          <w:sz w:val="20"/>
        </w:rPr>
        <w:t>years from the vesting date. Performance-based grants have vesting contingent upon the achievement of certain performance criteria related to the Company’s commercialization of its therapeutics. The contractual term of an option is no longer than five years</w:t>
      </w:r>
      <w:r>
        <w:rPr>
          <w:rFonts w:ascii="Times New Roman" w:hAnsi="Times New Roman"/>
          <w:sz w:val="20"/>
        </w:rPr>
        <w:t xml:space="preserve"> </w:t>
      </w:r>
      <w:r>
        <w:rPr>
          <w:rFonts w:ascii="Times New Roman;serif" w:hAnsi="Times New Roman;serif"/>
          <w:b w:val="false"/>
          <w:sz w:val="20"/>
        </w:rPr>
        <w:t>for ISOs for which the grantee owns greater than 10% of the voting power of all classes of stock and no longer than ten years</w:t>
      </w:r>
      <w:r>
        <w:rPr>
          <w:rFonts w:ascii="Times New Roman" w:hAnsi="Times New Roman"/>
          <w:sz w:val="20"/>
        </w:rPr>
        <w:t xml:space="preserve"> </w:t>
      </w:r>
      <w:r>
        <w:rPr>
          <w:rFonts w:ascii="Times New Roman;serif" w:hAnsi="Times New Roman;serif"/>
          <w:b w:val="false"/>
          <w:sz w:val="20"/>
        </w:rPr>
        <w:t>for all other options. The terms and conditions governing restricted stock units is at the sole discretion of the Board.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March 23, 2023, the Company filed a Registration Statement on Form S-8 which registered 238,329</w:t>
      </w:r>
      <w:r>
        <w:rPr>
          <w:rFonts w:ascii="Times New Roman" w:hAnsi="Times New Roman"/>
          <w:sz w:val="20"/>
        </w:rPr>
        <w:t xml:space="preserve"> </w:t>
      </w:r>
      <w:r>
        <w:rPr>
          <w:rFonts w:ascii="Times New Roman;serif" w:hAnsi="Times New Roman;serif"/>
          <w:b w:val="false"/>
          <w:sz w:val="20"/>
        </w:rPr>
        <w:t>shares available for grant and issuance under the 2014 Plan, all of which became available for grant and issuance under the 2014 Plan on January 1, 2023. On May 25, 2023, the stockholders approved the Amended and Restated 2014 Plan which included an increase of $1.8</w:t>
      </w:r>
      <w:r>
        <w:rPr>
          <w:rFonts w:ascii="Times New Roman" w:hAnsi="Times New Roman"/>
          <w:sz w:val="20"/>
        </w:rPr>
        <w:t xml:space="preserve"> </w:t>
      </w:r>
      <w:r>
        <w:rPr>
          <w:rFonts w:ascii="Times New Roman;serif" w:hAnsi="Times New Roman;serif"/>
          <w:b w:val="false"/>
          <w:sz w:val="20"/>
        </w:rPr>
        <w:t>million shares available for grant and issuance. As of June 30, 2023, a total of 94,190</w:t>
      </w:r>
      <w:r>
        <w:rPr>
          <w:rFonts w:ascii="Times New Roman" w:hAnsi="Times New Roman"/>
          <w:sz w:val="20"/>
        </w:rPr>
        <w:t xml:space="preserve"> </w:t>
      </w:r>
      <w:r>
        <w:rPr>
          <w:rFonts w:ascii="Times New Roman;serif" w:hAnsi="Times New Roman;serif"/>
          <w:b w:val="false"/>
          <w:sz w:val="20"/>
        </w:rPr>
        <w:t>shares are available for future grant under the 2014 Plan.</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Inducement Plan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maintains the</w:t>
      </w:r>
      <w:r>
        <w:rPr>
          <w:rFonts w:ascii="Times New Roman" w:hAnsi="Times New Roman"/>
          <w:sz w:val="20"/>
        </w:rPr>
        <w:t xml:space="preserve"> </w:t>
      </w:r>
      <w:r>
        <w:rPr>
          <w:rFonts w:ascii="Times New Roman;serif" w:hAnsi="Times New Roman;serif"/>
          <w:b w:val="false"/>
          <w:sz w:val="20"/>
        </w:rPr>
        <w:t>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pStyle w:val="TextBody"/>
        <w:bidi w:val="0"/>
        <w:spacing w:before="120" w:after="0"/>
        <w:jc w:val="left"/>
        <w:rPr>
          <w:rFonts w:ascii="Times New Roman" w:hAnsi="Times New Roman"/>
          <w:sz w:val="20"/>
        </w:rPr>
      </w:pPr>
      <w:r>
        <w:rPr>
          <w:rFonts w:ascii="Times New Roman;serif" w:hAnsi="Times New Roman;serif"/>
          <w:b w:val="false"/>
          <w:sz w:val="20"/>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On March 23, 2023, the Company filed a Registration Statement on Form S-8 which registered 500,000</w:t>
      </w:r>
      <w:r>
        <w:rPr>
          <w:rFonts w:ascii="Times New Roman" w:hAnsi="Times New Roman"/>
          <w:sz w:val="20"/>
        </w:rPr>
        <w:t xml:space="preserve"> </w:t>
      </w:r>
      <w:r>
        <w:rPr>
          <w:rFonts w:ascii="Times New Roman;serif" w:hAnsi="Times New Roman;serif"/>
          <w:b w:val="false"/>
          <w:sz w:val="20"/>
        </w:rPr>
        <w:t>shares available for issuance under the Inducement Plan, all of which became available for grant and issuance under the Inducement Plan on February 17, 2023.</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 total of 588,585</w:t>
      </w:r>
      <w:r>
        <w:rPr>
          <w:rFonts w:ascii="Times New Roman" w:hAnsi="Times New Roman"/>
          <w:sz w:val="20"/>
        </w:rPr>
        <w:t xml:space="preserve"> </w:t>
      </w:r>
      <w:r>
        <w:rPr>
          <w:rFonts w:ascii="Times New Roman;serif" w:hAnsi="Times New Roman;serif"/>
          <w:b w:val="false"/>
          <w:sz w:val="20"/>
        </w:rPr>
        <w:t>shares are available for future grant under the Inducement Plan.</w:t>
      </w:r>
    </w:p>
    <w:p>
      <w:pPr>
        <w:pStyle w:val="TextBody"/>
        <w:bidi w:val="0"/>
        <w:spacing w:before="240" w:after="0"/>
        <w:jc w:val="left"/>
        <w:rPr>
          <w:rFonts w:ascii="Times New Roman;serif" w:hAnsi="Times New Roman;serif"/>
          <w:b/>
          <w:sz w:val="20"/>
        </w:rPr>
      </w:pPr>
      <w:r>
        <w:rPr>
          <w:rFonts w:ascii="Times New Roman;serif" w:hAnsi="Times New Roman;serif"/>
          <w:b/>
          <w:sz w:val="20"/>
        </w:rPr>
        <w:t>Stock-based compensation expense</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recognizes stock-based compensation expense related to options and restricted stock units granted to employees, directors and consultants. The compensation expense is allocated on a departmental basis, based on the classification of the award holder. No</w:t>
      </w:r>
      <w:r>
        <w:rPr>
          <w:rFonts w:ascii="Times New Roman" w:hAnsi="Times New Roman"/>
          <w:sz w:val="20"/>
        </w:rPr>
        <w:t xml:space="preserve"> </w:t>
      </w:r>
      <w:r>
        <w:rPr>
          <w:rFonts w:ascii="Times New Roman;serif" w:hAnsi="Times New Roman;serif"/>
          <w:b w:val="false"/>
          <w:sz w:val="20"/>
        </w:rPr>
        <w:t>income tax benefits have been recognized in the condensed consolidated statements of operations and comprehensive loss for stock-based compensation arrangements during any of the periods presented.</w:t>
      </w:r>
    </w:p>
    <w:p>
      <w:pPr>
        <w:pStyle w:val="TextBody"/>
        <w:bidi w:val="0"/>
        <w:spacing w:before="120" w:after="0"/>
        <w:jc w:val="left"/>
        <w:rPr>
          <w:rFonts w:ascii="Times New Roman" w:hAnsi="Times New Roman"/>
          <w:sz w:val="20"/>
        </w:rPr>
      </w:pPr>
      <w:r>
        <w:rPr>
          <w:rFonts w:ascii="Times New Roman;serif" w:hAnsi="Times New Roman;serif"/>
          <w:b w:val="false"/>
          <w:sz w:val="20"/>
        </w:rPr>
        <w:t>Stock-based compensation expense was recognized in the condensed consolidated statements of operations and comprehensive loss as follows (in thousands):</w:t>
      </w:r>
      <w:r>
        <w:rPr>
          <w:rFonts w:ascii="Times New Roman" w:hAnsi="Times New Roman"/>
          <w:sz w:val="20"/>
        </w:rPr>
        <w:t xml:space="preserve"> </w:t>
      </w:r>
    </w:p>
    <w:tbl>
      <w:tblPr>
        <w:tblW w:w="7325" w:type="dxa"/>
        <w:jc w:val="left"/>
        <w:tblInd w:w="0" w:type="dxa"/>
        <w:tblLayout w:type="fixed"/>
        <w:tblCellMar>
          <w:top w:w="28" w:type="dxa"/>
          <w:left w:w="28" w:type="dxa"/>
          <w:bottom w:w="28" w:type="dxa"/>
          <w:right w:w="28" w:type="dxa"/>
        </w:tblCellMar>
      </w:tblPr>
      <w:tblGrid>
        <w:gridCol w:w="2311"/>
        <w:gridCol w:w="280"/>
        <w:gridCol w:w="758"/>
        <w:gridCol w:w="193"/>
        <w:gridCol w:w="193"/>
        <w:gridCol w:w="280"/>
        <w:gridCol w:w="559"/>
        <w:gridCol w:w="146"/>
        <w:gridCol w:w="146"/>
        <w:gridCol w:w="235"/>
        <w:gridCol w:w="637"/>
        <w:gridCol w:w="162"/>
        <w:gridCol w:w="162"/>
        <w:gridCol w:w="235"/>
        <w:gridCol w:w="637"/>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center"/>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center"/>
              <w:rPr/>
            </w:pPr>
            <w:r>
              <w:rPr/>
              <w:t> </w:t>
            </w:r>
          </w:p>
        </w:tc>
        <w:tc>
          <w:tcPr>
            <w:tcW w:w="10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3" w:type="dxa"/>
            <w:tcBorders/>
            <w:vAlign w:val="center"/>
          </w:tcPr>
          <w:p>
            <w:pPr>
              <w:pStyle w:val="TableContents"/>
              <w:bidi w:val="0"/>
              <w:spacing w:before="0" w:after="0"/>
              <w:ind w:left="0" w:right="0" w:hanging="0"/>
              <w:jc w:val="left"/>
              <w:rPr/>
            </w:pPr>
            <w:r>
              <w:rPr/>
              <w:t> </w:t>
            </w:r>
          </w:p>
        </w:tc>
        <w:tc>
          <w:tcPr>
            <w:tcW w:w="8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w:t>
            </w:r>
          </w:p>
        </w:tc>
        <w:tc>
          <w:tcPr>
            <w:tcW w:w="193"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3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734</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3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1,835</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sz w:val="20"/>
        </w:rPr>
      </w:pPr>
      <w:r>
        <w:rPr>
          <w:rFonts w:ascii="Times New Roman;serif" w:hAnsi="Times New Roman;serif"/>
          <w:b/>
          <w:sz w:val="20"/>
        </w:rPr>
        <w:t>Stock Options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granted options to purchase 1,346,454</w:t>
      </w:r>
      <w:r>
        <w:rPr>
          <w:rFonts w:ascii="Times New Roman" w:hAnsi="Times New Roman"/>
          <w:sz w:val="20"/>
        </w:rPr>
        <w:t xml:space="preserve"> </w:t>
      </w:r>
      <w:r>
        <w:rPr>
          <w:rFonts w:ascii="Times New Roman;serif" w:hAnsi="Times New Roman;serif"/>
          <w:b w:val="false"/>
          <w:sz w:val="20"/>
        </w:rPr>
        <w:t>and 219,310</w:t>
      </w:r>
      <w:r>
        <w:rPr>
          <w:rFonts w:ascii="Times New Roman" w:hAnsi="Times New Roman"/>
          <w:sz w:val="20"/>
        </w:rPr>
        <w:t xml:space="preserve"> </w:t>
      </w:r>
      <w:r>
        <w:rPr>
          <w:rFonts w:ascii="Times New Roman;serif" w:hAnsi="Times New Roman;serif"/>
          <w:b w:val="false"/>
          <w:sz w:val="20"/>
        </w:rPr>
        <w:t>shares of the Company’s common stock during the three months ended June 30, 2023 and 2022, respectively, and granted options to purchase 1,586,454</w:t>
      </w:r>
      <w:r>
        <w:rPr>
          <w:rFonts w:ascii="Times New Roman" w:hAnsi="Times New Roman"/>
          <w:sz w:val="20"/>
        </w:rPr>
        <w:t xml:space="preserve"> </w:t>
      </w:r>
      <w:r>
        <w:rPr>
          <w:rFonts w:ascii="Times New Roman;serif" w:hAnsi="Times New Roman;serif"/>
          <w:b w:val="false"/>
          <w:sz w:val="20"/>
        </w:rPr>
        <w:t>and 225,854</w:t>
      </w:r>
      <w:r>
        <w:rPr>
          <w:rFonts w:ascii="Times New Roman" w:hAnsi="Times New Roman"/>
          <w:sz w:val="20"/>
        </w:rPr>
        <w:t xml:space="preserve"> </w:t>
      </w:r>
      <w:r>
        <w:rPr>
          <w:rFonts w:ascii="Times New Roman;serif" w:hAnsi="Times New Roman;serif"/>
          <w:b w:val="false"/>
          <w:sz w:val="20"/>
        </w:rPr>
        <w:t>of the Company's common stock during the six months ended June 30, 2023 and 2022, respectively. There were no performance-based options granted during the three and six months ended June 30, 2023 and 2022, respectively. The fair value of each award granted was estimated on the date of grant using the Black-Scholes option pricing model with the following assumptions:</w:t>
      </w:r>
    </w:p>
    <w:p>
      <w:pPr>
        <w:pStyle w:val="TextBody"/>
        <w:bidi w:val="0"/>
        <w:spacing w:before="0" w:after="0"/>
        <w:jc w:val="left"/>
        <w:rPr/>
      </w:pPr>
      <w:r>
        <w:rPr/>
        <w:t> </w:t>
      </w:r>
    </w:p>
    <w:tbl>
      <w:tblPr>
        <w:tblW w:w="6459" w:type="dxa"/>
        <w:jc w:val="left"/>
        <w:tblInd w:w="0" w:type="dxa"/>
        <w:tblLayout w:type="fixed"/>
        <w:tblCellMar>
          <w:top w:w="28" w:type="dxa"/>
          <w:left w:w="28" w:type="dxa"/>
          <w:bottom w:w="28" w:type="dxa"/>
          <w:right w:w="28" w:type="dxa"/>
        </w:tblCellMar>
      </w:tblPr>
      <w:tblGrid>
        <w:gridCol w:w="1846"/>
        <w:gridCol w:w="1102"/>
        <w:gridCol w:w="159"/>
        <w:gridCol w:w="1003"/>
        <w:gridCol w:w="146"/>
        <w:gridCol w:w="1006"/>
        <w:gridCol w:w="146"/>
        <w:gridCol w:w="1051"/>
      </w:tblGrid>
      <w:tr>
        <w:trPr/>
        <w:tc>
          <w:tcPr>
            <w:tcW w:w="184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pPr>
            <w:r>
              <w:rPr/>
              <w:t> </w:t>
            </w:r>
          </w:p>
        </w:tc>
        <w:tc>
          <w:tcPr>
            <w:tcW w:w="226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0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r>
      <w:tr>
        <w:trPr/>
        <w:tc>
          <w:tcPr>
            <w:tcW w:w="1846" w:type="dxa"/>
            <w:tcBorders/>
            <w:vAlign w:val="center"/>
          </w:tcPr>
          <w:p>
            <w:pPr>
              <w:pStyle w:val="TableContents"/>
              <w:bidi w:val="0"/>
              <w:spacing w:before="0" w:after="0"/>
              <w:ind w:left="0" w:right="0" w:hanging="0"/>
              <w:jc w:val="left"/>
              <w:rPr/>
            </w:pPr>
            <w:r>
              <w:rPr/>
              <w:t> </w:t>
            </w:r>
          </w:p>
        </w:tc>
        <w:tc>
          <w:tcPr>
            <w:tcW w:w="11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(years)</w:t>
            </w:r>
          </w:p>
        </w:tc>
        <w:tc>
          <w:tcPr>
            <w:tcW w:w="110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5.3-6.0</w:t>
            </w:r>
          </w:p>
        </w:tc>
        <w:tc>
          <w:tcPr>
            <w:tcW w:w="159" w:type="dxa"/>
            <w:tcBorders/>
            <w:vAlign w:val="center"/>
          </w:tcPr>
          <w:p>
            <w:pPr>
              <w:pStyle w:val="TableContents"/>
              <w:bidi w:val="0"/>
              <w:spacing w:before="0" w:after="0"/>
              <w:ind w:left="0" w:right="0" w:hanging="0"/>
              <w:jc w:val="center"/>
              <w:rPr/>
            </w:pPr>
            <w:r>
              <w:rPr/>
              <w:t> </w:t>
            </w:r>
          </w:p>
        </w:tc>
        <w:tc>
          <w:tcPr>
            <w:tcW w:w="100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5.5-6.0</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5.3-6.0</w:t>
            </w:r>
          </w:p>
        </w:tc>
        <w:tc>
          <w:tcPr>
            <w:tcW w:w="14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5.5-6.0</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10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3.6%-3.9%</w:t>
            </w:r>
          </w:p>
        </w:tc>
        <w:tc>
          <w:tcPr>
            <w:tcW w:w="159" w:type="dxa"/>
            <w:tcBorders/>
            <w:vAlign w:val="center"/>
          </w:tcPr>
          <w:p>
            <w:pPr>
              <w:pStyle w:val="TableContents"/>
              <w:bidi w:val="0"/>
              <w:spacing w:before="0" w:after="0"/>
              <w:ind w:left="0" w:right="0" w:hanging="0"/>
              <w:jc w:val="center"/>
              <w:rPr/>
            </w:pPr>
            <w:r>
              <w:rPr/>
              <w:t> </w:t>
            </w:r>
          </w:p>
        </w:tc>
        <w:tc>
          <w:tcPr>
            <w:tcW w:w="100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3.0%</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3.5%-4.0%</w:t>
            </w:r>
          </w:p>
        </w:tc>
        <w:tc>
          <w:tcPr>
            <w:tcW w:w="14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1.7%-3.0%</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Volatility</w:t>
            </w:r>
          </w:p>
        </w:tc>
        <w:tc>
          <w:tcPr>
            <w:tcW w:w="1102"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99%</w:t>
            </w:r>
          </w:p>
        </w:tc>
        <w:tc>
          <w:tcPr>
            <w:tcW w:w="159" w:type="dxa"/>
            <w:tcBorders/>
            <w:vAlign w:val="center"/>
          </w:tcPr>
          <w:p>
            <w:pPr>
              <w:pStyle w:val="TableContents"/>
              <w:bidi w:val="0"/>
              <w:spacing w:before="0" w:after="0"/>
              <w:ind w:left="0" w:right="0" w:hanging="0"/>
              <w:jc w:val="center"/>
              <w:rPr/>
            </w:pPr>
            <w:r>
              <w:rPr/>
              <w:t> </w:t>
            </w:r>
          </w:p>
        </w:tc>
        <w:tc>
          <w:tcPr>
            <w:tcW w:w="100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90%-93%</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98%-99%</w:t>
            </w:r>
          </w:p>
        </w:tc>
        <w:tc>
          <w:tcPr>
            <w:tcW w:w="14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88%-93%</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rate</w:t>
            </w:r>
          </w:p>
        </w:tc>
        <w:tc>
          <w:tcPr>
            <w:tcW w:w="1102" w:type="dxa"/>
            <w:tcBorders/>
            <w:vAlign w:val="center"/>
          </w:tcPr>
          <w:p>
            <w:pPr>
              <w:pStyle w:val="TableContents"/>
              <w:bidi w:val="0"/>
              <w:spacing w:before="0" w:after="0"/>
              <w:ind w:left="0" w:right="0" w:hanging="0"/>
              <w:jc w:val="center"/>
              <w:rPr/>
            </w:pPr>
            <w:r>
              <w:rPr/>
              <w:t>—  </w:t>
            </w:r>
            <w:r>
              <w:rPr>
                <w:rFonts w:ascii="Times New Roman;serif" w:hAnsi="Times New Roman;serif"/>
                <w:b w:val="false"/>
                <w:sz w:val="20"/>
              </w:rPr>
              <w:t>%</w:t>
            </w:r>
          </w:p>
        </w:tc>
        <w:tc>
          <w:tcPr>
            <w:tcW w:w="159" w:type="dxa"/>
            <w:tcBorders/>
            <w:vAlign w:val="center"/>
          </w:tcPr>
          <w:p>
            <w:pPr>
              <w:pStyle w:val="TableContents"/>
              <w:bidi w:val="0"/>
              <w:spacing w:before="0" w:after="0"/>
              <w:ind w:left="0" w:right="0" w:hanging="0"/>
              <w:jc w:val="center"/>
              <w:rPr/>
            </w:pPr>
            <w:r>
              <w:rPr/>
              <w:t> </w:t>
            </w:r>
          </w:p>
        </w:tc>
        <w:tc>
          <w:tcPr>
            <w:tcW w:w="1003" w:type="dxa"/>
            <w:tcBorders/>
            <w:vAlign w:val="center"/>
          </w:tcPr>
          <w:p>
            <w:pPr>
              <w:pStyle w:val="TableContents"/>
              <w:bidi w:val="0"/>
              <w:spacing w:before="0" w:after="0"/>
              <w:ind w:left="0" w:right="0" w:hanging="0"/>
              <w:jc w:val="center"/>
              <w:rPr/>
            </w:pPr>
            <w:r>
              <w:rPr/>
              <w:t>—  </w:t>
            </w: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pPr>
            <w:r>
              <w:rPr/>
              <w:t>—  </w:t>
            </w: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pPr>
            <w:r>
              <w:rPr/>
              <w:t>—  </w:t>
            </w: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Black-Scholes option-pricing model requires the use of highly subjective assumptions to estimate the fair value of stock-based awards. These assumptions include the following estimates: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Expected life:</w:t>
      </w:r>
      <w:r>
        <w:rPr/>
        <w:t xml:space="preserve"> </w:t>
      </w:r>
      <w:r>
        <w:rPr>
          <w:rFonts w:ascii="Times New Roman;serif" w:hAnsi="Times New Roman;serif"/>
          <w:b w:val="false"/>
          <w:sz w:val="20"/>
        </w:rPr>
        <w:t>The expected life of stock options represents the period of time that the options are expected to be outstanding. Due to the lack 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Risk-free interest rate:</w:t>
      </w:r>
      <w:r>
        <w:rPr/>
        <w:t xml:space="preserve"> </w:t>
      </w:r>
      <w:r>
        <w:rPr>
          <w:rFonts w:ascii="Times New Roman;serif" w:hAnsi="Times New Roman;serif"/>
          <w:b w:val="false"/>
          <w:sz w:val="20"/>
        </w:rPr>
        <w:t>The risk-free interest rate is based on the yields of U.S. Treasury securities with maturities similar to the expected life of the stock options.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Volatility:</w:t>
      </w:r>
      <w:r>
        <w:rPr/>
        <w:t xml:space="preserve"> </w:t>
      </w:r>
      <w:r>
        <w:rPr>
          <w:rFonts w:ascii="Times New Roman;serif" w:hAnsi="Times New Roman;serif"/>
          <w:b w:val="false"/>
          <w:sz w:val="20"/>
        </w:rPr>
        <w:t>The estimated volatility rate is based on the volatilities of the Company’s common stock for a historical period equal to the expected life of the stock options.</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i/>
          <w:sz w:val="20"/>
        </w:rPr>
        <w:t>Dividend rate:</w:t>
      </w:r>
      <w:r>
        <w:rPr/>
        <w:t xml:space="preserve"> </w:t>
      </w:r>
      <w:r>
        <w:rPr>
          <w:rFonts w:ascii="Times New Roman;serif" w:hAnsi="Times New Roman;serif"/>
          <w:b w:val="false"/>
          <w:sz w:val="20"/>
        </w:rPr>
        <w:t xml:space="preserve">The Company has never declared or paid any cash dividends and does not presently plan to pay cash dividends in the foreseeable future. Consequently, the Company used an expected dividend yield of zero.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stock option transactions for the six months ended June 30, 2023 as issued under the 2014 Plan and the Inducement Plan:</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005"/>
        <w:gridCol w:w="146"/>
        <w:gridCol w:w="146"/>
        <w:gridCol w:w="931"/>
        <w:gridCol w:w="166"/>
        <w:gridCol w:w="146"/>
        <w:gridCol w:w="230"/>
        <w:gridCol w:w="626"/>
        <w:gridCol w:w="146"/>
        <w:gridCol w:w="146"/>
        <w:gridCol w:w="236"/>
        <w:gridCol w:w="755"/>
        <w:gridCol w:w="146"/>
        <w:gridCol w:w="146"/>
        <w:gridCol w:w="696"/>
        <w:gridCol w:w="1146"/>
        <w:gridCol w:w="392"/>
      </w:tblGrid>
      <w:tr>
        <w:trPr/>
        <w:tc>
          <w:tcPr>
            <w:tcW w:w="4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0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Options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 per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 Intrinsic Value</w:t>
            </w:r>
          </w:p>
        </w:tc>
        <w:tc>
          <w:tcPr>
            <w:tcW w:w="392" w:type="dxa"/>
            <w:tcBorders/>
            <w:vAlign w:val="center"/>
          </w:tcPr>
          <w:p>
            <w:pPr>
              <w:pStyle w:val="TableContents"/>
              <w:bidi w:val="0"/>
              <w:spacing w:before="0" w:after="0"/>
              <w:ind w:left="0" w:right="0" w:hanging="0"/>
              <w:jc w:val="center"/>
              <w:rPr/>
            </w:pPr>
            <w:r>
              <w:rPr/>
              <w:t> </w:t>
            </w:r>
          </w:p>
        </w:tc>
      </w:tr>
      <w:tr>
        <w:trPr/>
        <w:tc>
          <w:tcPr>
            <w:tcW w:w="40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686,574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42"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firstLine="200"/>
              <w:jc w:val="right"/>
              <w:rPr/>
            </w:pPr>
            <w:r>
              <w:rPr/>
              <w:t> </w:t>
            </w:r>
          </w:p>
        </w:tc>
      </w:tr>
      <w:tr>
        <w:trPr/>
        <w:tc>
          <w:tcPr>
            <w:tcW w:w="40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1,586,454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42"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firstLine="200"/>
              <w:jc w:val="right"/>
              <w:rPr/>
            </w:pPr>
            <w:r>
              <w:rPr/>
              <w:t> </w:t>
            </w:r>
          </w:p>
        </w:tc>
      </w:tr>
      <w:tr>
        <w:trPr/>
        <w:tc>
          <w:tcPr>
            <w:tcW w:w="40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42"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firstLine="200"/>
              <w:jc w:val="right"/>
              <w:rPr/>
            </w:pPr>
            <w:r>
              <w:rPr/>
              <w:t> </w:t>
            </w:r>
          </w:p>
        </w:tc>
      </w:tr>
      <w:tr>
        <w:trPr/>
        <w:tc>
          <w:tcPr>
            <w:tcW w:w="40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canceled/forfeited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42" w:type="dxa"/>
            <w:gridSpan w:val="2"/>
            <w:tcBorders/>
            <w:vAlign w:val="center"/>
          </w:tcPr>
          <w:p>
            <w:pPr>
              <w:pStyle w:val="TableContents"/>
              <w:bidi w:val="0"/>
              <w:spacing w:before="0" w:after="0"/>
              <w:ind w:left="0" w:right="0" w:hanging="0"/>
              <w:jc w:val="right"/>
              <w:rPr/>
            </w:pPr>
            <w:r>
              <w:rPr/>
              <w:t> </w:t>
            </w:r>
          </w:p>
        </w:tc>
        <w:tc>
          <w:tcPr>
            <w:tcW w:w="392" w:type="dxa"/>
            <w:tcBorders/>
            <w:vAlign w:val="center"/>
          </w:tcPr>
          <w:p>
            <w:pPr>
              <w:pStyle w:val="TableContents"/>
              <w:bidi w:val="0"/>
              <w:spacing w:before="0" w:after="0"/>
              <w:ind w:left="0" w:right="0" w:hanging="0"/>
              <w:jc w:val="right"/>
              <w:rPr/>
            </w:pPr>
            <w:r>
              <w:rPr/>
              <w:t> </w:t>
            </w:r>
          </w:p>
        </w:tc>
      </w:tr>
      <w:tr>
        <w:trPr/>
        <w:tc>
          <w:tcPr>
            <w:tcW w:w="40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2,230,016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exercisable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545,354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vested and expected to vest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2,207,058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weighted-average grant date fair value of options granted was $3.79</w:t>
      </w:r>
      <w:r>
        <w:rPr>
          <w:rFonts w:ascii="Times New Roman" w:hAnsi="Times New Roman"/>
          <w:sz w:val="20"/>
        </w:rPr>
        <w:t xml:space="preserve"> </w:t>
      </w:r>
      <w:r>
        <w:rPr>
          <w:rFonts w:ascii="Times New Roman;serif" w:hAnsi="Times New Roman;serif"/>
          <w:b w:val="false"/>
          <w:sz w:val="20"/>
        </w:rPr>
        <w:t>and $3.45</w:t>
      </w:r>
      <w:r>
        <w:rPr>
          <w:rFonts w:ascii="Times New Roman" w:hAnsi="Times New Roman"/>
          <w:sz w:val="20"/>
        </w:rPr>
        <w:t xml:space="preserve"> </w:t>
      </w:r>
      <w:r>
        <w:rPr>
          <w:rFonts w:ascii="Times New Roman;serif" w:hAnsi="Times New Roman;serif"/>
          <w:b w:val="false"/>
          <w:sz w:val="20"/>
        </w:rPr>
        <w:t>per share for the six months ended June 30, 2023 and 2022, respectively. At June 30, 2023 total unrecognized employee stock-based compensation related to stock options that are likely to vest was $7.9</w:t>
      </w:r>
      <w:r>
        <w:rPr>
          <w:rFonts w:ascii="Times New Roman" w:hAnsi="Times New Roman"/>
          <w:sz w:val="20"/>
        </w:rPr>
        <w:t xml:space="preserve"> </w:t>
      </w:r>
      <w:r>
        <w:rPr>
          <w:rFonts w:ascii="Times New Roman;serif" w:hAnsi="Times New Roman;serif"/>
          <w:b w:val="false"/>
          <w:sz w:val="20"/>
        </w:rPr>
        <w:t>million, which is expected to be recognized over the weighted-average remaining vesting period of 2.8</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Restricted Stock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were 414,710</w:t>
      </w:r>
      <w:r>
        <w:rPr>
          <w:rFonts w:ascii="Times New Roman" w:hAnsi="Times New Roman"/>
          <w:sz w:val="20"/>
        </w:rPr>
        <w:t xml:space="preserve"> </w:t>
      </w:r>
      <w:r>
        <w:rPr>
          <w:rFonts w:ascii="Times New Roman;serif" w:hAnsi="Times New Roman;serif"/>
          <w:b w:val="false"/>
          <w:sz w:val="20"/>
        </w:rPr>
        <w:t>and zero</w:t>
      </w:r>
      <w:r>
        <w:rPr>
          <w:rFonts w:ascii="Times New Roman" w:hAnsi="Times New Roman"/>
          <w:sz w:val="20"/>
        </w:rPr>
        <w:t xml:space="preserve"> </w:t>
      </w:r>
      <w:r>
        <w:rPr>
          <w:rFonts w:ascii="Times New Roman;serif" w:hAnsi="Times New Roman;serif"/>
          <w:b w:val="false"/>
          <w:sz w:val="20"/>
        </w:rPr>
        <w:t>restricted stock units granted by the Company during the three months ended June 30, 2023 and 2022, respectively, and 414,710</w:t>
      </w:r>
      <w:r>
        <w:rPr>
          <w:rFonts w:ascii="Times New Roman" w:hAnsi="Times New Roman"/>
          <w:sz w:val="20"/>
        </w:rPr>
        <w:t xml:space="preserve"> </w:t>
      </w:r>
      <w:r>
        <w:rPr>
          <w:rFonts w:ascii="Times New Roman;serif" w:hAnsi="Times New Roman;serif"/>
          <w:b w:val="false"/>
          <w:sz w:val="20"/>
        </w:rPr>
        <w:t>and 8,967</w:t>
      </w:r>
      <w:r>
        <w:rPr>
          <w:rFonts w:ascii="Times New Roman" w:hAnsi="Times New Roman"/>
          <w:sz w:val="20"/>
        </w:rPr>
        <w:t xml:space="preserve"> </w:t>
      </w:r>
      <w:r>
        <w:rPr>
          <w:rFonts w:ascii="Times New Roman;serif" w:hAnsi="Times New Roman;serif"/>
          <w:b w:val="false"/>
          <w:sz w:val="20"/>
        </w:rPr>
        <w:t>restricted stock units granted during the six months ended June 30, 2023 and 2022, respectively, to employees and directors. The restricted stock units granted to directors were 100% vested on the grant date and represent compensation for past board services. Restricted stock units granted during the current quarter were 100% vested six months from date of grant. The restricted stock units were valued based on the Company’s common stock price on the grant date.</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restricted stock unit transactions for the six months ended June 30, 2023 as issued under the 2014 Plan:</w:t>
      </w:r>
      <w:r>
        <w:rPr>
          <w:rFonts w:ascii="Times New Roman" w:hAnsi="Times New Roman"/>
          <w:sz w:val="20"/>
        </w:rPr>
        <w:t xml:space="preserve"> </w:t>
      </w:r>
    </w:p>
    <w:tbl>
      <w:tblPr>
        <w:tblW w:w="8485" w:type="dxa"/>
        <w:jc w:val="left"/>
        <w:tblInd w:w="0" w:type="dxa"/>
        <w:tblLayout w:type="fixed"/>
        <w:tblCellMar>
          <w:top w:w="28" w:type="dxa"/>
          <w:left w:w="28" w:type="dxa"/>
          <w:bottom w:w="28" w:type="dxa"/>
          <w:right w:w="28" w:type="dxa"/>
        </w:tblCellMar>
      </w:tblPr>
      <w:tblGrid>
        <w:gridCol w:w="3391"/>
        <w:gridCol w:w="146"/>
        <w:gridCol w:w="269"/>
        <w:gridCol w:w="1441"/>
        <w:gridCol w:w="166"/>
        <w:gridCol w:w="146"/>
        <w:gridCol w:w="683"/>
        <w:gridCol w:w="1852"/>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Restricted Stock Units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Grant-Date Fair Value per Share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January 1, 2023</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57.75</w:t>
            </w:r>
          </w:p>
        </w:tc>
        <w:tc>
          <w:tcPr>
            <w:tcW w:w="391" w:type="dxa"/>
            <w:tcBorders/>
            <w:vAlign w:val="center"/>
          </w:tcPr>
          <w:p>
            <w:pPr>
              <w:pStyle w:val="TableContents"/>
              <w:bidi w:val="0"/>
              <w:spacing w:before="0" w:after="0"/>
              <w:ind w:left="0" w:right="0" w:firstLine="200"/>
              <w:jc w:val="left"/>
              <w:rPr/>
            </w:pPr>
            <w:r>
              <w:rPr/>
              <w:t> </w:t>
            </w:r>
          </w:p>
        </w:tc>
      </w:tr>
      <w:tr>
        <w:trPr/>
        <w:tc>
          <w:tcPr>
            <w:tcW w:w="33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units granted</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414,710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391" w:type="dxa"/>
            <w:tcBorders/>
            <w:vAlign w:val="center"/>
          </w:tcPr>
          <w:p>
            <w:pPr>
              <w:pStyle w:val="TableContents"/>
              <w:bidi w:val="0"/>
              <w:spacing w:before="0" w:after="0"/>
              <w:ind w:left="0" w:right="0" w:firstLine="200"/>
              <w:jc w:val="left"/>
              <w:rPr/>
            </w:pPr>
            <w:r>
              <w:rPr/>
              <w:t> </w:t>
            </w:r>
          </w:p>
        </w:tc>
      </w:tr>
      <w:tr>
        <w:trPr/>
        <w:tc>
          <w:tcPr>
            <w:tcW w:w="33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units vested</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57.75</w:t>
            </w:r>
          </w:p>
        </w:tc>
        <w:tc>
          <w:tcPr>
            <w:tcW w:w="391" w:type="dxa"/>
            <w:tcBorders/>
            <w:vAlign w:val="center"/>
          </w:tcPr>
          <w:p>
            <w:pPr>
              <w:pStyle w:val="TableContents"/>
              <w:bidi w:val="0"/>
              <w:spacing w:before="0" w:after="0"/>
              <w:ind w:left="0" w:right="0" w:firstLine="200"/>
              <w:jc w:val="left"/>
              <w:rPr/>
            </w:pPr>
            <w:r>
              <w:rPr/>
              <w:t> </w:t>
            </w:r>
          </w:p>
        </w:tc>
      </w:tr>
      <w:tr>
        <w:trPr/>
        <w:tc>
          <w:tcPr>
            <w:tcW w:w="33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units canceled/forfeited</w:t>
            </w:r>
          </w:p>
        </w:tc>
        <w:tc>
          <w:tcPr>
            <w:tcW w:w="146" w:type="dxa"/>
            <w:tcBorders/>
            <w:vAlign w:val="center"/>
          </w:tcPr>
          <w:p>
            <w:pPr>
              <w:pStyle w:val="TableContents"/>
              <w:bidi w:val="0"/>
              <w:spacing w:before="0" w:after="0"/>
              <w:ind w:left="0" w:right="0" w:hanging="0"/>
              <w:jc w:val="left"/>
              <w:rPr/>
            </w:pPr>
            <w:r>
              <w:rPr/>
              <w:t> </w:t>
            </w:r>
          </w:p>
        </w:tc>
        <w:tc>
          <w:tcPr>
            <w:tcW w:w="2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39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June 30, 2023</w:t>
            </w:r>
          </w:p>
        </w:tc>
        <w:tc>
          <w:tcPr>
            <w:tcW w:w="146" w:type="dxa"/>
            <w:tcBorders/>
            <w:vAlign w:val="center"/>
          </w:tcPr>
          <w:p>
            <w:pPr>
              <w:pStyle w:val="TableContents"/>
              <w:bidi w:val="0"/>
              <w:spacing w:before="0" w:after="0"/>
              <w:ind w:left="0" w:right="0" w:hanging="0"/>
              <w:jc w:val="left"/>
              <w:rPr/>
            </w:pPr>
            <w:r>
              <w:rPr/>
              <w:t> </w:t>
            </w:r>
          </w:p>
        </w:tc>
        <w:tc>
          <w:tcPr>
            <w:tcW w:w="2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424,244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6.43</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weighted-average grant-date fair value of all restricted stock units granted during the six months ended June 30, 2023 and 2022 was $5.25</w:t>
      </w:r>
      <w:r>
        <w:rPr>
          <w:rFonts w:ascii="Times New Roman" w:hAnsi="Times New Roman"/>
          <w:sz w:val="20"/>
        </w:rPr>
        <w:t xml:space="preserve"> </w:t>
      </w:r>
      <w:r>
        <w:rPr>
          <w:rFonts w:ascii="Times New Roman;serif" w:hAnsi="Times New Roman;serif"/>
          <w:b w:val="false"/>
          <w:sz w:val="20"/>
        </w:rPr>
        <w:t>and $5.40, respectively. The fair value of all restricted stock units vested during the six months ended June 30, 2023 and 2022 was $23,000</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 respectively. At June 30, 2023, total unrecognized employee stock-based compensation</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related to restricted stock units was $2.1</w:t>
      </w:r>
      <w:r>
        <w:rPr>
          <w:rFonts w:ascii="Times New Roman" w:hAnsi="Times New Roman"/>
          <w:sz w:val="20"/>
        </w:rPr>
        <w:t xml:space="preserve"> </w:t>
      </w:r>
      <w:r>
        <w:rPr>
          <w:rFonts w:ascii="Times New Roman;serif" w:hAnsi="Times New Roman;serif"/>
          <w:b w:val="false"/>
          <w:sz w:val="20"/>
        </w:rPr>
        <w:t>million, which is expected to be recognized over the weighted-average remaining vesting period of 0.4</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240" w:after="0"/>
        <w:jc w:val="left"/>
        <w:rPr>
          <w:rFonts w:ascii="Times New Roman" w:hAnsi="Times New Roman"/>
          <w:sz w:val="20"/>
        </w:rPr>
      </w:pPr>
      <w:r>
        <w:rPr>
          <w:rFonts w:ascii="Times New Roman;serif" w:hAnsi="Times New Roman;serif"/>
          <w:b/>
          <w:i/>
          <w:sz w:val="20"/>
        </w:rPr>
        <w:t>2014 Employee Stock Purchase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board of directors and stockholders have adopted the 2014 Employee Stock Purchase Plan (ESPP). The ESPP has become effective, and the board of directors will implement commencement of offers thereunder in its discretion. A total of 1,864</w:t>
      </w:r>
      <w:r>
        <w:rPr>
          <w:rFonts w:ascii="Times New Roman" w:hAnsi="Times New Roman"/>
          <w:sz w:val="20"/>
        </w:rPr>
        <w:t xml:space="preserve"> </w:t>
      </w:r>
      <w:r>
        <w:rPr>
          <w:rFonts w:ascii="Times New Roman;serif" w:hAnsi="Times New Roman;serif"/>
          <w:b w:val="false"/>
          <w:sz w:val="20"/>
        </w:rPr>
        <w:t>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1.0% of the outstanding shares of the Company’s common stock on the first day of such year;</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3,729</w:t>
      </w:r>
      <w:r>
        <w:rPr/>
        <w:t xml:space="preserve"> </w:t>
      </w:r>
      <w:r>
        <w:rPr>
          <w:rFonts w:ascii="Times New Roman;serif" w:hAnsi="Times New Roman;serif"/>
          <w:b w:val="false"/>
          <w:sz w:val="20"/>
        </w:rPr>
        <w:t xml:space="preserve">shares;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such amount as determined by the board of directors.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there were no</w:t>
      </w:r>
      <w:r>
        <w:rPr>
          <w:rFonts w:ascii="Times New Roman" w:hAnsi="Times New Roman"/>
          <w:sz w:val="20"/>
        </w:rPr>
        <w:t xml:space="preserve"> </w:t>
      </w:r>
      <w:r>
        <w:rPr>
          <w:rFonts w:ascii="Times New Roman;serif" w:hAnsi="Times New Roman;serif"/>
          <w:b w:val="false"/>
          <w:sz w:val="20"/>
        </w:rPr>
        <w:t>purchases by employees under this plan.</w:t>
      </w:r>
      <w:r>
        <w:rPr>
          <w:rFonts w:ascii="Times New Roman" w:hAnsi="Times New Roman"/>
          <w:sz w:val="20"/>
        </w:rPr>
        <w:t xml:space="preserve"> </w:t>
      </w:r>
    </w:p>
    <w:p>
      <w:pPr>
        <w:pStyle w:val="TextBody"/>
        <w:bidi w:val="0"/>
        <w:spacing w:before="12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Note 8. Net loss per share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Basic net loss per share is computed by dividing net loss by the weighted-average number of common stock outstanding during the period. Shares of common stock that are potentially issuable for little or no cash consideration at issuance, such as the Company's pre-funded warrants issued in March 2022, are considered outstanding common stock and are included in the calculation of basic and diluted net loss per share in connection with </w:t>
      </w:r>
      <w:r>
        <w:rPr>
          <w:rFonts w:ascii="Times New Roman;serif" w:hAnsi="Times New Roman;serif"/>
          <w:b w:val="false"/>
          <w:i/>
          <w:sz w:val="20"/>
        </w:rPr>
        <w:t>ASC 260 Earnings Per Shares</w:t>
      </w:r>
      <w:r>
        <w:rPr>
          <w:rFonts w:ascii="Times New Roman;serif" w:hAnsi="Times New Roman;serif"/>
          <w:b w:val="false"/>
          <w:sz w:val="20"/>
        </w:rPr>
        <w:t>. Diluted net loss per share is computed by dividing net loss by the weighted-average number of common stock outstanding and dilutive potential common stock that would be issued upon the exercise or vesting of common stock awards and exercise of common stock warrants that are not pre-funded. The Company applies the two-class method to calculate basic and diluted earnings per share as its warrants issued in March 2022 are participating securities. However, the two-class method does not impact the net loss per share of common stock as the 2022 common warrants issued in March 2022 do not participate in losses. For the three and six months ended June 30, 2023 and 2022, the effect of issuing potential common stock is anti-dilutive due to the net losses in those periods and therefore the number of shares used to compute basic and diluted net loss per share are the same in each of those periods.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securities are the weighted-average common shares outstanding used to calculate basic and diluted net loss per common share:</w:t>
      </w:r>
    </w:p>
    <w:p>
      <w:pPr>
        <w:pStyle w:val="TextBody"/>
        <w:bidi w:val="0"/>
        <w:spacing w:before="0" w:after="0"/>
        <w:jc w:val="left"/>
        <w:rPr/>
      </w:pPr>
      <w:r>
        <w:rPr/>
        <w:t> </w:t>
      </w:r>
    </w:p>
    <w:tbl>
      <w:tblPr>
        <w:tblW w:w="8017" w:type="dxa"/>
        <w:jc w:val="left"/>
        <w:tblInd w:w="0" w:type="dxa"/>
        <w:tblLayout w:type="fixed"/>
        <w:tblCellMar>
          <w:top w:w="28" w:type="dxa"/>
          <w:left w:w="28" w:type="dxa"/>
          <w:bottom w:w="28" w:type="dxa"/>
          <w:right w:w="28" w:type="dxa"/>
        </w:tblCellMar>
      </w:tblPr>
      <w:tblGrid>
        <w:gridCol w:w="2191"/>
        <w:gridCol w:w="146"/>
        <w:gridCol w:w="146"/>
        <w:gridCol w:w="1036"/>
        <w:gridCol w:w="146"/>
        <w:gridCol w:w="146"/>
        <w:gridCol w:w="146"/>
        <w:gridCol w:w="931"/>
        <w:gridCol w:w="146"/>
        <w:gridCol w:w="146"/>
        <w:gridCol w:w="146"/>
        <w:gridCol w:w="931"/>
        <w:gridCol w:w="146"/>
        <w:gridCol w:w="146"/>
        <w:gridCol w:w="146"/>
        <w:gridCol w:w="931"/>
        <w:gridCol w:w="3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2022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2022 </w:t>
            </w:r>
            <w:r>
              <w:rPr>
                <w:rFonts w:ascii="Times New Roman;serif" w:hAnsi="Times New Roman;serif"/>
                <w:b/>
                <w:sz w:val="11"/>
              </w:rPr>
              <w:t>(1)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9,142,633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8,005,921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8,657,206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6,677,695</w:t>
            </w:r>
          </w:p>
        </w:tc>
        <w:tc>
          <w:tcPr>
            <w:tcW w:w="391" w:type="dxa"/>
            <w:tcBorders/>
            <w:vAlign w:val="center"/>
          </w:tcPr>
          <w:p>
            <w:pPr>
              <w:pStyle w:val="TableContents"/>
              <w:bidi w:val="0"/>
              <w:spacing w:before="0" w:after="0"/>
              <w:ind w:left="0" w:right="0" w:hanging="0"/>
              <w:jc w:val="left"/>
              <w:rPr/>
            </w:pPr>
            <w:r>
              <w:rPr/>
              <w:t> </w:t>
            </w:r>
          </w:p>
        </w:tc>
      </w:tr>
      <w:tr>
        <w:trPr/>
        <w:tc>
          <w:tcPr>
            <w:tcW w:w="21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2022 pre-funded warrants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1,280,965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1,333,333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1,280,965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670,350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1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20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10,423,598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9,339,254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9,938,171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7,348,045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The Company revised the 2022 weighted-average common shares outstanding calculation to include the 2022 pre-funded warrants. Management believes this version results in a more appropriate treatment of the pre-funded warrants in calculating the net loss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potentially dilutive securities outstanding have been excluded from the computations of diluted weighted-average shares outstanding for the periods presented because such securities have an antidilutive impact due to losses reported (in common stock equivalent shares):</w:t>
      </w:r>
      <w:r>
        <w:rPr>
          <w:rFonts w:ascii="Times New Roman" w:hAnsi="Times New Roman"/>
          <w:sz w:val="20"/>
        </w:rPr>
        <w:t xml:space="preserve"> </w:t>
      </w:r>
    </w:p>
    <w:p>
      <w:pPr>
        <w:pStyle w:val="TextBody"/>
        <w:bidi w:val="0"/>
        <w:spacing w:before="0" w:after="0"/>
        <w:jc w:val="left"/>
        <w:rPr/>
      </w:pPr>
      <w:r>
        <w:rPr/>
        <w:t> </w:t>
      </w:r>
    </w:p>
    <w:tbl>
      <w:tblPr>
        <w:tblW w:w="7874" w:type="dxa"/>
        <w:jc w:val="left"/>
        <w:tblInd w:w="0" w:type="dxa"/>
        <w:tblLayout w:type="fixed"/>
        <w:tblCellMar>
          <w:top w:w="28" w:type="dxa"/>
          <w:left w:w="28" w:type="dxa"/>
          <w:bottom w:w="28" w:type="dxa"/>
          <w:right w:w="28" w:type="dxa"/>
        </w:tblCellMar>
      </w:tblPr>
      <w:tblGrid>
        <w:gridCol w:w="4786"/>
        <w:gridCol w:w="146"/>
        <w:gridCol w:w="146"/>
        <w:gridCol w:w="1036"/>
        <w:gridCol w:w="146"/>
        <w:gridCol w:w="146"/>
        <w:gridCol w:w="146"/>
        <w:gridCol w:w="931"/>
        <w:gridCol w:w="3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issued to 2010/2012 convertible note</w:t>
              <w:br/>
              <w:t>   holders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6,804</w:t>
            </w:r>
          </w:p>
        </w:tc>
        <w:tc>
          <w:tcPr>
            <w:tcW w:w="391" w:type="dxa"/>
            <w:tcBorders/>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2,230,016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530,562</w:t>
            </w:r>
          </w:p>
        </w:tc>
        <w:tc>
          <w:tcPr>
            <w:tcW w:w="391" w:type="dxa"/>
            <w:tcBorders/>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424,244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19,067</w:t>
            </w:r>
          </w:p>
        </w:tc>
        <w:tc>
          <w:tcPr>
            <w:tcW w:w="391" w:type="dxa"/>
            <w:tcBorders/>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issued to underwriter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w:t>
            </w:r>
          </w:p>
        </w:tc>
        <w:tc>
          <w:tcPr>
            <w:tcW w:w="391" w:type="dxa"/>
            <w:tcBorders/>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2018 PIPE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34,241</w:t>
            </w:r>
          </w:p>
        </w:tc>
        <w:tc>
          <w:tcPr>
            <w:tcW w:w="391" w:type="dxa"/>
            <w:tcBorders/>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2022 common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4,000,000</w:t>
            </w:r>
          </w:p>
        </w:tc>
        <w:tc>
          <w:tcPr>
            <w:tcW w:w="391" w:type="dxa"/>
            <w:tcBorders/>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Tranche A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8,598,870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Tranche B warrants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29,295,275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4,591,774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Note 9. Subsequent Events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evaluated its subsequent events from June 30, 2023 through the date these condensed consolidated financial statements were issued and has determined that there are no subsequent events disclosure required.</w:t>
      </w:r>
    </w:p>
    <w:p>
      <w:pPr>
        <w:pStyle w:val="TextBody"/>
        <w:bidi w:val="0"/>
        <w:spacing w:before="12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 Financial Condition and Results of Operation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2022, and the related Management’s Discussion and Analysis of Financial Condition and Results of Operations, contained in the Company’s Form 10-K for the year ended December 31, 2022.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Business Overview</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are focused on the development and commercialization of novel therapeutics for the treatment of rare diseases. Our lead candidate is DCCR (Diazoxide Choline Extended Release) tablets, a once-daily oral tablet for the treatment of Prader-Willi Syndrome (PWS). DCCR has orphan designation for the treatment of PWS in the United States (U.S.) as well as in the European Union (E.U.). DCCR has been evaluated in a Phase 3 study (C601 or DESTINY PWS), a 3-month randomized, double-blind placebo-controlled study, which completed enrollment in January 2020, with 127 patients at 29 sites in the U.S. and U.K. Patients who completed treatment in DESTINY PWS were eligible to receive DCCR in C602, an open-label extension study. Top line results from DESTINY PWS were announced in June 2020. Although the trial did not meet its primary endpoint of change from baseline in hyperphagia, significant improvements were observed in two of three key secondary endpoints.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February 2021, we announced analysis limited to data collected before the onset of the COVID-19 pandemic. The analysis of the data through March 1, 2020 showed statistical significance in the primary, all key secondary and several other efficacy endpoints. In September 2021, we announced interim results from C602 showing statistically significant reduction in hyperphagia and all other PWS behavioral parameters and statistically significant improvements compared to natural history of PWS from the PATH for PWS Study (PfPWS) over a one year treatment period. The PfPWS study is an ongoing study sponsored by the Foundation for Prader-Willi Research (FPWR) to advance the understanding of the natural history in individuals with PWS. We submitted the data to the FDA in the fourth quarter 2021.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January 2022, we submitted a proposal to add a randomized withdrawal period to Study C602 in order to obtain additional controlled data requested by the FDA to support a New Drug Application (NDA) submission for DCCR. The randomized withdrawal (RW) period of Study C602 is a multi-center, randomized, double-blind, placebo-controlled study of DCCR in approximately 80 patients with PWS at 17 sites in the U.S. and 5 sites in the U.K. This RW period consists only of patients previously enrolled in Study C602 and did not enroll any new patients. We announced the initiation of enrollment in October 2022 and the completion in May 2023. The FDA has acknowledged that data from the study has the potential to support an NDA submission for DCCR.</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May 2023, we received $10.0 million in gross proceeds from the sale and issuance of the warrants under the Securities Purchase Agreement, and we received an additional net proceeds of $7.1 million from the sale of common stock through the "at the market" (ATM) program.</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we had cash and cash equivalents of $19.4 million. We have an accumulated deficit of $254.3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Critical Accounting Policies and Significant Judgments and Estimates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Comparison of the three months ended June 30, 2023 and 2022</w:t>
      </w:r>
      <w:r>
        <w:rPr>
          <w:rFonts w:ascii="Times New Roman" w:hAnsi="Times New Roman"/>
          <w:sz w:val="20"/>
        </w:rPr>
        <w:t xml:space="preserve"> </w:t>
      </w:r>
    </w:p>
    <w:p>
      <w:pPr>
        <w:pStyle w:val="TextBody"/>
        <w:bidi w:val="0"/>
        <w:spacing w:before="0" w:after="0"/>
        <w:jc w:val="left"/>
        <w:rPr/>
      </w:pPr>
      <w:r>
        <w:rPr/>
        <w:t> </w:t>
      </w:r>
    </w:p>
    <w:tbl>
      <w:tblPr>
        <w:tblW w:w="9886" w:type="dxa"/>
        <w:jc w:val="left"/>
        <w:tblInd w:w="0" w:type="dxa"/>
        <w:tblLayout w:type="fixed"/>
        <w:tblCellMar>
          <w:top w:w="28" w:type="dxa"/>
          <w:left w:w="28" w:type="dxa"/>
          <w:bottom w:w="28" w:type="dxa"/>
          <w:right w:w="28" w:type="dxa"/>
        </w:tblCellMar>
      </w:tblPr>
      <w:tblGrid>
        <w:gridCol w:w="4066"/>
        <w:gridCol w:w="146"/>
        <w:gridCol w:w="211"/>
        <w:gridCol w:w="631"/>
        <w:gridCol w:w="546"/>
        <w:gridCol w:w="146"/>
        <w:gridCol w:w="211"/>
        <w:gridCol w:w="631"/>
        <w:gridCol w:w="166"/>
        <w:gridCol w:w="146"/>
        <w:gridCol w:w="211"/>
        <w:gridCol w:w="631"/>
        <w:gridCol w:w="166"/>
        <w:gridCol w:w="146"/>
        <w:gridCol w:w="235"/>
        <w:gridCol w:w="681"/>
        <w:gridCol w:w="916"/>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76" w:type="dxa"/>
            <w:gridSpan w:val="6"/>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firstLine="200"/>
              <w:jc w:val="right"/>
              <w:rPr/>
            </w:pPr>
            <w:r>
              <w:rPr/>
              <w:t> </w:t>
            </w:r>
          </w:p>
        </w:tc>
      </w:tr>
      <w:tr>
        <w:trPr/>
        <w:tc>
          <w:tcPr>
            <w:tcW w:w="40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5,141</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9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3,169</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9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1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8,623</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(8,623</w:t>
            </w:r>
          </w:p>
        </w:tc>
        <w:tc>
          <w:tcPr>
            <w:tcW w:w="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firstLine="200"/>
              <w:jc w:val="right"/>
              <w:rPr/>
            </w:pPr>
            <w:r>
              <w:rPr/>
              <w:t> </w:t>
            </w:r>
          </w:p>
        </w:tc>
      </w:tr>
      <w:tr>
        <w:trPr/>
        <w:tc>
          <w:tcPr>
            <w:tcW w:w="40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warrants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9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(8,475</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6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date, we have earned no revenue from the commercial development and sale of novel therapeutic products.</w:t>
      </w:r>
    </w:p>
    <w:p>
      <w:pPr>
        <w:pStyle w:val="TextBody"/>
        <w:bidi w:val="0"/>
        <w:spacing w:before="360" w:after="0"/>
        <w:jc w:val="left"/>
        <w:rPr>
          <w:rFonts w:ascii="Times New Roman" w:hAnsi="Times New Roman"/>
          <w:sz w:val="20"/>
        </w:rPr>
      </w:pPr>
      <w:r>
        <w:rPr>
          <w:rFonts w:ascii="Times New Roman;serif" w:hAnsi="Times New Roman;serif"/>
          <w:b/>
          <w:i/>
          <w:sz w:val="20"/>
        </w:rPr>
        <w:t>Research and development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expense was $5.1 million for the three months ended June 30, 2023, an increase of $1.4 million from the three months ended June 30, 2022. The cadence of our research and development expenditures will fluctuate depending upon the state of our clinical programs and the timing of CMC and other projects necessary to support the submission of an NDA. Clinical trial costs increased $1.7 million as we completed enrolling patients into the RW period for Study C602, and as patients complete the RW period, we are incurring costs supporting them in an open label extension, Study C614. CMC costs decreased $0.5 million as certain manufacturer processes were completed in the first quarter 2022 and did not repeat in the first quarter of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General and administrative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 was $3.2 million for the three months ended June 30, 2023, an increase of $0.7 million from the three months ended June 30, 2022. The increase was mainly attributable to an increase in stock-based compensation and professional services expenses.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Change in fair value of contingent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obligated to make cash payments of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$9.4 million as of June 30, 2023, a $0.3 million increase from the estimate as of March 31, 2023. During the three months ended June 30, 2022, the estimate increased by $0.6 million from the $8.7 million estimate as of March 31, 2022.</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Other income</w:t>
      </w:r>
    </w:p>
    <w:p>
      <w:pPr>
        <w:pStyle w:val="TextBody"/>
        <w:bidi w:val="0"/>
        <w:spacing w:before="120" w:after="0"/>
        <w:jc w:val="left"/>
        <w:rPr>
          <w:rFonts w:ascii="Times New Roman" w:hAnsi="Times New Roman"/>
          <w:sz w:val="20"/>
        </w:rPr>
      </w:pPr>
      <w:r>
        <w:rPr>
          <w:rFonts w:ascii="Times New Roman;serif" w:hAnsi="Times New Roman;serif"/>
          <w:b w:val="false"/>
          <w:sz w:val="20"/>
        </w:rPr>
        <w:t>We had other income of approximately $148,000 in the three months ended June 30, 2023, compared to $54,000 during the three months ended June 30, 2022. The increase was primarily due to an increase in interest income during the three months ended June 30, 2023 compared to the three months ended June 30, 2022.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Comparison of the six months ended June 30, 2023 and 2022</w:t>
      </w:r>
      <w:r>
        <w:rPr>
          <w:rFonts w:ascii="Times New Roman" w:hAnsi="Times New Roman"/>
          <w:sz w:val="20"/>
        </w:rPr>
        <w:t xml:space="preserve"> </w:t>
      </w:r>
    </w:p>
    <w:p>
      <w:pPr>
        <w:pStyle w:val="TextBody"/>
        <w:bidi w:val="0"/>
        <w:spacing w:before="0" w:after="0"/>
        <w:jc w:val="left"/>
        <w:rPr/>
      </w:pPr>
      <w:r>
        <w:rPr/>
        <w:t> </w:t>
      </w:r>
    </w:p>
    <w:tbl>
      <w:tblPr>
        <w:tblW w:w="9716" w:type="dxa"/>
        <w:jc w:val="left"/>
        <w:tblInd w:w="0" w:type="dxa"/>
        <w:tblLayout w:type="fixed"/>
        <w:tblCellMar>
          <w:top w:w="28" w:type="dxa"/>
          <w:left w:w="28" w:type="dxa"/>
          <w:bottom w:w="28" w:type="dxa"/>
          <w:right w:w="28" w:type="dxa"/>
        </w:tblCellMar>
      </w:tblPr>
      <w:tblGrid>
        <w:gridCol w:w="4066"/>
        <w:gridCol w:w="146"/>
        <w:gridCol w:w="211"/>
        <w:gridCol w:w="736"/>
        <w:gridCol w:w="166"/>
        <w:gridCol w:w="146"/>
        <w:gridCol w:w="211"/>
        <w:gridCol w:w="736"/>
        <w:gridCol w:w="166"/>
        <w:gridCol w:w="146"/>
        <w:gridCol w:w="211"/>
        <w:gridCol w:w="631"/>
        <w:gridCol w:w="166"/>
        <w:gridCol w:w="146"/>
        <w:gridCol w:w="235"/>
        <w:gridCol w:w="681"/>
        <w:gridCol w:w="916"/>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 (decrease)</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pPr>
            <w:r>
              <w:rPr/>
              <w:t> </w:t>
            </w:r>
          </w:p>
        </w:tc>
        <w:tc>
          <w:tcPr>
            <w:tcW w:w="916" w:type="dxa"/>
            <w:tcBorders/>
            <w:vAlign w:val="center"/>
          </w:tcPr>
          <w:p>
            <w:pPr>
              <w:pStyle w:val="TableContents"/>
              <w:bidi w:val="0"/>
              <w:spacing w:before="0" w:after="0"/>
              <w:ind w:left="0" w:right="0" w:hanging="0"/>
              <w:jc w:val="center"/>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firstLine="200"/>
              <w:jc w:val="right"/>
              <w:rPr/>
            </w:pPr>
            <w:r>
              <w:rPr/>
              <w:t> </w:t>
            </w:r>
          </w:p>
        </w:tc>
      </w:tr>
      <w:tr>
        <w:trPr/>
        <w:tc>
          <w:tcPr>
            <w:tcW w:w="40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9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9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firstLine="200"/>
              <w:jc w:val="right"/>
              <w:rPr/>
            </w:pPr>
            <w:r>
              <w:rPr/>
              <w:t> </w:t>
            </w:r>
          </w:p>
        </w:tc>
      </w:tr>
      <w:tr>
        <w:trPr/>
        <w:tc>
          <w:tcPr>
            <w:tcW w:w="40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warrants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9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36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date, we have earned no revenue from the commercial development and sale of novel therapeutic products.</w:t>
      </w:r>
    </w:p>
    <w:p>
      <w:pPr>
        <w:pStyle w:val="TextBody"/>
        <w:bidi w:val="0"/>
        <w:spacing w:before="360" w:after="0"/>
        <w:jc w:val="left"/>
        <w:rPr>
          <w:rFonts w:ascii="Times New Roman" w:hAnsi="Times New Roman"/>
          <w:sz w:val="20"/>
        </w:rPr>
      </w:pPr>
      <w:r>
        <w:rPr>
          <w:rFonts w:ascii="Times New Roman;serif" w:hAnsi="Times New Roman;serif"/>
          <w:b/>
          <w:i/>
          <w:sz w:val="20"/>
        </w:rPr>
        <w:t>Research and development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expense was $10.5 million for the six months ended June 30, 2023, an increase of $2.8 million from the six months ended June 30, 2022. The cadence of our research and development expenditures will fluctuate depending upon the state of our clinical programs and the timing of CMC and other projects necessary to support the submission of an NDA. Clinical trial costs increased $3.8 million as we completed enrolling patients into the RW period for Study C602, and as patients complete the RW period, we are incurring costs supporting them in an open label extension, Study C614. CMC costs decreased $1.3 million as certain manufacturer processes were completed in the six months ended June 30, 2022 and did not repeat in the six months ended June 30,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General and administrative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 was $6.0 million for the six months ended June 30, 2023, an increase of $0.9 million from the six months ended June 30, 2022. The increase was mainly attributable to an increase in stock-based compensation and professional services expenses.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Change in fair value of contingent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obligated to make cash payments of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$9.4 million as of June 30, 2023, a $0.6 million increase from the estimate as of December 31, 2022. During the six months ended June 30, 2022, the estimate decreased by $0.2 million from the $9.1 million estimate as of December 31, 2021.</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Other income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had other income of approximately $261,000 in the six months ended June 30, 2023, compared to $103,000 during the six months ended June 30, 2022. The increase was primarily due to an increase in interest income during the six months ended June 30, 2023 compared to the six months ended June 30, 2022.</w:t>
      </w:r>
    </w:p>
    <w:p>
      <w:pPr>
        <w:pStyle w:val="TextBody"/>
        <w:bidi w:val="0"/>
        <w:spacing w:before="3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had a net loss of $16.8 million during the six months ended June 30, 2023 and an accumulated deficit of $254.3 million at June 30, 2023 as a result of having incurred losses since our inception. We had $19.4 million in cash and cash equivalents and $11.7 million of working capital at June 30, 2023, and used $12.3 million of cash in operating activities during the six months ended June 30, 2023. As of June 30, 2023, we had lease obligations totaling $485,000 to be paid through 2025, consisting of an operating lease for office space in Redwood City, California.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financed our operations principally through issuances of equity securities. In December 2022, we entered into a Securities Purchase Agreement providing for the sale of up to $60.0 million in warrants and the common stock issuable upon the exercise thereof. We completed the closing of the sale and issuance of the warrants for $10.0 million in May 2023. The receipt of the remaining $50.0 million is contingent upon the exercise of the warrants and the future performance of us. In addition, we have an ATM offering for up to $25.0 million (subject to certain regulatory limitations) and during the quarter ended June 30, 2023, we received net proceeds of $7.1 million from the sale of common stock through the ATM program. In March 2022, we completed a public offering of shares of our common stock and pre-funded warrants and raised $13.8 million in net proceeds after deducting the underwriting discounts and other offering expenses. Each share of common stock or pre-funded warrant was sold together with one immediately exercisable common warrant to purchase one share of common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continue incurring losses for the foreseeable future and will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quarterly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have been prepared under the assumption we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pStyle w:val="TextBody"/>
        <w:bidi w:val="0"/>
        <w:spacing w:before="360" w:after="0"/>
        <w:jc w:val="left"/>
        <w:rPr>
          <w:rFonts w:ascii="Times New Roman" w:hAnsi="Times New Roman"/>
          <w:sz w:val="20"/>
        </w:rPr>
      </w:pPr>
      <w:r>
        <w:rPr>
          <w:rFonts w:ascii="Times New Roman;serif" w:hAnsi="Times New Roman;serif"/>
          <w:b/>
          <w:sz w:val="20"/>
        </w:rPr>
        <w:t>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sets forth the primary sources and uses of cash and cash equivalents for each of the periods presented below:</w:t>
      </w:r>
      <w:r>
        <w:rPr>
          <w:rFonts w:ascii="Times New Roman" w:hAnsi="Times New Roman"/>
          <w:sz w:val="20"/>
        </w:rPr>
        <w:t xml:space="preserve"> </w:t>
      </w:r>
    </w:p>
    <w:p>
      <w:pPr>
        <w:pStyle w:val="TextBody"/>
        <w:bidi w:val="0"/>
        <w:spacing w:before="0" w:after="0"/>
        <w:jc w:val="left"/>
        <w:rPr/>
      </w:pPr>
      <w:r>
        <w:rPr/>
        <w:t> </w:t>
      </w:r>
    </w:p>
    <w:tbl>
      <w:tblPr>
        <w:tblW w:w="6209" w:type="dxa"/>
        <w:jc w:val="left"/>
        <w:tblInd w:w="0" w:type="dxa"/>
        <w:tblLayout w:type="fixed"/>
        <w:tblCellMar>
          <w:top w:w="28" w:type="dxa"/>
          <w:left w:w="28" w:type="dxa"/>
          <w:bottom w:w="28" w:type="dxa"/>
          <w:right w:w="28" w:type="dxa"/>
        </w:tblCellMar>
      </w:tblPr>
      <w:tblGrid>
        <w:gridCol w:w="3466"/>
        <w:gridCol w:w="146"/>
        <w:gridCol w:w="211"/>
        <w:gridCol w:w="736"/>
        <w:gridCol w:w="166"/>
        <w:gridCol w:w="146"/>
        <w:gridCol w:w="211"/>
        <w:gridCol w:w="736"/>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(10,982</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i/>
          <w:sz w:val="20"/>
        </w:rPr>
        <w:t>Cash used in operating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2023, operating activities used net cash of $12.3 million, which was primarily due to the net loss of $16.8 million less non-cash expense of $0.6 million related to the change in fair value of common stock warrants and contingent consideration, $1.0 million for depreciation and amortization, $1.8 million for stock-based compensation, and $0.2 million for non-cash lease expense. Additionally, usage of cash during the six months ended June 30, 2023 decreased by $0.9 million due to changes in operating assets and liabilities.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2022, operating activities used net cash of $11.0 million, which was primarily due to the net loss of $12.5 million plus non-cash income of $0.3 million for the change in fair value of common stock warrants and contingent consideration, adjusted for non-cash expense of $1.0 million for depreciation and amortization, $1.2 million for stock-based compensation, and approximately $0.1 million for non-cash lease expense. Additionally, usage of cash during the six months ended June 30, 2022 increased by $0.6 million due to changes in operating assets and liabilities.</w:t>
      </w:r>
    </w:p>
    <w:p>
      <w:pPr>
        <w:pStyle w:val="TextBody"/>
        <w:bidi w:val="0"/>
        <w:spacing w:before="360" w:after="0"/>
        <w:jc w:val="left"/>
        <w:rPr>
          <w:rFonts w:ascii="Times New Roman" w:hAnsi="Times New Roman"/>
          <w:sz w:val="20"/>
        </w:rPr>
      </w:pPr>
      <w:r>
        <w:rPr>
          <w:rFonts w:ascii="Times New Roman;serif" w:hAnsi="Times New Roman;serif"/>
          <w:b/>
          <w:i/>
          <w:sz w:val="20"/>
        </w:rPr>
        <w:t>Cash used in investing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2023, there were no purchases of property and equipment. During the six months ended June 30, 2022, there was minimal cash used in purchasing property and equipment.</w:t>
      </w:r>
    </w:p>
    <w:p>
      <w:pPr>
        <w:pStyle w:val="TextBody"/>
        <w:bidi w:val="0"/>
        <w:spacing w:before="360" w:after="0"/>
        <w:jc w:val="left"/>
        <w:rPr>
          <w:rFonts w:ascii="Times New Roman" w:hAnsi="Times New Roman"/>
          <w:sz w:val="20"/>
        </w:rPr>
      </w:pPr>
      <w:r>
        <w:rPr>
          <w:rFonts w:ascii="Times New Roman;serif" w:hAnsi="Times New Roman;serif"/>
          <w:b/>
          <w:i/>
          <w:sz w:val="20"/>
        </w:rPr>
        <w:t>Cash provided by financing activities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six months ended June 30, 2023, we received $10.0 million from the sale and issuance of the warrants pursuant to the Securities Purchase Agreement. We also received net proceeds of $7.1 million from the sale of common stock through the at the market program.</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six months ended June 30, 2022, we received $13.8 million of net cash proceeds from the sale of 2,666,666 shares of our common stock, and for certain investors, in lieu of common stock, pre-funded warrants to purchase 1,333,333 shares of common stock. Each share of common stock or pre-funded warrant was sold together with one, immediately exercisable common warrant with an exercise price of $4.50 per share. The net proceeds amount was slightly offset by payments for the taxes from net share-settled vesting of restricted stock.</w:t>
      </w:r>
    </w:p>
    <w:p>
      <w:pPr>
        <w:pStyle w:val="TextBody"/>
        <w:bidi w:val="0"/>
        <w:spacing w:before="36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have any off-balance sheet arrangements.</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1" w:name="item_3_quantitative_and_qualitative"/>
      <w:bookmarkEnd w:id="11"/>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There have not been any material changes to our exposure to market risk during the six months ended June 30, 2023. For additional information regarding market risk, refer to the </w:t>
      </w:r>
      <w:r>
        <w:rPr>
          <w:rFonts w:ascii="Times New Roman;serif" w:hAnsi="Times New Roman;serif"/>
          <w:b w:val="false"/>
          <w:i/>
          <w:sz w:val="20"/>
        </w:rPr>
        <w:t>Qualitative and Quantitative Disclosures About Market Risk</w:t>
      </w:r>
      <w:r>
        <w:rPr>
          <w:rFonts w:ascii="Times New Roman" w:hAnsi="Times New Roman"/>
          <w:sz w:val="20"/>
        </w:rPr>
        <w:t xml:space="preserve"> </w:t>
      </w:r>
      <w:r>
        <w:rPr>
          <w:rFonts w:ascii="Times New Roman;serif" w:hAnsi="Times New Roman;serif"/>
          <w:b w:val="false"/>
          <w:sz w:val="20"/>
        </w:rPr>
        <w:t>section of the Form 10-K.</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2" w:name="controls_and_procedures"/>
      <w:bookmarkEnd w:id="12"/>
      <w:r>
        <w:rPr>
          <w:rFonts w:ascii="Times New Roman;serif" w:hAnsi="Times New Roman;serif"/>
          <w:b/>
          <w:sz w:val="20"/>
        </w:rPr>
        <w:t>Item 4. Controls and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(a) Evaluation of Disclosure Controls and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(b) Changes in Internal Control over Financial Reporting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have been no changes to our internal control over financial reporting that occurred during the three months ended June 30, 2023, that have materially affected, or are reasonably likely to materially affect, our internal control over financial reporting.</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Inherent Limitations on Effectiveness of Controls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3" w:name="part_ii_other_information"/>
      <w:bookmarkEnd w:id="13"/>
      <w:r>
        <w:rPr>
          <w:rFonts w:ascii="Times New Roman;serif" w:hAnsi="Times New Roman;serif"/>
          <w:b/>
          <w:sz w:val="20"/>
        </w:rPr>
        <w:t>PART II – OTHER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 w:name="item_1_legal_proceedings"/>
      <w:bookmarkEnd w:id="14"/>
      <w:r>
        <w:rPr>
          <w:rFonts w:ascii="Times New Roman;serif" w:hAnsi="Times New Roman;serif"/>
          <w:b/>
          <w:sz w:val="20"/>
        </w:rPr>
        <w:t>Item 1. Legal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5" w:name="item_1a_risk_factors"/>
      <w:bookmarkEnd w:id="15"/>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of our Form 10-K, a description of certain risks and uncertainties that could affect our business, future performance or financial condition (the Risk Factors). Other than as set forth below, there are no material changes from the disclosure provided in the Form 10-K with respect to the Risk Factors.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The issuance and sale of shares of common stock upon exercise of outstanding warrants may cause substantial dilution to existing stockholders and may also depress the market price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May 8, 2023, the Company issued warrants to purchase an aggregate of 22,598,870 shares of our common stock pursuant to the Securities Purchase Agreement it entered into in December 2022. If the holders of the warrants choose to exercise the warrants, it will cause substantial dilution to the holders of our common stock. The Warrants are separated into two tranches, 8,598,970 Tranche A Warrants and 14,000,000 Tranche B Warrants. The Tranche A Warrants are exercisable for $1.75 per share, and the Tranche B Warrants are exercisable for $2.50 per share. As of July 31, 2023, the Company’s common stock closed at $5.10 per share; therefore all of these warrants are “in-the-money”. The Tranche A Warrants are immediately exercisable and must be exercised within 30 days of announcement of positive top-line data from the randomized withdrawal period of the Company’s Study C602 and will expire if positive top-line data is not announced prior to the 3.5 year anniversary of the date of issuance. The Company has announced that it expects to announce top-line data in the third quarter of 2023. The Tranche B Warrants are also immediately exercisable and expire upon the earlier of 3.5 years from the date of issuance and 30 days following receipt of U.S. Food and Drug Administration approval of DCCR for the treatment of PWS.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registered the shares of common stock underlying the warrants. If exercises of the warrants and sales of such shares issuable upon exercise thereof take place, the price of our common stock may decline. In addition, the common stock issuable upon exercise of the warrants may represent overhang that may also adversely affect the market price of our common stock. Overhang occurs when there is a greater supply of a company’s stock in the market than there is demand for that stock. When this happens the price of our common stock may decrease, and any additional shares which stockholders attempt to sell in the market will only further decrease the share price. If the share volume of our common stock cannot absorb shares sold by the warrantholders, then the value of our common stock will likely decrease.</w:t>
      </w:r>
    </w:p>
    <w:p>
      <w:pPr>
        <w:pStyle w:val="TextBody"/>
        <w:bidi w:val="0"/>
        <w:spacing w:before="360" w:after="0"/>
        <w:jc w:val="left"/>
        <w:rPr>
          <w:rFonts w:ascii="Times New Roman" w:hAnsi="Times New Roman"/>
          <w:sz w:val="20"/>
        </w:rPr>
      </w:pPr>
      <w:bookmarkStart w:id="16" w:name="item_2_unregistered_sales_equity_securit"/>
      <w:bookmarkEnd w:id="16"/>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7" w:name="item_3_defaults_upon_senior_securities"/>
      <w:bookmarkEnd w:id="17"/>
      <w:r>
        <w:rPr>
          <w:rFonts w:ascii="Times New Roman;serif" w:hAnsi="Times New Roman;serif"/>
          <w:b/>
          <w:sz w:val="20"/>
        </w:rPr>
        <w:t>Item 3. Defaults Upon Senior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8" w:name="item_4_mine_safety_disclosures"/>
      <w:bookmarkEnd w:id="18"/>
      <w:r>
        <w:rPr>
          <w:rFonts w:ascii="Times New Roman;serif" w:hAnsi="Times New Roman;serif"/>
          <w:b/>
          <w:sz w:val="20"/>
        </w:rPr>
        <w:t>Item 4. Mine Safety Disclosures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240"/>
        <w:jc w:val="left"/>
        <w:rPr>
          <w:rFonts w:ascii="Times New Roman" w:hAnsi="Times New Roman"/>
          <w:sz w:val="20"/>
        </w:rPr>
      </w:pPr>
      <w:bookmarkStart w:id="19" w:name="item_5_or_information"/>
      <w:bookmarkEnd w:id="19"/>
      <w:r>
        <w:rPr>
          <w:rFonts w:ascii="Times New Roman;serif" w:hAnsi="Times New Roman;serif"/>
          <w:b/>
          <w:sz w:val="20"/>
        </w:rPr>
        <w:t>Item 5. Other Information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240"/>
        <w:jc w:val="left"/>
        <w:rPr>
          <w:rFonts w:ascii="Times New Roman" w:hAnsi="Times New Roman"/>
          <w:sz w:val="20"/>
        </w:rPr>
      </w:pPr>
      <w:bookmarkStart w:id="20" w:name="item_6_exhibits"/>
      <w:bookmarkEnd w:id="20"/>
      <w:r>
        <w:rPr>
          <w:rFonts w:ascii="Times New Roman;serif" w:hAnsi="Times New Roman;serif"/>
          <w:b/>
          <w:sz w:val="20"/>
        </w:rPr>
        <w:t>Item 6. Exhibits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See the Exhibit Index on the page immediately preceding the exhibits for a list of exhibits filed as part of this Quarterly Report on Form 10-Q, which Exhibit Index is incorporated herein by reference.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1" w:name="exhibit_index"/>
      <w:bookmarkEnd w:id="21"/>
      <w:r>
        <w:rPr>
          <w:rFonts w:ascii="Times New Roman;serif" w:hAnsi="Times New Roman;serif"/>
          <w:b/>
          <w:sz w:val="20"/>
        </w:rPr>
        <w:t>EXHIBIT</w:t>
      </w:r>
      <w:r>
        <w:rPr>
          <w:rFonts w:ascii="Times New Roman" w:hAnsi="Times New Roman"/>
          <w:sz w:val="20"/>
        </w:rPr>
        <w:t xml:space="preserve"> </w:t>
      </w:r>
      <w:r>
        <w:rPr>
          <w:rFonts w:ascii="Times New Roman;serif" w:hAnsi="Times New Roman;serif"/>
          <w:b/>
          <w:sz w:val="20"/>
        </w:rPr>
        <w:t>INDEX</w:t>
      </w:r>
    </w:p>
    <w:tbl>
      <w:tblPr>
        <w:tblW w:w="10205" w:type="dxa"/>
        <w:jc w:val="left"/>
        <w:tblInd w:w="0" w:type="dxa"/>
        <w:tblLayout w:type="fixed"/>
        <w:tblCellMar>
          <w:top w:w="28" w:type="dxa"/>
          <w:left w:w="28" w:type="dxa"/>
          <w:bottom w:w="28" w:type="dxa"/>
          <w:right w:w="28" w:type="dxa"/>
        </w:tblCellMar>
      </w:tblPr>
      <w:tblGrid>
        <w:gridCol w:w="756"/>
        <w:gridCol w:w="266"/>
        <w:gridCol w:w="5206"/>
        <w:gridCol w:w="146"/>
        <w:gridCol w:w="991"/>
        <w:gridCol w:w="146"/>
        <w:gridCol w:w="644"/>
        <w:gridCol w:w="226"/>
        <w:gridCol w:w="771"/>
        <w:gridCol w:w="186"/>
        <w:gridCol w:w="867"/>
      </w:tblGrid>
      <w:tr>
        <w:trPr/>
        <w:tc>
          <w:tcPr>
            <w:tcW w:w="756"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52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71" w:type="dxa"/>
            <w:tcBorders/>
            <w:shd w:fill="FFFFFF" w:val="clear"/>
            <w:vAlign w:val="center"/>
          </w:tcPr>
          <w:p>
            <w:pPr>
              <w:pStyle w:val="TableContents"/>
              <w:bidi w:val="0"/>
              <w:spacing w:before="0" w:after="283"/>
              <w:jc w:val="left"/>
              <w:rPr>
                <w:sz w:val="4"/>
                <w:szCs w:val="4"/>
              </w:rPr>
            </w:pPr>
            <w:r>
              <w:rPr>
                <w:sz w:val="4"/>
                <w:szCs w:val="4"/>
              </w:rPr>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867" w:type="dxa"/>
            <w:tcBorders/>
            <w:shd w:fill="FFFFFF" w:val="clear"/>
            <w:vAlign w:val="center"/>
          </w:tcPr>
          <w:p>
            <w:pPr>
              <w:pStyle w:val="TableContents"/>
              <w:bidi w:val="0"/>
              <w:spacing w:before="0" w:after="283"/>
              <w:jc w:val="left"/>
              <w:rPr>
                <w:sz w:val="4"/>
                <w:szCs w:val="4"/>
              </w:rPr>
            </w:pPr>
            <w:r>
              <w:rPr>
                <w:sz w:val="4"/>
                <w:szCs w:val="4"/>
              </w:rPr>
            </w:r>
          </w:p>
        </w:tc>
      </w:tr>
      <w:tr>
        <w:trPr/>
        <w:tc>
          <w:tcPr>
            <w:tcW w:w="756" w:type="dxa"/>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52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831" w:type="dxa"/>
            <w:gridSpan w:val="7"/>
            <w:tcBorders>
              <w:bottom w:val="single" w:sz="4" w:space="0" w:color="000000"/>
            </w:tcBorders>
            <w:tcMar>
              <w:top w:w="0" w:type="dxa"/>
              <w:left w:w="0" w:type="dxa"/>
              <w:right w:w="0" w:type="dxa"/>
            </w:tcMar>
            <w:vAlign w:val="center"/>
          </w:tcPr>
          <w:p>
            <w:pPr>
              <w:pStyle w:val="TableContents"/>
              <w:bidi w:val="0"/>
              <w:spacing w:before="0" w:after="0"/>
              <w:ind w:left="0" w:right="40" w:hanging="0"/>
              <w:jc w:val="center"/>
              <w:rPr>
                <w:rFonts w:ascii="Times New Roman;serif" w:hAnsi="Times New Roman;serif"/>
                <w:b/>
                <w:sz w:val="16"/>
              </w:rPr>
            </w:pPr>
            <w:r>
              <w:rPr>
                <w:rFonts w:ascii="Times New Roman;serif" w:hAnsi="Times New Roman;serif"/>
                <w:b/>
                <w:sz w:val="16"/>
              </w:rPr>
              <w:t>Incorporated by Reference from</w:t>
            </w:r>
          </w:p>
        </w:tc>
      </w:tr>
      <w:tr>
        <w:trPr/>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Registrant’s</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Date Filed</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with the SEC</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80" w:hanging="0"/>
              <w:jc w:val="center"/>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0"/>
              <w:ind w:left="0" w:right="8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80" w:hanging="0"/>
              <w:jc w:val="center"/>
              <w:rPr>
                <w:rFonts w:ascii="Times New Roman;serif" w:hAnsi="Times New Roman;serif"/>
                <w:b/>
                <w:sz w:val="16"/>
              </w:rPr>
            </w:pPr>
            <w:r>
              <w:rPr>
                <w:rFonts w:ascii="Times New Roman;serif" w:hAnsi="Times New Roman;serif"/>
                <w:b/>
                <w:sz w:val="16"/>
              </w:rPr>
              <w:t>Number</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40" w:hanging="0"/>
              <w:jc w:val="center"/>
              <w:rPr/>
            </w:pPr>
            <w:r>
              <w:rPr/>
              <w:t> </w:t>
            </w:r>
          </w:p>
        </w:tc>
        <w:tc>
          <w:tcPr>
            <w:tcW w:w="867" w:type="dxa"/>
            <w:tcBorders>
              <w:bottom w:val="single" w:sz="4" w:space="0" w:color="000000"/>
            </w:tcBorders>
            <w:tcMar>
              <w:top w:w="0" w:type="dxa"/>
              <w:left w:w="0" w:type="dxa"/>
              <w:right w:w="0" w:type="dxa"/>
            </w:tcMar>
            <w:vAlign w:val="center"/>
          </w:tcPr>
          <w:p>
            <w:pPr>
              <w:pStyle w:val="TableContents"/>
              <w:bidi w:val="0"/>
              <w:spacing w:before="0" w:after="0"/>
              <w:ind w:left="0" w:right="40" w:hanging="0"/>
              <w:jc w:val="center"/>
              <w:rPr>
                <w:rFonts w:ascii="Times New Roman;serif" w:hAnsi="Times New Roman;serif"/>
                <w:b/>
                <w:sz w:val="16"/>
              </w:rPr>
            </w:pPr>
            <w:r>
              <w:rPr>
                <w:rFonts w:ascii="Times New Roman;serif" w:hAnsi="Times New Roman;serif"/>
                <w:b/>
                <w:sz w:val="16"/>
              </w:rPr>
              <w:t>Filed</w:t>
            </w:r>
          </w:p>
          <w:p>
            <w:pPr>
              <w:pStyle w:val="TableContents"/>
              <w:bidi w:val="0"/>
              <w:spacing w:before="0" w:after="0"/>
              <w:ind w:left="0" w:right="40" w:hanging="0"/>
              <w:jc w:val="center"/>
              <w:rPr>
                <w:rFonts w:ascii="Times New Roman;serif" w:hAnsi="Times New Roman;serif"/>
                <w:b/>
                <w:sz w:val="16"/>
              </w:rPr>
            </w:pPr>
            <w:r>
              <w:rPr>
                <w:rFonts w:ascii="Times New Roman;serif" w:hAnsi="Times New Roman;serif"/>
                <w:b/>
                <w:sz w:val="16"/>
              </w:rPr>
              <w:t>Herewith</w:t>
            </w:r>
          </w:p>
        </w:tc>
      </w:tr>
      <w:tr>
        <w:trPr/>
        <w:tc>
          <w:tcPr>
            <w:tcW w:w="756" w:type="dxa"/>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52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44"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80" w:hanging="0"/>
              <w:jc w:val="center"/>
              <w:rPr/>
            </w:pPr>
            <w:r>
              <w:rPr/>
              <w:t> </w:t>
            </w:r>
          </w:p>
        </w:tc>
        <w:tc>
          <w:tcPr>
            <w:tcW w:w="771" w:type="dxa"/>
            <w:tcBorders/>
            <w:vAlign w:val="center"/>
          </w:tcPr>
          <w:p>
            <w:pPr>
              <w:pStyle w:val="TableContents"/>
              <w:bidi w:val="0"/>
              <w:spacing w:before="0" w:after="0"/>
              <w:ind w:left="0" w:right="80" w:hanging="0"/>
              <w:jc w:val="center"/>
              <w:rPr/>
            </w:pPr>
            <w:r>
              <w:rPr/>
              <w:t> </w:t>
            </w:r>
          </w:p>
        </w:tc>
        <w:tc>
          <w:tcPr>
            <w:tcW w:w="186" w:type="dxa"/>
            <w:tcBorders/>
            <w:vAlign w:val="center"/>
          </w:tcPr>
          <w:p>
            <w:pPr>
              <w:pStyle w:val="TableContents"/>
              <w:bidi w:val="0"/>
              <w:spacing w:before="0" w:after="0"/>
              <w:ind w:left="0" w:right="40" w:hanging="0"/>
              <w:jc w:val="center"/>
              <w:rPr/>
            </w:pPr>
            <w:r>
              <w:rPr/>
              <w:t> </w:t>
            </w:r>
          </w:p>
        </w:tc>
        <w:tc>
          <w:tcPr>
            <w:tcW w:w="867" w:type="dxa"/>
            <w:tcBorders/>
            <w:vAlign w:val="center"/>
          </w:tcPr>
          <w:p>
            <w:pPr>
              <w:pStyle w:val="TableContents"/>
              <w:bidi w:val="0"/>
              <w:spacing w:before="0" w:after="0"/>
              <w:ind w:left="0" w:right="0" w:firstLine="200"/>
              <w:jc w:val="center"/>
              <w:rPr/>
            </w:pPr>
            <w:r>
              <w:rPr/>
              <w:t> </w:t>
            </w:r>
          </w:p>
        </w:tc>
      </w:tr>
      <w:tr>
        <w:trPr/>
        <w:tc>
          <w:tcPr>
            <w:tcW w:w="75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10.1</w:t>
            </w:r>
          </w:p>
        </w:tc>
        <w:tc>
          <w:tcPr>
            <w:tcW w:w="266" w:type="dxa"/>
            <w:tcBorders/>
            <w:vAlign w:val="center"/>
          </w:tcPr>
          <w:p>
            <w:pPr>
              <w:pStyle w:val="TableContents"/>
              <w:bidi w:val="0"/>
              <w:spacing w:before="0" w:after="0"/>
              <w:ind w:left="0" w:right="0" w:firstLine="115"/>
              <w:jc w:val="left"/>
              <w:rPr/>
            </w:pPr>
            <w:r>
              <w:rPr/>
              <w:t> </w:t>
            </w:r>
          </w:p>
        </w:tc>
        <w:tc>
          <w:tcPr>
            <w:tcW w:w="5206" w:type="dxa"/>
            <w:tcBorders/>
            <w:vAlign w:val="center"/>
          </w:tcPr>
          <w:p>
            <w:pPr>
              <w:pStyle w:val="TableContents"/>
              <w:bidi w:val="0"/>
              <w:spacing w:before="0" w:after="0"/>
              <w:ind w:left="0" w:right="0" w:firstLine="112"/>
              <w:jc w:val="left"/>
              <w:rPr/>
            </w:pPr>
            <w:hyperlink w:anchor="slno-ex10_1.htm">
              <w:r>
                <w:rPr>
                  <w:rStyle w:val="InternetLink"/>
                  <w:rFonts w:ascii="Times New Roman;serif" w:hAnsi="Times New Roman;serif"/>
                  <w:b w:val="false"/>
                  <w:sz w:val="20"/>
                  <w:u w:val="single"/>
                </w:rPr>
                <w:t>Amendment to lease agreement, dated April 24, 2023, by and between Soleno Therapeutics, Inc. and Hudson Towers at Shore Center, LLC</w:t>
              </w:r>
            </w:hyperlink>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vAlign w:val="center"/>
          </w:tcPr>
          <w:p>
            <w:pPr>
              <w:pStyle w:val="TableContents"/>
              <w:bidi w:val="0"/>
              <w:spacing w:before="0" w:after="0"/>
              <w:ind w:left="200" w:right="0" w:hanging="0"/>
              <w:jc w:val="left"/>
              <w:rPr/>
            </w:pPr>
            <w:r>
              <w:rPr/>
              <w:t> </w:t>
            </w:r>
          </w:p>
        </w:tc>
        <w:tc>
          <w:tcPr>
            <w:tcW w:w="266" w:type="dxa"/>
            <w:tcBorders/>
            <w:vAlign w:val="center"/>
          </w:tcPr>
          <w:p>
            <w:pPr>
              <w:pStyle w:val="TableContents"/>
              <w:bidi w:val="0"/>
              <w:spacing w:before="0" w:after="0"/>
              <w:ind w:left="0" w:right="0" w:firstLine="115"/>
              <w:jc w:val="left"/>
              <w:rPr/>
            </w:pPr>
            <w:r>
              <w:rPr/>
              <w:t> </w:t>
            </w:r>
          </w:p>
        </w:tc>
        <w:tc>
          <w:tcPr>
            <w:tcW w:w="5206" w:type="dxa"/>
            <w:tcBorders/>
            <w:vAlign w:val="center"/>
          </w:tcPr>
          <w:p>
            <w:pPr>
              <w:pStyle w:val="TableContents"/>
              <w:bidi w:val="0"/>
              <w:spacing w:before="0" w:after="0"/>
              <w:ind w:left="0" w:right="0" w:firstLine="112"/>
              <w:jc w:val="left"/>
              <w:rPr/>
            </w:pPr>
            <w:r>
              <w:rPr/>
              <w:t> </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pPr>
            <w:r>
              <w:rPr/>
              <w:t> </w:t>
            </w:r>
          </w:p>
        </w:tc>
      </w:tr>
      <w:tr>
        <w:trPr/>
        <w:tc>
          <w:tcPr>
            <w:tcW w:w="75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31.1</w:t>
            </w:r>
          </w:p>
        </w:tc>
        <w:tc>
          <w:tcPr>
            <w:tcW w:w="266" w:type="dxa"/>
            <w:tcBorders/>
            <w:vAlign w:val="center"/>
          </w:tcPr>
          <w:p>
            <w:pPr>
              <w:pStyle w:val="TableContents"/>
              <w:bidi w:val="0"/>
              <w:spacing w:before="0" w:after="0"/>
              <w:ind w:left="0" w:right="0" w:firstLine="115"/>
              <w:jc w:val="left"/>
              <w:rPr/>
            </w:pPr>
            <w:r>
              <w:rPr/>
              <w:t> </w:t>
            </w:r>
          </w:p>
        </w:tc>
        <w:tc>
          <w:tcPr>
            <w:tcW w:w="5206" w:type="dxa"/>
            <w:tcBorders/>
            <w:vAlign w:val="center"/>
          </w:tcPr>
          <w:p>
            <w:pPr>
              <w:pStyle w:val="TableContents"/>
              <w:bidi w:val="0"/>
              <w:spacing w:before="0" w:after="0"/>
              <w:ind w:left="0" w:right="0" w:firstLine="112"/>
              <w:jc w:val="left"/>
              <w:rPr/>
            </w:pPr>
            <w:hyperlink w:anchor="slno-ex31_1.htm">
              <w:r>
                <w:rPr>
                  <w:rStyle w:val="InternetLink"/>
                  <w:rFonts w:ascii="Times New Roman;serif" w:hAnsi="Times New Roman;serif"/>
                  <w:b w:val="false"/>
                  <w:sz w:val="20"/>
                  <w:u w:val="single"/>
                </w:rPr>
                <w:t>Certification of Principal Executive Officer Required Under Rule 13a-14(a) and 15d-14(a) of the Securities and Exchange Act of 1934, as amended</w:t>
              </w:r>
            </w:hyperlink>
            <w:hyperlink w:anchor="slno-ex31_1.htm">
              <w:r>
                <w:rPr>
                  <w:rStyle w:val="InternetLink"/>
                  <w:rFonts w:ascii="Times New Roman" w:hAnsi="Times New Roman"/>
                  <w:sz w:val="20"/>
                </w:rPr>
                <w:t xml:space="preserve"> </w:t>
              </w:r>
            </w:hyperlink>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vAlign w:val="center"/>
          </w:tcPr>
          <w:p>
            <w:pPr>
              <w:pStyle w:val="TableContents"/>
              <w:bidi w:val="0"/>
              <w:spacing w:before="0" w:after="0"/>
              <w:ind w:left="200" w:right="0" w:hanging="0"/>
              <w:jc w:val="left"/>
              <w:rPr/>
            </w:pPr>
            <w:r>
              <w:rPr/>
              <w:t> </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pPr>
            <w:r>
              <w:rPr/>
              <w:t> </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pPr>
            <w:r>
              <w:rPr/>
              <w:t> </w:t>
            </w:r>
          </w:p>
        </w:tc>
      </w:tr>
      <w:tr>
        <w:trPr/>
        <w:tc>
          <w:tcPr>
            <w:tcW w:w="75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31.2</w:t>
            </w:r>
          </w:p>
        </w:tc>
        <w:tc>
          <w:tcPr>
            <w:tcW w:w="266" w:type="dxa"/>
            <w:tcBorders/>
            <w:vAlign w:val="center"/>
          </w:tcPr>
          <w:p>
            <w:pPr>
              <w:pStyle w:val="TableContents"/>
              <w:bidi w:val="0"/>
              <w:spacing w:before="0" w:after="0"/>
              <w:ind w:left="0" w:right="0" w:firstLine="115"/>
              <w:jc w:val="left"/>
              <w:rPr/>
            </w:pPr>
            <w:r>
              <w:rPr/>
              <w:t> </w:t>
            </w:r>
          </w:p>
        </w:tc>
        <w:tc>
          <w:tcPr>
            <w:tcW w:w="5206" w:type="dxa"/>
            <w:tcBorders/>
            <w:vAlign w:val="center"/>
          </w:tcPr>
          <w:p>
            <w:pPr>
              <w:pStyle w:val="TableContents"/>
              <w:bidi w:val="0"/>
              <w:spacing w:before="0" w:after="0"/>
              <w:ind w:left="0" w:right="0" w:firstLine="112"/>
              <w:jc w:val="left"/>
              <w:rPr/>
            </w:pPr>
            <w:hyperlink w:anchor="slno-ex31_2.htm">
              <w:r>
                <w:rPr>
                  <w:rStyle w:val="InternetLink"/>
                  <w:rFonts w:ascii="Times New Roman;serif" w:hAnsi="Times New Roman;serif"/>
                  <w:b w:val="false"/>
                  <w:sz w:val="20"/>
                  <w:u w:val="single"/>
                </w:rPr>
                <w:t>Certification of Principal Financial and Accounting Officer Required Under Rule 13a-14(a) and 15d-14(a) of the Securities and Exchange Act of 1934, as amended</w:t>
              </w:r>
            </w:hyperlink>
            <w:hyperlink w:anchor="slno-ex31_2.htm">
              <w:r>
                <w:rPr>
                  <w:rStyle w:val="InternetLink"/>
                  <w:rFonts w:ascii="Times New Roman" w:hAnsi="Times New Roman"/>
                  <w:sz w:val="20"/>
                </w:rPr>
                <w:t xml:space="preserve"> </w:t>
              </w:r>
            </w:hyperlink>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vAlign w:val="center"/>
          </w:tcPr>
          <w:p>
            <w:pPr>
              <w:pStyle w:val="TableContents"/>
              <w:bidi w:val="0"/>
              <w:spacing w:before="0" w:after="0"/>
              <w:ind w:left="200" w:right="0" w:hanging="0"/>
              <w:jc w:val="left"/>
              <w:rPr/>
            </w:pPr>
            <w:r>
              <w:rPr/>
              <w:t> </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pPr>
            <w:r>
              <w:rPr/>
              <w:t> </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pPr>
            <w:r>
              <w:rPr/>
              <w:t> </w:t>
            </w:r>
          </w:p>
        </w:tc>
      </w:tr>
      <w:tr>
        <w:trPr/>
        <w:tc>
          <w:tcPr>
            <w:tcW w:w="75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32.1</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pPr>
            <w:hyperlink w:anchor="slno-ex32_1.htm">
              <w:r>
                <w:rPr>
                  <w:rStyle w:val="InternetLink"/>
                  <w:rFonts w:ascii="Times New Roman;serif" w:hAnsi="Times New Roman;serif"/>
                  <w:b w:val="false"/>
                  <w:sz w:val="20"/>
                  <w:u w:val="single"/>
                </w:rPr>
                <w:t>Certification of Principal Executive Officer Required Under Rule 13a-14(b) of the Securities and Exchange Act of 1934, as amended, and 18 U.S.C. §1350</w:t>
              </w:r>
            </w:hyperlink>
            <w:hyperlink w:anchor="slno-ex32_1.htm">
              <w:r>
                <w:rPr>
                  <w:rStyle w:val="InternetLink"/>
                  <w:rFonts w:ascii="Times New Roman" w:hAnsi="Times New Roman"/>
                  <w:sz w:val="20"/>
                </w:rPr>
                <w:t xml:space="preserve"> </w:t>
              </w:r>
            </w:hyperlink>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vAlign w:val="center"/>
          </w:tcPr>
          <w:p>
            <w:pPr>
              <w:pStyle w:val="TableContents"/>
              <w:bidi w:val="0"/>
              <w:spacing w:before="0" w:after="0"/>
              <w:ind w:left="200" w:right="0" w:hanging="0"/>
              <w:jc w:val="left"/>
              <w:rPr/>
            </w:pPr>
            <w:r>
              <w:rPr/>
              <w:t> </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pPr>
            <w:r>
              <w:rPr/>
              <w:t> </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pPr>
            <w:r>
              <w:rPr/>
              <w:t> </w:t>
            </w:r>
          </w:p>
        </w:tc>
      </w:tr>
      <w:tr>
        <w:trPr/>
        <w:tc>
          <w:tcPr>
            <w:tcW w:w="75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20"/>
              </w:rPr>
              <w:t>32.2</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pPr>
            <w:hyperlink w:anchor="slno-ex32_2.htm">
              <w:r>
                <w:rPr>
                  <w:rStyle w:val="InternetLink"/>
                  <w:rFonts w:ascii="Times New Roman;serif" w:hAnsi="Times New Roman;serif"/>
                  <w:b w:val="false"/>
                  <w:sz w:val="20"/>
                  <w:u w:val="single"/>
                </w:rPr>
                <w:t>Certification of Principal Financial and Accounting Officer Required Under Rule 13a-14(b) of the Securities and Exchange Act of 1934, as amended, and 18 U.S.C. §1350</w:t>
              </w:r>
            </w:hyperlink>
            <w:hyperlink w:anchor="slno-ex32_2.htm">
              <w:r>
                <w:rPr>
                  <w:rStyle w:val="InternetLink"/>
                  <w:rFonts w:ascii="Times New Roman" w:hAnsi="Times New Roman"/>
                  <w:sz w:val="20"/>
                </w:rPr>
                <w:t xml:space="preserve"> </w:t>
              </w:r>
            </w:hyperlink>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vAlign w:val="center"/>
          </w:tcPr>
          <w:p>
            <w:pPr>
              <w:pStyle w:val="TableContents"/>
              <w:bidi w:val="0"/>
              <w:spacing w:before="0" w:after="0"/>
              <w:ind w:left="200" w:right="0" w:hanging="0"/>
              <w:jc w:val="left"/>
              <w:rPr/>
            </w:pPr>
            <w:r>
              <w:rPr/>
              <w:t> </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pPr>
            <w:r>
              <w:rPr/>
              <w:t> </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pPr>
            <w:r>
              <w:rPr/>
              <w:t> </w:t>
            </w:r>
          </w:p>
        </w:tc>
      </w:tr>
      <w:tr>
        <w:trPr/>
        <w:tc>
          <w:tcPr>
            <w:tcW w:w="7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101.INS</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vAlign w:val="center"/>
          </w:tcPr>
          <w:p>
            <w:pPr>
              <w:pStyle w:val="TableContents"/>
              <w:bidi w:val="0"/>
              <w:spacing w:before="0" w:after="0"/>
              <w:ind w:left="200" w:right="0" w:hanging="0"/>
              <w:jc w:val="left"/>
              <w:rPr/>
            </w:pPr>
            <w:r>
              <w:rPr/>
              <w:t> </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pPr>
            <w:r>
              <w:rPr/>
              <w:t> </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pPr>
            <w:r>
              <w:rPr/>
              <w:t> </w:t>
            </w:r>
          </w:p>
        </w:tc>
      </w:tr>
      <w:tr>
        <w:trPr/>
        <w:tc>
          <w:tcPr>
            <w:tcW w:w="7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101.SCH</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vAlign w:val="center"/>
          </w:tcPr>
          <w:p>
            <w:pPr>
              <w:pStyle w:val="TableContents"/>
              <w:bidi w:val="0"/>
              <w:spacing w:before="0" w:after="0"/>
              <w:ind w:left="200" w:right="0" w:hanging="0"/>
              <w:jc w:val="left"/>
              <w:rPr/>
            </w:pPr>
            <w:r>
              <w:rPr/>
              <w:t> </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pPr>
            <w:r>
              <w:rPr/>
              <w:t> </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pPr>
            <w:r>
              <w:rPr/>
              <w:t> </w:t>
            </w:r>
          </w:p>
        </w:tc>
      </w:tr>
      <w:tr>
        <w:trPr/>
        <w:tc>
          <w:tcPr>
            <w:tcW w:w="7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101.CAL</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vAlign w:val="center"/>
          </w:tcPr>
          <w:p>
            <w:pPr>
              <w:pStyle w:val="TableContents"/>
              <w:bidi w:val="0"/>
              <w:spacing w:before="0" w:after="0"/>
              <w:ind w:left="200" w:right="0" w:hanging="0"/>
              <w:jc w:val="left"/>
              <w:rPr/>
            </w:pPr>
            <w:r>
              <w:rPr/>
              <w:t> </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pPr>
            <w:r>
              <w:rPr/>
              <w:t> </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pPr>
            <w:r>
              <w:rPr/>
              <w:t> </w:t>
            </w:r>
          </w:p>
        </w:tc>
      </w:tr>
      <w:tr>
        <w:trPr/>
        <w:tc>
          <w:tcPr>
            <w:tcW w:w="7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101.DEF</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vAlign w:val="center"/>
          </w:tcPr>
          <w:p>
            <w:pPr>
              <w:pStyle w:val="TableContents"/>
              <w:bidi w:val="0"/>
              <w:spacing w:before="0" w:after="0"/>
              <w:ind w:left="200" w:right="0" w:hanging="0"/>
              <w:jc w:val="left"/>
              <w:rPr/>
            </w:pPr>
            <w:r>
              <w:rPr/>
              <w:t> </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pPr>
            <w:r>
              <w:rPr/>
              <w:t> </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pPr>
            <w:r>
              <w:rPr/>
              <w:t> </w:t>
            </w:r>
          </w:p>
        </w:tc>
      </w:tr>
      <w:tr>
        <w:trPr/>
        <w:tc>
          <w:tcPr>
            <w:tcW w:w="7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101.LAB</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vAlign w:val="center"/>
          </w:tcPr>
          <w:p>
            <w:pPr>
              <w:pStyle w:val="TableContents"/>
              <w:bidi w:val="0"/>
              <w:spacing w:before="0" w:after="0"/>
              <w:ind w:left="200" w:right="0" w:hanging="0"/>
              <w:jc w:val="left"/>
              <w:rPr/>
            </w:pPr>
            <w:r>
              <w:rPr/>
              <w:t> </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0" w:right="0" w:firstLine="112"/>
              <w:jc w:val="left"/>
              <w:rPr/>
            </w:pPr>
            <w:r>
              <w:rPr/>
              <w:t> </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pPr>
            <w:r>
              <w:rPr/>
              <w:t> </w:t>
            </w:r>
          </w:p>
        </w:tc>
      </w:tr>
      <w:tr>
        <w:trPr/>
        <w:tc>
          <w:tcPr>
            <w:tcW w:w="7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101.PRE</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12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p>
            <w:pPr>
              <w:pStyle w:val="TableContents"/>
              <w:bidi w:val="0"/>
              <w:spacing w:before="0" w:after="0"/>
              <w:ind w:left="120" w:right="0" w:hanging="0"/>
              <w:jc w:val="left"/>
              <w:rPr/>
            </w:pPr>
            <w:r>
              <w:rPr/>
              <w:t> </w:t>
            </w:r>
          </w:p>
          <w:p>
            <w:pPr>
              <w:pStyle w:val="TableContents"/>
              <w:bidi w:val="0"/>
              <w:spacing w:before="0" w:after="0"/>
              <w:ind w:left="0" w:right="0" w:firstLine="112"/>
              <w:jc w:val="left"/>
              <w:rPr/>
            </w:pPr>
            <w:r>
              <w:rPr/>
              <w:t> </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X</w:t>
            </w:r>
          </w:p>
        </w:tc>
      </w:tr>
      <w:tr>
        <w:trPr/>
        <w:tc>
          <w:tcPr>
            <w:tcW w:w="7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104</w:t>
            </w:r>
          </w:p>
        </w:tc>
        <w:tc>
          <w:tcPr>
            <w:tcW w:w="266" w:type="dxa"/>
            <w:tcBorders/>
            <w:vAlign w:val="center"/>
          </w:tcPr>
          <w:p>
            <w:pPr>
              <w:pStyle w:val="TableContents"/>
              <w:bidi w:val="0"/>
              <w:spacing w:before="0" w:after="0"/>
              <w:ind w:left="0" w:right="0" w:firstLine="120"/>
              <w:jc w:val="left"/>
              <w:rPr/>
            </w:pPr>
            <w:r>
              <w:rPr/>
              <w:t> </w:t>
            </w:r>
          </w:p>
        </w:tc>
        <w:tc>
          <w:tcPr>
            <w:tcW w:w="5206" w:type="dxa"/>
            <w:tcBorders/>
            <w:vAlign w:val="center"/>
          </w:tcPr>
          <w:p>
            <w:pPr>
              <w:pStyle w:val="TableContents"/>
              <w:bidi w:val="0"/>
              <w:spacing w:before="0" w:after="0"/>
              <w:ind w:left="12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p>
            <w:pPr>
              <w:pStyle w:val="TableContents"/>
              <w:bidi w:val="0"/>
              <w:spacing w:before="0" w:after="0"/>
              <w:ind w:left="0" w:right="0" w:firstLine="112"/>
              <w:jc w:val="left"/>
              <w:rPr/>
            </w:pPr>
            <w:r>
              <w:rPr/>
              <w:t> </w:t>
            </w:r>
          </w:p>
        </w:tc>
        <w:tc>
          <w:tcPr>
            <w:tcW w:w="146" w:type="dxa"/>
            <w:tcBorders/>
            <w:vAlign w:val="center"/>
          </w:tcPr>
          <w:p>
            <w:pPr>
              <w:pStyle w:val="TableContents"/>
              <w:pBdr/>
              <w:bidi w:val="0"/>
              <w:spacing w:before="0" w:after="0"/>
              <w:ind w:left="101" w:right="0" w:hanging="11"/>
              <w:jc w:val="left"/>
              <w:rPr/>
            </w:pPr>
            <w:r>
              <w:rPr/>
              <w:t> </w:t>
            </w:r>
          </w:p>
        </w:tc>
        <w:tc>
          <w:tcPr>
            <w:tcW w:w="9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283"/>
              <w:ind w:left="0" w:right="0" w:hanging="0"/>
              <w:jc w:val="left"/>
              <w:rPr>
                <w:sz w:val="4"/>
                <w:szCs w:val="4"/>
              </w:rPr>
            </w:pPr>
            <w:r>
              <w:rPr>
                <w:sz w:val="4"/>
                <w:szCs w:val="4"/>
              </w:rPr>
            </w:r>
          </w:p>
        </w:tc>
        <w:tc>
          <w:tcPr>
            <w:tcW w:w="186"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0" w:after="0"/>
        <w:jc w:val="left"/>
        <w:rPr/>
      </w:pPr>
      <w:r>
        <w:rPr/>
        <w:t> </w:t>
      </w:r>
    </w:p>
    <w:tbl>
      <w:tblPr>
        <w:tblW w:w="4861" w:type="dxa"/>
        <w:jc w:val="left"/>
        <w:tblInd w:w="0" w:type="dxa"/>
        <w:tblLayout w:type="fixed"/>
        <w:tblCellMar>
          <w:top w:w="28" w:type="dxa"/>
          <w:left w:w="28" w:type="dxa"/>
          <w:bottom w:w="28" w:type="dxa"/>
          <w:right w:w="28" w:type="dxa"/>
        </w:tblCellMar>
      </w:tblPr>
      <w:tblGrid>
        <w:gridCol w:w="1846"/>
        <w:gridCol w:w="551"/>
        <w:gridCol w:w="2464"/>
      </w:tblGrid>
      <w:tr>
        <w:trPr/>
        <w:tc>
          <w:tcPr>
            <w:tcW w:w="18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8, 2023</w:t>
            </w:r>
          </w:p>
        </w:tc>
        <w:tc>
          <w:tcPr>
            <w:tcW w:w="3015"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SOLENO THERAPEUTICS, INC.</w:t>
            </w:r>
          </w:p>
        </w:tc>
      </w:tr>
      <w:tr>
        <w:trPr/>
        <w:tc>
          <w:tcPr>
            <w:tcW w:w="1846"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left"/>
              <w:rPr/>
            </w:pPr>
            <w:r>
              <w:rPr/>
              <w:t> </w:t>
            </w:r>
          </w:p>
        </w:tc>
        <w:tc>
          <w:tcPr>
            <w:tcW w:w="2464"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5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Mackaness</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551" w:type="dxa"/>
            <w:tcBorders/>
            <w:vAlign w:val="center"/>
          </w:tcPr>
          <w:p>
            <w:pPr>
              <w:pStyle w:val="TableContents"/>
              <w:bidi w:val="0"/>
              <w:spacing w:before="0" w:after="283"/>
              <w:ind w:left="0" w:right="0" w:hanging="0"/>
              <w:jc w:val="left"/>
              <w:rPr>
                <w:sz w:val="4"/>
                <w:szCs w:val="4"/>
              </w:rPr>
            </w:pPr>
            <w:r>
              <w:rPr>
                <w:sz w:val="4"/>
                <w:szCs w:val="4"/>
              </w:rPr>
            </w:r>
          </w:p>
        </w:tc>
        <w:tc>
          <w:tcPr>
            <w:tcW w:w="2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James Mackaness</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4418" w:type="dxa"/>
        <w:jc w:val="left"/>
        <w:tblInd w:w="0" w:type="dxa"/>
        <w:tblLayout w:type="fixed"/>
        <w:tblCellMar>
          <w:top w:w="28" w:type="dxa"/>
          <w:left w:w="28" w:type="dxa"/>
          <w:bottom w:w="28" w:type="dxa"/>
          <w:right w:w="28" w:type="dxa"/>
        </w:tblCellMar>
      </w:tblPr>
      <w:tblGrid>
        <w:gridCol w:w="161"/>
        <w:gridCol w:w="146"/>
        <w:gridCol w:w="411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 xml:space="preserve">(authorized officer and principal financial and </w:t>
              <w:br/>
              <w:t>accounting officer)</w:t>
            </w:r>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val="false"/>
          <w:sz w:val="22"/>
        </w:rPr>
      </w:pPr>
      <w:bookmarkStart w:id="23" w:name="slno-ex10_1.htm"/>
      <w:bookmarkStart w:id="24" w:name="ksslnoex10_1"/>
      <w:bookmarkEnd w:id="23"/>
      <w:bookmarkEnd w:id="24"/>
      <w:r>
        <w:rPr>
          <w:rFonts w:ascii="Times New Roman;serif" w:hAnsi="Times New Roman;serif"/>
          <w:b w:val="false"/>
          <w:sz w:val="22"/>
        </w:rPr>
        <w:t>FIRST AMENDMENT</w:t>
      </w:r>
      <w:r>
        <w:br w:type="page"/>
      </w:r>
    </w:p>
    <w:p>
      <w:pPr>
        <w:pStyle w:val="TextBody"/>
        <w:bidi w:val="0"/>
        <w:spacing w:before="0" w:after="0"/>
        <w:jc w:val="both"/>
        <w:rPr>
          <w:rFonts w:ascii="Times New Roman" w:hAnsi="Times New Roman"/>
          <w:sz w:val="20"/>
        </w:rPr>
      </w:pPr>
      <w:r>
        <w:rPr>
          <w:rFonts w:ascii="Times New Roman;serif" w:hAnsi="Times New Roman;serif"/>
          <w:b/>
          <w:sz w:val="22"/>
        </w:rPr>
        <w:t xml:space="preserve">THIS FIRST AMENDMENT </w:t>
      </w:r>
      <w:r>
        <w:rPr>
          <w:rFonts w:ascii="Times New Roman;serif" w:hAnsi="Times New Roman;serif"/>
          <w:b w:val="false"/>
          <w:sz w:val="22"/>
        </w:rPr>
        <w:t>(this “</w:t>
      </w:r>
      <w:r>
        <w:rPr>
          <w:rFonts w:ascii="Times New Roman;serif" w:hAnsi="Times New Roman;serif"/>
          <w:b/>
          <w:sz w:val="22"/>
        </w:rPr>
        <w:t>Amendment</w:t>
      </w:r>
      <w:r>
        <w:rPr>
          <w:rFonts w:ascii="Times New Roman" w:hAnsi="Times New Roman"/>
          <w:sz w:val="20"/>
        </w:rPr>
        <w:t>”</w:t>
      </w:r>
      <w:r>
        <w:rPr>
          <w:rFonts w:ascii="Times New Roman;serif" w:hAnsi="Times New Roman;serif"/>
          <w:b w:val="false"/>
          <w:sz w:val="22"/>
        </w:rPr>
        <w:t>) is made and entered into as of</w:t>
      </w:r>
    </w:p>
    <w:p>
      <w:pPr>
        <w:pStyle w:val="TextBody"/>
        <w:bidi w:val="0"/>
        <w:spacing w:before="0" w:after="0"/>
        <w:jc w:val="both"/>
        <w:rPr>
          <w:rFonts w:ascii="Times New Roman" w:hAnsi="Times New Roman"/>
          <w:sz w:val="20"/>
        </w:rPr>
      </w:pPr>
      <w:r>
        <w:rPr>
          <w:rFonts w:ascii="Times New Roman;serif" w:hAnsi="Times New Roman;serif"/>
          <w:b w:val="false"/>
          <w:sz w:val="20"/>
          <w:u w:val="single"/>
        </w:rPr>
        <w:t xml:space="preserve">April 24 </w:t>
      </w:r>
      <w:r>
        <w:rPr>
          <w:rFonts w:ascii="Times New Roman;serif" w:hAnsi="Times New Roman;serif"/>
          <w:b w:val="false"/>
          <w:sz w:val="22"/>
        </w:rPr>
        <w:t xml:space="preserve">, 2023, by and between </w:t>
      </w:r>
      <w:r>
        <w:rPr>
          <w:rFonts w:ascii="Times New Roman;serif" w:hAnsi="Times New Roman;serif"/>
          <w:b/>
          <w:sz w:val="22"/>
        </w:rPr>
        <w:t xml:space="preserve">HUDSON TOWERS AT SHORE CENTER, LLC, a Delaware limited liability company </w:t>
      </w:r>
      <w:r>
        <w:rPr>
          <w:rFonts w:ascii="Times New Roman;serif" w:hAnsi="Times New Roman;serif"/>
          <w:b w:val="false"/>
          <w:sz w:val="22"/>
        </w:rPr>
        <w:t>(“</w:t>
      </w:r>
      <w:r>
        <w:rPr>
          <w:rFonts w:ascii="Times New Roman;serif" w:hAnsi="Times New Roman;serif"/>
          <w:b/>
          <w:sz w:val="22"/>
        </w:rPr>
        <w:t>Landlord</w:t>
      </w:r>
      <w:r>
        <w:rPr>
          <w:rFonts w:ascii="Times New Roman" w:hAnsi="Times New Roman"/>
          <w:sz w:val="20"/>
        </w:rPr>
        <w:t>”</w:t>
      </w:r>
      <w:r>
        <w:rPr>
          <w:rFonts w:ascii="Times New Roman;serif" w:hAnsi="Times New Roman;serif"/>
          <w:b w:val="false"/>
          <w:sz w:val="22"/>
        </w:rPr>
        <w:t xml:space="preserve">), and </w:t>
      </w:r>
      <w:r>
        <w:rPr>
          <w:rFonts w:ascii="Times New Roman;serif" w:hAnsi="Times New Roman;serif"/>
          <w:b/>
          <w:sz w:val="22"/>
        </w:rPr>
        <w:t xml:space="preserve">SOLENO THERAPEUTICS, INC., a Delaware corporation </w:t>
      </w:r>
      <w:r>
        <w:rPr>
          <w:rFonts w:ascii="Times New Roman;serif" w:hAnsi="Times New Roman;serif"/>
          <w:b w:val="false"/>
          <w:sz w:val="22"/>
        </w:rPr>
        <w:t>(“</w:t>
      </w:r>
      <w:r>
        <w:rPr>
          <w:rFonts w:ascii="Times New Roman;serif" w:hAnsi="Times New Roman;serif"/>
          <w:b/>
          <w:sz w:val="22"/>
        </w:rPr>
        <w:t>Tenant</w:t>
      </w:r>
      <w:r>
        <w:rPr>
          <w:rFonts w:ascii="Times New Roman" w:hAnsi="Times New Roman"/>
          <w:sz w:val="20"/>
        </w:rPr>
        <w:t>”</w:t>
      </w:r>
      <w:r>
        <w:rPr>
          <w:rFonts w:ascii="Times New Roman;serif" w:hAnsi="Times New Roman;serif"/>
          <w:b w:val="false"/>
          <w:sz w:val="22"/>
        </w:rPr>
        <w: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RECITALS</w:t>
      </w:r>
    </w:p>
    <w:p>
      <w:pPr>
        <w:pStyle w:val="TextBody"/>
        <w:bidi w:val="0"/>
        <w:spacing w:before="120" w:after="0"/>
        <w:jc w:val="left"/>
        <w:rPr>
          <w:rFonts w:ascii="Times New Roman" w:hAnsi="Times New Roman"/>
          <w:b w:val="false"/>
          <w:sz w:val="22"/>
        </w:rPr>
      </w:pPr>
      <w:r>
        <w:rPr>
          <w:rFonts w:ascii="Times New Roman" w:hAnsi="Times New Roman"/>
          <w:b w:val="false"/>
          <w:sz w:val="22"/>
        </w:rPr>
        <w:t>1.</w:t>
      </w:r>
    </w:p>
    <w:p>
      <w:pPr>
        <w:pStyle w:val="TextBody"/>
        <w:bidi w:val="0"/>
        <w:spacing w:before="120" w:after="283"/>
        <w:jc w:val="left"/>
        <w:rPr/>
      </w:pPr>
      <w:r>
        <w:rPr>
          <w:rFonts w:ascii="Times New Roman;serif" w:hAnsi="Times New Roman;serif"/>
          <w:b w:val="false"/>
          <w:sz w:val="22"/>
        </w:rPr>
        <w:t>Landlord and Tenant are parties to that certain Office Lease dated April 16, 2021 (the “</w:t>
      </w:r>
      <w:r>
        <w:rPr>
          <w:rFonts w:ascii="Times New Roman;serif" w:hAnsi="Times New Roman;serif"/>
          <w:b/>
          <w:sz w:val="22"/>
        </w:rPr>
        <w:t>Lease</w:t>
      </w:r>
      <w:r>
        <w:rPr/>
        <w:t>”</w:t>
      </w:r>
      <w:r>
        <w:rPr>
          <w:rFonts w:ascii="Times New Roman;serif" w:hAnsi="Times New Roman;serif"/>
          <w:b w:val="false"/>
          <w:sz w:val="22"/>
        </w:rPr>
        <w:t xml:space="preserve">).Pursuant to the Lease, Landlord has leased to Tenant space currently containing approximately </w:t>
      </w:r>
      <w:r>
        <w:rPr>
          <w:rFonts w:ascii="Times New Roman;serif" w:hAnsi="Times New Roman;serif"/>
          <w:b/>
          <w:sz w:val="22"/>
        </w:rPr>
        <w:t xml:space="preserve">6,368 </w:t>
      </w:r>
      <w:r>
        <w:rPr>
          <w:rFonts w:ascii="Times New Roman;serif" w:hAnsi="Times New Roman;serif"/>
          <w:b w:val="false"/>
          <w:sz w:val="22"/>
        </w:rPr>
        <w:t>rentable square feet (the “</w:t>
      </w:r>
      <w:r>
        <w:rPr>
          <w:rFonts w:ascii="Times New Roman;serif" w:hAnsi="Times New Roman;serif"/>
          <w:b/>
          <w:sz w:val="22"/>
        </w:rPr>
        <w:t>Premises</w:t>
      </w:r>
      <w:r>
        <w:rPr/>
        <w:t>”</w:t>
      </w:r>
      <w:r>
        <w:rPr>
          <w:rFonts w:ascii="Times New Roman;serif" w:hAnsi="Times New Roman;serif"/>
          <w:b w:val="false"/>
          <w:sz w:val="22"/>
        </w:rPr>
        <w:t>) described as Suite 500 on the fifth floor of the building commonly known as Towers @ Shores-203 Redwood Shores located at 203 Redwood Shores Parkway,Redwood City, California (the “</w:t>
      </w:r>
      <w:r>
        <w:rPr>
          <w:rFonts w:ascii="Times New Roman;serif" w:hAnsi="Times New Roman;serif"/>
          <w:b/>
          <w:sz w:val="22"/>
        </w:rPr>
        <w:t>Building</w:t>
      </w:r>
      <w:r>
        <w:rPr/>
        <w:t>”</w:t>
      </w:r>
      <w:r>
        <w:rPr>
          <w:rFonts w:ascii="Times New Roman;serif" w:hAnsi="Times New Roman;serif"/>
          <w:b w:val="false"/>
          <w:sz w:val="22"/>
        </w:rPr>
        <w:t>).</w:t>
      </w:r>
    </w:p>
    <w:p>
      <w:pPr>
        <w:pStyle w:val="TextBody"/>
        <w:bidi w:val="0"/>
        <w:spacing w:before="120" w:after="0"/>
        <w:jc w:val="left"/>
        <w:rPr>
          <w:rFonts w:ascii="Times New Roman" w:hAnsi="Times New Roman"/>
          <w:b w:val="false"/>
          <w:sz w:val="22"/>
        </w:rPr>
      </w:pPr>
      <w:r>
        <w:rPr>
          <w:rFonts w:ascii="Times New Roman" w:hAnsi="Times New Roman"/>
          <w:b w:val="false"/>
          <w:sz w:val="22"/>
        </w:rPr>
        <w:t>2.</w:t>
      </w:r>
    </w:p>
    <w:p>
      <w:pPr>
        <w:pStyle w:val="TextBody"/>
        <w:bidi w:val="0"/>
        <w:spacing w:before="120" w:after="283"/>
        <w:jc w:val="left"/>
        <w:rPr/>
      </w:pPr>
      <w:r>
        <w:rPr>
          <w:rFonts w:ascii="Times New Roman;serif" w:hAnsi="Times New Roman;serif"/>
          <w:b w:val="false"/>
          <w:sz w:val="22"/>
        </w:rPr>
        <w:t>The Lease will expire by its terms on May 31, 2023 (the “</w:t>
      </w:r>
      <w:r>
        <w:rPr>
          <w:rFonts w:ascii="Times New Roman;serif" w:hAnsi="Times New Roman;serif"/>
          <w:b/>
          <w:sz w:val="22"/>
        </w:rPr>
        <w:t>Existing Expiration Date</w:t>
      </w:r>
      <w:r>
        <w:rPr/>
        <w:t>”</w:t>
      </w:r>
      <w:r>
        <w:rPr>
          <w:rFonts w:ascii="Times New Roman;serif" w:hAnsi="Times New Roman;serif"/>
          <w:b w:val="false"/>
          <w:sz w:val="22"/>
        </w:rPr>
        <w:t>), and the parties wish to extend the term of the Lease on the following terms and conditions.</w:t>
      </w:r>
    </w:p>
    <w:p>
      <w:pPr>
        <w:pStyle w:val="TextBody"/>
        <w:bidi w:val="0"/>
        <w:spacing w:before="0" w:after="0"/>
        <w:jc w:val="both"/>
        <w:rPr>
          <w:rFonts w:ascii="Times New Roman" w:hAnsi="Times New Roman"/>
          <w:sz w:val="20"/>
        </w:rPr>
      </w:pPr>
      <w:r>
        <w:rPr>
          <w:rFonts w:ascii="Times New Roman;serif" w:hAnsi="Times New Roman;serif"/>
          <w:b/>
          <w:sz w:val="22"/>
        </w:rPr>
        <w:t>NOW, THEREFORE</w:t>
      </w:r>
      <w:r>
        <w:rPr>
          <w:rFonts w:ascii="Times New Roman;serif" w:hAnsi="Times New Roman;serif"/>
          <w:b w:val="false"/>
          <w:sz w:val="22"/>
        </w:rPr>
        <w:t>, in consideration of the above recitals which by this reference are incorporated herein, the mutual covenants and conditions contained herein and other valuable consideration, the receipt and sufficiency of which are hereby acknowledged, Landlord and Tenant agree as follows:</w:t>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a.</w:t>
      </w:r>
    </w:p>
    <w:p>
      <w:pPr>
        <w:pStyle w:val="TextBody"/>
        <w:bidi w:val="0"/>
        <w:spacing w:before="120" w:after="283"/>
        <w:jc w:val="left"/>
        <w:rPr/>
      </w:pPr>
      <w:r>
        <w:rPr>
          <w:rFonts w:ascii="Times New Roman;serif" w:hAnsi="Times New Roman;serif"/>
          <w:b/>
          <w:sz w:val="22"/>
          <w:u w:val="single"/>
        </w:rPr>
        <w:t>Extension</w:t>
      </w:r>
      <w:r>
        <w:rPr>
          <w:rFonts w:ascii="Times New Roman;serif" w:hAnsi="Times New Roman;serif"/>
          <w:b/>
          <w:sz w:val="22"/>
        </w:rPr>
        <w:t xml:space="preserve">. </w:t>
      </w:r>
      <w:r>
        <w:rPr>
          <w:rFonts w:ascii="Times New Roman;serif" w:hAnsi="Times New Roman;serif"/>
          <w:b w:val="false"/>
          <w:sz w:val="22"/>
        </w:rPr>
        <w:t>The term of the Lease is hereby extended through May 31, 2025 (the “</w:t>
      </w:r>
      <w:r>
        <w:rPr>
          <w:rFonts w:ascii="Times New Roman;serif" w:hAnsi="Times New Roman;serif"/>
          <w:b/>
          <w:sz w:val="22"/>
        </w:rPr>
        <w:t>Extended Expiration Date</w:t>
      </w:r>
      <w:r>
        <w:rPr/>
        <w:t>”</w:t>
      </w:r>
      <w:r>
        <w:rPr>
          <w:rFonts w:ascii="Times New Roman;serif" w:hAnsi="Times New Roman;serif"/>
          <w:b w:val="false"/>
          <w:sz w:val="22"/>
        </w:rPr>
        <w:t>). The portion of the term of the Lease beginning on the date immediately following the Existing Expiration Date (the “</w:t>
      </w:r>
      <w:r>
        <w:rPr>
          <w:rFonts w:ascii="Times New Roman;serif" w:hAnsi="Times New Roman;serif"/>
          <w:b/>
          <w:sz w:val="22"/>
        </w:rPr>
        <w:t>Extension Date</w:t>
      </w:r>
      <w:r>
        <w:rPr/>
        <w:t>”</w:t>
      </w:r>
      <w:r>
        <w:rPr>
          <w:rFonts w:ascii="Times New Roman;serif" w:hAnsi="Times New Roman;serif"/>
          <w:b w:val="false"/>
          <w:sz w:val="22"/>
        </w:rPr>
        <w:t>) and ending on the Extended Expiration Date shall be referredto herein as the “</w:t>
      </w:r>
      <w:r>
        <w:rPr>
          <w:rFonts w:ascii="Times New Roman;serif" w:hAnsi="Times New Roman;serif"/>
          <w:b/>
          <w:sz w:val="22"/>
        </w:rPr>
        <w:t>Extended Term</w:t>
      </w:r>
      <w:r>
        <w:rPr/>
        <w:t>”</w:t>
      </w:r>
      <w:r>
        <w:rPr>
          <w:rFonts w:ascii="Times New Roman;serif" w:hAnsi="Times New Roman;serif"/>
          <w:b w:val="false"/>
          <w:sz w:val="22"/>
        </w:rPr>
        <w:t>.</w:t>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b.</w:t>
      </w:r>
    </w:p>
    <w:p>
      <w:pPr>
        <w:pStyle w:val="TextBody"/>
        <w:bidi w:val="0"/>
        <w:spacing w:before="120" w:after="283"/>
        <w:jc w:val="left"/>
        <w:rPr/>
      </w:pPr>
      <w:r>
        <w:rPr>
          <w:rFonts w:ascii="Times New Roman;serif" w:hAnsi="Times New Roman;serif"/>
          <w:b/>
          <w:sz w:val="22"/>
          <w:u w:val="single"/>
        </w:rPr>
        <w:t>Base Rent</w:t>
      </w:r>
      <w:r>
        <w:rPr>
          <w:rFonts w:ascii="Times New Roman;serif" w:hAnsi="Times New Roman;serif"/>
          <w:b/>
          <w:sz w:val="22"/>
        </w:rPr>
        <w:t xml:space="preserve">. </w:t>
      </w:r>
      <w:r>
        <w:rPr>
          <w:rFonts w:ascii="Times New Roman;serif" w:hAnsi="Times New Roman;serif"/>
          <w:b w:val="false"/>
          <w:sz w:val="22"/>
        </w:rPr>
        <w:t>During the Extended Term, the schedule of Base Rent shall be as follows:</w:t>
      </w:r>
    </w:p>
    <w:tbl>
      <w:tblPr>
        <w:tblW w:w="9168" w:type="dxa"/>
        <w:jc w:val="left"/>
        <w:tblInd w:w="0" w:type="dxa"/>
        <w:tblLayout w:type="fixed"/>
        <w:tblCellMar>
          <w:top w:w="28" w:type="dxa"/>
          <w:left w:w="28" w:type="dxa"/>
          <w:bottom w:w="28" w:type="dxa"/>
          <w:right w:w="28" w:type="dxa"/>
        </w:tblCellMar>
      </w:tblPr>
      <w:tblGrid>
        <w:gridCol w:w="2596"/>
        <w:gridCol w:w="4606"/>
        <w:gridCol w:w="1966"/>
      </w:tblGrid>
      <w:tr>
        <w:trPr/>
        <w:tc>
          <w:tcPr>
            <w:tcW w:w="2596"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0" w:right="0" w:hanging="0"/>
              <w:jc w:val="left"/>
              <w:rPr>
                <w:rFonts w:ascii="Times New Roman;serif" w:hAnsi="Times New Roman;serif"/>
                <w:b/>
                <w:sz w:val="22"/>
              </w:rPr>
            </w:pPr>
            <w:r>
              <w:rPr>
                <w:rFonts w:ascii="Times New Roman;serif" w:hAnsi="Times New Roman;serif"/>
                <w:b/>
                <w:sz w:val="22"/>
              </w:rPr>
              <w:t>Period of Extended Term</w:t>
            </w:r>
          </w:p>
        </w:tc>
        <w:tc>
          <w:tcPr>
            <w:tcW w:w="4606"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serif" w:hAnsi="Times New Roman;serif"/>
                <w:b/>
                <w:sz w:val="22"/>
              </w:rPr>
            </w:pPr>
            <w:r>
              <w:rPr>
                <w:rFonts w:ascii="Times New Roman;serif" w:hAnsi="Times New Roman;serif"/>
                <w:b/>
                <w:sz w:val="22"/>
              </w:rPr>
              <w:t>Annual Rate Per Square</w:t>
            </w:r>
          </w:p>
          <w:p>
            <w:pPr>
              <w:pStyle w:val="TableContents"/>
              <w:bidi w:val="0"/>
              <w:spacing w:before="0" w:after="0"/>
              <w:ind w:left="0" w:right="0" w:hanging="0"/>
              <w:jc w:val="left"/>
              <w:rPr>
                <w:rFonts w:ascii="Times New Roman" w:hAnsi="Times New Roman"/>
                <w:sz w:val="22"/>
              </w:rPr>
            </w:pPr>
            <w:r>
              <w:rPr>
                <w:rFonts w:ascii="Times New Roman;serif" w:hAnsi="Times New Roman;serif"/>
                <w:b/>
                <w:sz w:val="22"/>
              </w:rPr>
              <w:t>Foot (rounded to the nearest 100</w:t>
            </w:r>
            <w:r>
              <w:rPr>
                <w:rFonts w:ascii="Times New Roman;serif" w:hAnsi="Times New Roman;serif"/>
                <w:b/>
                <w:sz w:val="15"/>
              </w:rPr>
              <w:t>th</w:t>
            </w:r>
            <w:r>
              <w:rPr>
                <w:rFonts w:ascii="Times New Roman" w:hAnsi="Times New Roman"/>
                <w:sz w:val="22"/>
              </w:rPr>
              <w:t> </w:t>
            </w:r>
            <w:r>
              <w:rPr>
                <w:rFonts w:ascii="Times New Roman;serif" w:hAnsi="Times New Roman;serif"/>
                <w:b/>
                <w:sz w:val="22"/>
              </w:rPr>
              <w:t>of a dollar)</w:t>
            </w:r>
          </w:p>
        </w:tc>
        <w:tc>
          <w:tcPr>
            <w:tcW w:w="1966"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0" w:right="0" w:hanging="0"/>
              <w:jc w:val="left"/>
              <w:rPr>
                <w:rFonts w:ascii="Times New Roman;serif" w:hAnsi="Times New Roman;serif"/>
                <w:b/>
                <w:sz w:val="22"/>
              </w:rPr>
            </w:pPr>
            <w:r>
              <w:rPr>
                <w:rFonts w:ascii="Times New Roman;serif" w:hAnsi="Times New Roman;serif"/>
                <w:b/>
                <w:sz w:val="22"/>
              </w:rPr>
              <w:t>Monthly BaseRent</w:t>
            </w:r>
          </w:p>
        </w:tc>
      </w:tr>
      <w:tr>
        <w:trPr/>
        <w:tc>
          <w:tcPr>
            <w:tcW w:w="25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6/1/23 – 9/3023</w:t>
            </w:r>
          </w:p>
        </w:tc>
        <w:tc>
          <w:tcPr>
            <w:tcW w:w="460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$75.00</w:t>
            </w:r>
          </w:p>
        </w:tc>
        <w:tc>
          <w:tcPr>
            <w:tcW w:w="196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$39,800.00</w:t>
            </w:r>
          </w:p>
        </w:tc>
      </w:tr>
      <w:tr>
        <w:trPr/>
        <w:tc>
          <w:tcPr>
            <w:tcW w:w="25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10/1/23 - 2/29/24</w:t>
            </w:r>
          </w:p>
        </w:tc>
        <w:tc>
          <w:tcPr>
            <w:tcW w:w="460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$48.00</w:t>
            </w:r>
          </w:p>
        </w:tc>
        <w:tc>
          <w:tcPr>
            <w:tcW w:w="196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$25,472.00</w:t>
            </w:r>
          </w:p>
        </w:tc>
      </w:tr>
      <w:tr>
        <w:trPr/>
        <w:tc>
          <w:tcPr>
            <w:tcW w:w="25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3/1/24 – 9/30/24</w:t>
            </w:r>
          </w:p>
        </w:tc>
        <w:tc>
          <w:tcPr>
            <w:tcW w:w="460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$36.00</w:t>
            </w:r>
          </w:p>
        </w:tc>
        <w:tc>
          <w:tcPr>
            <w:tcW w:w="196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$19,104.00</w:t>
            </w:r>
          </w:p>
        </w:tc>
      </w:tr>
      <w:tr>
        <w:trPr/>
        <w:tc>
          <w:tcPr>
            <w:tcW w:w="25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10/1/24 – 3/31/25</w:t>
            </w:r>
          </w:p>
        </w:tc>
        <w:tc>
          <w:tcPr>
            <w:tcW w:w="460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$60.00</w:t>
            </w:r>
          </w:p>
        </w:tc>
        <w:tc>
          <w:tcPr>
            <w:tcW w:w="196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$31,840.00</w:t>
            </w:r>
          </w:p>
        </w:tc>
      </w:tr>
      <w:tr>
        <w:trPr/>
        <w:tc>
          <w:tcPr>
            <w:tcW w:w="25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4/1/25 – 5/31/25</w:t>
            </w:r>
          </w:p>
        </w:tc>
        <w:tc>
          <w:tcPr>
            <w:tcW w:w="460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$75.00</w:t>
            </w:r>
          </w:p>
        </w:tc>
        <w:tc>
          <w:tcPr>
            <w:tcW w:w="196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$39,800.00</w:t>
            </w:r>
          </w:p>
        </w:tc>
      </w:tr>
    </w:tbl>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All such Base Rent shall be payable by Tenant in accordance with the terms of the Lease, as amended.</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Notwithstanding the foregoing, Base Rent shall be abated, in the amount of $39,800.00 per month, for the full calendarmonths of August 2023 and September 2023; provided, however, that if a Default exists when any such abatement would otherwise apply, such abatement shall be deferred until the date, if any, on which such Default is cured.</w:t>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c.</w:t>
      </w:r>
    </w:p>
    <w:p>
      <w:pPr>
        <w:pStyle w:val="TextBody"/>
        <w:bidi w:val="0"/>
        <w:spacing w:before="120" w:after="283"/>
        <w:jc w:val="left"/>
        <w:rPr/>
      </w:pPr>
      <w:r>
        <w:rPr>
          <w:rFonts w:ascii="Times New Roman;serif" w:hAnsi="Times New Roman;serif"/>
          <w:b/>
          <w:sz w:val="22"/>
          <w:u w:val="single"/>
        </w:rPr>
        <w:t>Additional SecurityDeposit</w:t>
      </w:r>
      <w:r>
        <w:rPr>
          <w:rFonts w:ascii="Times New Roman;serif" w:hAnsi="Times New Roman;serif"/>
          <w:b/>
          <w:sz w:val="22"/>
        </w:rPr>
        <w:t xml:space="preserve">. </w:t>
      </w:r>
      <w:r>
        <w:rPr>
          <w:rFonts w:ascii="Times New Roman;serif" w:hAnsi="Times New Roman;serif"/>
          <w:b w:val="false"/>
          <w:sz w:val="22"/>
        </w:rPr>
        <w:t>No additional Security Deposit shallbe required in connection with this Amendment.</w:t>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d.</w:t>
      </w:r>
    </w:p>
    <w:p>
      <w:pPr>
        <w:pStyle w:val="TextBody"/>
        <w:bidi w:val="0"/>
        <w:spacing w:before="120" w:after="283"/>
        <w:jc w:val="left"/>
        <w:rPr/>
      </w:pPr>
      <w:r>
        <w:rPr>
          <w:rFonts w:ascii="Times New Roman;serif" w:hAnsi="Times New Roman;serif"/>
          <w:b/>
          <w:sz w:val="22"/>
          <w:u w:val="single"/>
        </w:rPr>
        <w:t>Expenses and Taxes</w:t>
      </w:r>
      <w:r>
        <w:rPr>
          <w:rFonts w:ascii="Times New Roman;serif" w:hAnsi="Times New Roman;serif"/>
          <w:b/>
          <w:sz w:val="22"/>
        </w:rPr>
        <w:t xml:space="preserve">. </w:t>
      </w:r>
      <w:r>
        <w:rPr>
          <w:rFonts w:ascii="Times New Roman;serif" w:hAnsi="Times New Roman;serif"/>
          <w:b w:val="false"/>
          <w:sz w:val="22"/>
        </w:rPr>
        <w:t>During the Extended Term, Tenant shallpay for Tenant’sShare of Expense Excess and Tax Excess in accordance with the terms of the Lease; provided, however, that during the Extended Term, the Base Year for Expenses and Taxes shallbe 2023.</w:t>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e.</w:t>
      </w:r>
    </w:p>
    <w:p>
      <w:pPr>
        <w:pStyle w:val="TextBody"/>
        <w:bidi w:val="0"/>
        <w:spacing w:before="120" w:after="283"/>
        <w:jc w:val="left"/>
        <w:rPr/>
      </w:pPr>
      <w:r>
        <w:rPr>
          <w:rFonts w:ascii="Times New Roman;serif" w:hAnsi="Times New Roman;serif"/>
          <w:b w:val="false"/>
          <w:sz w:val="20"/>
          <w:u w:val="single"/>
        </w:rPr>
        <w:t>Improvements to Premises</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b w:val="false"/>
          <w:sz w:val="22"/>
        </w:rPr>
      </w:pPr>
      <w:r>
        <w:rPr>
          <w:rFonts w:ascii="Times New Roman" w:hAnsi="Times New Roman"/>
          <w:b w:val="false"/>
          <w:sz w:val="22"/>
        </w:rPr>
        <w:t>i.</w:t>
      </w:r>
    </w:p>
    <w:p>
      <w:pPr>
        <w:pStyle w:val="TextBody"/>
        <w:bidi w:val="0"/>
        <w:spacing w:before="120" w:after="283"/>
        <w:jc w:val="left"/>
        <w:rPr/>
      </w:pPr>
      <w:r>
        <w:rPr>
          <w:rFonts w:ascii="Times New Roman;serif" w:hAnsi="Times New Roman;serif"/>
          <w:b/>
          <w:sz w:val="22"/>
        </w:rPr>
        <w:t xml:space="preserve">Configuration and Condition of Premises. </w:t>
      </w:r>
      <w:r>
        <w:rPr>
          <w:rFonts w:ascii="Times New Roman;serif" w:hAnsi="Times New Roman;serif"/>
          <w:b w:val="false"/>
          <w:sz w:val="22"/>
        </w:rPr>
        <w:t>Tenant acknowledges that it is in possession of the Premises and agrees to accept them “as is” without any representation by Landlord regarding their configuration or condition and without any obligation on the part of Landlordto perform or pay for any alteration or improvement, exceptas may be otherwise expressly provided in this Amendment.</w:t>
      </w:r>
    </w:p>
    <w:p>
      <w:pPr>
        <w:pStyle w:val="TextBody"/>
        <w:bidi w:val="0"/>
        <w:spacing w:before="120" w:after="0"/>
        <w:jc w:val="left"/>
        <w:rPr>
          <w:rFonts w:ascii="Times New Roman" w:hAnsi="Times New Roman"/>
          <w:b w:val="false"/>
          <w:sz w:val="22"/>
        </w:rPr>
      </w:pPr>
      <w:r>
        <w:rPr>
          <w:rFonts w:ascii="Times New Roman" w:hAnsi="Times New Roman"/>
          <w:b w:val="false"/>
          <w:sz w:val="22"/>
        </w:rPr>
        <w:t>ii.</w:t>
      </w:r>
    </w:p>
    <w:p>
      <w:pPr>
        <w:pStyle w:val="TextBody"/>
        <w:bidi w:val="0"/>
        <w:spacing w:before="120" w:after="283"/>
        <w:jc w:val="left"/>
        <w:rPr/>
      </w:pPr>
      <w:r>
        <w:rPr>
          <w:rFonts w:ascii="Times New Roman;serif" w:hAnsi="Times New Roman;serif"/>
          <w:b/>
          <w:sz w:val="22"/>
        </w:rPr>
        <w:t xml:space="preserve">Responsibility for Improvements to Premises. </w:t>
      </w:r>
      <w:r>
        <w:rPr>
          <w:rFonts w:ascii="Times New Roman;serif" w:hAnsi="Times New Roman;serif"/>
          <w:b w:val="false"/>
          <w:sz w:val="22"/>
        </w:rPr>
        <w:t xml:space="preserve">Tenant shall be entitled to perform improvements to the Premises, and to receive an allowance from Landlord for such improvements,in accordance with the ExtensionWork Letter attachedhereto as </w:t>
      </w:r>
      <w:r>
        <w:rPr>
          <w:rFonts w:ascii="Times New Roman;serif" w:hAnsi="Times New Roman;serif"/>
          <w:b/>
          <w:sz w:val="22"/>
          <w:u w:val="single"/>
        </w:rPr>
        <w:t>Exhibit A</w:t>
      </w:r>
      <w:r>
        <w:rPr>
          <w:rFonts w:ascii="Times New Roman;serif" w:hAnsi="Times New Roman;serif"/>
          <w:b w:val="false"/>
          <w:sz w:val="22"/>
        </w:rPr>
        <w:t>.</w:t>
      </w:r>
    </w:p>
    <w:p>
      <w:pPr>
        <w:pStyle w:val="TextBody"/>
        <w:bidi w:val="0"/>
        <w:spacing w:before="0" w:after="0"/>
        <w:jc w:val="left"/>
        <w:rPr>
          <w:rFonts w:ascii="Times New Roman" w:hAnsi="Times New Roman"/>
          <w:sz w:val="20"/>
        </w:rPr>
      </w:pPr>
      <w:r>
        <w:rPr>
          <w:rFonts w:ascii="Times New Roman;serif" w:hAnsi="Times New Roman;serif"/>
          <w:b w:val="false"/>
          <w:sz w:val="22"/>
        </w:rPr>
        <w:br/>
        <w:t>6.</w:t>
      </w:r>
      <w:r>
        <w:rPr>
          <w:rFonts w:ascii="Times New Roman" w:hAnsi="Times New Roman"/>
          <w:sz w:val="20"/>
        </w:rPr>
        <w:t xml:space="preserve"> </w:t>
      </w:r>
      <w:r>
        <w:rPr>
          <w:rFonts w:ascii="Times New Roman;serif" w:hAnsi="Times New Roman;serif"/>
          <w:b w:val="false"/>
          <w:sz w:val="22"/>
          <w:u w:val="single"/>
        </w:rPr>
        <w:t>Right of First Offer</w:t>
      </w:r>
      <w:r>
        <w:rPr>
          <w:rFonts w:ascii="Times New Roman;serif" w:hAnsi="Times New Roman;serif"/>
          <w:b w:val="false"/>
          <w:sz w:val="22"/>
        </w:rPr>
        <w:t>.</w:t>
      </w:r>
    </w:p>
    <w:p>
      <w:pPr>
        <w:pStyle w:val="TextBody"/>
        <w:bidi w:val="0"/>
        <w:spacing w:before="120" w:after="0"/>
        <w:jc w:val="left"/>
        <w:rPr>
          <w:rFonts w:ascii="Times New Roman" w:hAnsi="Times New Roman"/>
          <w:b w:val="false"/>
          <w:sz w:val="22"/>
        </w:rPr>
      </w:pPr>
      <w:r>
        <w:rPr>
          <w:rFonts w:ascii="Times New Roman" w:hAnsi="Times New Roman"/>
          <w:b w:val="false"/>
          <w:sz w:val="22"/>
        </w:rPr>
        <w:t>iii.</w:t>
      </w:r>
    </w:p>
    <w:p>
      <w:pPr>
        <w:pStyle w:val="TextBody"/>
        <w:bidi w:val="0"/>
        <w:spacing w:before="120" w:after="283"/>
        <w:jc w:val="left"/>
        <w:rPr>
          <w:rFonts w:ascii="Times New Roman;serif" w:hAnsi="Times New Roman;serif"/>
          <w:b/>
          <w:sz w:val="22"/>
        </w:rPr>
      </w:pPr>
      <w:r>
        <w:rPr>
          <w:rFonts w:ascii="Times New Roman;serif" w:hAnsi="Times New Roman;serif"/>
          <w:b/>
          <w:sz w:val="22"/>
        </w:rPr>
        <w:t>Grant of Option; Conditions.</w:t>
      </w:r>
    </w:p>
    <w:p>
      <w:pPr>
        <w:pStyle w:val="TextBody"/>
        <w:bidi w:val="0"/>
        <w:spacing w:before="120" w:after="0"/>
        <w:jc w:val="left"/>
        <w:rPr>
          <w:rFonts w:ascii="Times New Roman" w:hAnsi="Times New Roman"/>
          <w:b w:val="false"/>
          <w:sz w:val="22"/>
        </w:rPr>
      </w:pPr>
      <w:r>
        <w:rPr>
          <w:rFonts w:ascii="Times New Roman" w:hAnsi="Times New Roman"/>
          <w:b w:val="false"/>
          <w:sz w:val="22"/>
        </w:rPr>
        <w:t>1.</w:t>
      </w:r>
    </w:p>
    <w:p>
      <w:pPr>
        <w:pStyle w:val="TextBody"/>
        <w:bidi w:val="0"/>
        <w:spacing w:before="120" w:after="283"/>
        <w:jc w:val="left"/>
        <w:rPr/>
      </w:pPr>
      <w:r>
        <w:rPr>
          <w:rFonts w:ascii="Times New Roman;serif" w:hAnsi="Times New Roman;serif"/>
          <w:b w:val="false"/>
          <w:sz w:val="22"/>
        </w:rPr>
        <w:t xml:space="preserve">Subject to the terms of this </w:t>
      </w:r>
      <w:r>
        <w:rPr>
          <w:rFonts w:ascii="Times New Roman;serif" w:hAnsi="Times New Roman;serif"/>
          <w:b w:val="false"/>
          <w:sz w:val="22"/>
          <w:u w:val="single"/>
        </w:rPr>
        <w:t>Section 6</w:t>
      </w:r>
      <w:r>
        <w:rPr>
          <w:rFonts w:ascii="Times New Roman;serif" w:hAnsi="Times New Roman;serif"/>
          <w:b w:val="false"/>
          <w:sz w:val="22"/>
        </w:rPr>
        <w:t xml:space="preserve">, Tenant shall have a right of first offer (for purposes of this </w:t>
      </w:r>
      <w:r>
        <w:rPr>
          <w:rFonts w:ascii="Times New Roman;serif" w:hAnsi="Times New Roman;serif"/>
          <w:b w:val="false"/>
          <w:sz w:val="22"/>
          <w:u w:val="single"/>
        </w:rPr>
        <w:t>Section 6</w:t>
      </w:r>
      <w:r>
        <w:rPr>
          <w:rFonts w:ascii="Times New Roman;serif" w:hAnsi="Times New Roman;serif"/>
          <w:b w:val="false"/>
          <w:sz w:val="22"/>
        </w:rPr>
        <w:t>, “</w:t>
      </w:r>
      <w:r>
        <w:rPr>
          <w:rFonts w:ascii="Times New Roman;serif" w:hAnsi="Times New Roman;serif"/>
          <w:b/>
          <w:sz w:val="22"/>
        </w:rPr>
        <w:t>Right of First Offer</w:t>
      </w:r>
      <w:r>
        <w:rPr/>
        <w:t>”</w:t>
      </w:r>
      <w:r>
        <w:rPr>
          <w:rFonts w:ascii="Times New Roman;serif" w:hAnsi="Times New Roman;serif"/>
          <w:b w:val="false"/>
          <w:sz w:val="22"/>
        </w:rPr>
        <w:t>) with respect to the following suite (and with respect to each portion of such suite) (such suite or portion thereof, a “</w:t>
      </w:r>
      <w:r>
        <w:rPr>
          <w:rFonts w:ascii="Times New Roman;serif" w:hAnsi="Times New Roman;serif"/>
          <w:b/>
          <w:sz w:val="22"/>
        </w:rPr>
        <w:t>Potential Offering Space</w:t>
      </w:r>
      <w:r>
        <w:rPr/>
        <w:t>”</w:t>
      </w:r>
      <w:r>
        <w:rPr>
          <w:rFonts w:ascii="Times New Roman;serif" w:hAnsi="Times New Roman;serif"/>
          <w:b w:val="false"/>
          <w:sz w:val="22"/>
        </w:rPr>
        <w:t xml:space="preserve">): the 3,915 rentable square feet known as Suite 510 on the fifth floor of the Building shown on the demising plan attached to the Amendment as </w:t>
      </w:r>
      <w:r>
        <w:rPr>
          <w:rFonts w:ascii="Times New Roman;serif" w:hAnsi="Times New Roman;serif"/>
          <w:b/>
          <w:sz w:val="22"/>
          <w:u w:val="single"/>
        </w:rPr>
        <w:t>Exhibit B.</w:t>
      </w:r>
      <w:r>
        <w:rPr>
          <w:rFonts w:ascii="Times New Roman;serif" w:hAnsi="Times New Roman;serif"/>
          <w:b w:val="false"/>
          <w:sz w:val="22"/>
        </w:rPr>
        <w:t xml:space="preserve">Tenant’s Right of First Offer shall be exercised as follows: At any time after Landlord has determined that a Potential Offering Space has become Available (defined below), but before leasing such Potential Offering Space to a third party, Landlord, subject to the terms of this </w:t>
      </w:r>
      <w:r>
        <w:rPr>
          <w:rFonts w:ascii="Times New Roman;serif" w:hAnsi="Times New Roman;serif"/>
          <w:b w:val="false"/>
          <w:sz w:val="22"/>
          <w:u w:val="single"/>
        </w:rPr>
        <w:t>Section 6</w:t>
      </w:r>
      <w:r>
        <w:rPr>
          <w:rFonts w:ascii="Times New Roman;serif" w:hAnsi="Times New Roman;serif"/>
          <w:b w:val="false"/>
          <w:sz w:val="22"/>
        </w:rPr>
        <w:t xml:space="preserve">, shall provide Tenant with a written notice (for purposes of this </w:t>
      </w:r>
      <w:r>
        <w:rPr>
          <w:rFonts w:ascii="Times New Roman;serif" w:hAnsi="Times New Roman;serif"/>
          <w:b w:val="false"/>
          <w:sz w:val="22"/>
          <w:u w:val="single"/>
        </w:rPr>
        <w:t>Section 6</w:t>
      </w:r>
      <w:r>
        <w:rPr>
          <w:rFonts w:ascii="Times New Roman;serif" w:hAnsi="Times New Roman;serif"/>
          <w:b w:val="false"/>
          <w:sz w:val="22"/>
        </w:rPr>
        <w:t>, an “</w:t>
      </w:r>
      <w:r>
        <w:rPr>
          <w:rFonts w:ascii="Times New Roman;serif" w:hAnsi="Times New Roman;serif"/>
          <w:b/>
          <w:sz w:val="22"/>
        </w:rPr>
        <w:t>Advice</w:t>
      </w:r>
      <w:r>
        <w:rPr/>
        <w:t>”</w:t>
      </w:r>
      <w:r>
        <w:rPr>
          <w:rFonts w:ascii="Times New Roman;serif" w:hAnsi="Times New Roman;serif"/>
          <w:b w:val="false"/>
          <w:sz w:val="22"/>
        </w:rPr>
        <w:t>) advising Tenant of the material terms on which Landlord is prepared to lease such Potential Offering Space (sometimes referred to herein as an “</w:t>
      </w:r>
      <w:r>
        <w:rPr>
          <w:rFonts w:ascii="Times New Roman;serif" w:hAnsi="Times New Roman;serif"/>
          <w:b/>
          <w:sz w:val="22"/>
        </w:rPr>
        <w:t>Offering Space</w:t>
      </w:r>
      <w:r>
        <w:rPr/>
        <w:t>”</w:t>
      </w:r>
      <w:r>
        <w:rPr>
          <w:rFonts w:ascii="Times New Roman;serif" w:hAnsi="Times New Roman;serif"/>
          <w:b w:val="false"/>
          <w:sz w:val="22"/>
        </w:rPr>
        <w:t xml:space="preserve">) to Tenant, which terms shall be consistent with </w:t>
      </w:r>
      <w:r>
        <w:rPr>
          <w:rFonts w:ascii="Times New Roman;serif" w:hAnsi="Times New Roman;serif"/>
          <w:b w:val="false"/>
          <w:sz w:val="22"/>
          <w:u w:val="single"/>
        </w:rPr>
        <w:t>Section 6.2</w:t>
      </w:r>
      <w:r>
        <w:rPr/>
        <w:t xml:space="preserve"> </w:t>
      </w:r>
      <w:r>
        <w:rPr>
          <w:rFonts w:ascii="Times New Roman;serif" w:hAnsi="Times New Roman;serif"/>
          <w:b w:val="false"/>
          <w:sz w:val="22"/>
        </w:rPr>
        <w:t>below. For purposes hereof, a Potential Offering Space shall be deemed to become “</w:t>
      </w:r>
      <w:r>
        <w:rPr>
          <w:rFonts w:ascii="Times New Roman;serif" w:hAnsi="Times New Roman;serif"/>
          <w:b/>
          <w:sz w:val="22"/>
        </w:rPr>
        <w:t>Available</w:t>
      </w:r>
      <w:r>
        <w:rPr/>
        <w:t xml:space="preserve">” </w:t>
      </w:r>
      <w:r>
        <w:rPr>
          <w:rFonts w:ascii="Times New Roman;serif" w:hAnsi="Times New Roman;serif"/>
          <w:b w:val="false"/>
          <w:sz w:val="22"/>
        </w:rPr>
        <w:t xml:space="preserve">as follows: (i) if such Potential Offering Space is not leased to a third party as of the date of mutual execution and delivery of this Amendment, such Potential Offering Space shall bedeemed to becomeAvailable when Landlord has located a prospective tenant that may be interested in leasing such Potential Offering Space; and (ii) if such Potential Offering Space is leased to a third party as of the date of mutual execution and delivery of this Amendment, such Potential OfferingSpace shall be deemedto become Available when Landlord has determined that such third-party tenant, and any occupant of such Potential Offering Space claiming under such third-party tenant, will not extend or renew the term of its lease, or enter into a new lease, for such Potential Offering Space. Upon receiving an Advice, Tenant may lease the Offering Space, in its entirety only, under the terms set forth in the Advice, by delivering to Landlord a written notice of exercise (for purposes of this </w:t>
      </w:r>
      <w:r>
        <w:rPr>
          <w:rFonts w:ascii="Times New Roman;serif" w:hAnsi="Times New Roman;serif"/>
          <w:b w:val="false"/>
          <w:sz w:val="22"/>
          <w:u w:val="single"/>
        </w:rPr>
        <w:t>Section 6</w:t>
      </w:r>
      <w:r>
        <w:rPr>
          <w:rFonts w:ascii="Times New Roman;serif" w:hAnsi="Times New Roman;serif"/>
          <w:b w:val="false"/>
          <w:sz w:val="22"/>
        </w:rPr>
        <w:t>, a “</w:t>
      </w:r>
      <w:r>
        <w:rPr>
          <w:rFonts w:ascii="Times New Roman;serif" w:hAnsi="Times New Roman;serif"/>
          <w:b/>
          <w:sz w:val="22"/>
        </w:rPr>
        <w:t>Notice of Exercise</w:t>
      </w:r>
      <w:r>
        <w:rPr/>
        <w:t>”</w:t>
      </w:r>
      <w:r>
        <w:rPr>
          <w:rFonts w:ascii="Times New Roman;serif" w:hAnsi="Times New Roman;serif"/>
          <w:b w:val="false"/>
          <w:sz w:val="22"/>
        </w:rPr>
        <w:t>) within 10 business days after receiving the Advice.</w:t>
      </w:r>
    </w:p>
    <w:p>
      <w:pPr>
        <w:pStyle w:val="TextBody"/>
        <w:bidi w:val="0"/>
        <w:spacing w:before="120" w:after="0"/>
        <w:jc w:val="left"/>
        <w:rPr>
          <w:rFonts w:ascii="Times New Roman" w:hAnsi="Times New Roman"/>
          <w:b w:val="false"/>
          <w:sz w:val="22"/>
        </w:rPr>
      </w:pPr>
      <w:r>
        <w:rPr>
          <w:rFonts w:ascii="Times New Roman" w:hAnsi="Times New Roman"/>
          <w:b w:val="false"/>
          <w:sz w:val="22"/>
        </w:rPr>
        <w:t>2.</w:t>
      </w:r>
    </w:p>
    <w:p>
      <w:pPr>
        <w:pStyle w:val="TextBody"/>
        <w:bidi w:val="0"/>
        <w:spacing w:before="120" w:after="283"/>
        <w:jc w:val="left"/>
        <w:rPr/>
      </w:pPr>
      <w:r>
        <w:rPr>
          <w:rFonts w:ascii="Times New Roman;serif" w:hAnsi="Times New Roman;serif"/>
          <w:b w:val="false"/>
          <w:sz w:val="22"/>
        </w:rPr>
        <w:t xml:space="preserve">If Tenant receives an Advice but does not deliver a Notice of Exercise within the period of time required under </w:t>
      </w:r>
      <w:r>
        <w:rPr>
          <w:rFonts w:ascii="Times New Roman;serif" w:hAnsi="Times New Roman;serif"/>
          <w:b w:val="false"/>
          <w:sz w:val="22"/>
          <w:u w:val="single"/>
        </w:rPr>
        <w:t>Section 6.1.A</w:t>
      </w:r>
      <w:r>
        <w:rPr/>
        <w:t xml:space="preserve"> </w:t>
      </w:r>
      <w:r>
        <w:rPr>
          <w:rFonts w:ascii="Times New Roman;serif" w:hAnsi="Times New Roman;serif"/>
          <w:b w:val="false"/>
          <w:sz w:val="22"/>
        </w:rPr>
        <w:t>above, Landlord may lease the Offering Space to any party on any terms determined by Landlord in its sole and absolute discretion.</w:t>
      </w:r>
    </w:p>
    <w:p>
      <w:pPr>
        <w:pStyle w:val="TextBody"/>
        <w:bidi w:val="0"/>
        <w:spacing w:before="120" w:after="0"/>
        <w:jc w:val="left"/>
        <w:rPr>
          <w:rFonts w:ascii="Times New Roman" w:hAnsi="Times New Roman"/>
          <w:b w:val="false"/>
          <w:sz w:val="22"/>
        </w:rPr>
      </w:pPr>
      <w:r>
        <w:rPr>
          <w:rFonts w:ascii="Times New Roman" w:hAnsi="Times New Roman"/>
          <w:b w:val="false"/>
          <w:sz w:val="22"/>
        </w:rPr>
        <w:t>3.</w:t>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Notwithstandingany contrary provision hereof, (i) Landlord shall not be required to provide Tenant with an Advice if any of the following conditions exists when Landlord would otherwise deliver the Advice; and (ii) if Tenant receives an Advice from Landlord, Tenant shall not be entitled to lease the Offering Space based on such Advice if any of the following conditions exists:</w:t>
      </w:r>
    </w:p>
    <w:p>
      <w:pPr>
        <w:pStyle w:val="TextBody"/>
        <w:bidi w:val="0"/>
        <w:spacing w:before="120" w:after="0"/>
        <w:jc w:val="left"/>
        <w:rPr>
          <w:rFonts w:ascii="Times New Roman" w:hAnsi="Times New Roman"/>
          <w:b w:val="false"/>
          <w:sz w:val="22"/>
        </w:rPr>
      </w:pPr>
      <w:r>
        <w:rPr>
          <w:rFonts w:ascii="Times New Roman" w:hAnsi="Times New Roman"/>
          <w:b w:val="false"/>
          <w:sz w:val="22"/>
        </w:rPr>
        <w:t>a.</w:t>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a Default exists;</w:t>
      </w:r>
    </w:p>
    <w:p>
      <w:pPr>
        <w:pStyle w:val="TextBody"/>
        <w:bidi w:val="0"/>
        <w:spacing w:before="120" w:after="0"/>
        <w:jc w:val="left"/>
        <w:rPr>
          <w:rFonts w:ascii="Times New Roman" w:hAnsi="Times New Roman"/>
          <w:b w:val="false"/>
          <w:sz w:val="22"/>
        </w:rPr>
      </w:pPr>
      <w:r>
        <w:rPr>
          <w:rFonts w:ascii="Times New Roman" w:hAnsi="Times New Roman"/>
          <w:b w:val="false"/>
          <w:sz w:val="22"/>
        </w:rPr>
        <w:t>b.</w:t>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all or any portion of the Premisesis sublet (other than pursuantto a Permitted Transfer);</w:t>
      </w:r>
    </w:p>
    <w:p>
      <w:pPr>
        <w:pStyle w:val="TextBody"/>
        <w:bidi w:val="0"/>
        <w:spacing w:before="120" w:after="0"/>
        <w:jc w:val="left"/>
        <w:rPr>
          <w:rFonts w:ascii="Times New Roman" w:hAnsi="Times New Roman"/>
          <w:b w:val="false"/>
          <w:sz w:val="22"/>
        </w:rPr>
      </w:pPr>
      <w:r>
        <w:rPr>
          <w:rFonts w:ascii="Times New Roman" w:hAnsi="Times New Roman"/>
          <w:b w:val="false"/>
          <w:sz w:val="22"/>
        </w:rPr>
        <w:t>c.</w:t>
      </w:r>
    </w:p>
    <w:p>
      <w:pPr>
        <w:pStyle w:val="TextBody"/>
        <w:bidi w:val="0"/>
        <w:spacing w:before="120" w:after="0"/>
        <w:jc w:val="left"/>
        <w:rPr>
          <w:rFonts w:ascii="Times New Roman;serif" w:hAnsi="Times New Roman;serif"/>
          <w:b w:val="false"/>
          <w:sz w:val="22"/>
        </w:rPr>
      </w:pPr>
      <w:r>
        <w:rPr>
          <w:rFonts w:ascii="Times New Roman;serif" w:hAnsi="Times New Roman;serif"/>
          <w:b w:val="false"/>
          <w:sz w:val="22"/>
        </w:rPr>
        <w:t>the Lease has been assigned(other than pursuantto a Permitted Transfer); or</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b w:val="false"/>
          <w:sz w:val="22"/>
        </w:rPr>
      </w:pPr>
      <w:r>
        <w:rPr>
          <w:rFonts w:ascii="Times New Roman" w:hAnsi="Times New Roman"/>
          <w:b w:val="false"/>
          <w:sz w:val="22"/>
        </w:rPr>
        <w:t>d.</w:t>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Tenant is not occupying the Premises.</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If, by operation of the preceding sentence, Landlord is not required to provide Tenant with an Advice, or Tenant, after receiving an Advice, is not entitled to lease the Offering Space based on such Advice, then Landlord may lease the Offering Space to any party on any terms determined by Landlord in its sole and absolute discretion.</w:t>
      </w:r>
    </w:p>
    <w:p>
      <w:pPr>
        <w:pStyle w:val="TextBody"/>
        <w:bidi w:val="0"/>
        <w:spacing w:before="120" w:after="0"/>
        <w:jc w:val="left"/>
        <w:rPr>
          <w:rFonts w:ascii="Times New Roman" w:hAnsi="Times New Roman"/>
          <w:b w:val="false"/>
          <w:sz w:val="22"/>
        </w:rPr>
      </w:pPr>
      <w:r>
        <w:rPr>
          <w:rFonts w:ascii="Times New Roman" w:hAnsi="Times New Roman"/>
          <w:b w:val="false"/>
          <w:sz w:val="22"/>
        </w:rPr>
        <w:t>iv.</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Terms for OfferingSpace.</w:t>
      </w:r>
    </w:p>
    <w:p>
      <w:pPr>
        <w:pStyle w:val="TextBody"/>
        <w:bidi w:val="0"/>
        <w:spacing w:before="120" w:after="0"/>
        <w:jc w:val="left"/>
        <w:rPr>
          <w:rFonts w:ascii="Times New Roman" w:hAnsi="Times New Roman"/>
          <w:b w:val="false"/>
          <w:sz w:val="22"/>
        </w:rPr>
      </w:pPr>
      <w:r>
        <w:rPr>
          <w:rFonts w:ascii="Times New Roman" w:hAnsi="Times New Roman"/>
          <w:b w:val="false"/>
          <w:sz w:val="22"/>
        </w:rPr>
        <w:t>1.</w:t>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The term for the Offering Space shall be coterminous with the term for the balance of the Premises.</w:t>
      </w:r>
    </w:p>
    <w:p>
      <w:pPr>
        <w:pStyle w:val="TextBody"/>
        <w:bidi w:val="0"/>
        <w:spacing w:before="120" w:after="0"/>
        <w:jc w:val="left"/>
        <w:rPr>
          <w:rFonts w:ascii="Times New Roman" w:hAnsi="Times New Roman"/>
          <w:b w:val="false"/>
          <w:sz w:val="22"/>
        </w:rPr>
      </w:pPr>
      <w:r>
        <w:rPr>
          <w:rFonts w:ascii="Times New Roman" w:hAnsi="Times New Roman"/>
          <w:b w:val="false"/>
          <w:sz w:val="22"/>
        </w:rPr>
        <w:t>2.</w:t>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The term for the Offering Space shall commence on the commencement date stated in the Advice and thereupon the Offering Space shall be considered a part of the Premisessubject to the provisions of the Lease;provided, however, that</w:t>
      </w:r>
    </w:p>
    <w:p>
      <w:pPr>
        <w:pStyle w:val="TextBody"/>
        <w:bidi w:val="0"/>
        <w:spacing w:before="0" w:after="0"/>
        <w:jc w:val="left"/>
        <w:rPr>
          <w:rFonts w:ascii="Times New Roman" w:hAnsi="Times New Roman"/>
          <w:sz w:val="20"/>
        </w:rPr>
      </w:pPr>
      <w:r>
        <w:rPr>
          <w:rFonts w:ascii="Times New Roman;serif" w:hAnsi="Times New Roman;serif"/>
          <w:b w:val="false"/>
          <w:sz w:val="22"/>
        </w:rPr>
        <w:br/>
      </w:r>
      <w:r>
        <w:rPr>
          <w:rFonts w:ascii="Times New Roman" w:hAnsi="Times New Roman"/>
          <w:sz w:val="20"/>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the provisions of the Advice shall prevail to the extent they conflictwith the provisions of the Lease.</w:t>
      </w:r>
    </w:p>
    <w:p>
      <w:pPr>
        <w:pStyle w:val="TextBody"/>
        <w:bidi w:val="0"/>
        <w:spacing w:before="120" w:after="0"/>
        <w:jc w:val="left"/>
        <w:rPr>
          <w:rFonts w:ascii="Times New Roman" w:hAnsi="Times New Roman"/>
          <w:b w:val="false"/>
          <w:sz w:val="22"/>
        </w:rPr>
      </w:pPr>
      <w:r>
        <w:rPr>
          <w:rFonts w:ascii="Times New Roman" w:hAnsi="Times New Roman"/>
          <w:b w:val="false"/>
          <w:sz w:val="22"/>
        </w:rPr>
        <w:t>3.</w:t>
      </w:r>
    </w:p>
    <w:p>
      <w:pPr>
        <w:pStyle w:val="TextBody"/>
        <w:bidi w:val="0"/>
        <w:spacing w:before="120" w:after="283"/>
        <w:jc w:val="left"/>
        <w:rPr/>
      </w:pPr>
      <w:r>
        <w:rPr>
          <w:rFonts w:ascii="Times New Roman;serif" w:hAnsi="Times New Roman;serif"/>
          <w:b w:val="false"/>
          <w:sz w:val="22"/>
        </w:rPr>
        <w:t xml:space="preserve">Tenant shall pay Monthly Rent for the Offering Space in accordance with the provisions of the Advice. The Advice shall reflect the Prevailing Market (defined in </w:t>
      </w:r>
      <w:r>
        <w:rPr>
          <w:rFonts w:ascii="Times New Roman;serif" w:hAnsi="Times New Roman;serif"/>
          <w:b w:val="false"/>
          <w:sz w:val="22"/>
          <w:u w:val="single"/>
        </w:rPr>
        <w:t>Section 6.5</w:t>
      </w:r>
      <w:r>
        <w:rPr/>
        <w:t xml:space="preserve"> </w:t>
      </w:r>
      <w:r>
        <w:rPr>
          <w:rFonts w:ascii="Times New Roman;serif" w:hAnsi="Times New Roman;serif"/>
          <w:b w:val="false"/>
          <w:sz w:val="22"/>
        </w:rPr>
        <w:t>below) rate for the Offering Space as determined in Landlord’s reasonable judgment.</w:t>
      </w:r>
    </w:p>
    <w:p>
      <w:pPr>
        <w:pStyle w:val="TextBody"/>
        <w:bidi w:val="0"/>
        <w:spacing w:before="120" w:after="0"/>
        <w:jc w:val="left"/>
        <w:rPr>
          <w:rFonts w:ascii="Times New Roman" w:hAnsi="Times New Roman"/>
          <w:b w:val="false"/>
          <w:sz w:val="22"/>
        </w:rPr>
      </w:pPr>
      <w:r>
        <w:rPr>
          <w:rFonts w:ascii="Times New Roman" w:hAnsi="Times New Roman"/>
          <w:b w:val="false"/>
          <w:sz w:val="22"/>
        </w:rPr>
        <w:t>4.</w:t>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Except as may be otherwise provided in the Advice, (i) the Offering Space (including improvements and personalty, if any) shall be accepted by Tenant in its configuration and condition existing on the earlier of the date Tenant takes possession of the Offering Space or the commencement date for the Offering Space; and (ii) if Landlord is delayed in delivering possession of the Offering Space by any holdover or unlawful possession of the Offering Space by any party, Landlord shall use commercially reasonable efforts to obtain possession of the Offering Space and any obligation of Landlord to tender possession of, permit entry to, or perform alterations to the Offering Space shall be deferred until after Landlord has obtained possession of the Offering Space.</w:t>
      </w:r>
    </w:p>
    <w:p>
      <w:pPr>
        <w:pStyle w:val="TextBody"/>
        <w:bidi w:val="0"/>
        <w:spacing w:before="120" w:after="0"/>
        <w:jc w:val="left"/>
        <w:rPr>
          <w:rFonts w:ascii="Times New Roman" w:hAnsi="Times New Roman"/>
          <w:b w:val="false"/>
          <w:sz w:val="22"/>
        </w:rPr>
      </w:pPr>
      <w:r>
        <w:rPr>
          <w:rFonts w:ascii="Times New Roman" w:hAnsi="Times New Roman"/>
          <w:b w:val="false"/>
          <w:sz w:val="22"/>
        </w:rPr>
        <w:t>v.</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Termination of Right of First Offer; One-TimeRight.</w:t>
      </w:r>
    </w:p>
    <w:p>
      <w:pPr>
        <w:pStyle w:val="TextBody"/>
        <w:bidi w:val="0"/>
        <w:spacing w:before="120" w:after="0"/>
        <w:jc w:val="left"/>
        <w:rPr>
          <w:rFonts w:ascii="Times New Roman" w:hAnsi="Times New Roman"/>
          <w:b w:val="false"/>
          <w:sz w:val="22"/>
        </w:rPr>
      </w:pPr>
      <w:r>
        <w:rPr>
          <w:rFonts w:ascii="Times New Roman" w:hAnsi="Times New Roman"/>
          <w:b w:val="false"/>
          <w:sz w:val="22"/>
        </w:rPr>
        <w:t>1.</w:t>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Notwithstanding any contrary provision hereof, Landlord shall not be required to provide Tenant with an Advice, and Tenant shall not be entitled to exercise its Right of First Offer, after May 31, 2024.</w:t>
      </w:r>
    </w:p>
    <w:p>
      <w:pPr>
        <w:pStyle w:val="TextBody"/>
        <w:bidi w:val="0"/>
        <w:spacing w:before="120" w:after="0"/>
        <w:jc w:val="left"/>
        <w:rPr>
          <w:rFonts w:ascii="Times New Roman" w:hAnsi="Times New Roman"/>
          <w:b w:val="false"/>
          <w:sz w:val="22"/>
        </w:rPr>
      </w:pPr>
      <w:r>
        <w:rPr>
          <w:rFonts w:ascii="Times New Roman" w:hAnsi="Times New Roman"/>
          <w:b w:val="false"/>
          <w:sz w:val="22"/>
        </w:rPr>
        <w:t>2.</w:t>
      </w:r>
    </w:p>
    <w:p>
      <w:pPr>
        <w:pStyle w:val="TextBody"/>
        <w:bidi w:val="0"/>
        <w:spacing w:before="120" w:after="283"/>
        <w:jc w:val="left"/>
        <w:rPr/>
      </w:pPr>
      <w:r>
        <w:rPr>
          <w:rFonts w:ascii="Times New Roman;serif" w:hAnsi="Times New Roman;serif"/>
          <w:b w:val="false"/>
          <w:sz w:val="22"/>
        </w:rPr>
        <w:t xml:space="preserve">Notwithstanding any contrary provision hereof, Landlord shall not be required to provide Tenant with an Advice, and Tenant shall not be entitled to exercise its Right of First Offer, with respect to any Potential Offering Space after the date, if any, on which Landlord becomes entitled to lease such Potential Offering Space to a third party under </w:t>
      </w:r>
      <w:r>
        <w:rPr>
          <w:rFonts w:ascii="Times New Roman;serif" w:hAnsi="Times New Roman;serif"/>
          <w:b w:val="false"/>
          <w:sz w:val="22"/>
          <w:u w:val="single"/>
        </w:rPr>
        <w:t>Section 6.1.B</w:t>
      </w:r>
      <w:r>
        <w:rPr/>
        <w:t xml:space="preserve"> </w:t>
      </w:r>
      <w:r>
        <w:rPr>
          <w:rFonts w:ascii="Times New Roman;serif" w:hAnsi="Times New Roman;serif"/>
          <w:b w:val="false"/>
          <w:sz w:val="22"/>
        </w:rPr>
        <w:t xml:space="preserve">or </w:t>
      </w:r>
      <w:r>
        <w:rPr>
          <w:rFonts w:ascii="Times New Roman;serif" w:hAnsi="Times New Roman;serif"/>
          <w:b w:val="false"/>
          <w:sz w:val="22"/>
          <w:u w:val="single"/>
        </w:rPr>
        <w:t>6.1.C</w:t>
      </w:r>
      <w:r>
        <w:rPr/>
        <w:t xml:space="preserve"> </w:t>
      </w:r>
      <w:r>
        <w:rPr>
          <w:rFonts w:ascii="Times New Roman;serif" w:hAnsi="Times New Roman;serif"/>
          <w:b w:val="false"/>
          <w:sz w:val="22"/>
        </w:rPr>
        <w:t>above</w:t>
      </w:r>
    </w:p>
    <w:p>
      <w:pPr>
        <w:pStyle w:val="TextBody"/>
        <w:bidi w:val="0"/>
        <w:spacing w:before="120" w:after="0"/>
        <w:jc w:val="left"/>
        <w:rPr>
          <w:rFonts w:ascii="Times New Roman" w:hAnsi="Times New Roman"/>
          <w:b w:val="false"/>
          <w:sz w:val="22"/>
        </w:rPr>
      </w:pPr>
      <w:r>
        <w:rPr>
          <w:rFonts w:ascii="Times New Roman" w:hAnsi="Times New Roman"/>
          <w:b w:val="false"/>
          <w:sz w:val="22"/>
        </w:rPr>
        <w:t>vi.</w:t>
      </w:r>
    </w:p>
    <w:p>
      <w:pPr>
        <w:pStyle w:val="TextBody"/>
        <w:bidi w:val="0"/>
        <w:spacing w:before="120" w:after="0"/>
        <w:jc w:val="left"/>
        <w:rPr/>
      </w:pPr>
      <w:r>
        <w:rPr>
          <w:rFonts w:ascii="Times New Roman;serif" w:hAnsi="Times New Roman;serif"/>
          <w:b/>
          <w:sz w:val="22"/>
        </w:rPr>
        <w:t xml:space="preserve">Offering Amendment. </w:t>
      </w:r>
      <w:r>
        <w:rPr>
          <w:rFonts w:ascii="Times New Roman;serif" w:hAnsi="Times New Roman;serif"/>
          <w:b w:val="false"/>
          <w:sz w:val="22"/>
        </w:rPr>
        <w:t xml:space="preserve">If Tenant validly exercises its Right of First Offer, Landlord, within a reasonable period of time thereafter, shall prepare and deliver to Tenant an amendment (for purposes of this </w:t>
      </w:r>
      <w:r>
        <w:rPr>
          <w:rFonts w:ascii="Times New Roman;serif" w:hAnsi="Times New Roman;serif"/>
          <w:b w:val="false"/>
          <w:sz w:val="22"/>
          <w:u w:val="single"/>
        </w:rPr>
        <w:t>Section 6</w:t>
      </w:r>
      <w:r>
        <w:rPr>
          <w:rFonts w:ascii="Times New Roman;serif" w:hAnsi="Times New Roman;serif"/>
          <w:b w:val="false"/>
          <w:sz w:val="22"/>
        </w:rPr>
        <w:t>, the “</w:t>
      </w:r>
      <w:r>
        <w:rPr>
          <w:rFonts w:ascii="Times New Roman;serif" w:hAnsi="Times New Roman;serif"/>
          <w:b/>
          <w:sz w:val="22"/>
        </w:rPr>
        <w:t>Offering Amendment</w:t>
      </w:r>
      <w:r>
        <w:rPr/>
        <w:t>”</w:t>
      </w:r>
      <w:r>
        <w:rPr>
          <w:rFonts w:ascii="Times New Roman;serif" w:hAnsi="Times New Roman;serif"/>
          <w:b w:val="false"/>
          <w:sz w:val="22"/>
        </w:rPr>
        <w:t>) adding the Offering Space to the Premises on the terms set forth in the Advice and reflecting the changes in the Base Rent, the rentable square footage of the Premises</w:t>
      </w:r>
      <w:r>
        <w:rPr>
          <w:rFonts w:ascii="Times New Roman;serif" w:hAnsi="Times New Roman;serif"/>
          <w:b w:val="false"/>
          <w:i/>
          <w:sz w:val="22"/>
        </w:rPr>
        <w:t xml:space="preserve">, </w:t>
      </w:r>
      <w:r>
        <w:rPr>
          <w:rFonts w:ascii="Times New Roman;serif" w:hAnsi="Times New Roman;serif"/>
          <w:b w:val="false"/>
          <w:sz w:val="22"/>
        </w:rPr>
        <w:t xml:space="preserve">Tenant’s Share, and other appropriate terms in accordance with this </w:t>
      </w:r>
      <w:r>
        <w:rPr>
          <w:rFonts w:ascii="Times New Roman;serif" w:hAnsi="Times New Roman;serif"/>
          <w:b w:val="false"/>
          <w:sz w:val="22"/>
          <w:u w:val="single"/>
        </w:rPr>
        <w:t>Section 6</w:t>
      </w:r>
      <w:r>
        <w:rPr>
          <w:rFonts w:ascii="Times New Roman;serif" w:hAnsi="Times New Roman;serif"/>
          <w:b w:val="false"/>
          <w:sz w:val="22"/>
        </w:rPr>
        <w:t xml:space="preserve">. Tenant shall execute and return the Offering Amendment to Landlord within 15 days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after receiving it, but an otherwise valid exercise of the Right of First Offer shall be fully effective whether or not the Offering Amendment is executed.</w:t>
      </w:r>
    </w:p>
    <w:p>
      <w:pPr>
        <w:pStyle w:val="TextBody"/>
        <w:bidi w:val="0"/>
        <w:spacing w:before="120" w:after="0"/>
        <w:jc w:val="left"/>
        <w:rPr>
          <w:rFonts w:ascii="Times New Roman" w:hAnsi="Times New Roman"/>
          <w:b w:val="false"/>
          <w:sz w:val="22"/>
        </w:rPr>
      </w:pPr>
      <w:r>
        <w:rPr>
          <w:rFonts w:ascii="Times New Roman" w:hAnsi="Times New Roman"/>
          <w:b w:val="false"/>
          <w:sz w:val="22"/>
        </w:rPr>
        <w:t>vii.</w:t>
      </w:r>
    </w:p>
    <w:p>
      <w:pPr>
        <w:pStyle w:val="TextBody"/>
        <w:bidi w:val="0"/>
        <w:spacing w:before="120" w:after="283"/>
        <w:jc w:val="left"/>
        <w:rPr/>
      </w:pPr>
      <w:r>
        <w:rPr>
          <w:rFonts w:ascii="Times New Roman;serif" w:hAnsi="Times New Roman;serif"/>
          <w:b/>
          <w:sz w:val="22"/>
        </w:rPr>
        <w:t xml:space="preserve">Definition of Prevailing Market. </w:t>
      </w:r>
      <w:r>
        <w:rPr>
          <w:rFonts w:ascii="Times New Roman;serif" w:hAnsi="Times New Roman;serif"/>
          <w:b w:val="false"/>
          <w:sz w:val="22"/>
        </w:rPr>
        <w:t xml:space="preserve">For purposes of this </w:t>
      </w:r>
      <w:r>
        <w:rPr>
          <w:rFonts w:ascii="Times New Roman;serif" w:hAnsi="Times New Roman;serif"/>
          <w:b w:val="false"/>
          <w:sz w:val="22"/>
          <w:u w:val="single"/>
        </w:rPr>
        <w:t>Section 6</w:t>
      </w:r>
      <w:r>
        <w:rPr>
          <w:rFonts w:ascii="Times New Roman;serif" w:hAnsi="Times New Roman;serif"/>
          <w:b w:val="false"/>
          <w:sz w:val="22"/>
        </w:rPr>
        <w:t>, “</w:t>
      </w:r>
      <w:r>
        <w:rPr>
          <w:rFonts w:ascii="Times New Roman;serif" w:hAnsi="Times New Roman;serif"/>
          <w:b/>
          <w:sz w:val="22"/>
        </w:rPr>
        <w:t>Prevailing Market</w:t>
      </w:r>
      <w:r>
        <w:rPr/>
        <w:t xml:space="preserve">” </w:t>
      </w:r>
      <w:r>
        <w:rPr>
          <w:rFonts w:ascii="Times New Roman;serif" w:hAnsi="Times New Roman;serif"/>
          <w:b w:val="false"/>
          <w:sz w:val="22"/>
        </w:rPr>
        <w:t>means the arms-length, fair-market, annual rental rate per rentable square foot, under renewal and expansion leases and amendments entered into on or about the date on which the Prevailing Market is being determined hereunder, for space comparable to the Offering Space in the Building and office buildings comparable to the Building in the Redwood City, California area. The determination of Prevailing Market shall take into account (i)any material economic differences between the terms of the Lease and any comparison lease or amendment, such as rent abatements, construction costs and other concessions, and the manner, if any, in which the landlord under any such lease is reimbursed for operating expenses and taxes; and (ii) any material differences in configuration or condition between the Offering Space and any comparison space.</w:t>
      </w:r>
    </w:p>
    <w:p>
      <w:pPr>
        <w:pStyle w:val="TextBody"/>
        <w:bidi w:val="0"/>
        <w:spacing w:before="120" w:after="0"/>
        <w:jc w:val="left"/>
        <w:rPr>
          <w:rFonts w:ascii="Times New Roman" w:hAnsi="Times New Roman"/>
          <w:b w:val="false"/>
          <w:sz w:val="22"/>
        </w:rPr>
      </w:pPr>
      <w:r>
        <w:rPr>
          <w:rFonts w:ascii="Times New Roman" w:hAnsi="Times New Roman"/>
          <w:b w:val="false"/>
          <w:sz w:val="22"/>
        </w:rPr>
        <w:t>viii.</w:t>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IntentionallyOmitted.</w:t>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f.</w:t>
      </w:r>
    </w:p>
    <w:p>
      <w:pPr>
        <w:pStyle w:val="TextBody"/>
        <w:bidi w:val="0"/>
        <w:spacing w:before="120" w:after="283"/>
        <w:jc w:val="left"/>
        <w:rPr/>
      </w:pPr>
      <w:r>
        <w:rPr>
          <w:rFonts w:ascii="Times New Roman;serif" w:hAnsi="Times New Roman;serif"/>
          <w:b w:val="false"/>
          <w:sz w:val="20"/>
          <w:u w:val="single"/>
        </w:rPr>
        <w:t>Miscellaneous</w:t>
      </w:r>
      <w:r>
        <w:rPr>
          <w:rFonts w:ascii="Times New Roman;serif" w:hAnsi="Times New Roman;serif"/>
          <w:b w:val="false"/>
          <w:sz w:val="20"/>
        </w:rPr>
        <w:t>.</w:t>
      </w:r>
    </w:p>
    <w:p>
      <w:pPr>
        <w:pStyle w:val="TextBody"/>
        <w:bidi w:val="0"/>
        <w:spacing w:before="120" w:after="0"/>
        <w:jc w:val="left"/>
        <w:rPr>
          <w:rFonts w:ascii="Times New Roman" w:hAnsi="Times New Roman"/>
          <w:b w:val="false"/>
          <w:sz w:val="22"/>
        </w:rPr>
      </w:pPr>
      <w:r>
        <w:rPr>
          <w:rFonts w:ascii="Times New Roman" w:hAnsi="Times New Roman"/>
          <w:b w:val="false"/>
          <w:sz w:val="22"/>
        </w:rPr>
        <w:t>i.</w:t>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This Amendment and the attached exhibits, which are hereby incorporated into and made a part of this Amendment, set forth the entire agreementbetween the partieswith respect to the matters set forth herein. There have been no additional oral or writtenrepresentations or agreements. Tenant shall not be entitled, in connection with entering into this Amendment, to any free rent, allowance, alteration, improvement or similareconomic incentive to which Tenant may have been entitledin connection with entering into the Lease,except as may be otherwise expressly provided in this Amendment.</w:t>
      </w:r>
    </w:p>
    <w:p>
      <w:pPr>
        <w:pStyle w:val="TextBody"/>
        <w:bidi w:val="0"/>
        <w:spacing w:before="120" w:after="0"/>
        <w:jc w:val="left"/>
        <w:rPr>
          <w:rFonts w:ascii="Times New Roman" w:hAnsi="Times New Roman"/>
          <w:b w:val="false"/>
          <w:sz w:val="22"/>
        </w:rPr>
      </w:pPr>
      <w:r>
        <w:rPr>
          <w:rFonts w:ascii="Times New Roman" w:hAnsi="Times New Roman"/>
          <w:b w:val="false"/>
          <w:sz w:val="22"/>
        </w:rPr>
        <w:t>ii.</w:t>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Except as herein modified or amended, the provisions, conditions and terms of the Lease shall remain unchanged and in full force and effect.</w:t>
      </w:r>
    </w:p>
    <w:p>
      <w:pPr>
        <w:pStyle w:val="TextBody"/>
        <w:bidi w:val="0"/>
        <w:spacing w:before="0" w:after="0"/>
        <w:jc w:val="left"/>
        <w:rPr>
          <w:rFonts w:ascii="Times New Roman" w:hAnsi="Times New Roman"/>
          <w:sz w:val="20"/>
        </w:rPr>
      </w:pPr>
      <w:r>
        <w:rPr>
          <w:rFonts w:ascii="Times New Roman;serif" w:hAnsi="Times New Roman;serif"/>
          <w:b w:val="false"/>
          <w:sz w:val="22"/>
        </w:rPr>
        <w:br/>
      </w:r>
      <w:r>
        <w:rPr>
          <w:rFonts w:ascii="Times New Roman" w:hAnsi="Times New Roman"/>
          <w:sz w:val="20"/>
        </w:rPr>
        <w:t> </w:t>
      </w:r>
    </w:p>
    <w:p>
      <w:pPr>
        <w:pStyle w:val="TextBody"/>
        <w:bidi w:val="0"/>
        <w:spacing w:before="0" w:after="0"/>
        <w:jc w:val="left"/>
        <w:rPr>
          <w:rFonts w:ascii="Times New Roman" w:hAnsi="Times New Roman"/>
          <w:sz w:val="20"/>
        </w:rPr>
      </w:pPr>
      <w:r>
        <w:rPr>
          <w:rFonts w:ascii="Times New Roman;serif" w:hAnsi="Times New Roman;serif"/>
          <w:b w:val="false"/>
          <w:sz w:val="22"/>
        </w:rPr>
        <w:t>7.3.</w:t>
      </w:r>
      <w:r>
        <w:rPr>
          <w:rFonts w:ascii="Times New Roman" w:hAnsi="Times New Roman"/>
          <w:sz w:val="20"/>
        </w:rPr>
        <w:t xml:space="preserve"> </w:t>
      </w:r>
      <w:r>
        <w:rPr>
          <w:rFonts w:ascii="Times New Roman;serif" w:hAnsi="Times New Roman;serif"/>
          <w:b w:val="false"/>
          <w:sz w:val="22"/>
        </w:rPr>
        <w:t>In the case of any inconsistency betweenthe provisions of the Lease and this Amendment, the provisions of this Amendment shall govern and control.</w:t>
      </w:r>
    </w:p>
    <w:p>
      <w:pPr>
        <w:pStyle w:val="TextBody"/>
        <w:bidi w:val="0"/>
        <w:spacing w:before="120" w:after="0"/>
        <w:jc w:val="left"/>
        <w:rPr>
          <w:rFonts w:ascii="Times New Roman" w:hAnsi="Times New Roman"/>
          <w:b w:val="false"/>
          <w:sz w:val="22"/>
        </w:rPr>
      </w:pPr>
      <w:r>
        <w:rPr>
          <w:rFonts w:ascii="Times New Roman" w:hAnsi="Times New Roman"/>
          <w:b w:val="false"/>
          <w:sz w:val="22"/>
        </w:rPr>
        <w:t>iii.</w:t>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Submission of this Amendment by Landlord is not an offer to enter into this Amendment but rather is a solicitation for such an offer by Tenant.Landlord shall not be bound by this Amendment until Landlord has executed and delivered it to Tenant.</w:t>
      </w:r>
    </w:p>
    <w:p>
      <w:pPr>
        <w:pStyle w:val="TextBody"/>
        <w:bidi w:val="0"/>
        <w:spacing w:before="120" w:after="0"/>
        <w:jc w:val="left"/>
        <w:rPr>
          <w:rFonts w:ascii="Times New Roman" w:hAnsi="Times New Roman"/>
          <w:b w:val="false"/>
          <w:sz w:val="22"/>
        </w:rPr>
      </w:pPr>
      <w:r>
        <w:rPr>
          <w:rFonts w:ascii="Times New Roman" w:hAnsi="Times New Roman"/>
          <w:b w:val="false"/>
          <w:sz w:val="22"/>
        </w:rPr>
        <w:t>iv.</w:t>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Each party hereto, and their respective successors and assigns shall be authorized to rely upon the signatures of all of the parties hereto which are delivered by facsimile, PDF or DocuSign(or the like) as constituting a duly authorized, irrevocable, actual, current deliveryhereof with original ink signatures of each person and entity. This Amendment may be executed in counterparts, each of which shall be deemed an original part and all of which together shall constitute a single agreement.</w:t>
      </w:r>
    </w:p>
    <w:p>
      <w:pPr>
        <w:pStyle w:val="TextBody"/>
        <w:bidi w:val="0"/>
        <w:spacing w:before="120" w:after="0"/>
        <w:jc w:val="left"/>
        <w:rPr>
          <w:rFonts w:ascii="Times New Roman" w:hAnsi="Times New Roman"/>
          <w:b w:val="false"/>
          <w:sz w:val="22"/>
        </w:rPr>
      </w:pPr>
      <w:r>
        <w:rPr>
          <w:rFonts w:ascii="Times New Roman" w:hAnsi="Times New Roman"/>
          <w:b w:val="false"/>
          <w:sz w:val="22"/>
        </w:rPr>
        <w:t>v.</w:t>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Capitalized terms used but not defined in this Amendmentshall have the meanings given in the Lease.</w:t>
      </w:r>
    </w:p>
    <w:p>
      <w:pPr>
        <w:pStyle w:val="TextBody"/>
        <w:bidi w:val="0"/>
        <w:spacing w:before="120" w:after="0"/>
        <w:jc w:val="left"/>
        <w:rPr>
          <w:rFonts w:ascii="Times New Roman" w:hAnsi="Times New Roman"/>
          <w:b w:val="false"/>
          <w:sz w:val="22"/>
        </w:rPr>
      </w:pPr>
      <w:r>
        <w:rPr>
          <w:rFonts w:ascii="Times New Roman" w:hAnsi="Times New Roman"/>
          <w:b w:val="false"/>
          <w:sz w:val="22"/>
        </w:rPr>
        <w:t>vi.</w:t>
      </w:r>
    </w:p>
    <w:p>
      <w:pPr>
        <w:pStyle w:val="TextBody"/>
        <w:bidi w:val="0"/>
        <w:spacing w:before="120" w:after="0"/>
        <w:jc w:val="left"/>
        <w:rPr>
          <w:rFonts w:ascii="Times New Roman;serif" w:hAnsi="Times New Roman;serif"/>
          <w:b w:val="false"/>
          <w:sz w:val="22"/>
        </w:rPr>
      </w:pPr>
      <w:r>
        <w:rPr>
          <w:rFonts w:ascii="Times New Roman;serif" w:hAnsi="Times New Roman;serif"/>
          <w:b w:val="false"/>
          <w:sz w:val="22"/>
        </w:rPr>
        <w:t xml:space="preserve">Tenant shall indemnifyand hold Landlord,its trustees, members,principals, beneficiaries, partners, officers, directors, employees, mortgagee(s) and agents, and the respective principals and membersof any such agents harmlessfrom all claimsof any brokers (other than Jones Lang LaSalle) claiming to have represented Tenant in connection with this Amendment. Landlord shall indemnify and hold Tenant,its trustees, members,principals, beneficiaries, partners, officers, directors, employees, and agents, and the respective principals and members of any such agents harmless from all claims of any brokers claimingto have represented Landlord in connection with this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serif" w:hAnsi="Times New Roman;serif"/>
          <w:b w:val="false"/>
          <w:sz w:val="22"/>
        </w:rPr>
      </w:pPr>
      <w:r>
        <w:rPr>
          <w:rFonts w:ascii="Times New Roman;serif" w:hAnsi="Times New Roman;serif"/>
          <w:b w:val="false"/>
          <w:sz w:val="22"/>
        </w:rPr>
        <w:t>Amendment. Tenant acknowledges that any assistance rendered by any agent or employee of any affiliate of Landlord in connection with this Amendment has been made as an accommodation to Tenant solelyin furtherance of consummating the transaction on behalf of Landlord, and not as agent for Tenant.</w:t>
      </w:r>
    </w:p>
    <w:p>
      <w:pPr>
        <w:pStyle w:val="TextBody"/>
        <w:bidi w:val="0"/>
        <w:spacing w:before="0" w:after="0"/>
        <w:jc w:val="left"/>
        <w:rPr>
          <w:rFonts w:ascii="Times New Roman" w:hAnsi="Times New Roman"/>
          <w:sz w:val="20"/>
        </w:rPr>
      </w:pPr>
      <w:r>
        <w:rPr>
          <w:rFonts w:ascii="Times New Roman;serif" w:hAnsi="Times New Roman;serif"/>
          <w:b w:val="false"/>
          <w:sz w:val="22"/>
        </w:rPr>
        <w:t>[SIGNATURES ARE ON FOLLOWING PAGE]</w:t>
        <w:br/>
      </w:r>
      <w:r>
        <w:rPr>
          <w:rFonts w:ascii="Times New Roman" w:hAnsi="Times New Roman"/>
          <w:sz w:val="20"/>
        </w:rPr>
        <w:t> </w:t>
      </w:r>
    </w:p>
    <w:p>
      <w:pPr>
        <w:pStyle w:val="TextBody"/>
        <w:bidi w:val="0"/>
        <w:spacing w:before="0" w:after="0"/>
        <w:jc w:val="left"/>
        <w:rPr>
          <w:rFonts w:ascii="Times New Roman" w:hAnsi="Times New Roman"/>
          <w:sz w:val="20"/>
        </w:rPr>
      </w:pPr>
      <w:r>
        <w:rPr>
          <w:rFonts w:ascii="Times New Roman;serif" w:hAnsi="Times New Roman;serif"/>
          <w:b/>
          <w:sz w:val="22"/>
        </w:rPr>
        <w:t>IN WITNESS WHEREOF</w:t>
      </w:r>
      <w:r>
        <w:rPr>
          <w:rFonts w:ascii="Times New Roman;serif" w:hAnsi="Times New Roman;serif"/>
          <w:b w:val="false"/>
          <w:sz w:val="22"/>
        </w:rPr>
        <w:t>, Landlord and Tenant have duly executed this Amendment as of the day and year first above written.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LANDLORD:</w:t>
      </w:r>
    </w:p>
    <w:p>
      <w:pPr>
        <w:pStyle w:val="TextBody"/>
        <w:bidi w:val="0"/>
        <w:spacing w:before="0" w:after="0"/>
        <w:jc w:val="left"/>
        <w:rPr>
          <w:rFonts w:ascii="Times New Roman;serif" w:hAnsi="Times New Roman;serif"/>
          <w:b/>
          <w:sz w:val="22"/>
        </w:rPr>
      </w:pPr>
      <w:r>
        <w:rPr>
          <w:rFonts w:ascii="Times New Roman;serif" w:hAnsi="Times New Roman;serif"/>
          <w:b/>
          <w:sz w:val="22"/>
        </w:rPr>
        <w:t>HUDSON TOWERS AT SHORE CENTER,LLC,</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 Delaware limited liability company</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By: Hudson Pacific Properties, L.P., a Maryland limited partnership, its sole member</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By: Hudson Pacific Properties, Inc., a Maryland corporation,</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its general partner</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0"/>
        </w:rPr>
        <w:t>/s/ Kenneth Young</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2"/>
        </w:rPr>
        <w:t>Name: _</w:t>
      </w:r>
      <w:r>
        <w:rPr>
          <w:rFonts w:ascii="Times New Roman;serif" w:hAnsi="Times New Roman;serif"/>
          <w:b w:val="false"/>
          <w:sz w:val="20"/>
        </w:rPr>
        <w:t>K</w:t>
      </w:r>
      <w:r>
        <w:rPr>
          <w:rFonts w:ascii="Times New Roman;serif" w:hAnsi="Times New Roman;serif"/>
          <w:b w:val="false"/>
          <w:sz w:val="20"/>
          <w:u w:val="single"/>
        </w:rPr>
        <w:t>enneth Young</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2"/>
        </w:rPr>
        <w:t>Title: _</w:t>
      </w:r>
      <w:r>
        <w:rPr>
          <w:rFonts w:ascii="Times New Roman;serif" w:hAnsi="Times New Roman;serif"/>
          <w:b w:val="false"/>
          <w:sz w:val="20"/>
        </w:rPr>
        <w:t>S</w:t>
      </w:r>
      <w:r>
        <w:rPr>
          <w:rFonts w:ascii="Times New Roman;serif" w:hAnsi="Times New Roman;serif"/>
          <w:b w:val="false"/>
          <w:sz w:val="20"/>
          <w:u w:val="single"/>
        </w:rPr>
        <w:t>enior Vice President, Leasing</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TENANT:</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SOLENO THERAPEUTICS, INC., a Delaware corporation</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0"/>
        </w:rPr>
        <w:t>/s/ Jim Mackaness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Name: </w:t>
      </w:r>
      <w:r>
        <w:rPr>
          <w:rFonts w:ascii="Times New Roman;serif" w:hAnsi="Times New Roman;serif"/>
          <w:b w:val="false"/>
          <w:sz w:val="20"/>
          <w:u w:val="single"/>
        </w:rPr>
        <w:t>Jim Mackaness</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Title: </w:t>
      </w:r>
      <w:r>
        <w:rPr>
          <w:rFonts w:ascii="Times New Roman;serif" w:hAnsi="Times New Roman;serif"/>
          <w:b w:val="false"/>
          <w:sz w:val="20"/>
          <w:u w:val="single"/>
        </w:rPr>
        <w:t>CFO</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
        </w:rPr>
        <w:br/>
      </w:r>
      <w:r>
        <w:rPr>
          <w:rFonts w:ascii="Times New Roman;serif" w:hAnsi="Times New Roman;serif"/>
          <w:b w:val="false"/>
          <w:sz w:val="22"/>
        </w:rPr>
        <w:t xml:space="preserve">EXHIBIT A </w:t>
      </w:r>
      <w:r>
        <w:rPr>
          <w:rFonts w:ascii="Times New Roman;serif" w:hAnsi="Times New Roman;serif"/>
          <w:b w:val="false"/>
          <w:sz w:val="22"/>
          <w:u w:val="single"/>
        </w:rPr>
        <w:t>EXTENSION WORK LETTER</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As used in this </w:t>
      </w:r>
      <w:r>
        <w:rPr>
          <w:rFonts w:ascii="Times New Roman;serif" w:hAnsi="Times New Roman;serif"/>
          <w:b/>
          <w:sz w:val="22"/>
          <w:u w:val="single"/>
        </w:rPr>
        <w:t>Exhibit A</w:t>
      </w:r>
      <w:r>
        <w:rPr>
          <w:rFonts w:ascii="Times New Roman" w:hAnsi="Times New Roman"/>
          <w:sz w:val="20"/>
        </w:rPr>
        <w:t xml:space="preserve"> </w:t>
      </w:r>
      <w:r>
        <w:rPr>
          <w:rFonts w:ascii="Times New Roman;serif" w:hAnsi="Times New Roman;serif"/>
          <w:b w:val="false"/>
          <w:sz w:val="22"/>
        </w:rPr>
        <w:t>(this “</w:t>
      </w:r>
      <w:r>
        <w:rPr>
          <w:rFonts w:ascii="Times New Roman;serif" w:hAnsi="Times New Roman;serif"/>
          <w:b/>
          <w:sz w:val="22"/>
        </w:rPr>
        <w:t>Extension Work Letter</w:t>
      </w:r>
      <w:r>
        <w:rPr>
          <w:rFonts w:ascii="Times New Roman" w:hAnsi="Times New Roman"/>
          <w:sz w:val="20"/>
        </w:rPr>
        <w:t>”</w:t>
      </w:r>
      <w:r>
        <w:rPr>
          <w:rFonts w:ascii="Times New Roman;serif" w:hAnsi="Times New Roman;serif"/>
          <w:b w:val="false"/>
          <w:sz w:val="22"/>
        </w:rPr>
        <w:t>), the following terms shall have the following meanings:</w:t>
      </w:r>
    </w:p>
    <w:p>
      <w:pPr>
        <w:pStyle w:val="TextBody"/>
        <w:bidi w:val="0"/>
        <w:spacing w:before="120" w:after="0"/>
        <w:jc w:val="left"/>
        <w:rPr>
          <w:rFonts w:ascii="Times New Roman" w:hAnsi="Times New Roman"/>
          <w:b w:val="false"/>
          <w:sz w:val="22"/>
        </w:rPr>
      </w:pPr>
      <w:r>
        <w:rPr>
          <w:rFonts w:ascii="Times New Roman" w:hAnsi="Times New Roman"/>
          <w:b w:val="false"/>
          <w:sz w:val="22"/>
        </w:rPr>
        <w:t>(i)</w:t>
      </w:r>
    </w:p>
    <w:p>
      <w:pPr>
        <w:pStyle w:val="TextBody"/>
        <w:bidi w:val="0"/>
        <w:spacing w:before="120" w:after="283"/>
        <w:jc w:val="left"/>
        <w:rPr/>
      </w:pPr>
      <w:r>
        <w:rPr>
          <w:rFonts w:ascii="Times New Roman;serif" w:hAnsi="Times New Roman;serif"/>
          <w:b w:val="false"/>
          <w:sz w:val="22"/>
        </w:rPr>
        <w:t xml:space="preserve">For the purposes of this </w:t>
      </w:r>
      <w:r>
        <w:rPr>
          <w:rFonts w:ascii="Times New Roman;serif" w:hAnsi="Times New Roman;serif"/>
          <w:b/>
          <w:sz w:val="22"/>
          <w:u w:val="single"/>
        </w:rPr>
        <w:t>Exhibit A</w:t>
      </w:r>
      <w:r>
        <w:rPr>
          <w:rFonts w:ascii="Times New Roman;serif" w:hAnsi="Times New Roman;serif"/>
          <w:b w:val="false"/>
          <w:sz w:val="22"/>
        </w:rPr>
        <w:t>, “</w:t>
      </w:r>
      <w:r>
        <w:rPr>
          <w:rFonts w:ascii="Times New Roman;serif" w:hAnsi="Times New Roman;serif"/>
          <w:b/>
          <w:sz w:val="22"/>
        </w:rPr>
        <w:t>Tenant Improvements</w:t>
      </w:r>
      <w:r>
        <w:rPr/>
        <w:t xml:space="preserve">” </w:t>
      </w:r>
      <w:r>
        <w:rPr>
          <w:rFonts w:ascii="Times New Roman;serif" w:hAnsi="Times New Roman;serif"/>
          <w:b w:val="false"/>
          <w:sz w:val="22"/>
        </w:rPr>
        <w:t>means all improvements to be constructed in the Premises pursuant to this Extension Work Letter;</w:t>
      </w:r>
    </w:p>
    <w:p>
      <w:pPr>
        <w:pStyle w:val="TextBody"/>
        <w:bidi w:val="0"/>
        <w:spacing w:before="120" w:after="0"/>
        <w:jc w:val="left"/>
        <w:rPr>
          <w:rFonts w:ascii="Times New Roman" w:hAnsi="Times New Roman"/>
          <w:b w:val="false"/>
          <w:sz w:val="22"/>
        </w:rPr>
      </w:pPr>
      <w:r>
        <w:rPr>
          <w:rFonts w:ascii="Times New Roman" w:hAnsi="Times New Roman"/>
          <w:b w:val="false"/>
          <w:sz w:val="22"/>
        </w:rPr>
        <w:t>(ii)</w:t>
      </w:r>
    </w:p>
    <w:p>
      <w:pPr>
        <w:pStyle w:val="TextBody"/>
        <w:bidi w:val="0"/>
        <w:spacing w:before="120" w:after="283"/>
        <w:jc w:val="left"/>
        <w:rPr/>
      </w:pPr>
      <w:r>
        <w:rPr>
          <w:rFonts w:ascii="Times New Roman;serif" w:hAnsi="Times New Roman;serif"/>
          <w:b w:val="false"/>
          <w:sz w:val="22"/>
        </w:rPr>
        <w:t xml:space="preserve">For the purposes of this </w:t>
      </w:r>
      <w:r>
        <w:rPr>
          <w:rFonts w:ascii="Times New Roman;serif" w:hAnsi="Times New Roman;serif"/>
          <w:b/>
          <w:sz w:val="22"/>
          <w:u w:val="single"/>
        </w:rPr>
        <w:t>Exhibit A</w:t>
      </w:r>
      <w:r>
        <w:rPr>
          <w:rFonts w:ascii="Times New Roman;serif" w:hAnsi="Times New Roman;serif"/>
          <w:b w:val="false"/>
          <w:sz w:val="22"/>
        </w:rPr>
        <w:t>, “</w:t>
      </w:r>
      <w:r>
        <w:rPr>
          <w:rFonts w:ascii="Times New Roman;serif" w:hAnsi="Times New Roman;serif"/>
          <w:b/>
          <w:sz w:val="22"/>
        </w:rPr>
        <w:t>Tenant Improvement Work</w:t>
      </w:r>
      <w:r>
        <w:rPr/>
        <w:t xml:space="preserve">” </w:t>
      </w:r>
      <w:r>
        <w:rPr>
          <w:rFonts w:ascii="Times New Roman;serif" w:hAnsi="Times New Roman;serif"/>
          <w:b w:val="false"/>
          <w:sz w:val="22"/>
        </w:rPr>
        <w:t>means the construction of the Tenant Improvements, together with any related work (including demolition) that is necessary to construct the Tenant Improvements; and</w:t>
      </w:r>
    </w:p>
    <w:p>
      <w:pPr>
        <w:pStyle w:val="TextBody"/>
        <w:bidi w:val="0"/>
        <w:spacing w:before="120" w:after="0"/>
        <w:jc w:val="left"/>
        <w:rPr>
          <w:rFonts w:ascii="Times New Roman" w:hAnsi="Times New Roman"/>
          <w:b w:val="false"/>
          <w:sz w:val="22"/>
        </w:rPr>
      </w:pPr>
      <w:r>
        <w:rPr>
          <w:rFonts w:ascii="Times New Roman" w:hAnsi="Times New Roman"/>
          <w:b w:val="false"/>
          <w:sz w:val="22"/>
        </w:rPr>
        <w:t>(iii)</w:t>
      </w:r>
    </w:p>
    <w:p>
      <w:pPr>
        <w:pStyle w:val="TextBody"/>
        <w:bidi w:val="0"/>
        <w:spacing w:before="120" w:after="283"/>
        <w:jc w:val="left"/>
        <w:rPr/>
      </w:pPr>
      <w:r>
        <w:rPr/>
        <w:t>“</w:t>
      </w:r>
      <w:r>
        <w:rPr>
          <w:rFonts w:ascii="Times New Roman;serif" w:hAnsi="Times New Roman;serif"/>
          <w:b/>
          <w:sz w:val="22"/>
        </w:rPr>
        <w:t>Agreement</w:t>
      </w:r>
      <w:r>
        <w:rPr/>
        <w:t xml:space="preserve">” </w:t>
      </w:r>
      <w:r>
        <w:rPr>
          <w:rFonts w:ascii="Times New Roman;serif" w:hAnsi="Times New Roman;serif"/>
          <w:b w:val="false"/>
          <w:sz w:val="22"/>
        </w:rPr>
        <w:t>means the Amendment of which this Extension Work Letter is a part.</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ALLOWANCE.</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a.</w:t>
      </w:r>
    </w:p>
    <w:p>
      <w:pPr>
        <w:pStyle w:val="TextBody"/>
        <w:bidi w:val="0"/>
        <w:spacing w:before="120" w:after="283"/>
        <w:jc w:val="left"/>
        <w:rPr/>
      </w:pPr>
      <w:r>
        <w:rPr>
          <w:rFonts w:ascii="Times New Roman;serif" w:hAnsi="Times New Roman;serif"/>
          <w:b/>
          <w:sz w:val="22"/>
          <w:u w:val="single"/>
        </w:rPr>
        <w:t>Allowance</w:t>
      </w:r>
      <w:r>
        <w:rPr>
          <w:rFonts w:ascii="Times New Roman;serif" w:hAnsi="Times New Roman;serif"/>
          <w:b/>
          <w:sz w:val="22"/>
        </w:rPr>
        <w:t xml:space="preserve">. </w:t>
      </w:r>
      <w:r>
        <w:rPr>
          <w:rFonts w:ascii="Times New Roman;serif" w:hAnsi="Times New Roman;serif"/>
          <w:b w:val="false"/>
          <w:sz w:val="22"/>
        </w:rPr>
        <w:t xml:space="preserve">Tenant shall be entitled to a one-time tenant improvement allowance (for the purposes of this </w:t>
      </w:r>
      <w:r>
        <w:rPr>
          <w:rFonts w:ascii="Times New Roman;serif" w:hAnsi="Times New Roman;serif"/>
          <w:b/>
          <w:sz w:val="22"/>
          <w:u w:val="single"/>
        </w:rPr>
        <w:t>Exhibit A</w:t>
      </w:r>
      <w:r>
        <w:rPr>
          <w:rFonts w:ascii="Times New Roman;serif" w:hAnsi="Times New Roman;serif"/>
          <w:b w:val="false"/>
          <w:sz w:val="22"/>
        </w:rPr>
        <w:t>, the “</w:t>
      </w:r>
      <w:r>
        <w:rPr>
          <w:rFonts w:ascii="Times New Roman;serif" w:hAnsi="Times New Roman;serif"/>
          <w:b/>
          <w:sz w:val="22"/>
        </w:rPr>
        <w:t>Allowance</w:t>
      </w:r>
      <w:r>
        <w:rPr/>
        <w:t>”</w:t>
      </w:r>
      <w:r>
        <w:rPr>
          <w:rFonts w:ascii="Times New Roman;serif" w:hAnsi="Times New Roman;serif"/>
          <w:b w:val="false"/>
          <w:sz w:val="22"/>
        </w:rPr>
        <w:t xml:space="preserve">) in the amount of $31,840.00 to be applied toward the Allowance Items (defined in </w:t>
      </w:r>
      <w:r>
        <w:rPr>
          <w:rFonts w:ascii="Times New Roman;serif" w:hAnsi="Times New Roman;serif"/>
          <w:b w:val="false"/>
          <w:sz w:val="22"/>
          <w:u w:val="single"/>
        </w:rPr>
        <w:t>Section 1.2</w:t>
      </w:r>
      <w:r>
        <w:rPr/>
        <w:t xml:space="preserve"> </w:t>
      </w:r>
      <w:r>
        <w:rPr>
          <w:rFonts w:ascii="Times New Roman;serif" w:hAnsi="Times New Roman;serif"/>
          <w:b w:val="false"/>
          <w:sz w:val="22"/>
        </w:rPr>
        <w:t>below). Tenant shall be responsible for all costs associated with the Tenant Improvement Work, including the costs of the Allowance Items, to the extent such costs exceed the lesser of (a) the Allowance, or (b) the aggregate amount that Landlord is required to disburse for such purpose pursuant to this Extension Work Letter. Notwithstanding any contrary provision of this Agreement, if Tenant fails to use the entire Allowance November 30, 2024, the unused amount shall revert to Landlord and Tenant shall have no further rights with respect thereto.</w:t>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b.</w:t>
      </w:r>
    </w:p>
    <w:p>
      <w:pPr>
        <w:pStyle w:val="TextBody"/>
        <w:bidi w:val="0"/>
        <w:spacing w:before="120" w:after="283"/>
        <w:jc w:val="left"/>
        <w:rPr/>
      </w:pPr>
      <w:r>
        <w:rPr>
          <w:rFonts w:ascii="Times New Roman;serif" w:hAnsi="Times New Roman;serif"/>
          <w:b w:val="false"/>
          <w:sz w:val="20"/>
          <w:u w:val="single"/>
        </w:rPr>
        <w:t>Disbursementof Allowance</w:t>
      </w:r>
      <w:r>
        <w:rPr>
          <w:rFonts w:ascii="Times New Roman;serif" w:hAnsi="Times New Roman;serif"/>
          <w:b w:val="false"/>
          <w:sz w:val="20"/>
        </w:rPr>
        <w:t>.</w:t>
      </w:r>
    </w:p>
    <w:p>
      <w:pPr>
        <w:pStyle w:val="TextBody"/>
        <w:bidi w:val="0"/>
        <w:spacing w:before="120" w:after="0"/>
        <w:jc w:val="left"/>
        <w:rPr>
          <w:rFonts w:ascii="Times New Roman" w:hAnsi="Times New Roman"/>
          <w:b w:val="false"/>
          <w:sz w:val="22"/>
        </w:rPr>
      </w:pPr>
      <w:r>
        <w:rPr>
          <w:rFonts w:ascii="Times New Roman" w:hAnsi="Times New Roman"/>
          <w:b w:val="false"/>
          <w:sz w:val="22"/>
        </w:rPr>
        <w:t>i.</w:t>
      </w:r>
    </w:p>
    <w:p>
      <w:pPr>
        <w:pStyle w:val="TextBody"/>
        <w:bidi w:val="0"/>
        <w:spacing w:before="120" w:after="283"/>
        <w:jc w:val="left"/>
        <w:rPr/>
      </w:pPr>
      <w:r>
        <w:rPr>
          <w:rFonts w:ascii="Times New Roman;serif" w:hAnsi="Times New Roman;serif"/>
          <w:b/>
          <w:sz w:val="22"/>
        </w:rPr>
        <w:t xml:space="preserve">Allowance Items. </w:t>
      </w:r>
      <w:r>
        <w:rPr>
          <w:rFonts w:ascii="Times New Roman;serif" w:hAnsi="Times New Roman;serif"/>
          <w:b w:val="false"/>
          <w:sz w:val="22"/>
        </w:rPr>
        <w:t xml:space="preserve">Except as otherwise provided in this Extension Work Letter, the Allowance shall be disbursed by Landlord only for the following items (for the purposes of this </w:t>
      </w:r>
      <w:r>
        <w:rPr>
          <w:rFonts w:ascii="Times New Roman;serif" w:hAnsi="Times New Roman;serif"/>
          <w:b/>
          <w:sz w:val="22"/>
          <w:u w:val="single"/>
        </w:rPr>
        <w:t>Exhibit</w:t>
      </w:r>
      <w:r>
        <w:rPr/>
        <w:t xml:space="preserve"> </w:t>
      </w:r>
      <w:r>
        <w:rPr>
          <w:rFonts w:ascii="Times New Roman;serif" w:hAnsi="Times New Roman;serif"/>
          <w:b/>
          <w:sz w:val="22"/>
          <w:u w:val="single"/>
        </w:rPr>
        <w:t>A</w:t>
      </w:r>
      <w:r>
        <w:rPr>
          <w:rFonts w:ascii="Times New Roman;serif" w:hAnsi="Times New Roman;serif"/>
          <w:b w:val="false"/>
          <w:sz w:val="22"/>
        </w:rPr>
        <w:t>, the “</w:t>
      </w:r>
      <w:r>
        <w:rPr>
          <w:rFonts w:ascii="Times New Roman;serif" w:hAnsi="Times New Roman;serif"/>
          <w:b/>
          <w:sz w:val="22"/>
        </w:rPr>
        <w:t>Allowance Items</w:t>
      </w:r>
      <w:r>
        <w:rPr/>
        <w:t>”</w:t>
      </w:r>
      <w:r>
        <w:rPr>
          <w:rFonts w:ascii="Times New Roman;serif" w:hAnsi="Times New Roman;serif"/>
          <w:b w:val="false"/>
          <w:sz w:val="22"/>
        </w:rPr>
        <w:t xml:space="preserve">): (a) the fees of Tenant’s architect and engineers, if any, and any Review Fees (defined in </w:t>
      </w:r>
      <w:r>
        <w:rPr>
          <w:rFonts w:ascii="Times New Roman;serif" w:hAnsi="Times New Roman;serif"/>
          <w:b w:val="false"/>
          <w:sz w:val="22"/>
          <w:u w:val="single"/>
        </w:rPr>
        <w:t>Section 2.3</w:t>
      </w:r>
      <w:r>
        <w:rPr>
          <w:rFonts w:ascii="Times New Roman;serif" w:hAnsi="Times New Roman;serif"/>
          <w:b w:val="false"/>
          <w:sz w:val="22"/>
        </w:rPr>
        <w:t xml:space="preserve">below); (b) [Intentionally Omitted]; (c) plan-check, permit and license fees relating to performance of the Tenant Improvement Work; (d) the cost of performing the Tenant Improvement Work, including after hours charges, testing and inspection costs, freight elevator usage, hoisting and trash removal costs, and contractors’ fees and general conditions; (e) the cost of any change to the base, shell or core of the Premises or Building required by Tenant’s plans and specifications (for the purposes of this </w:t>
      </w:r>
      <w:r>
        <w:rPr>
          <w:rFonts w:ascii="Times New Roman;serif" w:hAnsi="Times New Roman;serif"/>
          <w:b/>
          <w:sz w:val="22"/>
          <w:u w:val="single"/>
        </w:rPr>
        <w:t>Exhibit A</w:t>
      </w:r>
      <w:r>
        <w:rPr>
          <w:rFonts w:ascii="Times New Roman;serif" w:hAnsi="Times New Roman;serif"/>
          <w:b w:val="false"/>
          <w:sz w:val="22"/>
        </w:rPr>
        <w:t>, the “</w:t>
      </w:r>
      <w:r>
        <w:rPr>
          <w:rFonts w:ascii="Times New Roman;serif" w:hAnsi="Times New Roman;serif"/>
          <w:b/>
          <w:sz w:val="22"/>
        </w:rPr>
        <w:t>Plans</w:t>
      </w:r>
      <w:r>
        <w:rPr/>
        <w:t>”</w:t>
      </w:r>
      <w:r>
        <w:rPr>
          <w:rFonts w:ascii="Times New Roman;serif" w:hAnsi="Times New Roman;serif"/>
          <w:b w:val="false"/>
          <w:sz w:val="22"/>
        </w:rPr>
        <w:t xml:space="preserve">) (including if such change is due to the fact that such work is prepared on an unoccupied basis), including all direct architectural and/or engineering fees and expenses incurred in connection therewith; (f) the cost of any change to the Plans or the Tenant Improvement Work required by Law; (g) theCoordination Fee (definedin </w:t>
      </w:r>
      <w:r>
        <w:rPr>
          <w:rFonts w:ascii="Times New Roman;serif" w:hAnsi="Times New Roman;serif"/>
          <w:b w:val="false"/>
          <w:sz w:val="22"/>
          <w:u w:val="single"/>
        </w:rPr>
        <w:t>Section 2.3</w:t>
      </w:r>
      <w:r>
        <w:rPr>
          <w:rFonts w:ascii="Times New Roman;serif" w:hAnsi="Times New Roman;serif"/>
          <w:b w:val="false"/>
          <w:sz w:val="22"/>
        </w:rPr>
        <w:t>below); (h) salesand use taxes;and</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(i) all other costs expended by Landlord in connection with the performance of the Tenant Improvement Work.</w:t>
      </w:r>
    </w:p>
    <w:p>
      <w:pPr>
        <w:pStyle w:val="TextBody"/>
        <w:bidi w:val="0"/>
        <w:spacing w:before="120" w:after="0"/>
        <w:jc w:val="left"/>
        <w:rPr>
          <w:rFonts w:ascii="Times New Roman" w:hAnsi="Times New Roman"/>
          <w:b w:val="false"/>
          <w:sz w:val="22"/>
        </w:rPr>
      </w:pPr>
      <w:r>
        <w:rPr>
          <w:rFonts w:ascii="Times New Roman" w:hAnsi="Times New Roman"/>
          <w:b w:val="false"/>
          <w:sz w:val="22"/>
        </w:rPr>
        <w:t>ii.</w:t>
      </w:r>
    </w:p>
    <w:p>
      <w:pPr>
        <w:pStyle w:val="TextBody"/>
        <w:bidi w:val="0"/>
        <w:spacing w:before="120" w:after="283"/>
        <w:jc w:val="left"/>
        <w:rPr/>
      </w:pPr>
      <w:r>
        <w:rPr>
          <w:rFonts w:ascii="Times New Roman;serif" w:hAnsi="Times New Roman;serif"/>
          <w:b/>
          <w:sz w:val="22"/>
        </w:rPr>
        <w:t xml:space="preserve">Disbursement. </w:t>
      </w:r>
      <w:r>
        <w:rPr>
          <w:rFonts w:ascii="Times New Roman;serif" w:hAnsi="Times New Roman;serif"/>
          <w:b w:val="false"/>
          <w:sz w:val="22"/>
        </w:rPr>
        <w:t>Subject to the terms hereof, Landlord shall make monthly disbursements of the Allowance for Allowance Items as follows:</w:t>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1.</w:t>
      </w:r>
    </w:p>
    <w:p>
      <w:pPr>
        <w:pStyle w:val="TextBody"/>
        <w:bidi w:val="0"/>
        <w:spacing w:before="120" w:after="0"/>
        <w:jc w:val="left"/>
        <w:rPr/>
      </w:pPr>
      <w:r>
        <w:rPr>
          <w:rFonts w:ascii="Times New Roman;serif" w:hAnsi="Times New Roman;serif"/>
          <w:b w:val="false"/>
          <w:sz w:val="22"/>
          <w:u w:val="single"/>
        </w:rPr>
        <w:t>Monthly Disbursements</w:t>
      </w:r>
      <w:r>
        <w:rPr>
          <w:rFonts w:ascii="Times New Roman;serif" w:hAnsi="Times New Roman;serif"/>
          <w:b w:val="false"/>
          <w:sz w:val="22"/>
        </w:rPr>
        <w:t xml:space="preserve">. Not more frequently than once per calendar month, Tenant may deliver to Landlord: (i) a request for payment of Tenant’s contractor, approved by Tenant, in AIA G-702/G-703 format or another format reasonably requested by Landlord, showing the schedule of values, by trade, of percentage of completion of the Tenant Improvement Work, detailing the portion of the work completed and the portion not completed (which approved request shall be deemed Tenant’s approval and acceptance of the work and materials described therein); (ii) copies of all third-party contracts (including change orders) pursuant to which Allowance Items have been incurred (for the purposes of this </w:t>
      </w:r>
      <w:r>
        <w:rPr>
          <w:rFonts w:ascii="Times New Roman;serif" w:hAnsi="Times New Roman;serif"/>
          <w:b/>
          <w:sz w:val="22"/>
          <w:u w:val="single"/>
        </w:rPr>
        <w:t>Exhibit A</w:t>
      </w:r>
      <w:r>
        <w:rPr>
          <w:rFonts w:ascii="Times New Roman;serif" w:hAnsi="Times New Roman;serif"/>
          <w:b w:val="false"/>
          <w:sz w:val="22"/>
        </w:rPr>
        <w:t>, collectively, the “</w:t>
      </w:r>
      <w:r>
        <w:rPr>
          <w:rFonts w:ascii="Times New Roman;serif" w:hAnsi="Times New Roman;serif"/>
          <w:b/>
          <w:sz w:val="22"/>
        </w:rPr>
        <w:t>Tenant Improvement Contracts</w:t>
      </w:r>
      <w:r>
        <w:rPr/>
        <w:t>”</w:t>
      </w:r>
      <w:r>
        <w:rPr>
          <w:rFonts w:ascii="Times New Roman;serif" w:hAnsi="Times New Roman;serif"/>
          <w:b w:val="false"/>
          <w:sz w:val="22"/>
        </w:rPr>
        <w:t>); (iii) copies of invoices for all labor and materials provided to the Premises and covered by such requestfor payment;</w:t>
      </w:r>
    </w:p>
    <w:p>
      <w:pPr>
        <w:pStyle w:val="TextBody"/>
        <w:bidi w:val="0"/>
        <w:spacing w:before="120" w:after="0"/>
        <w:jc w:val="left"/>
        <w:rPr>
          <w:rFonts w:ascii="Times New Roman" w:hAnsi="Times New Roman"/>
          <w:b w:val="false"/>
          <w:sz w:val="22"/>
        </w:rPr>
      </w:pPr>
      <w:r>
        <w:rPr>
          <w:rFonts w:ascii="Times New Roman" w:hAnsi="Times New Roman"/>
          <w:b w:val="false"/>
          <w:sz w:val="22"/>
        </w:rPr>
        <w:t>(iv)</w:t>
      </w:r>
    </w:p>
    <w:p>
      <w:pPr>
        <w:pStyle w:val="TextBody"/>
        <w:bidi w:val="0"/>
        <w:spacing w:before="120" w:after="283"/>
        <w:jc w:val="left"/>
        <w:rPr/>
      </w:pPr>
      <w:r>
        <w:rPr>
          <w:rFonts w:ascii="Times New Roman;serif" w:hAnsi="Times New Roman;serif"/>
          <w:b w:val="false"/>
          <w:sz w:val="22"/>
        </w:rPr>
        <w:t>executed conditional mechanic’s lien releases from all parties who have provided such labor or materials to the Premises (along with executed unconditional mechanic’s lien releases for any prior payments made pursuant to this paragraph) satisfying California Civil Code §§8132 and/or 8134, as applicable; and (v) all other information reasonably requested by Landlord. Subject to the terms hereof, within 30 days after receiving such materials, Landlord shall deliver a check to Tenant, payable jointly to Tenant and its contractor, in the amount of the lesser of (a) Landlord’s Share (defined below) of the amount requested by Tenant pursuant to the preceding sentence, less a 10% retention (the aggregate amount of such retentions shall be referred to in this Extension Work Letter as the “</w:t>
      </w:r>
      <w:r>
        <w:rPr>
          <w:rFonts w:ascii="Times New Roman;serif" w:hAnsi="Times New Roman;serif"/>
          <w:b/>
          <w:sz w:val="22"/>
        </w:rPr>
        <w:t>Final Retention</w:t>
      </w:r>
      <w:r>
        <w:rPr/>
        <w:t>”</w:t>
      </w:r>
      <w:r>
        <w:rPr>
          <w:rFonts w:ascii="Times New Roman;serif" w:hAnsi="Times New Roman;serif"/>
          <w:b w:val="false"/>
          <w:sz w:val="22"/>
        </w:rPr>
        <w:t>), or</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(b) the amount of any remainingportion of the Allowance (not including the Final Retention). Landlord’s payment of such amounts shall not be deemed Landlord’s approval or acceptance of the workor materials described in Tenant’s paymentrequest. As used in this </w:t>
      </w:r>
      <w:r>
        <w:rPr>
          <w:rFonts w:ascii="Times New Roman;serif" w:hAnsi="Times New Roman;serif"/>
          <w:b w:val="false"/>
          <w:sz w:val="22"/>
          <w:u w:val="single"/>
        </w:rPr>
        <w:t>Section 1.2.2.1</w:t>
      </w:r>
      <w:r>
        <w:rPr>
          <w:rFonts w:ascii="Times New Roman;serif" w:hAnsi="Times New Roman;serif"/>
          <w:b w:val="false"/>
          <w:sz w:val="22"/>
        </w:rPr>
        <w:t>, “</w:t>
      </w:r>
      <w:r>
        <w:rPr>
          <w:rFonts w:ascii="Times New Roman;serif" w:hAnsi="Times New Roman;serif"/>
          <w:b/>
          <w:sz w:val="22"/>
        </w:rPr>
        <w:t>Landlord’s Share</w:t>
      </w:r>
      <w:r>
        <w:rPr>
          <w:rFonts w:ascii="Times New Roman" w:hAnsi="Times New Roman"/>
          <w:sz w:val="20"/>
        </w:rPr>
        <w:t xml:space="preserve">” </w:t>
      </w:r>
      <w:r>
        <w:rPr>
          <w:rFonts w:ascii="Times New Roman;serif" w:hAnsi="Times New Roman;serif"/>
          <w:b w:val="false"/>
          <w:sz w:val="22"/>
        </w:rPr>
        <w:t>means the</w:t>
      </w:r>
    </w:p>
    <w:p>
      <w:pPr>
        <w:pStyle w:val="TextBody"/>
        <w:bidi w:val="0"/>
        <w:spacing w:before="0" w:after="0"/>
        <w:jc w:val="left"/>
        <w:rPr>
          <w:rFonts w:ascii="Times New Roman" w:hAnsi="Times New Roman"/>
          <w:sz w:val="20"/>
        </w:rPr>
      </w:pPr>
      <w:r>
        <w:rPr>
          <w:rFonts w:ascii="Times New Roman;serif" w:hAnsi="Times New Roman;serif"/>
          <w:b w:val="false"/>
          <w:sz w:val="22"/>
        </w:rPr>
        <w:br/>
      </w:r>
      <w:r>
        <w:rPr>
          <w:rFonts w:ascii="Times New Roman" w:hAnsi="Times New Roman"/>
          <w:sz w:val="20"/>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lesser of (i) 100%, or (ii) the percentage obtained by dividing the Allowance by the estimated sum of all Allowance Items, as determined based on the Tenant Improvement Contracts.</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2.</w:t>
      </w:r>
    </w:p>
    <w:p>
      <w:pPr>
        <w:pStyle w:val="TextBody"/>
        <w:bidi w:val="0"/>
        <w:spacing w:before="120" w:after="283"/>
        <w:jc w:val="left"/>
        <w:rPr/>
      </w:pPr>
      <w:r>
        <w:rPr>
          <w:rFonts w:ascii="Times New Roman;serif" w:hAnsi="Times New Roman;serif"/>
          <w:b w:val="false"/>
          <w:sz w:val="22"/>
          <w:u w:val="single"/>
        </w:rPr>
        <w:t>Final Retention</w:t>
      </w:r>
      <w:r>
        <w:rPr>
          <w:rFonts w:ascii="Times New Roman;serif" w:hAnsi="Times New Roman;serif"/>
          <w:b w:val="false"/>
          <w:sz w:val="22"/>
        </w:rPr>
        <w:t>. Subject to the terms hereof, Landlord shall deliver to Tenant a check for the Final Retention, together with any other undisbursed portion of the Allowance required to pay for the Allowance Items, within 30 days after the latestof (a) the completion of the Tenant Improvement Work in accordancewith the approvedplans and specifications; (b) Landlord’s receipt of</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(i) copies of all Tenant Improvement Contracts; (ii) copiesof invoices for alllabor and materials provided to the Premises; (iii) executedunconditional mechanic’s lien releases satisfying California Civil Code</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 8134 for all prior payments made pursuant to </w:t>
      </w:r>
      <w:r>
        <w:rPr>
          <w:rFonts w:ascii="Times New Roman;serif" w:hAnsi="Times New Roman;serif"/>
          <w:b w:val="false"/>
          <w:sz w:val="22"/>
          <w:u w:val="single"/>
        </w:rPr>
        <w:t>Section 1.2.2.1</w:t>
      </w:r>
      <w:r>
        <w:rPr>
          <w:rFonts w:ascii="Times New Roman" w:hAnsi="Times New Roman"/>
          <w:sz w:val="20"/>
        </w:rPr>
        <w:t xml:space="preserve"> </w:t>
      </w:r>
      <w:r>
        <w:rPr>
          <w:rFonts w:ascii="Times New Roman;serif" w:hAnsi="Times New Roman;serif"/>
          <w:b w:val="false"/>
          <w:sz w:val="22"/>
        </w:rPr>
        <w:t>above (to the extent not previously provided to Landlord), together with executed unconditional final mechanic’s lien releases satisfying California Civil Code § 8138 for all labor and materials provided to the Premises subject to the Final Retention; (iv) a certificate from Tenant’s architect, in a form reasonably acceptable to Landlord, certifying that the Tenant Improvement Work has been substantially completed; (v) evidence that all governmental approvals requiredfor Tenant to legally occupythe Premises have been obtained; and</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(vi) any other information reasonably requested by Landlord; (c) Tenant’s delivery to Landlord of “as built” drawings (in CAD format, if requested by Landlord); or (d) Tenant’s compliance with Landlord’s reasonable standard “close-out” requirements regarding city approvals, closeout tasks, Tenant’s contractor, financial close-out matters, and Tenant’s vendors. Landlord’s payment of the Final Retention shall not be deemed Landlord’s approval or acceptance of the work or materials described in Tenant’s payment requests.</w:t>
      </w:r>
    </w:p>
    <w:p>
      <w:pPr>
        <w:pStyle w:val="TextBody"/>
        <w:bidi w:val="0"/>
        <w:spacing w:before="120" w:after="0"/>
        <w:jc w:val="both"/>
        <w:rPr>
          <w:rFonts w:ascii="Times New Roman" w:hAnsi="Times New Roman"/>
          <w:b w:val="false"/>
          <w:sz w:val="20"/>
        </w:rPr>
      </w:pPr>
      <w:r>
        <w:rPr>
          <w:rFonts w:ascii="Times New Roman" w:hAnsi="Times New Roman"/>
          <w:b w:val="false"/>
          <w:sz w:val="20"/>
        </w:rPr>
        <w:t>2.</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MISCELLANEOUS.</w:t>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a.</w:t>
      </w:r>
    </w:p>
    <w:p>
      <w:pPr>
        <w:pStyle w:val="TextBody"/>
        <w:bidi w:val="0"/>
        <w:spacing w:before="120" w:after="283"/>
        <w:jc w:val="left"/>
        <w:rPr/>
      </w:pPr>
      <w:r>
        <w:rPr>
          <w:rFonts w:ascii="Times New Roman;serif" w:hAnsi="Times New Roman;serif"/>
          <w:b/>
          <w:sz w:val="22"/>
          <w:u w:val="single"/>
        </w:rPr>
        <w:t>Applicable Lease Provisions</w:t>
      </w:r>
      <w:r>
        <w:rPr>
          <w:rFonts w:ascii="Times New Roman;serif" w:hAnsi="Times New Roman;serif"/>
          <w:b/>
          <w:sz w:val="22"/>
        </w:rPr>
        <w:t xml:space="preserve">. </w:t>
      </w:r>
      <w:r>
        <w:rPr>
          <w:rFonts w:ascii="Times New Roman;serif" w:hAnsi="Times New Roman;serif"/>
          <w:b w:val="false"/>
          <w:sz w:val="22"/>
        </w:rPr>
        <w:t xml:space="preserve">Without limitation, the Tenant Improvement Work shall be subject to </w:t>
      </w:r>
      <w:r>
        <w:rPr>
          <w:rFonts w:ascii="Times New Roman;serif" w:hAnsi="Times New Roman;serif"/>
          <w:b w:val="false"/>
          <w:sz w:val="22"/>
          <w:u w:val="single"/>
        </w:rPr>
        <w:t>Sections 7.2</w:t>
      </w:r>
      <w:r>
        <w:rPr>
          <w:rFonts w:ascii="Times New Roman;serif" w:hAnsi="Times New Roman;serif"/>
          <w:b w:val="false"/>
          <w:sz w:val="22"/>
        </w:rPr>
        <w:t xml:space="preserve">, </w:t>
      </w:r>
      <w:r>
        <w:rPr>
          <w:rFonts w:ascii="Times New Roman;serif" w:hAnsi="Times New Roman;serif"/>
          <w:b w:val="false"/>
          <w:sz w:val="22"/>
          <w:u w:val="single"/>
        </w:rPr>
        <w:t>7.3</w:t>
      </w:r>
      <w:r>
        <w:rPr/>
        <w:t xml:space="preserve"> </w:t>
      </w:r>
      <w:r>
        <w:rPr>
          <w:rFonts w:ascii="Times New Roman;serif" w:hAnsi="Times New Roman;serif"/>
          <w:b w:val="false"/>
          <w:sz w:val="22"/>
        </w:rPr>
        <w:t xml:space="preserve">and </w:t>
      </w:r>
      <w:r>
        <w:rPr>
          <w:rFonts w:ascii="Times New Roman;serif" w:hAnsi="Times New Roman;serif"/>
          <w:b w:val="false"/>
          <w:sz w:val="22"/>
          <w:u w:val="single"/>
        </w:rPr>
        <w:t>8</w:t>
      </w:r>
      <w:r>
        <w:rPr/>
        <w:t xml:space="preserve"> </w:t>
      </w:r>
      <w:r>
        <w:rPr>
          <w:rFonts w:ascii="Times New Roman;serif" w:hAnsi="Times New Roman;serif"/>
          <w:b w:val="false"/>
          <w:sz w:val="22"/>
        </w:rPr>
        <w:t>of the Lease.</w:t>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b.</w:t>
      </w:r>
    </w:p>
    <w:p>
      <w:pPr>
        <w:pStyle w:val="TextBody"/>
        <w:bidi w:val="0"/>
        <w:spacing w:before="120" w:after="283"/>
        <w:jc w:val="left"/>
        <w:rPr/>
      </w:pPr>
      <w:r>
        <w:rPr>
          <w:rFonts w:ascii="Times New Roman;serif" w:hAnsi="Times New Roman;serif"/>
          <w:b/>
          <w:sz w:val="22"/>
          <w:u w:val="single"/>
        </w:rPr>
        <w:t>Plans and Specifications</w:t>
      </w:r>
      <w:r>
        <w:rPr>
          <w:rFonts w:ascii="Times New Roman;serif" w:hAnsi="Times New Roman;serif"/>
          <w:b/>
          <w:sz w:val="22"/>
        </w:rPr>
        <w:t xml:space="preserve">. </w:t>
      </w:r>
      <w:r>
        <w:rPr>
          <w:rFonts w:ascii="Times New Roman;serif" w:hAnsi="Times New Roman;serif"/>
          <w:b w:val="false"/>
          <w:sz w:val="22"/>
        </w:rPr>
        <w:t>Landlord shall provide Tenant with notice approving or disapproving any proposed plans and specifications for the Tenant Improvement Work within the Required Period (defined below) after the later of Landlord’s receipt thereof from Tenant or the mutual execution and delivery of this Agreement. As used herein, “</w:t>
      </w:r>
      <w:r>
        <w:rPr>
          <w:rFonts w:ascii="Times New Roman;serif" w:hAnsi="Times New Roman;serif"/>
          <w:b/>
          <w:sz w:val="22"/>
        </w:rPr>
        <w:t>Required Period</w:t>
      </w:r>
      <w:r>
        <w:rPr/>
        <w:t xml:space="preserve">” </w:t>
      </w:r>
      <w:r>
        <w:rPr>
          <w:rFonts w:ascii="Times New Roman;serif" w:hAnsi="Times New Roman;serif"/>
          <w:b w:val="false"/>
          <w:sz w:val="22"/>
        </w:rPr>
        <w:t>means (a) 10 business days in the case of construction drawings, and (b) five(5) business days in the case of any other plans and specifications (including a space plan). Any such notice of disapproval shall describe with reasonable specificity the basis for Landlord’s disapproval and the changes that would be necessary to resolve Landlord’s objections. The Required Periodsabove shall be reduced to five (5) business days and three</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(3) business days, respectively, followingthe initial review.</w:t>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c.</w:t>
      </w:r>
    </w:p>
    <w:p>
      <w:pPr>
        <w:pStyle w:val="TextBody"/>
        <w:bidi w:val="0"/>
        <w:spacing w:before="120" w:after="283"/>
        <w:jc w:val="left"/>
        <w:rPr/>
      </w:pPr>
      <w:r>
        <w:rPr>
          <w:rFonts w:ascii="Times New Roman;serif" w:hAnsi="Times New Roman;serif"/>
          <w:b/>
          <w:sz w:val="22"/>
          <w:u w:val="single"/>
        </w:rPr>
        <w:t>Review Fees; Coordination Fee</w:t>
      </w:r>
      <w:r>
        <w:rPr>
          <w:rFonts w:ascii="Times New Roman;serif" w:hAnsi="Times New Roman;serif"/>
          <w:b/>
          <w:sz w:val="22"/>
        </w:rPr>
        <w:t xml:space="preserve">. </w:t>
      </w:r>
      <w:r>
        <w:rPr>
          <w:rFonts w:ascii="Times New Roman;serif" w:hAnsi="Times New Roman;serif"/>
          <w:b w:val="false"/>
          <w:sz w:val="22"/>
        </w:rPr>
        <w:t xml:space="preserve">Tenant shall reimburse Landlord, upon demand, for any fees reasonably incurred by Landlord for review of the Plans by Landlord’s third party consultants (for the purposes of this </w:t>
      </w:r>
      <w:r>
        <w:rPr>
          <w:rFonts w:ascii="Times New Roman;serif" w:hAnsi="Times New Roman;serif"/>
          <w:b/>
          <w:sz w:val="22"/>
          <w:u w:val="single"/>
        </w:rPr>
        <w:t>Exhibit A</w:t>
      </w:r>
      <w:r>
        <w:rPr>
          <w:rFonts w:ascii="Times New Roman;serif" w:hAnsi="Times New Roman;serif"/>
          <w:b w:val="false"/>
          <w:sz w:val="22"/>
        </w:rPr>
        <w:t>, “</w:t>
      </w:r>
      <w:r>
        <w:rPr>
          <w:rFonts w:ascii="Times New Roman;serif" w:hAnsi="Times New Roman;serif"/>
          <w:b/>
          <w:sz w:val="22"/>
        </w:rPr>
        <w:t>Review Fees</w:t>
      </w:r>
      <w:r>
        <w:rPr/>
        <w:t>”</w:t>
      </w:r>
      <w:r>
        <w:rPr>
          <w:rFonts w:ascii="Times New Roman;serif" w:hAnsi="Times New Roman;serif"/>
          <w:b w:val="false"/>
          <w:sz w:val="22"/>
        </w:rPr>
        <w:t xml:space="preserve">). In consideration of Landlord’s coordination of the Tenant Improvement Work, Tenant shall pay Landlord a fee (for the purposes of this </w:t>
      </w:r>
      <w:r>
        <w:rPr>
          <w:rFonts w:ascii="Times New Roman;serif" w:hAnsi="Times New Roman;serif"/>
          <w:b/>
          <w:sz w:val="22"/>
          <w:u w:val="single"/>
        </w:rPr>
        <w:t>Exhibit A</w:t>
      </w:r>
      <w:r>
        <w:rPr>
          <w:rFonts w:ascii="Times New Roman;serif" w:hAnsi="Times New Roman;serif"/>
          <w:b w:val="false"/>
          <w:sz w:val="22"/>
        </w:rPr>
        <w:t>, the “</w:t>
      </w:r>
      <w:r>
        <w:rPr>
          <w:rFonts w:ascii="Times New Roman;serif" w:hAnsi="Times New Roman;serif"/>
          <w:b/>
          <w:sz w:val="22"/>
        </w:rPr>
        <w:t>Coordination Fee</w:t>
      </w:r>
      <w:r>
        <w:rPr/>
        <w:t>”</w:t>
      </w:r>
      <w:r>
        <w:rPr>
          <w:rFonts w:ascii="Times New Roman;serif" w:hAnsi="Times New Roman;serif"/>
          <w:b w:val="false"/>
          <w:sz w:val="22"/>
        </w:rPr>
        <w:t>) in an amount equal to 3% of the cost of the Tenant Improvement Work.</w:t>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d.</w:t>
      </w:r>
    </w:p>
    <w:p>
      <w:pPr>
        <w:pStyle w:val="TextBody"/>
        <w:bidi w:val="0"/>
        <w:spacing w:before="120" w:after="283"/>
        <w:jc w:val="left"/>
        <w:rPr/>
      </w:pPr>
      <w:r>
        <w:rPr>
          <w:rFonts w:ascii="Times New Roman;serif" w:hAnsi="Times New Roman;serif"/>
          <w:b/>
          <w:sz w:val="22"/>
          <w:u w:val="single"/>
        </w:rPr>
        <w:t>Tenant Default</w:t>
      </w:r>
      <w:r>
        <w:rPr>
          <w:rFonts w:ascii="Times New Roman;serif" w:hAnsi="Times New Roman;serif"/>
          <w:b/>
          <w:sz w:val="22"/>
        </w:rPr>
        <w:t xml:space="preserve">. </w:t>
      </w:r>
      <w:r>
        <w:rPr>
          <w:rFonts w:ascii="Times New Roman;serif" w:hAnsi="Times New Roman;serif"/>
          <w:b w:val="false"/>
          <w:sz w:val="22"/>
        </w:rPr>
        <w:t>Notwithstanding any contrary provision of this Agreement, if Tenant Defaults under this Agreement before the Tenant Improvement Work is completed, then (a) Landlord’s obligations under this Extension Work Letter shall be excused, and Landlord may cause Tenant’s contractor to cease performance of the Tenant Improvement Work, until such Default is cured, and</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(b) Tenant shall be responsible for any resulting delay in the completion of the Tenant Improvement Work.</w:t>
      </w:r>
    </w:p>
    <w:p>
      <w:pPr>
        <w:pStyle w:val="TextBody"/>
        <w:bidi w:val="0"/>
        <w:spacing w:before="120" w:after="0"/>
        <w:jc w:val="left"/>
        <w:rPr>
          <w:rFonts w:ascii="Times New Roman" w:hAnsi="Times New Roman"/>
          <w:b w:val="false"/>
          <w:sz w:val="22"/>
          <w:u w:val="single"/>
        </w:rPr>
      </w:pPr>
      <w:r>
        <w:rPr>
          <w:rFonts w:ascii="Times New Roman" w:hAnsi="Times New Roman"/>
          <w:b w:val="false"/>
          <w:sz w:val="22"/>
          <w:u w:val="single"/>
        </w:rPr>
        <w:t>e.</w:t>
      </w:r>
    </w:p>
    <w:p>
      <w:pPr>
        <w:pStyle w:val="TextBody"/>
        <w:bidi w:val="0"/>
        <w:spacing w:before="120" w:after="283"/>
        <w:jc w:val="left"/>
        <w:rPr/>
      </w:pPr>
      <w:r>
        <w:rPr>
          <w:rFonts w:ascii="Times New Roman;serif" w:hAnsi="Times New Roman;serif"/>
          <w:b/>
          <w:sz w:val="22"/>
          <w:u w:val="single"/>
        </w:rPr>
        <w:t>Other</w:t>
      </w:r>
      <w:r>
        <w:rPr>
          <w:rFonts w:ascii="Times New Roman;serif" w:hAnsi="Times New Roman;serif"/>
          <w:b/>
          <w:sz w:val="22"/>
        </w:rPr>
        <w:t xml:space="preserve">. </w:t>
      </w:r>
      <w:r>
        <w:rPr>
          <w:rFonts w:ascii="Times New Roman;serif" w:hAnsi="Times New Roman;serif"/>
          <w:b w:val="false"/>
          <w:sz w:val="22"/>
        </w:rPr>
        <w:t>ThisExtension Work Letter shall not apply to any space other than the Premises.</w:t>
      </w:r>
    </w:p>
    <w:p>
      <w:pPr>
        <w:pStyle w:val="TextBody"/>
        <w:bidi w:val="0"/>
        <w:spacing w:before="0" w:after="0"/>
        <w:jc w:val="left"/>
        <w:rPr>
          <w:rFonts w:ascii="Times New Roman" w:hAnsi="Times New Roman"/>
          <w:sz w:val="20"/>
        </w:rPr>
      </w:pPr>
      <w:r>
        <w:rPr>
          <w:rFonts w:ascii="Times New Roman;serif" w:hAnsi="Times New Roman;serif"/>
          <w:b w:val="false"/>
          <w:sz w:val="22"/>
        </w:rPr>
        <w:br/>
      </w:r>
      <w:r>
        <w:rPr>
          <w:rFonts w:ascii="Times New Roman" w:hAnsi="Times New Roman"/>
          <w:sz w:val="20"/>
        </w:rPr>
        <w:t> </w:t>
      </w:r>
    </w:p>
    <w:p>
      <w:pPr>
        <w:pStyle w:val="TextBody"/>
        <w:bidi w:val="0"/>
        <w:spacing w:before="0" w:after="0"/>
        <w:jc w:val="left"/>
        <w:rPr>
          <w:rFonts w:ascii="Times New Roman" w:hAnsi="Times New Roman"/>
          <w:sz w:val="20"/>
        </w:rPr>
      </w:pPr>
      <w:r>
        <w:rPr>
          <w:rFonts w:ascii="Times New Roman;serif" w:hAnsi="Times New Roman;serif"/>
          <w:b/>
          <w:sz w:val="22"/>
        </w:rPr>
        <w:t xml:space="preserve">EXHIBIT B </w:t>
      </w:r>
      <w:r>
        <w:rPr>
          <w:rFonts w:ascii="Times New Roman;serif" w:hAnsi="Times New Roman;serif"/>
          <w:b/>
          <w:sz w:val="22"/>
          <w:u w:val="single"/>
        </w:rPr>
        <w:t>POTENTIAL OFFERINGSPACE</w:t>
      </w:r>
    </w:p>
    <w:p>
      <w:pPr>
        <w:pStyle w:val="TextBody"/>
        <w:bidi w:val="0"/>
        <w:spacing w:before="0" w:after="0"/>
        <w:jc w:val="left"/>
        <w:rPr>
          <w:rFonts w:ascii="Times New Roman" w:hAnsi="Times New Roman"/>
          <w:sz w:val="20"/>
        </w:rPr>
      </w:pPr>
      <w:r>
        <w:rPr>
          <w:rFonts w:ascii="Times New Roman;serif" w:hAnsi="Times New Roman;serif"/>
          <w:b w:val="false"/>
          <w:sz w:val="22"/>
        </w:rPr>
        <w:br/>
      </w:r>
      <w:r>
        <w:rPr>
          <w:rFonts w:ascii="Times New Roman" w:hAnsi="Times New Roman"/>
          <w:sz w:val="20"/>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slno-ex31_1.htm"/>
      <w:bookmarkStart w:id="26" w:name="ksslnoex31_1"/>
      <w:bookmarkEnd w:id="25"/>
      <w:bookmarkEnd w:id="26"/>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31.1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CERTIFICATION OF THE CHIEF EXECUTIVE OFFICER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SECURITIES EXCHANGE ACT RULES 13A-14(A) AND 15D-14(A)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Anish Bhatnagar, M.D., certify that: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1. I have reviewed this quarterly report on Form 10-Q of Soleno Therapeutics, Inc.;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August 8, 2023</w:t>
      </w:r>
    </w:p>
    <w:p>
      <w:pPr>
        <w:pStyle w:val="TextBody"/>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Anish Bhatnagar</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Anish Bhatnagar</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Chief Executive Officer</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slno-ex31_2.htm"/>
      <w:bookmarkStart w:id="28" w:name="ksslnoex31_2"/>
      <w:bookmarkEnd w:id="27"/>
      <w:bookmarkEnd w:id="28"/>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31.2</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CERTIFICATION OF THE CHIEF EXECUTIVE OFFICER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SECURITIES EXCHANGE ACT RULES 13A-14(A) AND 15D-14(A)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James Mackaness, certify that: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1. I have reviewed this quarterly report on Form 10-Q of Soleno Therapeutics, Inc.;</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August 8, 2023</w:t>
      </w:r>
    </w:p>
    <w:p>
      <w:pPr>
        <w:pStyle w:val="TextBody"/>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Mackaness</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James Mackaness</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9" w:name="slno-ex32_1.htm"/>
      <w:bookmarkStart w:id="30" w:name="ksslnoex32_1"/>
      <w:bookmarkEnd w:id="29"/>
      <w:bookmarkEnd w:id="30"/>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32.1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18 U.S.C. SECTION 1350,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AS ADOPTED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Quarterly Report of Soleno Therapeutics, Inc. (the “Company”) on Form 10-Q for the fiscal quarter ended June 30, 2023, as filed with the Securities and Exchange Commission (the “Report”), Anish Bhatnagar, President, Chief Executive Officer of the Company does hereby certify, pursuant to 18 U.S.C. Section 1350, as adopted pursuant to Section 906 of the Sarbanes-Oxley Act of 2002, that: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Report fully complies with the requirements of Section 13(a) or 15(d) of the Securities Exchange Act of 1934;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information in the Report fairly presents, in all material respects, the financial condition and results of operations of the Company.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August 8, 2023</w:t>
      </w:r>
    </w:p>
    <w:p>
      <w:pPr>
        <w:pStyle w:val="TextBody"/>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Anish Bhatnagar</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Anish Bhatnagar</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Chief Executive Officer</w:t>
            </w:r>
          </w:p>
        </w:tc>
      </w:tr>
      <w:tr>
        <w:trPr/>
        <w:tc>
          <w:tcPr>
            <w:tcW w:w="2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1" w:name="slno-ex32_2.htm"/>
      <w:bookmarkStart w:id="32" w:name="ksslnoex32_2"/>
      <w:bookmarkEnd w:id="31"/>
      <w:bookmarkEnd w:id="32"/>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32.2</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18 U.S.C. SECTION 1350,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AS ADOPTED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Quarterly Report of Soleno Therapeutics, Inc. (the “Company”) on Form 10-Q for the fiscal quarter ended June 30, 2023, as filed with the Securities and Exchange Commission (the “Report”), James Mackaness, Chief Financial Officer of the Company does hereby certify, pursuant to 18 U.S.C. Section 1350, as adopted pursuant to Section 906 of the Sarbanes-Oxley Act of 2002, that: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Report fully complies with the requirements of Section 13(a) or 15(d) of the Securities Exchange Act of 1934;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information in the Report fairly presents, in all material respects, the financial condition and results of operations of the Company.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August 8, 2023</w:t>
      </w:r>
    </w:p>
    <w:p>
      <w:pPr>
        <w:pStyle w:val="TextBody"/>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Mackaness</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James Mackaness</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36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16607</Words>
  <Characters>89061</Characters>
  <CharactersWithSpaces>106588</CharactersWithSpaces>
  <Paragraphs>4173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