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52070</wp:posOffset>
            </wp:positionV>
            <wp:extent cx="13633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55245</wp:posOffset>
            </wp:positionV>
            <wp:extent cx="13633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9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25"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5" w:lineRule="exact"/>
        <w:rPr>
          <w:sz w:val="24"/>
          <w:szCs w:val="24"/>
          <w:color w:val="auto"/>
        </w:rPr>
      </w:pPr>
    </w:p>
    <w:tbl>
      <w:tblPr>
        <w:tblLayout w:type="fixed"/>
        <w:tblInd w:w="406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Arial" w:cs="Arial" w:eastAsia="Arial" w:hAnsi="Arial"/>
                <w:sz w:val="14"/>
                <w:szCs w:val="14"/>
                <w:b w:val="1"/>
                <w:bCs w:val="1"/>
                <w:color w:val="auto"/>
                <w:w w:val="95"/>
              </w:rPr>
              <w:t>For the transition period from</w:t>
            </w:r>
          </w:p>
        </w:tc>
        <w:tc>
          <w:tcPr>
            <w:tcW w:w="580" w:type="dxa"/>
            <w:vAlign w:val="bottom"/>
            <w:tcBorders>
              <w:bottom w:val="single" w:sz="8" w:color="auto"/>
            </w:tcBorders>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to</w:t>
            </w:r>
          </w:p>
        </w:tc>
        <w:tc>
          <w:tcPr>
            <w:tcW w:w="580" w:type="dxa"/>
            <w:vAlign w:val="bottom"/>
            <w:tcBorders>
              <w:bottom w:val="single" w:sz="8" w:color="auto"/>
            </w:tcBorders>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98"/>
        </w:trPr>
        <w:tc>
          <w:tcPr>
            <w:tcW w:w="2660" w:type="dxa"/>
            <w:vAlign w:val="bottom"/>
            <w:gridSpan w:val="3"/>
          </w:tcPr>
          <w:p>
            <w:pPr>
              <w:ind w:left="660"/>
              <w:spacing w:after="0"/>
              <w:rPr>
                <w:sz w:val="20"/>
                <w:szCs w:val="20"/>
                <w:color w:val="auto"/>
              </w:rPr>
            </w:pPr>
            <w:r>
              <w:rPr>
                <w:rFonts w:ascii="Arial" w:cs="Arial" w:eastAsia="Arial" w:hAnsi="Arial"/>
                <w:sz w:val="14"/>
                <w:szCs w:val="14"/>
                <w:b w:val="1"/>
                <w:bCs w:val="1"/>
                <w:color w:val="auto"/>
                <w:w w:val="92"/>
              </w:rPr>
              <w:t>Commission File No.: 001-36593</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33655</wp:posOffset>
            </wp:positionV>
            <wp:extent cx="13633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34" w:lineRule="exact"/>
        <w:rPr>
          <w:sz w:val="24"/>
          <w:szCs w:val="24"/>
          <w:color w:val="auto"/>
        </w:rPr>
      </w:pPr>
    </w:p>
    <w:tbl>
      <w:tblPr>
        <w:tblLayout w:type="fixed"/>
        <w:tblInd w:w="600" w:type="dxa"/>
        <w:tblCellMar>
          <w:top w:w="0" w:type="dxa"/>
          <w:left w:w="0" w:type="dxa"/>
          <w:bottom w:w="0" w:type="dxa"/>
          <w:right w:w="0" w:type="dxa"/>
        </w:tblCellMar>
      </w:tblPr>
      <w:tr>
        <w:trPr>
          <w:trHeight w:val="435"/>
        </w:trPr>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780" w:type="dxa"/>
            <w:vAlign w:val="bottom"/>
            <w:gridSpan w:val="5"/>
          </w:tcPr>
          <w:p>
            <w:pPr>
              <w:jc w:val="center"/>
              <w:spacing w:after="0"/>
              <w:rPr>
                <w:sz w:val="20"/>
                <w:szCs w:val="20"/>
                <w:color w:val="auto"/>
              </w:rPr>
            </w:pPr>
            <w:r>
              <w:rPr>
                <w:rFonts w:ascii="Arial" w:cs="Arial" w:eastAsia="Arial" w:hAnsi="Arial"/>
                <w:sz w:val="36"/>
                <w:szCs w:val="36"/>
                <w:b w:val="1"/>
                <w:bCs w:val="1"/>
                <w:color w:val="auto"/>
                <w:w w:val="89"/>
              </w:rPr>
              <w:t>Soleno Therapeutics, Inc.</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160" w:type="dxa"/>
            <w:vAlign w:val="bottom"/>
            <w:gridSpan w:val="3"/>
          </w:tcPr>
          <w:p>
            <w:pPr>
              <w:jc w:val="center"/>
              <w:ind w:left="60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6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1620" w:type="dxa"/>
            <w:vAlign w:val="bottom"/>
          </w:tcPr>
          <w:p>
            <w:pPr>
              <w:spacing w:after="0"/>
              <w:rPr>
                <w:sz w:val="14"/>
                <w:szCs w:val="14"/>
                <w:color w:val="auto"/>
              </w:rPr>
            </w:pPr>
          </w:p>
        </w:tc>
        <w:tc>
          <w:tcPr>
            <w:tcW w:w="5220" w:type="dxa"/>
            <w:vAlign w:val="bottom"/>
            <w:gridSpan w:val="4"/>
          </w:tcPr>
          <w:p>
            <w:pPr>
              <w:jc w:val="center"/>
              <w:ind w:right="4040"/>
              <w:spacing w:after="0"/>
              <w:rPr>
                <w:sz w:val="20"/>
                <w:szCs w:val="20"/>
                <w:color w:val="auto"/>
              </w:rPr>
            </w:pPr>
            <w:r>
              <w:rPr>
                <w:rFonts w:ascii="Arial" w:cs="Arial" w:eastAsia="Arial" w:hAnsi="Arial"/>
                <w:sz w:val="14"/>
                <w:szCs w:val="14"/>
                <w:b w:val="1"/>
                <w:bCs w:val="1"/>
                <w:color w:val="auto"/>
                <w:w w:val="94"/>
              </w:rPr>
              <w:t>Delaware</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60" w:type="dxa"/>
            <w:vAlign w:val="bottom"/>
          </w:tcPr>
          <w:p>
            <w:pPr>
              <w:jc w:val="right"/>
              <w:ind w:right="872"/>
              <w:spacing w:after="0"/>
              <w:rPr>
                <w:sz w:val="20"/>
                <w:szCs w:val="20"/>
                <w:color w:val="auto"/>
              </w:rPr>
            </w:pPr>
            <w:r>
              <w:rPr>
                <w:rFonts w:ascii="Arial" w:cs="Arial" w:eastAsia="Arial" w:hAnsi="Arial"/>
                <w:sz w:val="14"/>
                <w:szCs w:val="14"/>
                <w:b w:val="1"/>
                <w:bCs w:val="1"/>
                <w:color w:val="auto"/>
              </w:rPr>
              <w:t>77-0523891</w:t>
            </w:r>
          </w:p>
        </w:tc>
        <w:tc>
          <w:tcPr>
            <w:tcW w:w="0" w:type="dxa"/>
            <w:vAlign w:val="bottom"/>
          </w:tcPr>
          <w:p>
            <w:pPr>
              <w:spacing w:after="0"/>
              <w:rPr>
                <w:sz w:val="1"/>
                <w:szCs w:val="1"/>
                <w:color w:val="auto"/>
              </w:rPr>
            </w:pPr>
          </w:p>
        </w:tc>
      </w:tr>
      <w:tr>
        <w:trPr>
          <w:trHeight w:val="135"/>
        </w:trPr>
        <w:tc>
          <w:tcPr>
            <w:tcW w:w="6840" w:type="dxa"/>
            <w:vAlign w:val="bottom"/>
            <w:gridSpan w:val="5"/>
          </w:tcPr>
          <w:p>
            <w:pPr>
              <w:jc w:val="center"/>
              <w:ind w:right="2420"/>
              <w:spacing w:after="0" w:line="135" w:lineRule="exact"/>
              <w:rPr>
                <w:sz w:val="20"/>
                <w:szCs w:val="20"/>
                <w:color w:val="auto"/>
              </w:rPr>
            </w:pPr>
            <w:r>
              <w:rPr>
                <w:rFonts w:ascii="Arial" w:cs="Arial" w:eastAsia="Arial" w:hAnsi="Arial"/>
                <w:sz w:val="13"/>
                <w:szCs w:val="13"/>
                <w:b w:val="1"/>
                <w:bCs w:val="1"/>
                <w:color w:val="auto"/>
                <w:w w:val="86"/>
              </w:rPr>
              <w:t>(State or other Jurisdiction of</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60" w:type="dxa"/>
            <w:vAlign w:val="bottom"/>
          </w:tcPr>
          <w:p>
            <w:pPr>
              <w:jc w:val="center"/>
              <w:ind w:right="672"/>
              <w:spacing w:after="0" w:line="135" w:lineRule="exact"/>
              <w:rPr>
                <w:sz w:val="20"/>
                <w:szCs w:val="20"/>
                <w:color w:val="auto"/>
              </w:rPr>
            </w:pPr>
            <w:r>
              <w:rPr>
                <w:rFonts w:ascii="Arial" w:cs="Arial" w:eastAsia="Arial" w:hAnsi="Arial"/>
                <w:sz w:val="13"/>
                <w:szCs w:val="13"/>
                <w:b w:val="1"/>
                <w:bCs w:val="1"/>
                <w:color w:val="auto"/>
                <w:w w:val="92"/>
              </w:rPr>
              <w:t>(I.R.S. Employer</w:t>
            </w:r>
          </w:p>
        </w:tc>
        <w:tc>
          <w:tcPr>
            <w:tcW w:w="0" w:type="dxa"/>
            <w:vAlign w:val="bottom"/>
          </w:tcPr>
          <w:p>
            <w:pPr>
              <w:spacing w:after="0"/>
              <w:rPr>
                <w:sz w:val="1"/>
                <w:szCs w:val="1"/>
                <w:color w:val="auto"/>
              </w:rPr>
            </w:pPr>
          </w:p>
        </w:tc>
      </w:tr>
      <w:tr>
        <w:trPr>
          <w:trHeight w:val="164"/>
        </w:trPr>
        <w:tc>
          <w:tcPr>
            <w:tcW w:w="6840" w:type="dxa"/>
            <w:vAlign w:val="bottom"/>
            <w:gridSpan w:val="5"/>
          </w:tcPr>
          <w:p>
            <w:pPr>
              <w:jc w:val="center"/>
              <w:ind w:right="2420"/>
              <w:spacing w:after="0"/>
              <w:rPr>
                <w:sz w:val="20"/>
                <w:szCs w:val="20"/>
                <w:color w:val="auto"/>
              </w:rPr>
            </w:pPr>
            <w:r>
              <w:rPr>
                <w:rFonts w:ascii="Arial" w:cs="Arial" w:eastAsia="Arial" w:hAnsi="Arial"/>
                <w:sz w:val="13"/>
                <w:szCs w:val="13"/>
                <w:b w:val="1"/>
                <w:bCs w:val="1"/>
                <w:color w:val="auto"/>
                <w:w w:val="90"/>
              </w:rPr>
              <w:t>Incorporation or Organization)</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60" w:type="dxa"/>
            <w:vAlign w:val="bottom"/>
          </w:tcPr>
          <w:p>
            <w:pPr>
              <w:jc w:val="center"/>
              <w:ind w:right="652"/>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169"/>
        </w:trPr>
        <w:tc>
          <w:tcPr>
            <w:tcW w:w="6840" w:type="dxa"/>
            <w:vAlign w:val="bottom"/>
            <w:gridSpan w:val="5"/>
          </w:tcPr>
          <w:p>
            <w:pPr>
              <w:jc w:val="center"/>
              <w:ind w:right="2420"/>
              <w:spacing w:after="0"/>
              <w:rPr>
                <w:sz w:val="20"/>
                <w:szCs w:val="20"/>
                <w:color w:val="auto"/>
              </w:rPr>
            </w:pPr>
            <w:r>
              <w:rPr>
                <w:rFonts w:ascii="Arial" w:cs="Arial" w:eastAsia="Arial" w:hAnsi="Arial"/>
                <w:sz w:val="14"/>
                <w:szCs w:val="14"/>
                <w:b w:val="1"/>
                <w:bCs w:val="1"/>
                <w:color w:val="auto"/>
                <w:w w:val="93"/>
              </w:rPr>
              <w:t>1235 Radio Road, Suite 110</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40" w:type="dxa"/>
            <w:vAlign w:val="bottom"/>
            <w:gridSpan w:val="5"/>
          </w:tcPr>
          <w:p>
            <w:pPr>
              <w:jc w:val="center"/>
              <w:ind w:right="2420"/>
              <w:spacing w:after="0"/>
              <w:rPr>
                <w:sz w:val="20"/>
                <w:szCs w:val="20"/>
                <w:color w:val="auto"/>
              </w:rPr>
            </w:pPr>
            <w:r>
              <w:rPr>
                <w:rFonts w:ascii="Arial" w:cs="Arial" w:eastAsia="Arial" w:hAnsi="Arial"/>
                <w:sz w:val="14"/>
                <w:szCs w:val="14"/>
                <w:b w:val="1"/>
                <w:bCs w:val="1"/>
                <w:color w:val="auto"/>
                <w:w w:val="95"/>
              </w:rPr>
              <w:t>Redwood City, California</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60" w:type="dxa"/>
            <w:vAlign w:val="bottom"/>
          </w:tcPr>
          <w:p>
            <w:pPr>
              <w:jc w:val="right"/>
              <w:ind w:right="1052"/>
              <w:spacing w:after="0"/>
              <w:rPr>
                <w:sz w:val="20"/>
                <w:szCs w:val="20"/>
                <w:color w:val="auto"/>
              </w:rPr>
            </w:pPr>
            <w:r>
              <w:rPr>
                <w:rFonts w:ascii="Arial" w:cs="Arial" w:eastAsia="Arial" w:hAnsi="Arial"/>
                <w:sz w:val="14"/>
                <w:szCs w:val="14"/>
                <w:b w:val="1"/>
                <w:bCs w:val="1"/>
                <w:color w:val="auto"/>
              </w:rPr>
              <w:t>94065</w:t>
            </w:r>
          </w:p>
        </w:tc>
        <w:tc>
          <w:tcPr>
            <w:tcW w:w="0" w:type="dxa"/>
            <w:vAlign w:val="bottom"/>
          </w:tcPr>
          <w:p>
            <w:pPr>
              <w:spacing w:after="0"/>
              <w:rPr>
                <w:sz w:val="1"/>
                <w:szCs w:val="1"/>
                <w:color w:val="auto"/>
              </w:rPr>
            </w:pPr>
          </w:p>
        </w:tc>
      </w:tr>
      <w:tr>
        <w:trPr>
          <w:trHeight w:val="164"/>
        </w:trPr>
        <w:tc>
          <w:tcPr>
            <w:tcW w:w="6840" w:type="dxa"/>
            <w:vAlign w:val="bottom"/>
            <w:gridSpan w:val="5"/>
          </w:tcPr>
          <w:p>
            <w:pPr>
              <w:jc w:val="center"/>
              <w:ind w:right="2420"/>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60" w:type="dxa"/>
            <w:vAlign w:val="bottom"/>
          </w:tcPr>
          <w:p>
            <w:pPr>
              <w:jc w:val="center"/>
              <w:ind w:right="652"/>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193"/>
        </w:trPr>
        <w:tc>
          <w:tcPr>
            <w:tcW w:w="1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7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Registrant’s telephone number, including area code: (650) 213-8444</w:t>
            </w: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20" w:type="dxa"/>
            <w:vAlign w:val="bottom"/>
            <w:gridSpan w:val="4"/>
          </w:tcPr>
          <w:p>
            <w:pPr>
              <w:jc w:val="center"/>
              <w:ind w:left="546"/>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5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6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88"/>
              </w:rPr>
              <w:t>Title of Each Class:</w:t>
            </w:r>
          </w:p>
        </w:tc>
        <w:tc>
          <w:tcPr>
            <w:tcW w:w="4160" w:type="dxa"/>
            <w:vAlign w:val="bottom"/>
            <w:gridSpan w:val="3"/>
          </w:tcPr>
          <w:p>
            <w:pPr>
              <w:spacing w:after="0"/>
              <w:rPr>
                <w:sz w:val="12"/>
                <w:szCs w:val="12"/>
                <w:color w:val="auto"/>
              </w:rPr>
            </w:pPr>
          </w:p>
        </w:tc>
        <w:tc>
          <w:tcPr>
            <w:tcW w:w="2480" w:type="dxa"/>
            <w:vAlign w:val="bottom"/>
            <w:tcBorders>
              <w:bottom w:val="single" w:sz="8" w:color="auto"/>
            </w:tcBorders>
            <w:gridSpan w:val="3"/>
          </w:tcPr>
          <w:p>
            <w:pPr>
              <w:jc w:val="center"/>
              <w:spacing w:after="0" w:line="148" w:lineRule="exact"/>
              <w:rPr>
                <w:sz w:val="20"/>
                <w:szCs w:val="20"/>
                <w:color w:val="auto"/>
              </w:rPr>
            </w:pPr>
            <w:r>
              <w:rPr>
                <w:rFonts w:ascii="Arial" w:cs="Arial" w:eastAsia="Arial" w:hAnsi="Arial"/>
                <w:sz w:val="13"/>
                <w:szCs w:val="13"/>
                <w:b w:val="1"/>
                <w:bCs w:val="1"/>
                <w:color w:val="auto"/>
                <w:w w:val="86"/>
              </w:rPr>
              <w:t>Name of Each Exchange on which Registered:</w:t>
            </w:r>
          </w:p>
        </w:tc>
        <w:tc>
          <w:tcPr>
            <w:tcW w:w="0" w:type="dxa"/>
            <w:vAlign w:val="bottom"/>
          </w:tcPr>
          <w:p>
            <w:pPr>
              <w:spacing w:after="0"/>
              <w:rPr>
                <w:sz w:val="1"/>
                <w:szCs w:val="1"/>
                <w:color w:val="auto"/>
              </w:rPr>
            </w:pPr>
          </w:p>
        </w:tc>
      </w:tr>
      <w:tr>
        <w:trPr>
          <w:trHeight w:val="119"/>
        </w:trPr>
        <w:tc>
          <w:tcPr>
            <w:tcW w:w="6840" w:type="dxa"/>
            <w:vAlign w:val="bottom"/>
            <w:gridSpan w:val="5"/>
          </w:tcPr>
          <w:p>
            <w:pPr>
              <w:jc w:val="center"/>
              <w:ind w:right="2540"/>
              <w:spacing w:after="0" w:line="119" w:lineRule="exact"/>
              <w:rPr>
                <w:sz w:val="20"/>
                <w:szCs w:val="20"/>
                <w:color w:val="auto"/>
              </w:rPr>
            </w:pPr>
            <w:r>
              <w:rPr>
                <w:rFonts w:ascii="Arial" w:cs="Arial" w:eastAsia="Arial" w:hAnsi="Arial"/>
                <w:sz w:val="13"/>
                <w:szCs w:val="13"/>
                <w:b w:val="1"/>
                <w:bCs w:val="1"/>
                <w:color w:val="auto"/>
              </w:rPr>
              <w:t>Common Stock, par value $0.001 per share</w:t>
            </w:r>
          </w:p>
        </w:tc>
        <w:tc>
          <w:tcPr>
            <w:tcW w:w="60" w:type="dxa"/>
            <w:vAlign w:val="bottom"/>
          </w:tcPr>
          <w:p>
            <w:pPr>
              <w:spacing w:after="0"/>
              <w:rPr>
                <w:sz w:val="10"/>
                <w:szCs w:val="10"/>
                <w:color w:val="auto"/>
              </w:rPr>
            </w:pPr>
          </w:p>
        </w:tc>
        <w:tc>
          <w:tcPr>
            <w:tcW w:w="24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The NASDAQ Capital Market</w:t>
            </w:r>
          </w:p>
        </w:tc>
        <w:tc>
          <w:tcPr>
            <w:tcW w:w="0" w:type="dxa"/>
            <w:vAlign w:val="bottom"/>
          </w:tcPr>
          <w:p>
            <w:pPr>
              <w:spacing w:after="0"/>
              <w:rPr>
                <w:sz w:val="1"/>
                <w:szCs w:val="1"/>
                <w:color w:val="auto"/>
              </w:rPr>
            </w:pPr>
          </w:p>
        </w:tc>
      </w:tr>
      <w:tr>
        <w:trPr>
          <w:trHeight w:val="186"/>
        </w:trPr>
        <w:tc>
          <w:tcPr>
            <w:tcW w:w="6840" w:type="dxa"/>
            <w:vAlign w:val="bottom"/>
            <w:gridSpan w:val="5"/>
          </w:tcPr>
          <w:p>
            <w:pPr>
              <w:jc w:val="center"/>
              <w:ind w:right="2540"/>
              <w:spacing w:after="0"/>
              <w:rPr>
                <w:sz w:val="20"/>
                <w:szCs w:val="20"/>
                <w:color w:val="auto"/>
              </w:rPr>
            </w:pPr>
            <w:r>
              <w:rPr>
                <w:rFonts w:ascii="Arial" w:cs="Arial" w:eastAsia="Arial" w:hAnsi="Arial"/>
                <w:sz w:val="14"/>
                <w:szCs w:val="14"/>
                <w:b w:val="1"/>
                <w:bCs w:val="1"/>
                <w:color w:val="auto"/>
                <w:w w:val="91"/>
              </w:rPr>
              <w:t>Series A warrants to purchase Common Stock</w:t>
            </w:r>
          </w:p>
        </w:tc>
        <w:tc>
          <w:tcPr>
            <w:tcW w:w="60" w:type="dxa"/>
            <w:vAlign w:val="bottom"/>
          </w:tcPr>
          <w:p>
            <w:pPr>
              <w:spacing w:after="0"/>
              <w:rPr>
                <w:sz w:val="16"/>
                <w:szCs w:val="16"/>
                <w:color w:val="auto"/>
              </w:rPr>
            </w:pPr>
          </w:p>
        </w:tc>
        <w:tc>
          <w:tcPr>
            <w:tcW w:w="2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The NASDAQ Capital Market</w:t>
            </w: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780" w:type="dxa"/>
            <w:vAlign w:val="bottom"/>
            <w:gridSpan w:val="5"/>
          </w:tcPr>
          <w:p>
            <w:pPr>
              <w:jc w:val="center"/>
              <w:ind w:left="6"/>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16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186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18"/>
        </w:trPr>
        <w:tc>
          <w:tcPr>
            <w:tcW w:w="6840" w:type="dxa"/>
            <w:vAlign w:val="bottom"/>
            <w:gridSpan w:val="5"/>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900" w:type="dxa"/>
            <w:vAlign w:val="bottom"/>
            <w:gridSpan w:val="6"/>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560" w:type="dxa"/>
            <w:vAlign w:val="bottom"/>
          </w:tcPr>
          <w:p>
            <w:pPr>
              <w:ind w:left="1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186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200" w:firstLine="598"/>
        <w:spacing w:after="0" w:line="17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140" w:firstLine="598"/>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229.405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60" w:firstLine="598"/>
        <w:spacing w:after="0" w:line="176"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5" w:lineRule="exact"/>
        <w:rPr>
          <w:sz w:val="24"/>
          <w:szCs w:val="24"/>
          <w:color w:val="auto"/>
        </w:rPr>
      </w:pPr>
    </w:p>
    <w:p>
      <w:pPr>
        <w:ind w:right="40" w:firstLine="598"/>
        <w:spacing w:after="0" w:line="25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9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0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980" w:type="dxa"/>
            <w:vAlign w:val="bottom"/>
          </w:tcPr>
          <w:p>
            <w:pPr>
              <w:ind w:left="294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1940" w:type="dxa"/>
            <w:vAlign w:val="bottom"/>
          </w:tcPr>
          <w:p>
            <w:pPr>
              <w:spacing w:after="0"/>
              <w:rPr>
                <w:sz w:val="20"/>
                <w:szCs w:val="20"/>
                <w:color w:val="auto"/>
              </w:rPr>
            </w:pPr>
            <w:r>
              <w:rPr>
                <w:rFonts w:ascii="Arial" w:cs="Arial" w:eastAsia="Arial" w:hAnsi="Arial"/>
                <w:sz w:val="14"/>
                <w:szCs w:val="14"/>
                <w:color w:val="auto"/>
              </w:rPr>
              <w:t>Non-accelerated filer</w:t>
            </w:r>
          </w:p>
        </w:tc>
        <w:tc>
          <w:tcPr>
            <w:tcW w:w="370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980" w:type="dxa"/>
            <w:vAlign w:val="bottom"/>
          </w:tcPr>
          <w:p>
            <w:pPr>
              <w:ind w:left="294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9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4980" w:type="dxa"/>
            <w:vAlign w:val="bottom"/>
          </w:tcPr>
          <w:p>
            <w:pPr>
              <w:ind w:left="294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 w:lineRule="exact"/>
        <w:rPr>
          <w:sz w:val="24"/>
          <w:szCs w:val="24"/>
          <w:color w:val="auto"/>
        </w:rPr>
      </w:pPr>
    </w:p>
    <w:p>
      <w:pPr>
        <w:ind w:right="140" w:firstLine="59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600"/>
        <w:spacing w:after="0" w:line="161" w:lineRule="exact"/>
        <w:tabs>
          <w:tab w:leader="none" w:pos="6660" w:val="left"/>
          <w:tab w:leader="none" w:pos="72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5" w:lineRule="exact"/>
        <w:rPr>
          <w:sz w:val="24"/>
          <w:szCs w:val="24"/>
          <w:color w:val="auto"/>
        </w:rPr>
      </w:pPr>
    </w:p>
    <w:p>
      <w:pPr>
        <w:ind w:firstLine="598"/>
        <w:spacing w:after="0" w:line="233" w:lineRule="auto"/>
        <w:rPr>
          <w:sz w:val="20"/>
          <w:szCs w:val="20"/>
          <w:color w:val="auto"/>
        </w:rPr>
      </w:pPr>
      <w:r>
        <w:rPr>
          <w:rFonts w:ascii="Arial" w:cs="Arial" w:eastAsia="Arial" w:hAnsi="Arial"/>
          <w:sz w:val="14"/>
          <w:szCs w:val="14"/>
          <w:color w:val="auto"/>
        </w:rPr>
        <w:t>The aggregate market value of voting stock held by non-affiliates of the registrant on June 30, 2018, based on the closing price of $2.34 for shares of the registrant’s common stock as reported by the NASDAQ Capital Market, was approximately $27.6 million. Shares of Common Stock held by each executive officer, director and beneficial holder of 5% or more of the outstanding Common Stock have been excluded in that such persons may be deemed affiliates.</w:t>
      </w:r>
    </w:p>
    <w:p>
      <w:pPr>
        <w:spacing w:after="0" w:line="8" w:lineRule="exact"/>
        <w:rPr>
          <w:sz w:val="24"/>
          <w:szCs w:val="24"/>
          <w:color w:val="auto"/>
        </w:rPr>
      </w:pPr>
    </w:p>
    <w:p>
      <w:pPr>
        <w:ind w:left="600"/>
        <w:spacing w:after="0"/>
        <w:rPr>
          <w:sz w:val="20"/>
          <w:szCs w:val="20"/>
          <w:color w:val="auto"/>
        </w:rPr>
      </w:pPr>
      <w:r>
        <w:rPr>
          <w:rFonts w:ascii="Arial" w:cs="Arial" w:eastAsia="Arial" w:hAnsi="Arial"/>
          <w:sz w:val="14"/>
          <w:szCs w:val="14"/>
          <w:color w:val="auto"/>
        </w:rPr>
        <w:t>As of March 6, 2019 there were 31,755,169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46990</wp:posOffset>
            </wp:positionV>
            <wp:extent cx="13633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72"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32" w:lineRule="exact"/>
        <w:rPr>
          <w:sz w:val="24"/>
          <w:szCs w:val="24"/>
          <w:color w:val="auto"/>
        </w:rPr>
      </w:pPr>
    </w:p>
    <w:p>
      <w:pPr>
        <w:ind w:right="280" w:firstLine="598"/>
        <w:spacing w:after="0" w:line="234" w:lineRule="auto"/>
        <w:rPr>
          <w:sz w:val="20"/>
          <w:szCs w:val="20"/>
          <w:color w:val="auto"/>
        </w:rPr>
      </w:pPr>
      <w:r>
        <w:rPr>
          <w:rFonts w:ascii="Arial" w:cs="Arial" w:eastAsia="Arial" w:hAnsi="Arial"/>
          <w:sz w:val="14"/>
          <w:szCs w:val="14"/>
          <w:color w:val="auto"/>
        </w:rPr>
        <w:t>Portions of the registrant’s Definitive Proxy Statement to be filed with the Commission pursuant to Regulation 14A in connection with the registrant’s 2019 Annual Meeting of Stockholders, to be filed subsequent to the date hereof, are incorporated by reference into Part III of this Report. Such Definitive Proxy Statement will be filed with the Securities and Exchange Commission not later than 120 days after the conclusion of the registrant’s fiscal year ended December 31, 2018. Except with respect to information specifically incorporated by reference in this Form 10-K, the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252095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720" w:type="dxa"/>
            <w:vAlign w:val="bottom"/>
            <w:gridSpan w:val="16"/>
          </w:tcPr>
          <w:p>
            <w:pPr>
              <w:jc w:val="center"/>
              <w:ind w:right="3260"/>
              <w:spacing w:after="0"/>
              <w:rPr>
                <w:sz w:val="20"/>
                <w:szCs w:val="20"/>
                <w:color w:val="auto"/>
              </w:rPr>
            </w:pPr>
            <w:r>
              <w:rPr>
                <w:rFonts w:ascii="Arial" w:cs="Arial" w:eastAsia="Arial" w:hAnsi="Arial"/>
                <w:sz w:val="18"/>
                <w:szCs w:val="18"/>
                <w:b w:val="1"/>
                <w:bCs w:val="1"/>
                <w:color w:val="auto"/>
                <w:w w:val="88"/>
              </w:rPr>
              <w:t>Soleno Therapeutics, Inc.</w:t>
            </w:r>
          </w:p>
        </w:tc>
        <w:tc>
          <w:tcPr>
            <w:tcW w:w="12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720" w:type="dxa"/>
            <w:vAlign w:val="bottom"/>
            <w:gridSpan w:val="16"/>
          </w:tcPr>
          <w:p>
            <w:pPr>
              <w:jc w:val="center"/>
              <w:ind w:right="3260"/>
              <w:spacing w:after="0"/>
              <w:rPr>
                <w:sz w:val="20"/>
                <w:szCs w:val="20"/>
                <w:color w:val="auto"/>
              </w:rPr>
            </w:pPr>
            <w:r>
              <w:rPr>
                <w:rFonts w:ascii="Arial" w:cs="Arial" w:eastAsia="Arial" w:hAnsi="Arial"/>
                <w:sz w:val="18"/>
                <w:szCs w:val="18"/>
                <w:b w:val="1"/>
                <w:bCs w:val="1"/>
                <w:color w:val="auto"/>
                <w:w w:val="93"/>
              </w:rPr>
              <w:t>Annual Report on Form 10-K</w:t>
            </w:r>
          </w:p>
        </w:tc>
        <w:tc>
          <w:tcPr>
            <w:tcW w:w="124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140" w:type="dxa"/>
            <w:vAlign w:val="bottom"/>
            <w:gridSpan w:val="17"/>
          </w:tcPr>
          <w:p>
            <w:pPr>
              <w:jc w:val="center"/>
              <w:ind w:right="2840"/>
              <w:spacing w:after="0"/>
              <w:rPr>
                <w:sz w:val="20"/>
                <w:szCs w:val="20"/>
                <w:color w:val="auto"/>
              </w:rPr>
            </w:pPr>
            <w:r>
              <w:rPr>
                <w:rFonts w:ascii="Arial" w:cs="Arial" w:eastAsia="Arial" w:hAnsi="Arial"/>
                <w:sz w:val="18"/>
                <w:szCs w:val="18"/>
                <w:b w:val="1"/>
                <w:bCs w:val="1"/>
                <w:color w:val="auto"/>
                <w:w w:val="90"/>
              </w:rPr>
              <w:t>For the Year Ended December 31, 2018</w:t>
            </w:r>
          </w:p>
        </w:tc>
        <w:tc>
          <w:tcPr>
            <w:tcW w:w="124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13"/>
          </w:tcPr>
          <w:p>
            <w:pPr>
              <w:jc w:val="center"/>
              <w:ind w:right="4200"/>
              <w:spacing w:after="0"/>
              <w:rPr>
                <w:sz w:val="20"/>
                <w:szCs w:val="20"/>
                <w:color w:val="auto"/>
              </w:rPr>
            </w:pPr>
            <w:r>
              <w:rPr>
                <w:rFonts w:ascii="Arial" w:cs="Arial" w:eastAsia="Arial" w:hAnsi="Arial"/>
                <w:sz w:val="18"/>
                <w:szCs w:val="18"/>
                <w:b w:val="1"/>
                <w:bCs w:val="1"/>
                <w:color w:val="auto"/>
              </w:rPr>
              <w:t>INDEX</w:t>
            </w:r>
          </w:p>
        </w:tc>
        <w:tc>
          <w:tcPr>
            <w:tcW w:w="1240" w:type="dxa"/>
            <w:vAlign w:val="bottom"/>
          </w:tcPr>
          <w:p>
            <w:pPr>
              <w:spacing w:after="0"/>
              <w:rPr>
                <w:sz w:val="24"/>
                <w:szCs w:val="24"/>
                <w:color w:val="auto"/>
              </w:rPr>
            </w:pPr>
          </w:p>
        </w:tc>
      </w:tr>
      <w:tr>
        <w:trPr>
          <w:trHeight w:val="419"/>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11"/>
          </w:tcPr>
          <w:p>
            <w:pPr>
              <w:jc w:val="center"/>
              <w:ind w:right="41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1240" w:type="dxa"/>
            <w:vAlign w:val="bottom"/>
          </w:tcPr>
          <w:p>
            <w:pPr>
              <w:spacing w:after="0"/>
              <w:rPr>
                <w:sz w:val="24"/>
                <w:szCs w:val="24"/>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3660" w:type="dxa"/>
            <w:vAlign w:val="bottom"/>
            <w:gridSpan w:val="16"/>
          </w:tcPr>
          <w:p>
            <w:pPr>
              <w:spacing w:after="0"/>
              <w:rPr>
                <w:sz w:val="17"/>
                <w:szCs w:val="17"/>
                <w:color w:val="auto"/>
              </w:rPr>
            </w:pPr>
          </w:p>
        </w:tc>
        <w:tc>
          <w:tcPr>
            <w:tcW w:w="580" w:type="dxa"/>
            <w:vAlign w:val="bottom"/>
            <w:tcBorders>
              <w:top w:val="single" w:sz="8" w:color="0000EE"/>
            </w:tcBorders>
            <w:gridSpan w:val="2"/>
          </w:tcPr>
          <w:p>
            <w:pPr>
              <w:spacing w:after="0"/>
              <w:rPr>
                <w:sz w:val="17"/>
                <w:szCs w:val="17"/>
                <w:color w:val="auto"/>
              </w:rPr>
            </w:pPr>
          </w:p>
        </w:tc>
        <w:tc>
          <w:tcPr>
            <w:tcW w:w="4160" w:type="dxa"/>
            <w:vAlign w:val="bottom"/>
            <w:gridSpan w:val="9"/>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40" w:type="dxa"/>
            <w:vAlign w:val="bottom"/>
            <w:gridSpan w:val="28"/>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9040" w:type="dxa"/>
            <w:vAlign w:val="bottom"/>
            <w:gridSpan w:val="2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Unresolved Staff Comments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Properties</w:t>
              </w:r>
            </w:hyperlink>
          </w:p>
        </w:tc>
        <w:tc>
          <w:tcPr>
            <w:tcW w:w="7000" w:type="dxa"/>
            <w:vAlign w:val="bottom"/>
            <w:gridSpan w:val="19"/>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53">
              <w:r>
                <w:rPr>
                  <w:rFonts w:ascii="Arial" w:cs="Arial" w:eastAsia="Arial" w:hAnsi="Arial"/>
                  <w:sz w:val="18"/>
                  <w:szCs w:val="18"/>
                  <w:color w:val="0000EE"/>
                  <w:w w:val="88"/>
                </w:rPr>
                <w:t>Legal Proceedings</w:t>
              </w:r>
            </w:hyperlink>
          </w:p>
        </w:tc>
        <w:tc>
          <w:tcPr>
            <w:tcW w:w="7700" w:type="dxa"/>
            <w:vAlign w:val="bottom"/>
            <w:gridSpan w:val="23"/>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040" w:type="dxa"/>
            <w:vAlign w:val="bottom"/>
            <w:gridSpan w:val="2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Mine Safety Disclosures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8"/>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60" w:type="dxa"/>
            <w:vAlign w:val="bottom"/>
            <w:gridSpan w:val="12"/>
          </w:tcPr>
          <w:p>
            <w:pPr>
              <w:jc w:val="center"/>
              <w:ind w:right="4120"/>
              <w:spacing w:after="0"/>
              <w:rPr>
                <w:rFonts w:ascii="Arial" w:cs="Arial" w:eastAsia="Arial" w:hAnsi="Arial"/>
                <w:sz w:val="18"/>
                <w:szCs w:val="18"/>
                <w:b w:val="1"/>
                <w:bCs w:val="1"/>
                <w:color w:val="0000EE"/>
                <w:w w:val="99"/>
              </w:rPr>
            </w:pPr>
            <w:hyperlink w:anchor="page54">
              <w:r>
                <w:rPr>
                  <w:rFonts w:ascii="Arial" w:cs="Arial" w:eastAsia="Arial" w:hAnsi="Arial"/>
                  <w:sz w:val="18"/>
                  <w:szCs w:val="18"/>
                  <w:b w:val="1"/>
                  <w:bCs w:val="1"/>
                  <w:color w:val="0000EE"/>
                  <w:w w:val="99"/>
                </w:rPr>
                <w:t>PART II</w:t>
              </w:r>
            </w:hyperlink>
          </w:p>
        </w:tc>
        <w:tc>
          <w:tcPr>
            <w:tcW w:w="124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Market for Registrant’s Common Equity, Related Stockholder Matters and Issuer Purchases of Equity Securities</w:t>
              </w:r>
            </w:hyperlink>
          </w:p>
        </w:tc>
        <w:tc>
          <w:tcPr>
            <w:tcW w:w="9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040" w:type="dxa"/>
            <w:vAlign w:val="bottom"/>
            <w:gridSpan w:val="28"/>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Selected Financial Data</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7</w:t>
            </w:r>
          </w:p>
        </w:tc>
        <w:tc>
          <w:tcPr>
            <w:tcW w:w="9040" w:type="dxa"/>
            <w:vAlign w:val="bottom"/>
            <w:gridSpan w:val="28"/>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Management’s Discussion and Analysis of Financial Condition and Results of Operation</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2"/>
              </w:rPr>
            </w:pPr>
            <w:hyperlink w:anchor="page68">
              <w:r>
                <w:rPr>
                  <w:rFonts w:ascii="Arial" w:cs="Arial" w:eastAsia="Arial" w:hAnsi="Arial"/>
                  <w:sz w:val="18"/>
                  <w:szCs w:val="18"/>
                  <w:color w:val="0000EE"/>
                  <w:w w:val="92"/>
                </w:rPr>
                <w:t>Quantitative and Qualitative Disclosures About Market Risk</w:t>
              </w:r>
            </w:hyperlink>
          </w:p>
        </w:tc>
        <w:tc>
          <w:tcPr>
            <w:tcW w:w="2020" w:type="dxa"/>
            <w:vAlign w:val="bottom"/>
            <w:tcBorders>
              <w:top w:val="single" w:sz="8" w:color="0000EE"/>
            </w:tcBorders>
            <w:gridSpan w:val="6"/>
          </w:tcPr>
          <w:p>
            <w:pPr>
              <w:spacing w:after="0"/>
              <w:rPr>
                <w:sz w:val="24"/>
                <w:szCs w:val="24"/>
                <w:color w:val="auto"/>
              </w:rPr>
            </w:pPr>
          </w:p>
        </w:tc>
        <w:tc>
          <w:tcPr>
            <w:tcW w:w="2660" w:type="dxa"/>
            <w:vAlign w:val="bottom"/>
            <w:gridSpan w:val="4"/>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8</w:t>
            </w:r>
          </w:p>
        </w:tc>
        <w:tc>
          <w:tcPr>
            <w:tcW w:w="9040" w:type="dxa"/>
            <w:vAlign w:val="bottom"/>
            <w:gridSpan w:val="2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Financial Statements and Supplementary Data</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104">
              <w:r>
                <w:rPr>
                  <w:rFonts w:ascii="Arial" w:cs="Arial" w:eastAsia="Arial" w:hAnsi="Arial"/>
                  <w:sz w:val="18"/>
                  <w:szCs w:val="18"/>
                  <w:color w:val="0000EE"/>
                  <w:w w:val="90"/>
                </w:rPr>
                <w:t>Changes in and Disagreements with Accountants on Accounting and Financial Disclosure</w:t>
              </w:r>
            </w:hyperlink>
          </w:p>
        </w:tc>
        <w:tc>
          <w:tcPr>
            <w:tcW w:w="2560" w:type="dxa"/>
            <w:vAlign w:val="bottom"/>
            <w:gridSpan w:val="3"/>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9040" w:type="dxa"/>
            <w:vAlign w:val="bottom"/>
            <w:gridSpan w:val="28"/>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Controls and Procedures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Other Information</w:t>
              </w:r>
            </w:hyperlink>
          </w:p>
        </w:tc>
        <w:tc>
          <w:tcPr>
            <w:tcW w:w="7280" w:type="dxa"/>
            <w:vAlign w:val="bottom"/>
            <w:gridSpan w:val="21"/>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18"/>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940" w:type="dxa"/>
            <w:vAlign w:val="bottom"/>
            <w:gridSpan w:val="15"/>
          </w:tcPr>
          <w:p>
            <w:pPr>
              <w:jc w:val="center"/>
              <w:ind w:right="3940"/>
              <w:spacing w:after="0"/>
              <w:rPr>
                <w:rFonts w:ascii="Arial" w:cs="Arial" w:eastAsia="Arial" w:hAnsi="Arial"/>
                <w:sz w:val="18"/>
                <w:szCs w:val="18"/>
                <w:b w:val="1"/>
                <w:bCs w:val="1"/>
                <w:color w:val="0000EE"/>
              </w:rPr>
            </w:pPr>
            <w:hyperlink w:anchor="page105">
              <w:r>
                <w:rPr>
                  <w:rFonts w:ascii="Arial" w:cs="Arial" w:eastAsia="Arial" w:hAnsi="Arial"/>
                  <w:sz w:val="18"/>
                  <w:szCs w:val="18"/>
                  <w:b w:val="1"/>
                  <w:bCs w:val="1"/>
                  <w:color w:val="0000EE"/>
                </w:rPr>
                <w:t>PART III</w:t>
              </w:r>
            </w:hyperlink>
          </w:p>
        </w:tc>
        <w:tc>
          <w:tcPr>
            <w:tcW w:w="1240" w:type="dxa"/>
            <w:vAlign w:val="bottom"/>
          </w:tcPr>
          <w:p>
            <w:pPr>
              <w:spacing w:after="0"/>
              <w:rPr>
                <w:sz w:val="24"/>
                <w:szCs w:val="24"/>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05">
              <w:r>
                <w:rPr>
                  <w:rFonts w:ascii="Arial" w:cs="Arial" w:eastAsia="Arial" w:hAnsi="Arial"/>
                  <w:sz w:val="18"/>
                  <w:szCs w:val="18"/>
                  <w:color w:val="0000EE"/>
                  <w:w w:val="90"/>
                </w:rPr>
                <w:t>Directors, Executive Officers and Corporate Governance</w:t>
              </w:r>
            </w:hyperlink>
          </w:p>
        </w:tc>
        <w:tc>
          <w:tcPr>
            <w:tcW w:w="140" w:type="dxa"/>
            <w:vAlign w:val="bottom"/>
          </w:tcPr>
          <w:p>
            <w:pPr>
              <w:spacing w:after="0"/>
              <w:rPr>
                <w:sz w:val="24"/>
                <w:szCs w:val="24"/>
                <w:color w:val="auto"/>
              </w:rPr>
            </w:pPr>
          </w:p>
        </w:tc>
        <w:tc>
          <w:tcPr>
            <w:tcW w:w="740" w:type="dxa"/>
            <w:vAlign w:val="bottom"/>
            <w:tcBorders>
              <w:top w:val="single" w:sz="8" w:color="0000EE"/>
            </w:tcBorders>
            <w:gridSpan w:val="8"/>
          </w:tcPr>
          <w:p>
            <w:pPr>
              <w:spacing w:after="0"/>
              <w:rPr>
                <w:sz w:val="24"/>
                <w:szCs w:val="24"/>
                <w:color w:val="auto"/>
              </w:rPr>
            </w:pPr>
          </w:p>
        </w:tc>
        <w:tc>
          <w:tcPr>
            <w:tcW w:w="4060" w:type="dxa"/>
            <w:vAlign w:val="bottom"/>
            <w:gridSpan w:val="6"/>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9040" w:type="dxa"/>
            <w:vAlign w:val="bottom"/>
            <w:gridSpan w:val="28"/>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Executive Compensation</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9040" w:type="dxa"/>
            <w:vAlign w:val="bottom"/>
            <w:gridSpan w:val="28"/>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Security Ownership of Certain Beneficial Owners and Management and Related Stockholder Matters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6"/>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Certain Relationships and Related Transactions, and Director Independence</w:t>
              </w:r>
            </w:hyperlink>
          </w:p>
        </w:tc>
        <w:tc>
          <w:tcPr>
            <w:tcW w:w="1760" w:type="dxa"/>
            <w:vAlign w:val="bottom"/>
            <w:gridSpan w:val="2"/>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3"/>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Principal Accounting Fees and Services</w:t>
              </w:r>
            </w:hyperlink>
          </w:p>
        </w:tc>
        <w:tc>
          <w:tcPr>
            <w:tcW w:w="3600" w:type="dxa"/>
            <w:vAlign w:val="bottom"/>
            <w:gridSpan w:val="5"/>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12"/>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0" w:type="dxa"/>
            <w:vAlign w:val="bottom"/>
            <w:gridSpan w:val="14"/>
          </w:tcPr>
          <w:p>
            <w:pPr>
              <w:jc w:val="center"/>
              <w:ind w:right="4080"/>
              <w:spacing w:after="0"/>
              <w:rPr>
                <w:rFonts w:ascii="Arial" w:cs="Arial" w:eastAsia="Arial" w:hAnsi="Arial"/>
                <w:sz w:val="18"/>
                <w:szCs w:val="18"/>
                <w:b w:val="1"/>
                <w:bCs w:val="1"/>
                <w:color w:val="0000EE"/>
              </w:rPr>
            </w:pPr>
            <w:hyperlink w:anchor="page106">
              <w:r>
                <w:rPr>
                  <w:rFonts w:ascii="Arial" w:cs="Arial" w:eastAsia="Arial" w:hAnsi="Arial"/>
                  <w:sz w:val="18"/>
                  <w:szCs w:val="18"/>
                  <w:b w:val="1"/>
                  <w:bCs w:val="1"/>
                  <w:color w:val="0000EE"/>
                </w:rPr>
                <w:t>PART IV</w:t>
              </w:r>
            </w:hyperlink>
          </w:p>
        </w:tc>
        <w:tc>
          <w:tcPr>
            <w:tcW w:w="1240" w:type="dxa"/>
            <w:vAlign w:val="bottom"/>
          </w:tcPr>
          <w:p>
            <w:pPr>
              <w:spacing w:after="0"/>
              <w:rPr>
                <w:sz w:val="24"/>
                <w:szCs w:val="24"/>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4260" w:type="dxa"/>
            <w:vAlign w:val="bottom"/>
            <w:gridSpan w:val="15"/>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Exhibits, Financial Statement Schedules</w:t>
              </w:r>
            </w:hyperlink>
          </w:p>
        </w:tc>
        <w:tc>
          <w:tcPr>
            <w:tcW w:w="700" w:type="dxa"/>
            <w:vAlign w:val="bottom"/>
            <w:tcBorders>
              <w:top w:val="single" w:sz="8" w:color="0000EE"/>
            </w:tcBorders>
            <w:gridSpan w:val="6"/>
          </w:tcPr>
          <w:p>
            <w:pPr>
              <w:spacing w:after="0"/>
              <w:rPr>
                <w:sz w:val="24"/>
                <w:szCs w:val="24"/>
                <w:color w:val="auto"/>
              </w:rPr>
            </w:pPr>
          </w:p>
        </w:tc>
        <w:tc>
          <w:tcPr>
            <w:tcW w:w="4080" w:type="dxa"/>
            <w:vAlign w:val="bottom"/>
            <w:gridSpan w:val="7"/>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18"/>
        </w:trPr>
        <w:tc>
          <w:tcPr>
            <w:tcW w:w="1160" w:type="dxa"/>
            <w:vAlign w:val="bottom"/>
            <w:gridSpan w:val="2"/>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1000"/>
        </w:trPr>
        <w:tc>
          <w:tcPr>
            <w:tcW w:w="760" w:type="dxa"/>
            <w:vAlign w:val="bottom"/>
            <w:tcBorders>
              <w:top w:val="single" w:sz="8" w:color="0000EE"/>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598"/>
        <w:spacing w:after="0" w:line="267" w:lineRule="auto"/>
        <w:rPr>
          <w:sz w:val="20"/>
          <w:szCs w:val="20"/>
          <w:color w:val="auto"/>
        </w:rPr>
      </w:pPr>
      <w:r>
        <w:rPr>
          <w:rFonts w:ascii="Arial" w:cs="Arial" w:eastAsia="Arial" w:hAnsi="Arial"/>
          <w:sz w:val="17"/>
          <w:szCs w:val="17"/>
          <w:color w:val="auto"/>
        </w:rPr>
        <w:t>The following discussion and analysis should be read in conjunction with our audited consolidated financial statements and the related notes that appear elsewhere in this Annual Report on Form 10-K. This Annual Report on Form 10-K contains “forward-looking statements” within the meaning of Section 21E of the Securities Exchange Act of 1934, as amended, or the Exchange Act, particularly in Part I, Item 1: “Business,” Part I, Item 1A: “Risk Factors” and Part 2, Item 7: “Management’s Discussion and Analysis of Financial Condition and Results of Operations.” These statements are often identified by the use of words such as “may,” “will,” “expect,” “believe,” “anticipate,” “intend,” “could,” “should,” “estimate,” “plan” or “continue,” and similar expressions or variations. All statements other than statements of historical fact could be deemed forward-looking, including, but not limited to: any projections of financial information; any statements about historical results that may suggest trends for our business; any statements of the plans, strategies, and objectives of management for future operations; any statements of expectation or belief regarding future events, technology developments, our products, product sales, the regulatory regime for our products, expenses, liquidity, cash flow, market growth rates or enforceability of our intellectual property rights and related litigation expenses; and any statements of assumptions underlying any of the foregoing. Such forward-looking statements are subject to risks, uncertainties and other factors that could cause actual results and the timing of certain events to differ materially from future results expressed or implied by such forward-looking statements. Accordingly, we caution you not to place undue reliance on these statements. Particular uncertainties that could affect future results include: our ability to achieve or maintain profitability; our ability to obtain substantial additional capital that may be necessary to expand our business; our ability to maintain internal control over financial reporting; our dependence on, and need to attract and retain, key management and other personnel; our ability to obtain, protect and enforce our intellectual property rights; potential advantages that our competitors and potential competitors may have in securing funding or developing products; business interruptions such as earthquakes and other natural disasters; our ability to comply with laws and regulations; potential product liability claims; and our ability to use our net operating loss carryforwards to offset future taxable income. For a discussion of some of the factors that could cause actual results to differ materially from our forward-looking statements, see the discussion on risk factors that appear in Part I, Item 1A: “Risk Factors” of this Annual Report on Form 10-K and other risks and uncertainties detailed in this and our other reports and filings with the Securities and Exchange Commission, or SEC. The forward-looking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We were incorporated in the State of Delaware on August 25, 1999, and are located in Redwood City, California. On May 8, 2017, we received stockholder approval to amend our Amended and Restated Certificate of Incorporation to change our name from “Capnia, Inc.” to “Soleno Therapeutics, Inc.” We initially established our operations as a diversified healthcare company that developed and commercialized innovative diagnostics, devices and therapeutics addressing unmet medical needs, which consisted of: precision metering of gas flow technology marketed as Serenz® Allergy Relief, or Serenz; the CoSense® End-Tidal Carbon Monoxide (ETCO) Monitor, or CoSense, which measures ETCO and aids in the detection of excessive hemolysis, a condition in which red blood cells degrade rapidly and which can lead to adverse neurological outcomes; and, products that included temperature probes, scales, surgical tables, and patient surfaces.</w:t>
      </w:r>
    </w:p>
    <w:p>
      <w:pPr>
        <w:spacing w:after="0" w:line="189" w:lineRule="exact"/>
        <w:rPr>
          <w:sz w:val="20"/>
          <w:szCs w:val="20"/>
          <w:color w:val="auto"/>
        </w:rPr>
      </w:pPr>
    </w:p>
    <w:p>
      <w:pPr>
        <w:ind w:right="80" w:firstLine="598"/>
        <w:spacing w:after="0" w:line="270" w:lineRule="auto"/>
        <w:rPr>
          <w:sz w:val="20"/>
          <w:szCs w:val="20"/>
          <w:color w:val="auto"/>
        </w:rPr>
      </w:pPr>
      <w:r>
        <w:rPr>
          <w:rFonts w:ascii="Arial" w:cs="Arial" w:eastAsia="Arial" w:hAnsi="Arial"/>
          <w:sz w:val="17"/>
          <w:szCs w:val="17"/>
          <w:color w:val="auto"/>
        </w:rPr>
        <w:t>On March 7, 2017, we completed our merger, or the Merger, with Essentialis, Inc., a Delaware corporation, or Essentialis, in accordance with the Merger Agreement by and between Soleno Therapeutics and Essentialis dated December 22, 2016, or the Merger Agreement. After the Merger, our primary focus has been the development and commercialization of novel therapeutics for the treatment of rare diseases. Essentialis was a privately held, clinical stage biotechnology company focused on the development of breakthrough medicines for the treatment of rare diseases where there is increased mortality and risk of cardiovascular and endocrine complications. Prior to the Merger, Essentialis’s efforts were focused primarily on developing and testing product candidates that target the ATP-sensitive potassium channel, a metabolically regulated membrane protein whose modulation has the potential to impact a wide range of rare metabolic, cardiovascular, and CNS diseases. Essentialis has tested Diazoxide Choline Controlled Release tablets, or DCCR, as a treatment for Prader-Willi Syndrome, or PWS, a complex metabolic/neurobehavioral disorder. DCCR has orphan designation for the treatment of PWS in the United States, or U.S., as well as in the European Union, or E.U.</w:t>
      </w:r>
    </w:p>
    <w:p>
      <w:pPr>
        <w:spacing w:after="0" w:line="182" w:lineRule="exact"/>
        <w:rPr>
          <w:sz w:val="20"/>
          <w:szCs w:val="20"/>
          <w:color w:val="auto"/>
        </w:rPr>
      </w:pPr>
    </w:p>
    <w:p>
      <w:pPr>
        <w:ind w:right="540" w:firstLine="598"/>
        <w:spacing w:after="0" w:line="264" w:lineRule="auto"/>
        <w:rPr>
          <w:sz w:val="20"/>
          <w:szCs w:val="20"/>
          <w:color w:val="auto"/>
        </w:rPr>
      </w:pPr>
      <w:r>
        <w:rPr>
          <w:rFonts w:ascii="Arial" w:cs="Arial" w:eastAsia="Arial" w:hAnsi="Arial"/>
          <w:sz w:val="18"/>
          <w:szCs w:val="18"/>
          <w:color w:val="auto"/>
        </w:rPr>
        <w:t>Subsequent to the Merger with Essentialis, we determined to divest, sell or dispose of our business efforts focused on the development and commercialization of our Serenz and CoSense technologies. Our current research and development efforts are primarily focused on advancing our lead candidate, DCCR tablets for the treatment of PWS, through late-stage clinical development.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Diazoxide Choline Controlled-Release Tablets</w:t>
      </w:r>
    </w:p>
    <w:p>
      <w:pPr>
        <w:spacing w:after="0" w:line="121"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DCCR tablets consist of the active ingredient diazoxide choline, a choline salt of diazoxide, which is a benzothiadiazine. Once solubilized from the formulation, diazoxide choline is rapidly hydrolyzed to diazoxide prior to absorption. Diazoxide acts by stimulating ion flux through ATP-sensitive K+ channels (K</w:t>
      </w:r>
      <w:r>
        <w:rPr>
          <w:rFonts w:ascii="Arial" w:cs="Arial" w:eastAsia="Arial" w:hAnsi="Arial"/>
          <w:sz w:val="14"/>
          <w:szCs w:val="14"/>
          <w:color w:val="auto"/>
        </w:rPr>
        <w:t>ATP</w:t>
      </w:r>
      <w:r>
        <w:rPr>
          <w:rFonts w:ascii="Arial" w:cs="Arial" w:eastAsia="Arial" w:hAnsi="Arial"/>
          <w:sz w:val="17"/>
          <w:szCs w:val="17"/>
          <w:color w:val="auto"/>
        </w:rPr>
        <w:t>). The K</w:t>
      </w:r>
      <w:r>
        <w:rPr>
          <w:rFonts w:ascii="Arial" w:cs="Arial" w:eastAsia="Arial" w:hAnsi="Arial"/>
          <w:sz w:val="14"/>
          <w:szCs w:val="14"/>
          <w:color w:val="auto"/>
        </w:rPr>
        <w:t>ATP</w:t>
      </w:r>
      <w:r>
        <w:rPr>
          <w:rFonts w:ascii="Arial" w:cs="Arial" w:eastAsia="Arial" w:hAnsi="Arial"/>
          <w:sz w:val="17"/>
          <w:szCs w:val="17"/>
          <w:color w:val="auto"/>
        </w:rPr>
        <w:t xml:space="preserve"> channel links the cellular energy status to the membrane potential. Diazoxide appears to act on signs and symptoms of PWS in a variety of ways. Agonizing the K</w:t>
      </w:r>
      <w:r>
        <w:rPr>
          <w:rFonts w:ascii="Arial" w:cs="Arial" w:eastAsia="Arial" w:hAnsi="Arial"/>
          <w:sz w:val="14"/>
          <w:szCs w:val="14"/>
          <w:color w:val="auto"/>
        </w:rPr>
        <w:t>ATP</w:t>
      </w:r>
      <w:r>
        <w:rPr>
          <w:rFonts w:ascii="Arial" w:cs="Arial" w:eastAsia="Arial" w:hAnsi="Arial"/>
          <w:sz w:val="17"/>
          <w:szCs w:val="17"/>
          <w:color w:val="auto"/>
        </w:rPr>
        <w:t xml:space="preserve"> channel in the hypothalamus has the potential to address hyperphagia, which is an insatiable desire to eat. Agonizing the channel in GABAergic neurons improves GABA signaling and may reduce aggressive behaviors.</w:t>
      </w:r>
    </w:p>
    <w:p>
      <w:pPr>
        <w:spacing w:after="0" w:line="173"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In the U.S., diazoxide was first approved in 1973 as an intravenous formulation for the emergency treatment of malignant hypertension. In 1976, immediate-release oral formulations, including Proglycem</w:t>
      </w:r>
      <w:r>
        <w:rPr>
          <w:rFonts w:ascii="Arial" w:cs="Arial" w:eastAsia="Arial" w:hAnsi="Arial"/>
          <w:sz w:val="15"/>
          <w:szCs w:val="15"/>
          <w:color w:val="auto"/>
        </w:rPr>
        <w:t>®</w:t>
      </w:r>
      <w:r>
        <w:rPr>
          <w:rFonts w:ascii="Arial" w:cs="Arial" w:eastAsia="Arial" w:hAnsi="Arial"/>
          <w:sz w:val="18"/>
          <w:szCs w:val="18"/>
          <w:color w:val="auto"/>
        </w:rPr>
        <w:t xml:space="preserve"> Oral Suspension and Capsules, or Proglycem, were approved and there has been nearly 40 years of use of the 2-3 times a day orally-administered drug in the approved indications. In addition to the short-term use (&lt;3 months) in the approved indications for Proglycem, there are also extensive data on chronic use in children with congenital hyperinsulinism, or CI, and in adults with insulinoma. Insulinoma patients tend to be older, with 50% of them over 70 years old. The average duration of use of Proglycem in CI and insulinoma patients is 5 years and 7 years, respectively.</w:t>
      </w:r>
    </w:p>
    <w:p>
      <w:pPr>
        <w:spacing w:after="0" w:line="193"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DCCR tablets were formulated with the goals of improving the safety and bioavailability of orally-administered diazoxide and reducing the frequency of daily dosing required by current diazoxide formulations. Diazoxide choline is formulated into an extended-release tablet that lowers peak plasma concentration compared to diazoxide oral suspension and slows release of diazoxide from DCCR, making it suitable for once-a-day dosing. The control of release and absorption of diazoxide achieved using DCCR results in very level and consistent intraday circulating drug levels, and consistent levels of diazoxide in tissues that are the site of action of the drug (the hypothalamus). In circulation, diazoxide is extensively protein bound. Only unbound diazoxide is active.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right="160"/>
        <w:spacing w:after="0" w:line="279" w:lineRule="auto"/>
        <w:rPr>
          <w:sz w:val="20"/>
          <w:szCs w:val="20"/>
          <w:color w:val="auto"/>
        </w:rPr>
      </w:pPr>
      <w:r>
        <w:rPr>
          <w:rFonts w:ascii="Arial" w:cs="Arial" w:eastAsia="Arial" w:hAnsi="Arial"/>
          <w:sz w:val="17"/>
          <w:szCs w:val="17"/>
          <w:color w:val="auto"/>
        </w:rPr>
        <w:t>consistent absorption of diazoxide may also result in some level of disequilibrium in protein binding, potentiating the therapeutic response to treatment. The controlled rate of absorption, level intraday circulating drug levels and the disequilibrium in protein binding likely results in the potential for improved therapeutic response to treatment. Avoiding significant swings in circulating drug levels also has the potential to reduce adverse events which are often associated with transiently high circulating drug levels that often follow rapid absorption from immediate release product formulations.</w:t>
      </w:r>
    </w:p>
    <w:p>
      <w:pPr>
        <w:spacing w:after="0" w:line="28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Prader-Willi Syndrome</w:t>
      </w:r>
    </w:p>
    <w:p>
      <w:pPr>
        <w:spacing w:after="0" w:line="117" w:lineRule="exact"/>
        <w:rPr>
          <w:sz w:val="20"/>
          <w:szCs w:val="20"/>
          <w:color w:val="auto"/>
        </w:rPr>
      </w:pPr>
    </w:p>
    <w:p>
      <w:pPr>
        <w:ind w:right="20" w:firstLine="598"/>
        <w:spacing w:after="0" w:line="291" w:lineRule="auto"/>
        <w:rPr>
          <w:sz w:val="20"/>
          <w:szCs w:val="20"/>
          <w:color w:val="auto"/>
        </w:rPr>
      </w:pPr>
      <w:r>
        <w:rPr>
          <w:rFonts w:ascii="Arial" w:cs="Arial" w:eastAsia="Arial" w:hAnsi="Arial"/>
          <w:sz w:val="16"/>
          <w:szCs w:val="16"/>
          <w:color w:val="auto"/>
        </w:rPr>
        <w:t>PWS is a rare, complex neurobehavioral/metabolic disorder, which is due to the absence of normally active paternally expressed genes from the chromosome 15q11-q13 region. PWS is an imprinted condition with 70-75% of the cases due to a de novo deletion in the paternally inherited chromosome 15 11-q13 region, 20-30% from maternal uniparental disomy 15, or UPD, where the affected individual inherited 2 copies of chromosome from their mother and no copy from their father, and the remaining 2-5% from either microdeletions or epimutations of the imprinting center (i.e., imprinting defects; IDs). The committee on genetics of the American Academy of Pediatrics states PWS affects both genders equally and occurs in people from all geographic regions; its estimated incidence is 1 in 15,000 to 1 in 25,000 live births. The mortality rate among PWS patients is 3% a year across all ages and 7% in those over 30 years of age. The mean age of death reported from a 40-year mortality study in the U.S. was 29.5 ± 15 years (range: 2 months - 67 years).</w:t>
      </w:r>
    </w:p>
    <w:p>
      <w:pPr>
        <w:spacing w:after="0" w:line="16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In addition to hyperphagia, typical behavioral disturbances associated with PWS include skin picking, difficulty with change in routine, obsessive and compulsive behaviors and mood fluctuations. The majority of older adolescent and adult PWS patients display some degree of aggressive or threatening behaviors including being verbally aggressive, seeking to intimidate others, being physically aggressive including attacking others and destroying property, throwing temper tantrums and directing rage or anger at others.</w:t>
      </w:r>
    </w:p>
    <w:p>
      <w:pPr>
        <w:spacing w:after="0" w:line="187" w:lineRule="exact"/>
        <w:rPr>
          <w:sz w:val="20"/>
          <w:szCs w:val="20"/>
          <w:color w:val="auto"/>
        </w:rPr>
      </w:pPr>
    </w:p>
    <w:p>
      <w:pPr>
        <w:ind w:right="40" w:firstLine="598"/>
        <w:spacing w:after="0" w:line="288" w:lineRule="auto"/>
        <w:rPr>
          <w:sz w:val="20"/>
          <w:szCs w:val="20"/>
          <w:color w:val="auto"/>
        </w:rPr>
      </w:pPr>
      <w:r>
        <w:rPr>
          <w:rFonts w:ascii="Arial" w:cs="Arial" w:eastAsia="Arial" w:hAnsi="Arial"/>
          <w:sz w:val="16"/>
          <w:szCs w:val="16"/>
          <w:color w:val="auto"/>
        </w:rPr>
        <w:t>PWS is typically thought of as a genetic obesity, which is often significant. With increasing awareness among families and caregivers leading to significant control of food intake, many PWS patients today may not be obese. However, they remain hyperphagic and will typically have a higher body fat and lower lean body mass content. They are prone to cardiometabolic issues such as abnormal lipid profiles, diabetes and hypertension. Other complications in PWS patients include greater risk for autistic symptomatology, psychosis, sleep disorders, distress, food stealing, withdrawal, sulking, nail-biting, hoarding and overeating, and more pronounced attention-deficit hyperactivity disorder symptoms, insistence on sameness, and their association with maladaptive conduct problems. The reported rates of psychotic symptoms, between 6% and 28%, are higher than those for individuals with other intellectual disabilities. Individuals with PWS show age-related increases in internalizing problems such as anxiety, sadness and a feeling of low self-esteem. Males are at greater risk for aggressive behavior, depression and dependent personality disorder and overall severity of psychopathology than females. Cognitively, most individuals with PWS function in the mild intellectually disability range with a mean IQ in the 60s to low 70s. The combination of food-related preoccupations and numerous maladaptive behaviors make it difficult for individuals with PWS to perform to their IQ potential.</w:t>
      </w:r>
    </w:p>
    <w:p>
      <w:pPr>
        <w:spacing w:after="0" w:line="27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Unmet Medical Needs in PWS</w:t>
      </w:r>
    </w:p>
    <w:p>
      <w:pPr>
        <w:spacing w:after="0" w:line="117" w:lineRule="exact"/>
        <w:rPr>
          <w:sz w:val="20"/>
          <w:szCs w:val="20"/>
          <w:color w:val="auto"/>
        </w:rPr>
      </w:pPr>
    </w:p>
    <w:p>
      <w:pPr>
        <w:ind w:right="120" w:firstLine="598"/>
        <w:spacing w:after="0" w:line="254" w:lineRule="auto"/>
        <w:rPr>
          <w:sz w:val="20"/>
          <w:szCs w:val="20"/>
          <w:color w:val="auto"/>
        </w:rPr>
      </w:pPr>
      <w:r>
        <w:rPr>
          <w:rFonts w:ascii="Arial" w:cs="Arial" w:eastAsia="Arial" w:hAnsi="Arial"/>
          <w:sz w:val="18"/>
          <w:szCs w:val="18"/>
          <w:color w:val="auto"/>
        </w:rPr>
        <w:t>The target indication for DCCR is the treatment of PWS. Currently, the only approved treatment related to PWS is growth hormone which addresses the short stature associated with PWS, but has no effect on hyperphagia. A global patient survey conducted by the Foundation for Prader-Willi Research (n=779), found that 96.5% of respondents rated reducing hunger and 91.2% rated improving behavior around food as very important or most important symptom to be relieved by a new treatment. Physical function and body composition symptoms for which a high percentage of respondents indicated were very important or most important included: 92.9% indicated improving metabolic health (reduces fat / increases muscle) and 81.3% indicated the related symptom of improving activity and stamina. The behavioral and cognitive symptoms rated by respondents as very or most important were: 85.2% indicated reduction of obsessive/compulsive behavior, 84.6% indicated improvements to intellect/development, and 83.2% indicated reduction of temper outburst severity and frequency.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ind w:right="560" w:firstLine="598"/>
        <w:spacing w:after="0" w:line="308" w:lineRule="auto"/>
        <w:rPr>
          <w:sz w:val="20"/>
          <w:szCs w:val="20"/>
          <w:color w:val="auto"/>
        </w:rPr>
      </w:pPr>
      <w:r>
        <w:rPr>
          <w:rFonts w:ascii="Arial" w:cs="Arial" w:eastAsia="Arial" w:hAnsi="Arial"/>
          <w:sz w:val="17"/>
          <w:szCs w:val="17"/>
          <w:color w:val="auto"/>
        </w:rPr>
        <w:t>Therefore, there is a clear unmet need in the treatment of PWS to reduce hyperphagia and improve behaviors around food, and to reduce other behavioral and cognitive impacts of this complex disease. In addition, improving metabolic health is also an important unmet need.</w:t>
      </w:r>
    </w:p>
    <w:p>
      <w:pPr>
        <w:spacing w:after="0" w:line="25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Clinical Trial of DCCR for PWS</w:t>
      </w:r>
    </w:p>
    <w:p>
      <w:pPr>
        <w:spacing w:after="0" w:line="117" w:lineRule="exact"/>
        <w:rPr>
          <w:sz w:val="20"/>
          <w:szCs w:val="20"/>
          <w:color w:val="auto"/>
        </w:rPr>
      </w:pPr>
    </w:p>
    <w:p>
      <w:pPr>
        <w:jc w:val="both"/>
        <w:ind w:right="100" w:firstLine="598"/>
        <w:spacing w:after="0" w:line="264" w:lineRule="auto"/>
        <w:rPr>
          <w:sz w:val="20"/>
          <w:szCs w:val="20"/>
          <w:color w:val="auto"/>
        </w:rPr>
      </w:pPr>
      <w:r>
        <w:rPr>
          <w:rFonts w:ascii="Arial" w:cs="Arial" w:eastAsia="Arial" w:hAnsi="Arial"/>
          <w:sz w:val="18"/>
          <w:szCs w:val="18"/>
          <w:color w:val="auto"/>
        </w:rPr>
        <w:t>A Phase III clinical trial is currently being conducted to evaluate the efficacy and safety of DCCR in patients with genetically-confirmed PWS. This study, DESTINY PWS, is a multi-center, randomized, double-blind, placebo-controlled study with enrollment of approximately 105 children and adults with PWS. Subjects who complete the 15-week DESTINY PWS study may enroll in a long-term, safety extension study.</w:t>
      </w:r>
    </w:p>
    <w:p>
      <w:pPr>
        <w:spacing w:after="0" w:line="181"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A Phase II clinical trial has been conducted to evaluate the safety and preliminary efficacy of DCCR in the treatment of PWS subjects. This study, PC025, was a single-center, randomized withdrawal study and enrolled 13 overweight and obese subjects with genetically-confirmed PWS who were between the ages of 11 and 21. The first phase of the study was open label during which subjects were initiated on a DCCR dose that was escalated every 14 days at the discretion of the investigator. Any subject who showed an increase in resting energy expenditure and/or a reduction in hyperphagia from baseline at certain study visits would be designated a responder, whereas all others would be designated non-responders. This 10-week open-label treatment phase was followed by randomized double-blind, placebo-controlled, withdrawal phase. Responders were randomized in a 1:1 ratio either to continue on active treatment at the dose they were treated with, or to the placebo equivalent of that dose for an additional 4 weeks. Of the 13 subjects who enrolled, 11 were designated as responders; the remaining two subjects had discontinued prematurely.</w:t>
      </w:r>
    </w:p>
    <w:p>
      <w:pPr>
        <w:spacing w:after="0" w:line="179" w:lineRule="exact"/>
        <w:rPr>
          <w:sz w:val="20"/>
          <w:szCs w:val="20"/>
          <w:color w:val="auto"/>
        </w:rPr>
      </w:pPr>
    </w:p>
    <w:p>
      <w:pPr>
        <w:ind w:right="60" w:firstLine="598"/>
        <w:spacing w:after="0" w:line="293" w:lineRule="auto"/>
        <w:rPr>
          <w:sz w:val="20"/>
          <w:szCs w:val="20"/>
          <w:color w:val="auto"/>
        </w:rPr>
      </w:pPr>
      <w:r>
        <w:rPr>
          <w:rFonts w:ascii="Arial" w:cs="Arial" w:eastAsia="Arial" w:hAnsi="Arial"/>
          <w:sz w:val="16"/>
          <w:szCs w:val="16"/>
          <w:color w:val="auto"/>
        </w:rPr>
        <w:t>Key efficacy results included a statistically significant reduction in hyperphagia from baseline to the end of the open-label treatment phase. In addition, greater improvement in hyperphagia from baseline was observed in those subjects with moderate to severe hyperphagia who received higher DCCR doses. There was a significant improvement in the number of subjects reporting one or more aggressive and destructive behaviors. During the open-label treatment phase, a mean decrease in body fat mass and increases in lean body mass and lean body mass / fat mass ratio were seen. These changes were associated with a statistically significant reduction in waist circumference, consistent with the loss of visceral fat. Statistically significant reductions from baseline in LDL cholesterol and non-HDL cholesterol were observed. The change in triglycerides, while marked, did not reach statistical significance.</w:t>
      </w:r>
    </w:p>
    <w:p>
      <w:pPr>
        <w:spacing w:after="0" w:line="27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Safety of DCCR in the Treatment of PWS</w:t>
      </w:r>
    </w:p>
    <w:p>
      <w:pPr>
        <w:spacing w:after="0" w:line="117" w:lineRule="exact"/>
        <w:rPr>
          <w:sz w:val="20"/>
          <w:szCs w:val="20"/>
          <w:color w:val="auto"/>
        </w:rPr>
      </w:pPr>
    </w:p>
    <w:p>
      <w:pPr>
        <w:jc w:val="both"/>
        <w:ind w:right="160" w:firstLine="598"/>
        <w:spacing w:after="0" w:line="312" w:lineRule="auto"/>
        <w:rPr>
          <w:sz w:val="20"/>
          <w:szCs w:val="20"/>
          <w:color w:val="auto"/>
        </w:rPr>
      </w:pPr>
      <w:r>
        <w:rPr>
          <w:rFonts w:ascii="Arial" w:cs="Arial" w:eastAsia="Arial" w:hAnsi="Arial"/>
          <w:sz w:val="16"/>
          <w:szCs w:val="16"/>
          <w:color w:val="auto"/>
        </w:rPr>
        <w:t>Many of the adverse events were common medical complications of PWS including ear and respiratory infections, hypersomnia, peripheral edema, skin picking and constipation. The most common adverse events that occurred during the study, regardless of the relationship to DCCR, included peripheral edema, hyperglycemia, impaired glucose tolerance, upper respiratory tract infections, ear infection, headache, somnolence, constipation, and bruises.</w:t>
      </w:r>
    </w:p>
    <w:p>
      <w:pPr>
        <w:spacing w:after="0" w:line="25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Regulatory Status of DCCR for the Treatment of PWS</w:t>
      </w:r>
    </w:p>
    <w:p>
      <w:pPr>
        <w:spacing w:after="0" w:line="117"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Diazoxide choline is being developed in the U.S. under a current IND and is designated as an Orphan Drug for the treatment of PWS. We announced successful completion of a scientific advice meeting with the FDA on July 5, 2017. On September 25, 2017, we announced receipt of advice from the Committee for Medicinal Products for Human Use (CHMP) of the European Medicines Agency (EMA) regarding DCCR for the treatment of PWS. On October 12, 2017, we announced the receipt of a positive opinion from the Committee for Orphan Medicinal Products (COMP) of the EMA recommending diazoxide choline for the treatment of PWS. This designation was granted by the European Commission as EU/3/17/1941. We announced successful completion and receipt of minutes from an End-of-Phase II meeting with the FDA and confirmed alignment on key aspects of the Phase III study design, including the primary endpoint and duration of the trial on February 20, 2018. On July 30, 2018, we announced that DCCR was granted “Fast Track” designation for the treatment of PWS. Fast Track designation is intended to provide patients with serious conditions and unmet medical needs access to new drugs earlier by assisting their development and accelerating their review by the FDA. Fast Track designation allows additional meetings with the FDA to discuss our development plan to ensure the appropriate data are collected and encourages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 w:name="page7"/>
    <w:bookmarkEnd w:id="6"/>
    <w:p>
      <w:pPr>
        <w:ind w:right="360"/>
        <w:spacing w:after="0" w:line="286" w:lineRule="auto"/>
        <w:rPr>
          <w:sz w:val="20"/>
          <w:szCs w:val="20"/>
          <w:color w:val="auto"/>
        </w:rPr>
      </w:pPr>
      <w:r>
        <w:rPr>
          <w:rFonts w:ascii="Arial" w:cs="Arial" w:eastAsia="Arial" w:hAnsi="Arial"/>
          <w:sz w:val="17"/>
          <w:szCs w:val="17"/>
          <w:color w:val="auto"/>
        </w:rPr>
        <w:t>frequent written communication with the FDA regarding design of clinical trials and use of biomarkers. If certain criteria are met, DCCR may be eligible for “Accelerated Approval” and “Priority Review” and also “Rolling Review”, which would allow us to submit to the FDA sections of our New Drug Application (NDA) as they are finished instead of waiting for all sections to be completed before submitting the marketing application.</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117"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An estimated 300,000 to 400,000 individuals worldwide have PWS. An overall prevalence ranging from 1:15,000 to 1:25,000 has been reported regardless of geography or ethnicity. The numbers of identified PWS patients is growing at a rate that is higher than the rate of general population because of improved rates of diagnosis. We anticipate that DCCR could be the first effective treatment for hyperphagia in PWS to reach the market both in the U.S. and Europe and would therefore be likely to be used in a large proportion of patients.</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Newly diagnosed PWS patients tend to be treated by a multi-disciplinary team led by a pediatric endocrinologist. Many patients receive care at larger clinics devoted to PWS in university-associated hospitals or at children’s hospitals. This concentration of care allows us to consider marketing DCCR without a partner by assembling a small, dedicated salesforce to target the limited number of major PWS treatment centers in the U.S. In contrast to the situation in the U.S., we are likely to need to identify a marketing partner for DCCR in Europe, Japan, and the rest of the world. The final decision on sales and marketing strategy will be made at a later date.</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Pricing</w:t>
      </w:r>
    </w:p>
    <w:p>
      <w:pPr>
        <w:spacing w:after="0" w:line="117" w:lineRule="exact"/>
        <w:rPr>
          <w:sz w:val="20"/>
          <w:szCs w:val="20"/>
          <w:color w:val="auto"/>
        </w:rPr>
      </w:pPr>
    </w:p>
    <w:p>
      <w:pPr>
        <w:ind w:right="320" w:firstLine="598"/>
        <w:spacing w:after="0" w:line="342" w:lineRule="auto"/>
        <w:rPr>
          <w:sz w:val="20"/>
          <w:szCs w:val="20"/>
          <w:color w:val="auto"/>
        </w:rPr>
      </w:pPr>
      <w:r>
        <w:rPr>
          <w:rFonts w:ascii="Arial" w:cs="Arial" w:eastAsia="Arial" w:hAnsi="Arial"/>
          <w:sz w:val="16"/>
          <w:szCs w:val="16"/>
          <w:color w:val="auto"/>
        </w:rPr>
        <w:t>We have not conducted a formal pricing analysis of DCCR in PWS. We anticipate that pricing at launch may be influenced by the product label negotiated with the FDA, pharmacoeconomic data developed to support pricing and the potential for greater sales under negotiated government contracts.</w:t>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Currently, the only approved products for PWS are Genotropin® (somatropin), and Omnitrope® (somatropin) which are approved only for growth failure due to PWS. There are no approved products to address PWS-associated hyperphagia and behaviors, or for any other abnormalities associated with the disease. However, to our knowledge, there are a number of therapeutic products at various stages of clinical development for the treatment of PWS, including for hyperphagia, by Levo Therapeutics, Inc., Millendo Therapeutics, Inc., Zafgen, Inc., Rhythm Pharmaceuticals, Inc., Saniona AB, Insys Therapeutics, Inc., and GLWL Research, Inc.</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Pharmaceuticals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manufacturing strategy is to contract with third parties to manufacture our clinical and commercial API and drug product supplies.</w:t>
      </w:r>
    </w:p>
    <w:p>
      <w:pPr>
        <w:spacing w:after="0" w:line="225"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The formulation and processes used to manufacture our products are proprietary, being covered by multiple issued U.S. patents and counterparts in other regions of the world, and we have agreements with various third-party manufacturers that are intended to restrict these manufacturers from using or revealing any unpublished proprietary information.</w:t>
      </w:r>
    </w:p>
    <w:p>
      <w:pPr>
        <w:spacing w:after="0" w:line="181"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Our third-party manufacturers and corporate partners are independent entities who are subject to their own operational and financial risks over which we have no control. If we or any of these third-party manufacturers fail to perform as required, this could cause delays in our clinical trials and regulatory applications and submission.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7" w:name="page8"/>
    <w:bookmarkEnd w:id="7"/>
    <w:p>
      <w:pPr>
        <w:ind w:left="600"/>
        <w:spacing w:after="0"/>
        <w:rPr>
          <w:sz w:val="20"/>
          <w:szCs w:val="20"/>
          <w:color w:val="auto"/>
        </w:rPr>
      </w:pPr>
      <w:r>
        <w:rPr>
          <w:rFonts w:ascii="Arial" w:cs="Arial" w:eastAsia="Arial" w:hAnsi="Arial"/>
          <w:sz w:val="18"/>
          <w:szCs w:val="18"/>
          <w:b w:val="1"/>
          <w:bCs w:val="1"/>
          <w:i w:val="1"/>
          <w:iCs w:val="1"/>
          <w:color w:val="auto"/>
        </w:rPr>
        <w:t>Regulation of Pharmaceutical Manufacturing Processes</w:t>
      </w:r>
    </w:p>
    <w:p>
      <w:pPr>
        <w:spacing w:after="0" w:line="117"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The manufacturing process for pharmaceutical products is highly regulated and regulators may shut down manufacturing facilities that they believe do not comply with regulations. We and our third-party manufacturers are subject to current Good Manufacturing Practices, which are extensive regulations governing manufacturing processes, stability testing, record keeping and quality standards as defined by the FDA and the EMA. Similar regulations and requirements are in effect in other countries.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DCCR Patent Portfolio</w:t>
      </w:r>
    </w:p>
    <w:p>
      <w:pPr>
        <w:spacing w:after="0" w:line="117" w:lineRule="exact"/>
        <w:rPr>
          <w:sz w:val="20"/>
          <w:szCs w:val="20"/>
          <w:color w:val="auto"/>
        </w:rPr>
      </w:pPr>
    </w:p>
    <w:p>
      <w:pPr>
        <w:ind w:right="20" w:firstLine="598"/>
        <w:spacing w:after="0" w:line="279" w:lineRule="auto"/>
        <w:rPr>
          <w:sz w:val="20"/>
          <w:szCs w:val="20"/>
          <w:color w:val="auto"/>
        </w:rPr>
      </w:pPr>
      <w:r>
        <w:rPr>
          <w:rFonts w:ascii="Arial" w:cs="Arial" w:eastAsia="Arial" w:hAnsi="Arial"/>
          <w:sz w:val="17"/>
          <w:szCs w:val="17"/>
          <w:color w:val="auto"/>
        </w:rPr>
        <w:t>Our patent portfolio surrounding DCCR consists of five issued U.S. patents, one allowed U.S. patent and 10 pending U.S. applications. Our issued U.S. patents (no.’s 7,572,789, 7,799,777, 9,381,202, 9,757,384, and 9,782,416) expire in 2026 to 2035. We also have one or more issued patents covering the product in the E.U., Canada, Japan, China, India, Hong Kong and Australia, and numerous patent applications being prosecuted at the national level in all major pharma markets around the world. The issued patents and pending patent applications include protection of:</w:t>
      </w:r>
    </w:p>
    <w:p>
      <w:pPr>
        <w:spacing w:after="0" w:line="63" w:lineRule="exact"/>
        <w:rPr>
          <w:sz w:val="20"/>
          <w:szCs w:val="20"/>
          <w:color w:val="auto"/>
        </w:rPr>
      </w:pPr>
    </w:p>
    <w:p>
      <w:pPr>
        <w:ind w:left="1040" w:hanging="438"/>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large family of salts including diazoxide choline, the active ingredient in DCCR and all pharmaceutical formulations of those salts;</w:t>
      </w:r>
    </w:p>
    <w:p>
      <w:pPr>
        <w:spacing w:after="0" w:line="128" w:lineRule="exact"/>
        <w:rPr>
          <w:rFonts w:ascii="Arial" w:cs="Arial" w:eastAsia="Arial" w:hAnsi="Arial"/>
          <w:sz w:val="17"/>
          <w:szCs w:val="17"/>
          <w:color w:val="auto"/>
        </w:rPr>
      </w:pPr>
    </w:p>
    <w:p>
      <w:pPr>
        <w:ind w:left="1040" w:hanging="438"/>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Specific polymorphs (specific crystalline forms) of salts of diazoxide and all pharmaceutical formulations of those polymorphs;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Methods of manufacture of diazoxide choline and specific crystalline forms;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Methods to treat various diseases including a number of aspects of PWS and other rare diseases with DCCR;</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Methods to treat obese, overweight and obesity-prone individuals with DCCR;</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Pharmaceutical formulations of diazoxide;</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Methods to treat various diseases including a number of aspects of PWS and other rare diseases with diazoxide; and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Methods to treat various rare diseases including PWS with KATP channel agonists.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 Pharmaceuticals</w:t>
      </w:r>
    </w:p>
    <w:p>
      <w:pPr>
        <w:spacing w:after="0" w:line="121" w:lineRule="exact"/>
        <w:rPr>
          <w:sz w:val="20"/>
          <w:szCs w:val="20"/>
          <w:color w:val="auto"/>
        </w:rPr>
      </w:pPr>
    </w:p>
    <w:p>
      <w:pPr>
        <w:ind w:right="220" w:firstLine="598"/>
        <w:spacing w:after="0" w:line="302" w:lineRule="auto"/>
        <w:rPr>
          <w:sz w:val="20"/>
          <w:szCs w:val="20"/>
          <w:color w:val="auto"/>
        </w:rPr>
      </w:pPr>
      <w:r>
        <w:rPr>
          <w:rFonts w:ascii="Arial" w:cs="Arial" w:eastAsia="Arial" w:hAnsi="Arial"/>
          <w:sz w:val="16"/>
          <w:szCs w:val="16"/>
          <w:color w:val="auto"/>
        </w:rPr>
        <w:t>Our operations and activities are subject to extensive regulation by government authorities in the United States and in other countries in which we elect to develop and/or commercialize our products. Our developmental drug products are subject to rigorous regulation. Federal and state statutes and regulations govern the testing, manufacture, safety, efficacy, labeling, storage, record keeping, approval, advertising and promotion of our products. As a result of these regulations, product development and product approval processes are very expensive and time consuming.</w:t>
      </w:r>
    </w:p>
    <w:p>
      <w:pPr>
        <w:spacing w:after="0" w:line="154"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7"/>
          <w:szCs w:val="17"/>
          <w:color w:val="auto"/>
        </w:rPr>
        <w:t>A country’s regulatory agency, such as the FDA in the United States, or a region’s agency, such as the EMA for the European Union, must approve a drug before it can be sold in the respective country or countries. The general process for drug approval in the United States is summarized below. Many other countries, including countries in the European Union and Japan, have very similar regulatory approval processes.</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Nonclinical Testing</w:t>
      </w:r>
    </w:p>
    <w:p>
      <w:pPr>
        <w:spacing w:after="0" w:line="117" w:lineRule="exact"/>
        <w:rPr>
          <w:sz w:val="20"/>
          <w:szCs w:val="20"/>
          <w:color w:val="auto"/>
        </w:rPr>
      </w:pPr>
    </w:p>
    <w:p>
      <w:pPr>
        <w:ind w:right="120" w:firstLine="598"/>
        <w:spacing w:after="0" w:line="312" w:lineRule="auto"/>
        <w:rPr>
          <w:sz w:val="20"/>
          <w:szCs w:val="20"/>
          <w:color w:val="auto"/>
        </w:rPr>
      </w:pPr>
      <w:r>
        <w:rPr>
          <w:rFonts w:ascii="Arial" w:cs="Arial" w:eastAsia="Arial" w:hAnsi="Arial"/>
          <w:sz w:val="16"/>
          <w:szCs w:val="16"/>
          <w:color w:val="auto"/>
        </w:rPr>
        <w:t>Before a drug candidate in can be tested in humans, it must be studied in laboratory experiments and in animals to generate data to support the drug candidate’s potential benefits and/or safety. Additional nonclinical testing may be required during the clinical development process such as reproductive toxicology and juvenile toxicology studies. Carcinogenicity studies in two species are generally required for products intended for long-term use.</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65" w:right="319" w:bottom="1440" w:gutter="0" w:footer="0" w:header="0"/>
        </w:sectPr>
      </w:pPr>
    </w:p>
    <w:bookmarkStart w:id="8" w:name="page9"/>
    <w:bookmarkEnd w:id="8"/>
    <w:p>
      <w:pPr>
        <w:ind w:left="600"/>
        <w:spacing w:after="0"/>
        <w:rPr>
          <w:sz w:val="20"/>
          <w:szCs w:val="20"/>
          <w:color w:val="auto"/>
        </w:rPr>
      </w:pPr>
      <w:r>
        <w:rPr>
          <w:rFonts w:ascii="Arial" w:cs="Arial" w:eastAsia="Arial" w:hAnsi="Arial"/>
          <w:sz w:val="18"/>
          <w:szCs w:val="18"/>
          <w:b w:val="1"/>
          <w:bCs w:val="1"/>
          <w:i w:val="1"/>
          <w:iCs w:val="1"/>
          <w:color w:val="auto"/>
        </w:rPr>
        <w:t>Investigational New Drug Exemption Application (IND)</w:t>
      </w:r>
    </w:p>
    <w:p>
      <w:pPr>
        <w:spacing w:after="0" w:line="117" w:lineRule="exact"/>
        <w:rPr>
          <w:sz w:val="20"/>
          <w:szCs w:val="20"/>
          <w:color w:val="auto"/>
        </w:rPr>
      </w:pPr>
    </w:p>
    <w:p>
      <w:pPr>
        <w:ind w:right="200" w:firstLine="598"/>
        <w:spacing w:after="0" w:line="257" w:lineRule="auto"/>
        <w:rPr>
          <w:sz w:val="20"/>
          <w:szCs w:val="20"/>
          <w:color w:val="auto"/>
        </w:rPr>
      </w:pPr>
      <w:r>
        <w:rPr>
          <w:rFonts w:ascii="Arial" w:cs="Arial" w:eastAsia="Arial" w:hAnsi="Arial"/>
          <w:sz w:val="18"/>
          <w:szCs w:val="18"/>
          <w:color w:val="auto"/>
        </w:rPr>
        <w:t>The results of initial nonclinical tests, together with manufacturing information, analytical data and a proposed clinical trial protocol and other information, are submitted as part of an IND to the FDA. If the FDA does not identify significant issues during the initial 30-day IND review, the drug candidate can then be studied in human clinical trials to determine if the drug candidate is safe and effective. Each clinical trial protocol and/or amendment, new nonclinical data, and/or new or revised manufacturing information must be submitted to the IND, and the FDA has 30 days to complete its review of each submission.</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color w:val="auto"/>
        </w:rPr>
        <w:t>These clinical trials involve three separate phases that often overlap, can take many years and are very expensive. These three phases, which are subject to considerable regulation, are as follows:</w:t>
      </w:r>
    </w:p>
    <w:p>
      <w:pPr>
        <w:spacing w:after="0" w:line="170"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i w:val="1"/>
          <w:iCs w:val="1"/>
          <w:color w:val="auto"/>
        </w:rPr>
        <w:t>Phase I Studies</w:t>
      </w:r>
      <w:r>
        <w:rPr>
          <w:rFonts w:ascii="Arial" w:cs="Arial" w:eastAsia="Arial" w:hAnsi="Arial"/>
          <w:sz w:val="18"/>
          <w:szCs w:val="18"/>
          <w:color w:val="auto"/>
        </w:rPr>
        <w:t>. During Phase I studies, researchers test a new drug in normal volunteers who are healthy. In most cases, 20 to 80 healthy volunteers</w:t>
      </w:r>
      <w:r>
        <w:rPr>
          <w:rFonts w:ascii="Arial" w:cs="Arial" w:eastAsia="Arial" w:hAnsi="Arial"/>
          <w:sz w:val="18"/>
          <w:szCs w:val="18"/>
          <w:i w:val="1"/>
          <w:iCs w:val="1"/>
          <w:color w:val="auto"/>
        </w:rPr>
        <w:t xml:space="preserve"> </w:t>
      </w:r>
      <w:r>
        <w:rPr>
          <w:rFonts w:ascii="Arial" w:cs="Arial" w:eastAsia="Arial" w:hAnsi="Arial"/>
          <w:sz w:val="18"/>
          <w:szCs w:val="18"/>
          <w:color w:val="auto"/>
        </w:rPr>
        <w:t>or people with the disease/condition participate in Phase 1. Phase I studies are closely monitored and gather information about how a drug interacts with the human body. Researchers adjust dosing schemes based on animal data to find out how much of a drug the body can tolerate and what its acute side effects are. As a Phase I trial continues, researchers answer research questions related to how it works in the body, the side effects associated with increased dosage, and early information about how effective it is to determine how best to administer the drug to limit risks and maximize possible benefits. This is important to the design of Phase II studies.</w:t>
      </w:r>
    </w:p>
    <w:p>
      <w:pPr>
        <w:spacing w:after="0" w:line="193"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i w:val="1"/>
          <w:iCs w:val="1"/>
          <w:color w:val="auto"/>
        </w:rPr>
        <w:t>Phase II Studies</w:t>
      </w:r>
      <w:r>
        <w:rPr>
          <w:rFonts w:ascii="Arial" w:cs="Arial" w:eastAsia="Arial" w:hAnsi="Arial"/>
          <w:sz w:val="18"/>
          <w:szCs w:val="18"/>
          <w:color w:val="auto"/>
        </w:rPr>
        <w:t>. In Phase II studies, researchers administer the drug to a group of patients with the disease or condition for which the drug is being</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developed. Typically involving up to a few hundred patients, these studies are not large enough to show whether the drug will be beneficial. Instead, Phase II studies provide researchers with additional safety data. Researchers use these data to refine research questions, develop research methods, and design new Phase III research protocols.</w:t>
      </w:r>
    </w:p>
    <w:p>
      <w:pPr>
        <w:spacing w:after="0" w:line="18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i w:val="1"/>
          <w:iCs w:val="1"/>
          <w:color w:val="auto"/>
        </w:rPr>
        <w:t>Phase III Studies</w:t>
      </w:r>
      <w:r>
        <w:rPr>
          <w:rFonts w:ascii="Arial" w:cs="Arial" w:eastAsia="Arial" w:hAnsi="Arial"/>
          <w:sz w:val="18"/>
          <w:szCs w:val="18"/>
          <w:color w:val="auto"/>
        </w:rPr>
        <w:t>. Researchers design Phase III studies to demonstrate whether or not a product offers a treatment benefit to a specific population.</w:t>
      </w:r>
      <w:r>
        <w:rPr>
          <w:rFonts w:ascii="Arial" w:cs="Arial" w:eastAsia="Arial" w:hAnsi="Arial"/>
          <w:sz w:val="18"/>
          <w:szCs w:val="18"/>
          <w:i w:val="1"/>
          <w:iCs w:val="1"/>
          <w:color w:val="auto"/>
        </w:rPr>
        <w:t xml:space="preserve"> </w:t>
      </w:r>
      <w:r>
        <w:rPr>
          <w:rFonts w:ascii="Arial" w:cs="Arial" w:eastAsia="Arial" w:hAnsi="Arial"/>
          <w:sz w:val="18"/>
          <w:szCs w:val="18"/>
          <w:color w:val="auto"/>
        </w:rPr>
        <w:t>Sometimes known as pivotal studies, these studies generally involve a larger number of participants than do Phase II studies. Phase III studies provide most of the safety data. In Phase II studies, it is possible that less common side effects might have gone undetected. Because these studies are larger and longer in duration, the results are more likely to show long-term or rare side effects.</w:t>
      </w:r>
    </w:p>
    <w:p>
      <w:pPr>
        <w:spacing w:after="0" w:line="18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For each clinical trial, an independent IRB or independent ethics committee (IEC), covering each site proposing to conduct a clinical trial must review and approve the plan for any clinical trial and informed consent information for subjects before the trial commences at that site and it must monitor the study until completed. The FDA, other heath authority, the IRB/IEC, or the sponsor may suspend a clinical trial at any time on various grounds, including a finding that the subjects or patients are being exposed to an unacceptable health risk or for failure to comply with the IRB/IEC’s requirements, or may impose other conditions.</w:t>
      </w:r>
    </w:p>
    <w:p>
      <w:pPr>
        <w:spacing w:after="0" w:line="188"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Clinical trials involve the administration of an investigational drug to human subjects under the supervision of qualified investigators in accordance with GCP requirements, which include the requirement that all research subjects provide their informed consent in writing for their participation in any clinical trial. Sponsors of clinical trials generally must register and report, at the NIH-maintained website ClinicalTrials.gov, key parameters of certain clinical trials.</w:t>
      </w:r>
    </w:p>
    <w:p>
      <w:pPr>
        <w:spacing w:after="0" w:line="187" w:lineRule="exact"/>
        <w:rPr>
          <w:sz w:val="20"/>
          <w:szCs w:val="20"/>
          <w:color w:val="auto"/>
        </w:rPr>
      </w:pPr>
    </w:p>
    <w:p>
      <w:pPr>
        <w:ind w:right="180" w:firstLine="598"/>
        <w:spacing w:after="0" w:line="302" w:lineRule="auto"/>
        <w:rPr>
          <w:sz w:val="20"/>
          <w:szCs w:val="20"/>
          <w:color w:val="auto"/>
        </w:rPr>
      </w:pPr>
      <w:r>
        <w:rPr>
          <w:rFonts w:ascii="Arial" w:cs="Arial" w:eastAsia="Arial" w:hAnsi="Arial"/>
          <w:sz w:val="16"/>
          <w:szCs w:val="16"/>
          <w:color w:val="auto"/>
        </w:rPr>
        <w:t>At any point in this process, the development of a drug candidate can be stopped for a number of reasons including safety concerns and lack of treatment benefit. We cannot be certain that any clinical trials that we are currently conducting or any that we conduct in the future will be completed successfully or within any specified time period. We may choose, or FDA may require us, to delay or suspend our clinical trials at any time if it appears that the patients are being exposed to an unacceptable health risk or if the drug candidate does not appear to have sufficient treatment benefit.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ind w:left="600"/>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17"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When we believe that the data from our clinical trials show an adequate level of safety and efficacy, we would intend to submit an application to market the drug for a particular use, an NDA or BLA with the FDA. The FDA may hold a public hearing where an independent advisory committee of expert advisors asks additional questions and makes recommendations regarding the drug candidate. This committee makes recommendations to the FDA that are not binding but are generally followed by the FDA. If the FDA agrees that the compound has met the required level of safety and efficacy for a particular use, it will allow the drug product to be marketed in the United States and sold for that use. It is not unusual, however, for the FDA to reject an application because it believes that the risks of the drug candidate outweigh the purported benefit or because it does not believe that the data submitted are reliable or conclusive. The FDA may also issue a Complete Response Letter, or CRL, to indicate that the review cycle for an application is complete and that the application is not ready for approval. CRLs generally outline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the deficiencies have been addressed to the FDA’s satisfaction, the FDA will typically issue an approval letter. An approval letter authorizes commercial marketing of the drug with specific prescribing information for specific indications.</w:t>
      </w:r>
    </w:p>
    <w:p>
      <w:pPr>
        <w:spacing w:after="0" w:line="173" w:lineRule="exact"/>
        <w:rPr>
          <w:sz w:val="20"/>
          <w:szCs w:val="20"/>
          <w:color w:val="auto"/>
        </w:rPr>
      </w:pPr>
    </w:p>
    <w:p>
      <w:pPr>
        <w:ind w:right="340" w:firstLine="598"/>
        <w:spacing w:after="0" w:line="297" w:lineRule="auto"/>
        <w:rPr>
          <w:sz w:val="20"/>
          <w:szCs w:val="20"/>
          <w:color w:val="auto"/>
        </w:rPr>
      </w:pPr>
      <w:r>
        <w:rPr>
          <w:rFonts w:ascii="Arial" w:cs="Arial" w:eastAsia="Arial" w:hAnsi="Arial"/>
          <w:sz w:val="16"/>
          <w:szCs w:val="16"/>
          <w:color w:val="auto"/>
        </w:rPr>
        <w:t>The FDA may also require Phase IV non-registrational studies to explore scientific questions to further characterize safety and efficacy during commercial use of our drug. The FDA may also require us to provide additional data or information, improve our manufacturing processes, procedures or facilities or may require extensive surveillance to monitor the safety or benefits of our product candidates if it determines that our filing does not contain adequate evidence of the safety and benefits of the drug. In addition, even if the FDA approves a drug, it could limit the uses of the drug. The FDA can withdraw approvals if it does not believe that we are complying with regulatory standards or if problems are uncovered or occur after approval.</w:t>
      </w:r>
    </w:p>
    <w:p>
      <w:pPr>
        <w:spacing w:after="0" w:line="158"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In addition to obtaining FDA approval for each drug, we obtain FDA approval of the manufacturing facilities for companies who manufacture our drugs for us. These facilities are subject to periodic inspections by the FDA. The FDA must also approve foreign establishments that manufacture products to be sold in the United States and these facilities are subject to periodic regulatory inspection.</w:t>
      </w:r>
    </w:p>
    <w:p>
      <w:pPr>
        <w:spacing w:after="0" w:line="181" w:lineRule="exact"/>
        <w:rPr>
          <w:sz w:val="20"/>
          <w:szCs w:val="20"/>
          <w:color w:val="auto"/>
        </w:rPr>
      </w:pPr>
    </w:p>
    <w:p>
      <w:pPr>
        <w:ind w:right="80" w:firstLine="598"/>
        <w:spacing w:after="0" w:line="271" w:lineRule="auto"/>
        <w:rPr>
          <w:sz w:val="20"/>
          <w:szCs w:val="20"/>
          <w:color w:val="auto"/>
        </w:rPr>
      </w:pPr>
      <w:r>
        <w:rPr>
          <w:rFonts w:ascii="Arial" w:cs="Arial" w:eastAsia="Arial" w:hAnsi="Arial"/>
          <w:sz w:val="17"/>
          <w:szCs w:val="17"/>
          <w:color w:val="auto"/>
        </w:rPr>
        <w:t>Once issued, the FDA may withdraw product approval if ongoing regulatory requirements are not met or if safety problems are identified after the product reaches the market. In addition, the FDA may require post-approval testing, including Phase IV studies, and surveillance programs to monitor the effect of approved products which have been commercialized, and the FDA has the authority to prevent or limit further marketing of a product based on the results of these post-marketing programs. Drugs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 Further, if there are any modifications to the drug, including changes in indications, labeling, or manufacturing processes or facilities, the sponsor may be required to submit and obtain FDA approval of a new or supplemental NDA, which may require the development of additional data or conduct of additional pre-clinical studies and clinical trials.</w:t>
      </w:r>
    </w:p>
    <w:p>
      <w:pPr>
        <w:spacing w:after="0" w:line="179"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Drugs that treat serious or life-threatening diseases and conditions that are not adequately addressed by existing drugs, and for which the development program is designed to address the unmet medical need, may be designated as fast track and/or breakthrough candidates by the FDA and may be eligible for accelerated and priority review.</w:t>
      </w:r>
    </w:p>
    <w:p>
      <w:pPr>
        <w:spacing w:after="0" w:line="181" w:lineRule="exact"/>
        <w:rPr>
          <w:sz w:val="20"/>
          <w:szCs w:val="20"/>
          <w:color w:val="auto"/>
        </w:rPr>
      </w:pPr>
    </w:p>
    <w:p>
      <w:pPr>
        <w:ind w:right="140" w:firstLine="598"/>
        <w:spacing w:after="0" w:line="257" w:lineRule="auto"/>
        <w:rPr>
          <w:sz w:val="20"/>
          <w:szCs w:val="20"/>
          <w:color w:val="auto"/>
        </w:rPr>
      </w:pPr>
      <w:r>
        <w:rPr>
          <w:rFonts w:ascii="Arial" w:cs="Arial" w:eastAsia="Arial" w:hAnsi="Arial"/>
          <w:sz w:val="18"/>
          <w:szCs w:val="18"/>
          <w:color w:val="auto"/>
        </w:rPr>
        <w:t>Drugs that are developed for rare diseases (i.e., in the U.S., the disease or condition has an prevalence of less than 200,000 persons; in the E.U., the prevalence of the condition must be not more than 5 in 10,000) can be designated as “Orphan Drugs”. In the U.S., orphan-designated drugs are granted up to 7-year market exclusivity. In the E.U., products granted orphan designation are subject to reduced fees for protocol assistance, marketing authorization applications, inspections before authorization, applications for changes to marketing authorizations, and annual fees, access to the centralized authorization procedure, and 10 years of market exclusivity.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p>
      <w:pPr>
        <w:ind w:left="600"/>
        <w:spacing w:after="0"/>
        <w:rPr>
          <w:sz w:val="20"/>
          <w:szCs w:val="20"/>
          <w:color w:val="auto"/>
        </w:rPr>
      </w:pPr>
      <w:r>
        <w:rPr>
          <w:rFonts w:ascii="Arial" w:cs="Arial" w:eastAsia="Arial" w:hAnsi="Arial"/>
          <w:sz w:val="18"/>
          <w:szCs w:val="18"/>
          <w:b w:val="1"/>
          <w:bCs w:val="1"/>
          <w:i w:val="1"/>
          <w:iCs w:val="1"/>
          <w:color w:val="auto"/>
        </w:rPr>
        <w:t>Ongoing Regulation</w:t>
      </w:r>
    </w:p>
    <w:p>
      <w:pPr>
        <w:spacing w:after="0" w:line="117"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Once a pharmaceutical product is approved, a product will be subject to pervasive and continuing regulation by the FDA, EMA, and other health authorities, including, among other things, recordkeeping, periodic reporting, product sampling and distribution, advertising and promotion and reporting of adverse experiences with the product.</w:t>
      </w:r>
    </w:p>
    <w:p>
      <w:pPr>
        <w:spacing w:after="0" w:line="181"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In addition, drug manufacturers and other entities involved in the manufacture and distribution of approved drugs are subject to periodic unannounced inspections by the FDA and these state agencies for compliance with cGMP requirements. Changes to the manufacturing process are strictly regulated and generally require prior FDA approval before being implemented. FDA regulations also require investigation and correction of any deviations from cGMP or QSR and impose reporting and documentation requirements upon us and any third-party manufacturers that we may decide to use. Accordingly, manufacturers must continue to expend time, money, and effort in the area of production and quality control to maintain cGMP compliance.</w:t>
      </w:r>
    </w:p>
    <w:p>
      <w:pPr>
        <w:spacing w:after="0" w:line="158" w:lineRule="exact"/>
        <w:rPr>
          <w:sz w:val="20"/>
          <w:szCs w:val="20"/>
          <w:color w:val="auto"/>
        </w:rPr>
      </w:pPr>
    </w:p>
    <w:p>
      <w:pPr>
        <w:ind w:right="20" w:firstLine="598"/>
        <w:spacing w:after="0" w:line="302"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46" w:lineRule="exact"/>
        <w:rPr>
          <w:sz w:val="20"/>
          <w:szCs w:val="20"/>
          <w:color w:val="auto"/>
        </w:rPr>
      </w:pPr>
    </w:p>
    <w:p>
      <w:pPr>
        <w:ind w:left="1200" w:hanging="598"/>
        <w:spacing w:after="0"/>
        <w:tabs>
          <w:tab w:leader="none" w:pos="120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17" w:lineRule="exact"/>
        <w:rPr>
          <w:rFonts w:ascii="Arial" w:cs="Arial" w:eastAsia="Arial" w:hAnsi="Arial"/>
          <w:sz w:val="18"/>
          <w:szCs w:val="18"/>
          <w:color w:val="auto"/>
        </w:rPr>
      </w:pPr>
    </w:p>
    <w:p>
      <w:pPr>
        <w:ind w:left="1200" w:right="700" w:hanging="598"/>
        <w:spacing w:after="0" w:line="277"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approvals;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The FDA strictly regulates the marketing, labeling, advertising and promotion of drug and device products that are placed on the market. The Federal Trade Commission, or the FTC, also regulates the promotion and advertising of consumer products. While physicians may prescribe drugs and devices for off label uses, manufacturers may only promote for the approved indications and in accordance with the provisions of the approved label. Manufacturers may not promote a drug that is still under development and has not been approved by the FDA. The FDA and other agencies actively enforce the laws and regulations prohibiting the promotion of off label uses, and a company that is found to have improperly promoted off label uses may be subject to significant liability.</w:t>
      </w:r>
    </w:p>
    <w:p>
      <w:pPr>
        <w:spacing w:after="0" w:line="193" w:lineRule="exact"/>
        <w:rPr>
          <w:sz w:val="20"/>
          <w:szCs w:val="20"/>
          <w:color w:val="auto"/>
        </w:rPr>
      </w:pPr>
    </w:p>
    <w:p>
      <w:pPr>
        <w:ind w:right="140" w:firstLine="598"/>
        <w:spacing w:after="0" w:line="255" w:lineRule="auto"/>
        <w:rPr>
          <w:sz w:val="20"/>
          <w:szCs w:val="20"/>
          <w:color w:val="auto"/>
        </w:rPr>
      </w:pPr>
      <w:r>
        <w:rPr>
          <w:rFonts w:ascii="Arial" w:cs="Arial" w:eastAsia="Arial" w:hAnsi="Arial"/>
          <w:sz w:val="18"/>
          <w:szCs w:val="18"/>
          <w:color w:val="auto"/>
        </w:rPr>
        <w:t>Drugs are also subject to extensive regulation outside of the United States. In the European Union, there is a centralized approval procedure that authorizes marketing of a product in all countries of the European Union through a single application and review process. If this centralized approval procedure is not used, approval in one country of the European Union can be used to obtain approval in another country of the European Union under one of two simplified application processes: the mutual recognition procedure or the decentralized procedure, both of which rely on the principle of mutual recognition. After receiving regulatory approval through any of the European registration procedures, separate pricing and reimbursement approvals are also required in most countries. The European Union also has requirements for approval of manufacturing facilities for all products that are approved for sale by the European regulatory authorities.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Additional Government Regulations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HIPAA and Other Privacy Laws</w:t>
      </w:r>
    </w:p>
    <w:p>
      <w:pPr>
        <w:spacing w:after="0" w:line="117" w:lineRule="exact"/>
        <w:rPr>
          <w:sz w:val="20"/>
          <w:szCs w:val="20"/>
          <w:color w:val="auto"/>
        </w:rPr>
      </w:pPr>
    </w:p>
    <w:p>
      <w:pPr>
        <w:ind w:right="180" w:firstLine="598"/>
        <w:spacing w:after="0" w:line="270" w:lineRule="auto"/>
        <w:rPr>
          <w:sz w:val="20"/>
          <w:szCs w:val="20"/>
          <w:color w:val="auto"/>
        </w:rPr>
      </w:pPr>
      <w:r>
        <w:rPr>
          <w:rFonts w:ascii="Arial" w:cs="Arial" w:eastAsia="Arial" w:hAnsi="Arial"/>
          <w:sz w:val="17"/>
          <w:szCs w:val="17"/>
          <w:color w:val="auto"/>
        </w:rPr>
        <w:t>HIPAA, established for the first-time comprehensive protection for the privacy and security of health information. The HIPAA standards apply to three types of organizations, or “Covered Entities”: health plans, healthcare clearing houses, and healthcare providers which conduct certain healthcare transactions electronically. Covered Entities and their Business Associates must have in place administrative, physical, and technical standards to guard against the misuse of individually identifiable health information. Because we are a healthcare provider and we conduct certain healthcare transactions electronically, we are presently a Covered Entity, and we must have in place the administrative, physical, and technical safeguards required by HIPAA, HITECH and their implementing regulations. Additionally, some state laws impose privacy protections more stringent than HIPAA. Most of the institutions and physicians from which we obtain biological specimens that we use in our research and validation work are Covered Entities and must obtain proper authorization from their patients for the subsequent use of those samples and associated clinical information. We may perform future activities that may implicate HIPAA, such as providing clinical laboratory testing services or entering into specific kinds of relationships with a Covered Entity or a Business Associate of a Covered Entity.</w:t>
      </w:r>
    </w:p>
    <w:p>
      <w:pPr>
        <w:spacing w:after="0" w:line="178"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If we or our operations are found to be in violation of HIPAA, HITECH or their implementing regulations, we may be subject to penalties, including civil and criminal penalties, fines, and exclusion from participation in U.S. federal or state health care programs, and the curtailment or restructuring of our operations. HITECH increased the civil and criminal penalties that may be imposed against Covered Entities, their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188"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Our activities must also comply with other applicable privacy laws. For example, there are also international privacy laws that impose restrictions on the access, use, and disclosure of health information. All of these laws may impact our business. Our failure to comply with these privacy laws or significant changes in the laws restricting our ability to obtain tissue samples and associated patient information could significantly impact our business and our future business plans.</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Federal and State Billing and Fraud and Abuse Laws</w:t>
      </w:r>
    </w:p>
    <w:p>
      <w:pPr>
        <w:spacing w:after="0" w:line="117"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i w:val="1"/>
          <w:iCs w:val="1"/>
          <w:color w:val="auto"/>
        </w:rPr>
        <w:t>Antifraud Laws/Overpayments</w:t>
      </w:r>
      <w:r>
        <w:rPr>
          <w:rFonts w:ascii="Arial" w:cs="Arial" w:eastAsia="Arial" w:hAnsi="Arial"/>
          <w:sz w:val="18"/>
          <w:szCs w:val="18"/>
          <w:color w:val="auto"/>
        </w:rPr>
        <w:t>. As participants in federal and state healthcare programs, we are subject to numerous federal and state antifraud and</w:t>
      </w:r>
      <w:r>
        <w:rPr>
          <w:rFonts w:ascii="Arial" w:cs="Arial" w:eastAsia="Arial" w:hAnsi="Arial"/>
          <w:sz w:val="18"/>
          <w:szCs w:val="18"/>
          <w:i w:val="1"/>
          <w:iCs w:val="1"/>
          <w:color w:val="auto"/>
        </w:rPr>
        <w:t xml:space="preserve"> </w:t>
      </w:r>
      <w:r>
        <w:rPr>
          <w:rFonts w:ascii="Arial" w:cs="Arial" w:eastAsia="Arial" w:hAnsi="Arial"/>
          <w:sz w:val="18"/>
          <w:szCs w:val="18"/>
          <w:color w:val="auto"/>
        </w:rPr>
        <w:t>abuse laws. Many of these antifraud laws are broad in scope, and neither the courts nor government agencies have extensively interpreted these laws. Prohibitions under some of these laws include:</w:t>
      </w:r>
    </w:p>
    <w:p>
      <w:pPr>
        <w:spacing w:after="0" w:line="73" w:lineRule="exact"/>
        <w:rPr>
          <w:sz w:val="20"/>
          <w:szCs w:val="20"/>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submission, or causing the submission of, false claims or false information to government programs;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deceptive or fraudulent conduct;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performing medically unnecessary procedures;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prohibitions in defrauding private sector health insurers.</w:t>
      </w:r>
    </w:p>
    <w:p>
      <w:pPr>
        <w:spacing w:after="0" w:line="225" w:lineRule="exact"/>
        <w:rPr>
          <w:sz w:val="20"/>
          <w:szCs w:val="20"/>
          <w:color w:val="auto"/>
        </w:rPr>
      </w:pPr>
    </w:p>
    <w:p>
      <w:pPr>
        <w:ind w:right="120" w:firstLine="598"/>
        <w:spacing w:after="0" w:line="287" w:lineRule="auto"/>
        <w:rPr>
          <w:sz w:val="20"/>
          <w:szCs w:val="20"/>
          <w:color w:val="auto"/>
        </w:rPr>
      </w:pPr>
      <w:r>
        <w:rPr>
          <w:rFonts w:ascii="Arial" w:cs="Arial" w:eastAsia="Arial" w:hAnsi="Arial"/>
          <w:sz w:val="16"/>
          <w:szCs w:val="16"/>
          <w:color w:val="auto"/>
        </w:rPr>
        <w:t>We could be subject to substantial penalties for violations of these laws, including denial of payment and refunds, suspension of payments from Medicare, Medicaid or other federal healthcare programs and exclusion from participation in the federal healthcare programs, as well as civil monetary and criminal penalties and imprisonment. One of these statutes, the False Claims Act, is a key enforcement tool used by the government to combat healthcare fraud. The False Claims Act imposes liability on any person who, among other things, knowingly presents, or causes to be presented, a false or fraudulent claim for payment by a federal healthcare program. In addition, violations of the federal physician self-referral laws, such as the Stark laws discussed below, may also violate false claims laws. Liability under the False Claims Act can result in treble damages and imposition of penalties. For example, we could be subject to penalties of $11,181 to $22,363 per false claim, and each use of our product could potentially be part of a different claim submitted to the government. Separately, the HHS office of the Office of Inspector General, or OIG, can exclude providers found liable under the False Claims Act from participating in federally funded healthcare programs, including Medicare and Medicaid. The steep penalties that may be imposed on laboratories and other providers under this statute may be disproportionate to the relatively small dollar amounts of the claims made by these providers for reimbursement. In addition, even the threat of being excluded from participation in federal healthcare programs can have significant financial consequences on a provider.</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2" w:name="page13"/>
    <w:bookmarkEnd w:id="12"/>
    <w:p>
      <w:pPr>
        <w:ind w:right="20" w:firstLine="598"/>
        <w:spacing w:after="0" w:line="264" w:lineRule="auto"/>
        <w:rPr>
          <w:sz w:val="20"/>
          <w:szCs w:val="20"/>
          <w:color w:val="auto"/>
        </w:rPr>
      </w:pPr>
      <w:r>
        <w:rPr>
          <w:rFonts w:ascii="Arial" w:cs="Arial" w:eastAsia="Arial" w:hAnsi="Arial"/>
          <w:sz w:val="18"/>
          <w:szCs w:val="18"/>
          <w:color w:val="auto"/>
        </w:rPr>
        <w:t>Numerous federal and state agencies enforce the antifraud and abuse laws. In addition, private insurers may also bring private actions. In some circumstances, private whistleblowers are authorized to bring fraud suits on behalf of the government against providers and are entitled to receive a portion of any final recovery.</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Federal and State “Self-Referral” and “Anti-Kickback” Restrictions</w:t>
      </w:r>
    </w:p>
    <w:p>
      <w:pPr>
        <w:spacing w:after="0" w:line="117"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i w:val="1"/>
          <w:iCs w:val="1"/>
          <w:color w:val="auto"/>
        </w:rPr>
        <w:t>Self-Referral law</w:t>
      </w:r>
      <w:r>
        <w:rPr>
          <w:rFonts w:ascii="Arial" w:cs="Arial" w:eastAsia="Arial" w:hAnsi="Arial"/>
          <w:sz w:val="18"/>
          <w:szCs w:val="18"/>
          <w:color w:val="auto"/>
        </w:rPr>
        <w:t>. We are subject to a federal “self-referral” law, commonly referred to as the “Stark” law, which provides that physicians who,</w:t>
      </w:r>
      <w:r>
        <w:rPr>
          <w:rFonts w:ascii="Arial" w:cs="Arial" w:eastAsia="Arial" w:hAnsi="Arial"/>
          <w:sz w:val="18"/>
          <w:szCs w:val="18"/>
          <w:i w:val="1"/>
          <w:iCs w:val="1"/>
          <w:color w:val="auto"/>
        </w:rPr>
        <w:t xml:space="preserve"> </w:t>
      </w:r>
      <w:r>
        <w:rPr>
          <w:rFonts w:ascii="Arial" w:cs="Arial" w:eastAsia="Arial" w:hAnsi="Arial"/>
          <w:sz w:val="18"/>
          <w:szCs w:val="18"/>
          <w:color w:val="auto"/>
        </w:rPr>
        <w:t>personally or through a family member, have ownership interests in or compensation arrangements with a laboratory are prohibited from making a referral to that laboratory for laboratory tests reimbursable by Medicare, and also prohibits laboratories from submitting a claim for Medicare payments for laboratory tests referred by physicians who, personally or through a family member, have ownership interests in or compensation arrangements with the testing laboratory. The Stark law contains a number of specific exceptions which, if met, permit physicians who have ownership or compensation arrangements with a testing laboratory to make referrals to that laboratory and permit the laboratory to submit claims for Medicare payments for laboratory tests performed pursuant to such referrals.</w:t>
      </w:r>
    </w:p>
    <w:p>
      <w:pPr>
        <w:spacing w:after="0" w:line="189"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We are subject to comparable state laws, some of which apply to all payors regardless of source of payment, and do not contain identical exceptions to the Stark law. For example, we are subject to a North Carolina self-referral law that prohibits a physician investor from referring to us any patients covered by private, employer-funded or state and federal employee health plans. The North Carolina self-referral law contains few exceptions for physician investors in securities that have not been acquired through public trading but will generally permit us to accept referrals from physician investors who buy their shares in the public market.</w:t>
      </w:r>
    </w:p>
    <w:p>
      <w:pPr>
        <w:spacing w:after="0" w:line="188"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We have several stockholders who are physicians in a position to make referrals to us. We have included within our compliance plan procedures to identify requests for testing services from physician investors and we do not bill Medicare, or any other federal program, or seek reimbursement from other third-party payors, for these tests. The self-referral laws may cause some physicians who would otherwise use our laboratory to use other laboratories for their testing.</w:t>
      </w:r>
    </w:p>
    <w:p>
      <w:pPr>
        <w:spacing w:after="0" w:line="187" w:lineRule="exact"/>
        <w:rPr>
          <w:sz w:val="20"/>
          <w:szCs w:val="20"/>
          <w:color w:val="auto"/>
        </w:rPr>
      </w:pPr>
    </w:p>
    <w:p>
      <w:pPr>
        <w:ind w:right="140" w:firstLine="598"/>
        <w:spacing w:after="0" w:line="276" w:lineRule="auto"/>
        <w:rPr>
          <w:sz w:val="20"/>
          <w:szCs w:val="20"/>
          <w:color w:val="auto"/>
        </w:rPr>
      </w:pPr>
      <w:r>
        <w:rPr>
          <w:rFonts w:ascii="Arial" w:cs="Arial" w:eastAsia="Arial" w:hAnsi="Arial"/>
          <w:sz w:val="17"/>
          <w:szCs w:val="17"/>
          <w:color w:val="auto"/>
        </w:rPr>
        <w:t>Providers are subject to sanctions for claims submitted for each service that is furnished based on a referral prohibited under the federal self-referral laws. These sanctions include denial of payment and refunds, civil monetary payments and exclusion from participation in federal healthcare programs and civil monetary penalties, and they may also include penalties for applicable violations of the False Claims Act, which may require payment of up to three times the actual damages sustained by the government, plus civil penalties of $11,181 to $22,363 for each separate false claim. Similarly, sanctions for violations under the North Carolina self-referral laws include refunds and monetary penalties.</w:t>
      </w:r>
    </w:p>
    <w:p>
      <w:pPr>
        <w:spacing w:after="0" w:line="173" w:lineRule="exact"/>
        <w:rPr>
          <w:sz w:val="20"/>
          <w:szCs w:val="20"/>
          <w:color w:val="auto"/>
        </w:rPr>
      </w:pPr>
    </w:p>
    <w:p>
      <w:pPr>
        <w:ind w:right="40" w:firstLine="598"/>
        <w:spacing w:after="0" w:line="268" w:lineRule="auto"/>
        <w:rPr>
          <w:sz w:val="20"/>
          <w:szCs w:val="20"/>
          <w:color w:val="auto"/>
        </w:rPr>
      </w:pPr>
      <w:r>
        <w:rPr>
          <w:rFonts w:ascii="Arial" w:cs="Arial" w:eastAsia="Arial" w:hAnsi="Arial"/>
          <w:sz w:val="17"/>
          <w:szCs w:val="17"/>
          <w:i w:val="1"/>
          <w:iCs w:val="1"/>
          <w:color w:val="auto"/>
        </w:rPr>
        <w:t>Anti-Kickback Statute</w:t>
      </w:r>
      <w:r>
        <w:rPr>
          <w:rFonts w:ascii="Arial" w:cs="Arial" w:eastAsia="Arial" w:hAnsi="Arial"/>
          <w:sz w:val="17"/>
          <w:szCs w:val="17"/>
          <w:color w:val="auto"/>
        </w:rPr>
        <w:t>. The federal Anti-Kickback Statute prohibits persons from knowingly and willfully soliciting, receiving, offering or paying</w:t>
      </w:r>
      <w:r>
        <w:rPr>
          <w:rFonts w:ascii="Arial" w:cs="Arial" w:eastAsia="Arial" w:hAnsi="Arial"/>
          <w:sz w:val="17"/>
          <w:szCs w:val="17"/>
          <w:i w:val="1"/>
          <w:iCs w:val="1"/>
          <w:color w:val="auto"/>
        </w:rPr>
        <w:t xml:space="preserve"> </w:t>
      </w:r>
      <w:r>
        <w:rPr>
          <w:rFonts w:ascii="Arial" w:cs="Arial" w:eastAsia="Arial" w:hAnsi="Arial"/>
          <w:sz w:val="17"/>
          <w:szCs w:val="17"/>
          <w:color w:val="auto"/>
        </w:rPr>
        <w:t>remuneration, directly or indirectly, to induce either the referral of an individual, or the furnishing, recommending, or arranging for a good or service, for which payment may be made under a federal healthcare program, such as the Medicare and Medicaid programs. The term “remuneration” is not defined in the federal Anti-Kickback Statute and has been broadly interpreted to include anything of value, including for example, gifts, discounts, the furnishing of supplies or equipment, credit arrangements, payments of cash, waivers of payment, ownership interests and providing anything at less than its fair market value. The reach of the Anti-Kickback Statute was also broadened by the PPACA, which, among other things, amends the intent requirement of the federal Anti-Kickback Statute and certain criminal healthcare fraud statutes, effective March 23, 2010. Pursuant to the statutory amendment, a person or entity does not need to have actual knowledge of this statute or specific intent to violate it in order to have committed a violation. In addition, PPACA provides that a claim including items or services resulting from a violation of the federal Anti-Kickback Statute constitutes a false or fraudulent claim for purposes of the False Claims Act or the civil monetary penalties statute, which imposes penalties against any person who is determined to have presented or caused to be presented a claim to a federal health program that the person knows or should know is for an item or service that was not provided as claimed or is false or fraudulent. Sanctions for violations of the federal Anti-Kickback Statute may include imprisonment and other criminal penalties, civil monetary penalties and exclusion from participation in federal healthcare programs.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3" w:name="page14"/>
    <w:bookmarkEnd w:id="13"/>
    <w:p>
      <w:pPr>
        <w:ind w:right="20" w:firstLine="598"/>
        <w:spacing w:after="0" w:line="259" w:lineRule="auto"/>
        <w:rPr>
          <w:sz w:val="20"/>
          <w:szCs w:val="20"/>
          <w:color w:val="auto"/>
        </w:rPr>
      </w:pPr>
      <w:r>
        <w:rPr>
          <w:rFonts w:ascii="Arial" w:cs="Arial" w:eastAsia="Arial" w:hAnsi="Arial"/>
          <w:sz w:val="18"/>
          <w:szCs w:val="18"/>
          <w:color w:val="auto"/>
        </w:rPr>
        <w:t>The OIG has criticized a number of the business practices in the clinical laboratory industry as potentially implicating the Anti-Kickback Statute, including compensation arrangements intended to induce referrals between laboratories and entities from which they receive, or to which they make, referrals. In addition, the OIG has indicated that “dual charge” billing practices that are intended to induce the referral of patients reimbursed by federal healthcare programs may violate the Anti-Kickback Statute.</w:t>
      </w:r>
    </w:p>
    <w:p>
      <w:pPr>
        <w:spacing w:after="0" w:line="187" w:lineRule="exact"/>
        <w:rPr>
          <w:sz w:val="20"/>
          <w:szCs w:val="20"/>
          <w:color w:val="auto"/>
        </w:rPr>
      </w:pPr>
    </w:p>
    <w:p>
      <w:pPr>
        <w:jc w:val="both"/>
        <w:ind w:right="140" w:firstLine="598"/>
        <w:spacing w:after="0" w:line="288" w:lineRule="auto"/>
        <w:rPr>
          <w:sz w:val="20"/>
          <w:szCs w:val="20"/>
          <w:color w:val="auto"/>
        </w:rPr>
      </w:pPr>
      <w:r>
        <w:rPr>
          <w:rFonts w:ascii="Arial" w:cs="Arial" w:eastAsia="Arial" w:hAnsi="Arial"/>
          <w:sz w:val="16"/>
          <w:szCs w:val="16"/>
          <w:color w:val="auto"/>
        </w:rPr>
        <w:t>Many states have also adopted laws similar to the federal Anti-Kickback Statute, some of which apply to the referral of patients for healthcare items or services reimbursed by any source, not only the Medicare and Medicaid programs, and do not contain identical safe harbors. For example, North Carolina has an anti-kickback statute that prohibits healthcare providers from paying any financial compensation for recommending or securing patient referrals.</w:t>
      </w:r>
    </w:p>
    <w:p>
      <w:pPr>
        <w:ind w:right="900"/>
        <w:spacing w:after="0" w:line="261" w:lineRule="auto"/>
        <w:rPr>
          <w:sz w:val="20"/>
          <w:szCs w:val="20"/>
          <w:color w:val="auto"/>
        </w:rPr>
      </w:pPr>
      <w:r>
        <w:rPr>
          <w:rFonts w:ascii="Arial" w:cs="Arial" w:eastAsia="Arial" w:hAnsi="Arial"/>
          <w:sz w:val="18"/>
          <w:szCs w:val="18"/>
          <w:color w:val="auto"/>
        </w:rPr>
        <w:t>Penalties for violations of this statute include license suspension or revocation or other disciplinary action. Other states have similar anti-kickback prohibitions.</w:t>
      </w:r>
    </w:p>
    <w:p>
      <w:pPr>
        <w:spacing w:after="0" w:line="184"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Both the federal Anti-Kickback Statute and the North Carolina anti-kickback law are broad in scope. The anti-kickback laws clearly prohibit payments for patient referrals. Under a broad interpretation, these laws could also prohibit a broad array of practices involving remuneration where one party is a potential source of referrals for the other.</w:t>
      </w:r>
    </w:p>
    <w:p>
      <w:pPr>
        <w:spacing w:after="0" w:line="181" w:lineRule="exact"/>
        <w:rPr>
          <w:sz w:val="20"/>
          <w:szCs w:val="20"/>
          <w:color w:val="auto"/>
        </w:rPr>
      </w:pPr>
    </w:p>
    <w:p>
      <w:pPr>
        <w:ind w:right="20" w:firstLine="598"/>
        <w:spacing w:after="0" w:line="289" w:lineRule="auto"/>
        <w:rPr>
          <w:sz w:val="20"/>
          <w:szCs w:val="20"/>
          <w:color w:val="auto"/>
        </w:rPr>
      </w:pPr>
      <w:r>
        <w:rPr>
          <w:rFonts w:ascii="Arial" w:cs="Arial" w:eastAsia="Arial" w:hAnsi="Arial"/>
          <w:sz w:val="16"/>
          <w:szCs w:val="16"/>
          <w:color w:val="auto"/>
        </w:rPr>
        <w:t>If we or our operations are found to be in violation of any of the laws described above or any other governmental regulations that apply to us, we may be subject to penalties, including civil and criminal penalties, damages, fines, exclusion from participation in U.S. federal or state health care programs, and the curtailment or restructuring of our operations. To the extent that any product we make is sold in a foreign country in the future,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 To reduce the risks associated with these various laws and governmental regulations, we have implemented a compliance plan.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117"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In March 2010, the PPACA was enacted, which includes measures that have or will significantly change the way healthcare is financed by both governmental and private insurers. Beginning in August 2013, the PPACA and its implementing regulations requires drug and medical device manufacturers to track certain financial arrangements with physicians and teaching hospitals, including any “transfer of value” made or distributed to such entities, as well as any investment interests held by physicians and their immediate family members. Manufacturers are required to report this information to Centers for Medicare &amp; Medicaid Services on an annual basis. Failure to make timely reports to CMS can subject us to significant civil penalties. Various states have also implemented regulations prohibiting certain financial interactions with healthcare professionals or mandating public disclosure of such financial interactions. We may incur significant costs to comply with such laws and regulations now or in the future.</w:t>
      </w:r>
    </w:p>
    <w:p>
      <w:pPr>
        <w:spacing w:after="0" w:line="28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17"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Other Corporate Transactions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Joint Venture Agreement and Issuance of Shares by Capnia, Inc.</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In December 2017, we entered into a joint venture agreement, or the Joint Venture Agreement, with OptAsia Healthcare Limited, a Hong Kong company, or OAHL, with respect to CoSense with the intent to sell shares of Capnia, Inc., our previously wholly-owned subsidiary into which our CoSense business had been transferred, to OAHL. Under the terms of the Joint Venture Agreement, OAHL agreed to invest up to $2.2 million to purchase shares of our Capnia subsidiary and as a result of this investment, when made, Capnia would no longer be our wholly-owned subsidiary. Going forward, OAHL would be responsible for funding the operations of Capnia. In addition, OAHL has the option to buy our remaining interest in Capnia as set forth in the Joint Venture Agreement.</w:t>
      </w:r>
    </w:p>
    <w:p>
      <w:pPr>
        <w:spacing w:after="0" w:line="193" w:lineRule="exact"/>
        <w:rPr>
          <w:sz w:val="20"/>
          <w:szCs w:val="20"/>
          <w:color w:val="auto"/>
        </w:rPr>
      </w:pPr>
    </w:p>
    <w:p>
      <w:pPr>
        <w:ind w:right="140" w:firstLine="598"/>
        <w:spacing w:after="0" w:line="257" w:lineRule="auto"/>
        <w:rPr>
          <w:sz w:val="20"/>
          <w:szCs w:val="20"/>
          <w:color w:val="auto"/>
        </w:rPr>
      </w:pPr>
      <w:r>
        <w:rPr>
          <w:rFonts w:ascii="Arial" w:cs="Arial" w:eastAsia="Arial" w:hAnsi="Arial"/>
          <w:sz w:val="18"/>
          <w:szCs w:val="18"/>
          <w:color w:val="auto"/>
        </w:rPr>
        <w:t>During October 2018, we determined and agreed that the cumulative investment made by OAHL exceeded $1.2 million as dictated by the Joint Venture Agreement between us and OAHL. Accordingly, on October 16, 2018, Capnia issued 1,690,322 shares of its common stock to OAHL, representing 53% of its outstanding shares. After the issuance by Capnia, we no longer held a controlling interest in Capnia. The transfer of the 53% ownership stake resulted in the deconsolidation of Capnia from our financial statements and a $1.9 million gain recognized in the fourth quarter of 2018. Our remaining 47% investment in Capnia is classified as an equity method investment.</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2018 PIPE Offering</w:t>
      </w:r>
    </w:p>
    <w:p>
      <w:pPr>
        <w:spacing w:after="0" w:line="117" w:lineRule="exact"/>
        <w:rPr>
          <w:sz w:val="20"/>
          <w:szCs w:val="20"/>
          <w:color w:val="auto"/>
        </w:rPr>
      </w:pPr>
    </w:p>
    <w:p>
      <w:pPr>
        <w:ind w:right="80" w:firstLine="598"/>
        <w:spacing w:after="0" w:line="272" w:lineRule="auto"/>
        <w:rPr>
          <w:sz w:val="20"/>
          <w:szCs w:val="20"/>
          <w:color w:val="auto"/>
        </w:rPr>
      </w:pPr>
      <w:r>
        <w:rPr>
          <w:rFonts w:ascii="Arial" w:cs="Arial" w:eastAsia="Arial" w:hAnsi="Arial"/>
          <w:sz w:val="17"/>
          <w:szCs w:val="17"/>
          <w:color w:val="auto"/>
        </w:rPr>
        <w:t>On December 19, 2018, we entered into a Securities Purchase Agreement with certain purchasers, pursuant to which we sold and issued 10,272,375 units at a price per unit of $1.61, for aggregate gross proceeds of $16.5 million. Each unit consisted of one share of our common stock and a warrant to purchase 0.05 shares of our common stock at an exercise price of $2.00 per share, for an aggregate of 10,272,375 shares of common stock and corresponding warrants to purchase an aggregate of 513,617 shares of common stock, together with the shares of common stock are referred to as the 2018 Resale Shares. We also granted certain registration rights to these stockholders, pursuant to which, among other things, we will prepare and file with the SEC a registration statement to register for resale the 2018 Resale Shares prior to March 31, 2019. This offering is referred to herein as the 2018 PIPE Offering and the warrants issued therein are referred to as the 2018 PIPE Warrants.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420" w:firstLine="598"/>
        <w:spacing w:after="0" w:line="342" w:lineRule="auto"/>
        <w:rPr>
          <w:sz w:val="20"/>
          <w:szCs w:val="20"/>
          <w:color w:val="auto"/>
        </w:rPr>
      </w:pPr>
      <w:r>
        <w:rPr>
          <w:rFonts w:ascii="Arial" w:cs="Arial" w:eastAsia="Arial" w:hAnsi="Arial"/>
          <w:sz w:val="16"/>
          <w:szCs w:val="16"/>
          <w:color w:val="auto"/>
        </w:rPr>
        <w:t>As of December 31, 2018, we had nine full-time employees and fourteen full-time or part-time consultants providing services to us. None of our employees is represented by a labor union or covered by collective bargaining agreements. We consider our relationship with our employees to be good.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Available Information</w:t>
      </w:r>
    </w:p>
    <w:p>
      <w:pPr>
        <w:spacing w:after="0" w:line="121" w:lineRule="exact"/>
        <w:rPr>
          <w:sz w:val="20"/>
          <w:szCs w:val="20"/>
          <w:color w:val="auto"/>
        </w:rPr>
      </w:pPr>
    </w:p>
    <w:p>
      <w:pPr>
        <w:ind w:right="80" w:firstLine="598"/>
        <w:spacing w:after="0" w:line="273" w:lineRule="auto"/>
        <w:rPr>
          <w:sz w:val="20"/>
          <w:szCs w:val="20"/>
          <w:color w:val="auto"/>
        </w:rPr>
      </w:pPr>
      <w:r>
        <w:rPr>
          <w:rFonts w:ascii="Arial" w:cs="Arial" w:eastAsia="Arial" w:hAnsi="Arial"/>
          <w:sz w:val="17"/>
          <w:szCs w:val="17"/>
          <w:color w:val="auto"/>
        </w:rPr>
        <w:t>Our principal corporate offices are located at 1235 Radio Road, Suite 110, Redwood City, California 94065 and our telephone number is (650) 213-8444. We were incorporated in Delaware on August 25, 1999. Our internet address is www.soleno.life. We make available on our website, free of charge, our Annual Report on Form 10-K, Quarterly Reports on Form 10-Q, Current Reports on Form 8-K and any amendments to those reports, as soon as reasonably practicable after we electronically file such materials with, or furnish it to, the Securities Exchange and Commission. Our Securities Exchange and Commission reports can be accessed through the Investor Relations section of our internet website. The information found on our internet website is not part of this or any other report we file with or furnish to the Securities Exchange and Commission.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An investment in our securities has a high degree of risk. Before you invest you should carefully consider the risks and uncertainties described below together with all the of the other information in this Annual Report on Form 10-K, including our consolidated financial statements and related notes. If any of the following risks actually occur, our business, operating results and financial condition could be harmed, and the value of our stock could go down. This means you could lose all or a part of your investment.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primarily a clinical-stage company with no approved products, which makes assessment of our future viability difficult.</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We are primarily a clinical-stage company, with a relatively limited operating history and with no approved therapeutic products or revenues from the sale of therapeutic products. As a result, there is limited information for investors to use when assessing our future viability as a company focused primarily on therapeutic products and our potential to successfully develop product candidates, conduct clinical trials, manufacture our products on a commercial scale, obtain regulatory approval and profitably commercialize any approved products.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significantly dependent upon the success of DCCR, our sole therapeutic product candidate.</w:t>
      </w:r>
    </w:p>
    <w:p>
      <w:pPr>
        <w:spacing w:after="0" w:line="117" w:lineRule="exact"/>
        <w:rPr>
          <w:sz w:val="20"/>
          <w:szCs w:val="20"/>
          <w:color w:val="auto"/>
        </w:rPr>
      </w:pPr>
    </w:p>
    <w:p>
      <w:pPr>
        <w:jc w:val="both"/>
        <w:ind w:right="140" w:firstLine="598"/>
        <w:spacing w:after="0" w:line="264" w:lineRule="auto"/>
        <w:rPr>
          <w:sz w:val="20"/>
          <w:szCs w:val="20"/>
          <w:color w:val="auto"/>
        </w:rPr>
      </w:pPr>
      <w:r>
        <w:rPr>
          <w:rFonts w:ascii="Arial" w:cs="Arial" w:eastAsia="Arial" w:hAnsi="Arial"/>
          <w:sz w:val="18"/>
          <w:szCs w:val="18"/>
          <w:color w:val="auto"/>
        </w:rPr>
        <w:t>We invest a significant portion of our efforts and financial resources in the development of DCCR for the treatment of PWS, a rare complex genetic neurobehavioral/metabolic disease. Our ability to generate product revenues, which may not occur for the foreseeable future, if ever, will depend heavily on the successful development, regulatory approval, and commercialization of DCCR.</w:t>
      </w:r>
    </w:p>
    <w:p>
      <w:pPr>
        <w:spacing w:after="0" w:line="181"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Any delay or impediment in our ability to obtain regulatory approval to commercialize in any region, or, if approved, obtain coverage and adequate reimbursement from third-parties, including government payors, for DCCR, may cause us to be unable to generate the revenues necessary to continue our research and development pipeline activities, thereby adversely affecting our business and our prospects for future growth. Further, the success of DCCR will depend on a number of factors, including the following:</w:t>
      </w:r>
    </w:p>
    <w:p>
      <w:pPr>
        <w:spacing w:after="0" w:line="79" w:lineRule="exact"/>
        <w:rPr>
          <w:sz w:val="20"/>
          <w:szCs w:val="20"/>
          <w:color w:val="auto"/>
        </w:rPr>
      </w:pPr>
    </w:p>
    <w:p>
      <w:pPr>
        <w:ind w:left="1040" w:hanging="438"/>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 a sufficiently broad label that would not unduly restrict patient access;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receipt of marketing approvals for DCCR in the U. S. and E. U.;</w:t>
      </w:r>
    </w:p>
    <w:p>
      <w:pPr>
        <w:spacing w:after="0" w:line="117" w:lineRule="exact"/>
        <w:rPr>
          <w:rFonts w:ascii="Arial" w:cs="Arial" w:eastAsia="Arial" w:hAnsi="Arial"/>
          <w:sz w:val="18"/>
          <w:szCs w:val="18"/>
          <w:color w:val="auto"/>
        </w:rPr>
      </w:pPr>
    </w:p>
    <w:p>
      <w:pPr>
        <w:ind w:left="1040" w:right="940" w:hanging="438"/>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building an infrastructure capable of supporting product sales, marketing, and distribution of DCCR in territories where we pursue commercialization directly;</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establishing commercial manufacturing arrangements with third party manufacturers;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establishing commercial distribution agreements with third party distributors;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launching commercial sales of DCCR, if and when approved, whether alone or in collaboration with others;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acceptance of DCCR, if and when approved, by patients, the medical community, and third-party payers;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regulatory approval pathway that we pursue for DCCR in the United States;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continued acceptable safety profile of DCCR following approval;</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 and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obtaining a commercially viable price for our products.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6" w:name="page17"/>
    <w:bookmarkEnd w:id="16"/>
    <w:p>
      <w:pPr>
        <w:ind w:right="240" w:firstLine="598"/>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DCCR, which would materially harm our business.</w:t>
      </w:r>
    </w:p>
    <w:p>
      <w:pPr>
        <w:spacing w:after="0" w:line="279"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b w:val="1"/>
          <w:bCs w:val="1"/>
          <w:i w:val="1"/>
          <w:iCs w:val="1"/>
          <w:color w:val="auto"/>
        </w:rPr>
        <w:t>We have a limited commercialization history and have incurred significant losses since our inception, and we anticipate that we will continue to incur substantial losses for the foreseeable future. We transitioned to be primarily a research and development company, which, together with our limited operating history, makes it difficult to evaluate our business and assess our future viability.</w:t>
      </w:r>
    </w:p>
    <w:p>
      <w:pPr>
        <w:spacing w:after="0" w:line="57"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We are a developer of therapeutics and medical devices with a limited commercialization history. Evaluating our performance, viability or future success will be more difficult than if we had a longer operating history or approved products for sale on the market. We continue to incur significant research and development and general and administrative expenses related to our operations. Investment in product development is highly speculative, because it entails substantial upfront capital expenditures and significant risk that any planned product will fail to demonstrate adequate accuracy or clinical utility. We have incurred significant operating losses in each year since our inception and expect that we will not be profitable for an indefinite period of time. As of December 31, 2018, we had an accumulated deficit of $127.0 million.</w:t>
      </w:r>
    </w:p>
    <w:p>
      <w:pPr>
        <w:spacing w:after="0" w:line="193"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We expect that our future financial results will depend primarily on our success in developing, launching, selling and supporting our products. This will require us to be successful in a range of activities, including clinical trials, manufacturing, marketing and selling our products. We are only in the preliminary stages of some of these activities. We may not succeed in these activities and may never generate revenue that is sufficient to be profitable in the future.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planned products, market our current and planned products, or continue our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generated limited product revenue and may never become profitable.</w:t>
      </w:r>
    </w:p>
    <w:p>
      <w:pPr>
        <w:spacing w:after="0" w:line="117" w:lineRule="exact"/>
        <w:rPr>
          <w:sz w:val="20"/>
          <w:szCs w:val="20"/>
          <w:color w:val="auto"/>
        </w:rPr>
      </w:pPr>
    </w:p>
    <w:p>
      <w:pPr>
        <w:ind w:right="320" w:firstLine="598"/>
        <w:spacing w:after="0" w:line="259" w:lineRule="auto"/>
        <w:rPr>
          <w:sz w:val="20"/>
          <w:szCs w:val="20"/>
          <w:color w:val="auto"/>
        </w:rPr>
      </w:pPr>
      <w:r>
        <w:rPr>
          <w:rFonts w:ascii="Arial" w:cs="Arial" w:eastAsia="Arial" w:hAnsi="Arial"/>
          <w:sz w:val="18"/>
          <w:szCs w:val="18"/>
          <w:color w:val="auto"/>
        </w:rPr>
        <w:t>To date, we have not generated significant revenues to achieve profitability. Our ability to generate significant revenue from product sales and achieve profitability will depend upon our ability, alone or with any future collaborators, to successfully commercialize products that we may develop, in-license or acquire in the future. Our ability to generate revenue from product sales from planned products also depends on a number of additional factors, including our ability to:</w:t>
      </w:r>
    </w:p>
    <w:p>
      <w:pPr>
        <w:spacing w:after="0" w:line="79" w:lineRule="exact"/>
        <w:rPr>
          <w:sz w:val="20"/>
          <w:szCs w:val="20"/>
          <w:color w:val="auto"/>
        </w:rPr>
      </w:pPr>
    </w:p>
    <w:p>
      <w:pPr>
        <w:ind w:left="1040" w:right="360" w:hanging="438"/>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 a commercial organization capable of sales, marketing and distribution of any products for which we obtain marketing approval in markets where we intend to commercialize independently;</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achieve market acceptance of our current and future products, if any;</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set a commercially viable price for our current and future products, if any;</w:t>
      </w:r>
    </w:p>
    <w:p>
      <w:pPr>
        <w:spacing w:after="0" w:line="117" w:lineRule="exact"/>
        <w:rPr>
          <w:rFonts w:ascii="Arial" w:cs="Arial" w:eastAsia="Arial" w:hAnsi="Arial"/>
          <w:sz w:val="18"/>
          <w:szCs w:val="18"/>
          <w:color w:val="auto"/>
        </w:rPr>
      </w:pPr>
    </w:p>
    <w:p>
      <w:pPr>
        <w:ind w:left="1040" w:right="860" w:hanging="438"/>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reliable third parties, and ensure adequate and legally compliant manufacturing to maintain that supply;</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 coverage and adequate reimbursement from third-party payors, including government and private payors;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find suitable global and U.S. distribution partners to help us market, sell and distribute our products in other markets;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complete and submit applications to, and obtain regulatory approval from, foreign regulatory authorities;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complete development activities successfully and on a timely basis;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establish, maintain and protect our intellectual property rights and avoid third-party patent interference or patent infringement claims; and</w:t>
      </w:r>
    </w:p>
    <w:p>
      <w:pPr>
        <w:spacing w:after="0" w:line="128" w:lineRule="exact"/>
        <w:rPr>
          <w:rFonts w:ascii="Arial" w:cs="Arial" w:eastAsia="Arial" w:hAnsi="Arial"/>
          <w:sz w:val="17"/>
          <w:szCs w:val="17"/>
          <w:color w:val="auto"/>
        </w:rPr>
      </w:pPr>
    </w:p>
    <w:p>
      <w:pPr>
        <w:ind w:left="1040" w:hanging="438"/>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ind w:right="40" w:firstLine="598"/>
        <w:spacing w:after="0" w:line="302" w:lineRule="auto"/>
        <w:rPr>
          <w:sz w:val="20"/>
          <w:szCs w:val="20"/>
          <w:color w:val="auto"/>
        </w:rPr>
      </w:pPr>
      <w:r>
        <w:rPr>
          <w:rFonts w:ascii="Arial" w:cs="Arial" w:eastAsia="Arial" w:hAnsi="Arial"/>
          <w:sz w:val="16"/>
          <w:szCs w:val="16"/>
          <w:color w:val="auto"/>
        </w:rPr>
        <w:t>In addition, because of the numerous risks and uncertainties associated with product development and commercialization, including that our planned products may not advance through development, achieve the endpoints of applicable clinical trials or obtain approval, we are unable to predict the timing or amount of increased expenses, or when or if we will be able to achieve or maintain profitability. In addition, our expenses could increase beyond expectations if we decide, or are required by the FDA or foreign regulatory authorities, to perform studies or clinical trials in addition to those that we currently anticipate.</w:t>
      </w:r>
    </w:p>
    <w:p>
      <w:pPr>
        <w:spacing w:after="0" w:line="154" w:lineRule="exact"/>
        <w:rPr>
          <w:sz w:val="20"/>
          <w:szCs w:val="20"/>
          <w:color w:val="auto"/>
        </w:rPr>
      </w:pPr>
    </w:p>
    <w:p>
      <w:pPr>
        <w:ind w:firstLine="598"/>
        <w:spacing w:after="0" w:line="286" w:lineRule="auto"/>
        <w:rPr>
          <w:sz w:val="20"/>
          <w:szCs w:val="20"/>
          <w:color w:val="auto"/>
        </w:rPr>
      </w:pPr>
      <w:r>
        <w:rPr>
          <w:rFonts w:ascii="Arial" w:cs="Arial" w:eastAsia="Arial" w:hAnsi="Arial"/>
          <w:sz w:val="17"/>
          <w:szCs w:val="17"/>
          <w:color w:val="auto"/>
        </w:rPr>
        <w:t>Even if we are able to generate significant revenue from the sale of any of our products that may be approved or commercialized,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or shut down our operations.</w:t>
      </w:r>
    </w:p>
    <w:p>
      <w:pPr>
        <w:spacing w:after="0" w:line="2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below our guidance.</w:t>
      </w:r>
    </w:p>
    <w:p>
      <w:pPr>
        <w:spacing w:after="0" w:line="62" w:lineRule="exact"/>
        <w:rPr>
          <w:sz w:val="20"/>
          <w:szCs w:val="20"/>
          <w:color w:val="auto"/>
        </w:rPr>
      </w:pPr>
    </w:p>
    <w:p>
      <w:pPr>
        <w:ind w:right="80" w:firstLine="598"/>
        <w:spacing w:after="0" w:line="288" w:lineRule="auto"/>
        <w:rPr>
          <w:sz w:val="20"/>
          <w:szCs w:val="20"/>
          <w:color w:val="auto"/>
        </w:rPr>
      </w:pPr>
      <w:r>
        <w:rPr>
          <w:rFonts w:ascii="Arial" w:cs="Arial" w:eastAsia="Arial" w:hAnsi="Arial"/>
          <w:sz w:val="16"/>
          <w:szCs w:val="16"/>
          <w:color w:val="auto"/>
        </w:rPr>
        <w:t>Our quarterly and annual operating results may fluctuate significantly in the future, which makes it difficult for us to predict our future operating results. From time to time, we may enter into collaboration agreements with other companies that include development funding and significant upfront and milestone payments or royalties, which may become an important source of our revenue. Accordingly, our revenue may depend on development funding and the achievement of development and clinical milestones under any potential future collaboration and license agreements and sales of our products, if approved. These upfront and milestone payments may vary significantly from period to period, and any such variance could cause a significant fluctuation in our operating results from one period to the next. 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 Furthermore, our operating results may fluctuate due to a variety of other factors, many of which are outside of our control and may be difficult to predict, including the following:</w:t>
      </w:r>
    </w:p>
    <w:p>
      <w:pPr>
        <w:spacing w:after="0" w:line="61" w:lineRule="exact"/>
        <w:rPr>
          <w:sz w:val="20"/>
          <w:szCs w:val="20"/>
          <w:color w:val="auto"/>
        </w:rPr>
      </w:pPr>
    </w:p>
    <w:p>
      <w:pPr>
        <w:ind w:left="1040" w:hanging="438"/>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and the timing of enrollment;</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and risk of initiating sales and marketing activities;</w:t>
      </w:r>
    </w:p>
    <w:p>
      <w:pPr>
        <w:spacing w:after="0" w:line="117" w:lineRule="exact"/>
        <w:rPr>
          <w:rFonts w:ascii="Arial" w:cs="Arial" w:eastAsia="Arial" w:hAnsi="Arial"/>
          <w:sz w:val="18"/>
          <w:szCs w:val="18"/>
          <w:color w:val="auto"/>
        </w:rPr>
      </w:pPr>
    </w:p>
    <w:p>
      <w:pPr>
        <w:ind w:left="1040" w:hanging="438"/>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planned products, which will change from time to time;</w:t>
      </w:r>
    </w:p>
    <w:p>
      <w:pPr>
        <w:spacing w:after="0" w:line="62" w:lineRule="exact"/>
        <w:rPr>
          <w:rFonts w:ascii="Arial" w:cs="Arial" w:eastAsia="Arial" w:hAnsi="Arial"/>
          <w:sz w:val="18"/>
          <w:szCs w:val="18"/>
          <w:color w:val="auto"/>
        </w:rPr>
      </w:pPr>
    </w:p>
    <w:p>
      <w:pPr>
        <w:ind w:left="1040" w:right="380" w:hanging="438"/>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manufacturing our products may vary depending on FDA and other regulatory requirements, the quantity of production and the terms of our agreements with manufacturers;</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planned products and technologies;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design, timing and outcomes of clinical studies;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competitive landscape of our industry, including consolidation among our competitors or potential partners;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delays in regulatory review or approval in the U.S. or globally, of any of our planned products;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demand for our products may fluctuate significantly and be difficult to predict;</w:t>
      </w:r>
    </w:p>
    <w:p>
      <w:pPr>
        <w:spacing w:after="0" w:line="117" w:lineRule="exact"/>
        <w:rPr>
          <w:rFonts w:ascii="Arial" w:cs="Arial" w:eastAsia="Arial" w:hAnsi="Arial"/>
          <w:sz w:val="18"/>
          <w:szCs w:val="18"/>
          <w:color w:val="auto"/>
        </w:rPr>
      </w:pPr>
    </w:p>
    <w:p>
      <w:pPr>
        <w:ind w:left="1040" w:right="20" w:hanging="438"/>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future products, if approved, and existing and potential future drugs that compete with our planned products;</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from existing and potential future offerings that compete with our products;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commercialize our products inside and outside of the U.S., either independently or working with third parties;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8" w:name="page19"/>
    <w:bookmarkEnd w:id="18"/>
    <w:p>
      <w:pPr>
        <w:ind w:left="1040" w:hanging="438"/>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changing and volatile global economic environment.</w:t>
      </w:r>
    </w:p>
    <w:p>
      <w:pPr>
        <w:spacing w:after="0" w:line="225"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2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We may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p>
      <w:pPr>
        <w:spacing w:after="0" w:line="79" w:lineRule="exact"/>
        <w:rPr>
          <w:sz w:val="20"/>
          <w:szCs w:val="20"/>
          <w:color w:val="auto"/>
        </w:rPr>
      </w:pPr>
    </w:p>
    <w:p>
      <w:pPr>
        <w:ind w:right="180" w:firstLine="598"/>
        <w:spacing w:after="0" w:line="297" w:lineRule="auto"/>
        <w:rPr>
          <w:sz w:val="20"/>
          <w:szCs w:val="20"/>
          <w:color w:val="auto"/>
        </w:rPr>
      </w:pPr>
      <w:r>
        <w:rPr>
          <w:rFonts w:ascii="Arial" w:cs="Arial" w:eastAsia="Arial" w:hAnsi="Arial"/>
          <w:sz w:val="16"/>
          <w:szCs w:val="16"/>
          <w:color w:val="auto"/>
        </w:rPr>
        <w:t>The accompanying consolidated financial statements have been prepared on a going concern basis, which contemplates the realization of assets and the satisfaction of liabilities in the normal course of business. As of December 31, 2018, we have incurred significant operating losses since inception and continue to generate losses from operations and have an accumulated deficit of $127.0 million. These matters raise substantial doubt about our ability to continue as a going concern. The consolidated financial statements do not include any adjustments relating to the recoverability and classification of asset amounts or the classification of liabilities that might be necessary should we be unable to continue as a going concern.</w:t>
      </w:r>
    </w:p>
    <w:p>
      <w:pPr>
        <w:spacing w:after="0" w:line="158" w:lineRule="exact"/>
        <w:rPr>
          <w:sz w:val="20"/>
          <w:szCs w:val="20"/>
          <w:color w:val="auto"/>
        </w:rPr>
      </w:pPr>
    </w:p>
    <w:p>
      <w:pPr>
        <w:ind w:right="220" w:firstLine="598"/>
        <w:spacing w:after="0" w:line="302" w:lineRule="auto"/>
        <w:rPr>
          <w:sz w:val="20"/>
          <w:szCs w:val="20"/>
          <w:color w:val="auto"/>
        </w:rPr>
      </w:pPr>
      <w:r>
        <w:rPr>
          <w:rFonts w:ascii="Arial" w:cs="Arial" w:eastAsia="Arial" w:hAnsi="Arial"/>
          <w:sz w:val="16"/>
          <w:szCs w:val="16"/>
          <w:color w:val="auto"/>
        </w:rPr>
        <w:t>Commercial results have been limited and we have not generated significant revenues. We cannot assure our stockholders that our revenues will be sufficient to fund our operations, including expenses related to our current ongoing clinical trial of DCCR. If adequate funds are not available, we may be required to curtail our operations significantly or to obtain funds through dilutive financings or entering into arrangements with collaborative partners or others that may require us to relinquish rights to certain of our technologies or products that we would not otherwise relinquish.</w:t>
      </w:r>
    </w:p>
    <w:p>
      <w:pPr>
        <w:spacing w:after="0" w:line="154"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At December 31, 2018, our cash balance was $23.1 million. We intend to raise additional capital, either through debt or equity financings to achieve our business plan objectives, including increased expenses related to additional resources being deployed to manage enrollment of patients and other activities related to our current ongoing clinical trial of DCCR. We believe that we can be successful in obtaining additional capital; however, no assurance can be provided that we will be able to do so. There is no assurance that any funds raised will be sufficient to enable us to attain profitable operations or continue as a going concern. To the extent that we are unsuccessful, we may need to curtail or cease our operations and implement a plan to extend payables or reduce overhead until sufficient additional capital is raised to support further operations. There can be no assurance that such a plan will be successful.</w:t>
      </w:r>
    </w:p>
    <w:p>
      <w:pPr>
        <w:spacing w:after="0" w:line="165" w:lineRule="exact"/>
        <w:rPr>
          <w:sz w:val="20"/>
          <w:szCs w:val="20"/>
          <w:color w:val="auto"/>
        </w:rPr>
      </w:pPr>
    </w:p>
    <w:p>
      <w:pPr>
        <w:ind w:right="60" w:firstLine="598"/>
        <w:spacing w:after="0" w:line="293" w:lineRule="auto"/>
        <w:rPr>
          <w:sz w:val="20"/>
          <w:szCs w:val="20"/>
          <w:color w:val="auto"/>
        </w:rPr>
      </w:pPr>
      <w:r>
        <w:rPr>
          <w:rFonts w:ascii="Arial" w:cs="Arial" w:eastAsia="Arial" w:hAnsi="Arial"/>
          <w:sz w:val="16"/>
          <w:szCs w:val="16"/>
          <w:color w:val="auto"/>
        </w:rPr>
        <w:t>We do not have any material committed external source of funds or other support for our commercialization and development efforts. Until we can generate a sufficient amount of product revenue to finance our cash requirements, which we may never achieve, we expect to finance future cash needs through a combination of public or private equity offerings, debt financings, collaborations, strategic alliances, licensing arrangements and other marketing and distribution arrangements. Additional financing may not be available to us when we need it, or it may not be available on favorable terms. If we raise additional capital through marketing and distribution arrangements or other collaborations, strategic alliances or licensing arrangements with third parties, we may have to relinquish certain valuable rights to our current and planned products, technologies, future revenue streams or research</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9" w:name="page20"/>
    <w:bookmarkEnd w:id="19"/>
    <w:p>
      <w:pPr>
        <w:ind w:right="40"/>
        <w:spacing w:after="0" w:line="255" w:lineRule="auto"/>
        <w:rPr>
          <w:sz w:val="20"/>
          <w:szCs w:val="20"/>
          <w:color w:val="auto"/>
        </w:rPr>
      </w:pPr>
      <w:r>
        <w:rPr>
          <w:rFonts w:ascii="Arial" w:cs="Arial" w:eastAsia="Arial" w:hAnsi="Arial"/>
          <w:sz w:val="18"/>
          <w:szCs w:val="18"/>
          <w:color w:val="auto"/>
        </w:rPr>
        <w:t>programs, or grant licenses on terms that may not be favorable to us. If we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obtain adequate financing when needed, we may have to delay, reduce the scope of, or suspend one or more of our clinical studies or research and development programs or our commercialization efforts.</w:t>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engage in strategic transactions that could impact our liquidity, increase our expenses and present significant distractions to our management.</w:t>
      </w:r>
    </w:p>
    <w:p>
      <w:pPr>
        <w:spacing w:after="0" w:line="152"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From time to time we may consider strategic transactions, such as acquisitions, asset purchases and sales,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could not result in perceived benefits that were contemplated upon entering into the transaction, and may pose significant integration challenges or disrupt our management or business, which could adversely affect our operations, solvency and financial results. For example, these transactions may entail numerous operational and financial risks, including:</w:t>
      </w:r>
    </w:p>
    <w:p>
      <w:pPr>
        <w:spacing w:after="0" w:line="57" w:lineRule="exact"/>
        <w:rPr>
          <w:sz w:val="20"/>
          <w:szCs w:val="20"/>
          <w:color w:val="auto"/>
        </w:rPr>
      </w:pPr>
    </w:p>
    <w:p>
      <w:pPr>
        <w:ind w:left="1040" w:hanging="438"/>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exposure to unknown and contingent liabilities;</w:t>
      </w:r>
    </w:p>
    <w:p>
      <w:pPr>
        <w:spacing w:after="0" w:line="117" w:lineRule="exact"/>
        <w:rPr>
          <w:rFonts w:ascii="Arial" w:cs="Arial" w:eastAsia="Arial" w:hAnsi="Arial"/>
          <w:sz w:val="18"/>
          <w:szCs w:val="18"/>
          <w:color w:val="auto"/>
        </w:rPr>
      </w:pPr>
    </w:p>
    <w:p>
      <w:pPr>
        <w:ind w:left="1040" w:right="180" w:hanging="438"/>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likelihood of payment of milestones or royalties;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operating expenditures, including additional research, development and sales and marketing expenses;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 and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w:t>
      </w:r>
    </w:p>
    <w:p>
      <w:pPr>
        <w:spacing w:after="0" w:line="237"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Accordingly, although there can be no assurance that we will undertake or successfully complete any additional transactions of the nature described above or that we will achieve an economic benefit that justifies such transactions, any additional transactions that we do complete could have a material adverse effect on our business, results of operations, financial condition and prospects.</w:t>
      </w:r>
    </w:p>
    <w:p>
      <w:pPr>
        <w:spacing w:after="0" w:line="289" w:lineRule="exact"/>
        <w:rPr>
          <w:sz w:val="20"/>
          <w:szCs w:val="20"/>
          <w:color w:val="auto"/>
        </w:rPr>
      </w:pPr>
    </w:p>
    <w:p>
      <w:pPr>
        <w:ind w:right="1340"/>
        <w:spacing w:after="0" w:line="277" w:lineRule="auto"/>
        <w:rPr>
          <w:sz w:val="20"/>
          <w:szCs w:val="20"/>
          <w:color w:val="auto"/>
        </w:rPr>
      </w:pPr>
      <w:r>
        <w:rPr>
          <w:rFonts w:ascii="Arial" w:cs="Arial" w:eastAsia="Arial" w:hAnsi="Arial"/>
          <w:sz w:val="18"/>
          <w:szCs w:val="18"/>
          <w:b w:val="1"/>
          <w:bCs w:val="1"/>
          <w:i w:val="1"/>
          <w:iCs w:val="1"/>
          <w:color w:val="auto"/>
        </w:rPr>
        <w:t>We may not be able to enter into strategic transactions on a timely basis or on acceptable terms, which may impact our development and commercialization plans.</w:t>
      </w:r>
    </w:p>
    <w:p>
      <w:pPr>
        <w:spacing w:after="0" w:line="62"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We have relied, and expect to continue to rely, on strategic transactions, which include in-licensing, out-licensing, purchases and sales of assets, and other ventures. The terms of any additional strategic transaction that we may enter into may not be favorable to us, and the contracts governing such strategic transaction may be subject to differing interpretations exposing us to potential litigation. We may also be restricted under existing collaboration or licensing arrangements from entering into future agreements on certain terms with potential strategic partners. We may not be able to negotiate additional strategic transactions on a timely basis, on acceptable terms, or at all.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product revenue. Furthermore, there is no assurance that any such transaction will be successful or that we will derive an economic benefit as a result.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commercializing our approved products</w:t>
      </w:r>
    </w:p>
    <w:p>
      <w:pPr>
        <w:spacing w:after="0" w:line="117"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Commercialization of products is subject to a variety of regulations regarding the manner in which potential customers may be engaged, the manner in which products may be lawfully advertised, and the claims that can be made for the benefits of the product, among other things. Our lack of experience with product launches may expose us to a higher than usual level of risk of non-compliance with these regulations, with consequences that may include fines or the removal of our approved products from the marketplace by regulatory authorities.</w:t>
      </w:r>
    </w:p>
    <w:p>
      <w:pPr>
        <w:spacing w:after="0" w:line="29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are unable to execute our sales and marketing strategy for our products, and are unable to gain acceptance in the market, we may be unable to generate sufficient revenue to sustain our business.</w:t>
      </w:r>
    </w:p>
    <w:p>
      <w:pPr>
        <w:spacing w:after="0" w:line="62"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Although we believe that DCCR and our other planned products represent promising commercial opportunities, our products may never gain significant acceptance in the marketplace and therefore may never generate substantial revenue or profits for us. We will need to establish a market for DCCR globally and build these markets through physician education, awareness programs, and other marketing efforts. Gaining acceptance in medical communities depends on a variety of factors, including clinical data published or reported in reputable contexts and word-of-mouth between physicians. The process of publication in leading medical journals is subject to a peer review process and peer reviewers may not consider the results of our studies sufficiently novel or worthy of publication. Failure to have our studies published in peer-reviewed journals may limit the adoption of our products. Our ability to successfully market our products will depend on numerous factors, including:</w:t>
      </w:r>
    </w:p>
    <w:p>
      <w:pPr>
        <w:spacing w:after="0" w:line="70" w:lineRule="exact"/>
        <w:rPr>
          <w:sz w:val="20"/>
          <w:szCs w:val="20"/>
          <w:color w:val="auto"/>
        </w:rPr>
      </w:pPr>
    </w:p>
    <w:p>
      <w:pPr>
        <w:ind w:left="1040" w:right="640" w:hanging="438"/>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outcomes of clinical utility studies of such products in collaboration with key thought leaders to demonstrate our products’ value in informing important medical decisions such as treatment selection;</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 of our distribution partners;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healthcare providers believe such tests provide clinical utility;</w:t>
      </w:r>
    </w:p>
    <w:p>
      <w:pPr>
        <w:spacing w:after="0" w:line="117" w:lineRule="exact"/>
        <w:rPr>
          <w:rFonts w:ascii="Arial" w:cs="Arial" w:eastAsia="Arial" w:hAnsi="Arial"/>
          <w:sz w:val="18"/>
          <w:szCs w:val="18"/>
          <w:color w:val="auto"/>
        </w:rPr>
      </w:pPr>
    </w:p>
    <w:p>
      <w:pPr>
        <w:ind w:left="1040" w:right="320" w:hanging="438"/>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medical community accepts that such tests are sufficiently sensitive and specific to be meaningful in-patient care and treatment decisions; and</w:t>
      </w:r>
    </w:p>
    <w:p>
      <w:pPr>
        <w:spacing w:after="0" w:line="62" w:lineRule="exact"/>
        <w:rPr>
          <w:rFonts w:ascii="Arial" w:cs="Arial" w:eastAsia="Arial" w:hAnsi="Arial"/>
          <w:sz w:val="18"/>
          <w:szCs w:val="18"/>
          <w:color w:val="auto"/>
        </w:rPr>
      </w:pPr>
    </w:p>
    <w:p>
      <w:pPr>
        <w:ind w:left="1040" w:right="420" w:hanging="438"/>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hospital administrators, health insurers, government health programs and other payers will cover and pay for such tests and, if so, whether they will adequately reimburse us.</w:t>
      </w:r>
    </w:p>
    <w:p>
      <w:pPr>
        <w:spacing w:after="0" w:line="170" w:lineRule="exact"/>
        <w:rPr>
          <w:sz w:val="20"/>
          <w:szCs w:val="20"/>
          <w:color w:val="auto"/>
        </w:rPr>
      </w:pPr>
    </w:p>
    <w:p>
      <w:pPr>
        <w:ind w:firstLine="598"/>
        <w:spacing w:after="0" w:line="286" w:lineRule="auto"/>
        <w:rPr>
          <w:sz w:val="20"/>
          <w:szCs w:val="20"/>
          <w:color w:val="auto"/>
        </w:rPr>
      </w:pPr>
      <w:r>
        <w:rPr>
          <w:rFonts w:ascii="Arial" w:cs="Arial" w:eastAsia="Arial" w:hAnsi="Arial"/>
          <w:sz w:val="17"/>
          <w:szCs w:val="17"/>
          <w:color w:val="auto"/>
        </w:rPr>
        <w:t>We are relying, or will rely, on third parties with whom we are directly engaged with, but who we do not control, to distribute and sell our products. If these distributors are not committed to our products or otherwise run into their own financial or other difficulties, it may result in failure to achieve widespread market acceptance of our products, and would materially harm our business, financial condition and results of operations.</w:t>
      </w:r>
    </w:p>
    <w:p>
      <w:pPr>
        <w:spacing w:after="0" w:line="274" w:lineRule="exact"/>
        <w:rPr>
          <w:sz w:val="20"/>
          <w:szCs w:val="20"/>
          <w:color w:val="auto"/>
        </w:rPr>
      </w:pPr>
    </w:p>
    <w:p>
      <w:pPr>
        <w:ind w:right="280"/>
        <w:spacing w:after="0" w:line="375" w:lineRule="auto"/>
        <w:rPr>
          <w:sz w:val="20"/>
          <w:szCs w:val="20"/>
          <w:color w:val="auto"/>
        </w:rPr>
      </w:pPr>
      <w:r>
        <w:rPr>
          <w:rFonts w:ascii="Arial" w:cs="Arial" w:eastAsia="Arial" w:hAnsi="Arial"/>
          <w:sz w:val="15"/>
          <w:szCs w:val="15"/>
          <w:b w:val="1"/>
          <w:bCs w:val="1"/>
          <w:i w:val="1"/>
          <w:iCs w:val="1"/>
          <w:color w:val="auto"/>
        </w:rPr>
        <w:t>If we are unable to implement our sales, marketing, distribution, training and support strategies or enter into agreements with third parties to perform these functions in markets outside of the U.S. and E.U., we will not be able to effectively commercialize DCCR and may not reach profitability.</w:t>
      </w:r>
    </w:p>
    <w:p>
      <w:pPr>
        <w:spacing w:after="0" w:line="1" w:lineRule="exact"/>
        <w:rPr>
          <w:sz w:val="20"/>
          <w:szCs w:val="20"/>
          <w:color w:val="auto"/>
        </w:rPr>
      </w:pPr>
    </w:p>
    <w:p>
      <w:pPr>
        <w:ind w:right="180" w:firstLine="598"/>
        <w:spacing w:after="0" w:line="308"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therapeutic products. To achieve commercial success for DCCR, if and when we obtain marketing approval, we will need to establish a sales and marketing organization.</w:t>
      </w:r>
    </w:p>
    <w:p>
      <w:pPr>
        <w:spacing w:after="0" w:line="147"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In the future, we expect to build a targeted sales, marketing, training and support infrastructure to market DCCR in the U.S. and E.U. and to opportunistically establish collaborations to market, distribute and support DCCR outside of the U.S. and E.U. There are risks involved with establishing our own sales, marketing, distribution, training and support capabilities. For example, recruiting and training sales and marketing personnel is expensive and time consuming and could delay any product launch. If the commercial launch of DCCR is delayed or does not occur for any reason, we would have prematurely or unnecessarily incurred these commercialization expenses. This may be costly, and our investment would be lost if we cannot retain or reposition our sales, marketing, training and support personnel.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21" w:name="page22"/>
    <w:bookmarkEnd w:id="21"/>
    <w:p>
      <w:pPr>
        <w:ind w:left="600"/>
        <w:spacing w:after="0"/>
        <w:rPr>
          <w:sz w:val="20"/>
          <w:szCs w:val="20"/>
          <w:color w:val="auto"/>
        </w:rPr>
      </w:pPr>
      <w:r>
        <w:rPr>
          <w:rFonts w:ascii="Arial" w:cs="Arial" w:eastAsia="Arial" w:hAnsi="Arial"/>
          <w:sz w:val="18"/>
          <w:szCs w:val="18"/>
          <w:color w:val="auto"/>
        </w:rPr>
        <w:t>Factors that may inhibit our efforts to commercialize DCCR on our own include:</w:t>
      </w:r>
    </w:p>
    <w:p>
      <w:pPr>
        <w:spacing w:after="0" w:line="117" w:lineRule="exact"/>
        <w:rPr>
          <w:sz w:val="20"/>
          <w:szCs w:val="20"/>
          <w:color w:val="auto"/>
        </w:rPr>
      </w:pPr>
    </w:p>
    <w:p>
      <w:pPr>
        <w:ind w:left="1040" w:hanging="43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or persuade adequate numbers of physicians to prescribe DCCR or any future products;</w:t>
      </w:r>
    </w:p>
    <w:p>
      <w:pPr>
        <w:spacing w:after="0" w:line="140" w:lineRule="exact"/>
        <w:rPr>
          <w:rFonts w:ascii="Arial" w:cs="Arial" w:eastAsia="Arial" w:hAnsi="Arial"/>
          <w:sz w:val="16"/>
          <w:szCs w:val="16"/>
          <w:color w:val="auto"/>
        </w:rPr>
      </w:pPr>
    </w:p>
    <w:p>
      <w:pPr>
        <w:ind w:left="1040" w:right="320" w:hanging="438"/>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efforts by our competitors to commercialize products at or about the time when our product candidates would be coming to market.</w:t>
      </w:r>
    </w:p>
    <w:p>
      <w:pPr>
        <w:spacing w:after="0" w:line="237"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If we are unable to establish our own sales, marketing, distribution, training and support capabilities and instead enter into arrangements with third parties to perform these services, our product revenues and our profitability, if any, are likely to be lower than if we were to market, sell and distribute DCCR ourselves. In addition, we may not be successful in entering into arrangements with third parties to sell, market and distribute DCCR or may be unable to do so on terms that are favorable to us. We likely will have little control over such third parties, and any of them may fail to devote the necessary resources and attention to commercialize DCCR effectively. If we do not establish sales, marketing, distribution, training and support capabilities successfully, either on our own or in collaboration with third parties, we will not be successful in commercializing DCCR and achieving profitability, and our business would be harmed.</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physicians decide not to order our products in significant numbers, we may be unable to generate sufficient revenue to sustain our business.</w:t>
      </w:r>
    </w:p>
    <w:p>
      <w:pPr>
        <w:spacing w:after="0" w:line="140" w:lineRule="exact"/>
        <w:rPr>
          <w:sz w:val="20"/>
          <w:szCs w:val="20"/>
          <w:color w:val="auto"/>
        </w:rPr>
      </w:pPr>
    </w:p>
    <w:p>
      <w:pPr>
        <w:ind w:right="240" w:firstLine="598"/>
        <w:spacing w:after="0" w:line="257" w:lineRule="auto"/>
        <w:rPr>
          <w:sz w:val="20"/>
          <w:szCs w:val="20"/>
          <w:color w:val="auto"/>
        </w:rPr>
      </w:pPr>
      <w:r>
        <w:rPr>
          <w:rFonts w:ascii="Arial" w:cs="Arial" w:eastAsia="Arial" w:hAnsi="Arial"/>
          <w:sz w:val="18"/>
          <w:szCs w:val="18"/>
          <w:color w:val="auto"/>
        </w:rPr>
        <w:t>To generate demand for our current and planned products, we will need to educate physicians and other health care professionals on the clinical utility, benefits and value of the tests we provide through published papers, presentations at scientific conferences, educational programs and one-on-one education sessions by members of our sales force. In addition, we will need support of hospital administrators that the clinical and economic utility of our products justifies payment for the device and consumables at adequate pricing levels. We need to hire additional commercial, scientific, technical and other personnel to support this process.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products do not continue to perform as expected, our operating results, reputation and business will suffer.</w:t>
      </w:r>
    </w:p>
    <w:p>
      <w:pPr>
        <w:spacing w:after="0" w:line="11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Our success depends on the market’s confidence that our products can provide reliable, high-quality results or treatments. We believe that our customers are likely to be particularly sensitive to any test defects and errors in our products, and prior products made by other companies for the same diagnostic purpose have failed in the marketplace, in part as a result of poor accuracy. As a result, the failure of our current and planned products to perform as expected would significantly impair our reputation and the clinical usefulness of such tests. Reduced sales might result, and we may also be subject to legal claims arising from any defects or errors.</w:t>
      </w:r>
    </w:p>
    <w:p>
      <w:pPr>
        <w:spacing w:after="0" w:line="29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If clinical studies of any of our planned products fail to demonstrate safety and effectiveness to the satisfaction of the FDA or similar regulatory authorities outside the U.S. or do not otherwise produce positive results, we may incur additional costs, experience delays in completing or ultimately fail in completing the development and commercialization of our planned products.</w:t>
      </w:r>
    </w:p>
    <w:p>
      <w:pPr>
        <w:spacing w:after="0" w:line="73"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Before obtaining regulatory approval for the sale of any planned product we must conduct extensive clinical studies to demonstrate the safety and effectiveness of our planned products in humans. Clinical studies are expensive, difficult to design and implement, can take many years to complete and are uncertain as to outcome. A failure of one or more of our clinical studies could occur at any stage of testing.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ind w:right="380" w:firstLine="598"/>
        <w:spacing w:after="0" w:line="277" w:lineRule="auto"/>
        <w:rPr>
          <w:sz w:val="20"/>
          <w:szCs w:val="20"/>
          <w:color w:val="auto"/>
        </w:rPr>
      </w:pPr>
      <w:r>
        <w:rPr>
          <w:rFonts w:ascii="Arial" w:cs="Arial" w:eastAsia="Arial" w:hAnsi="Arial"/>
          <w:sz w:val="18"/>
          <w:szCs w:val="18"/>
          <w:color w:val="auto"/>
        </w:rPr>
        <w:t>Numerous unforeseen events during, or as a result of, clinical studies could occur, which would delay or prevent our ability to receive regulatory approval or commercialize any of our planned products, including the following:</w:t>
      </w:r>
    </w:p>
    <w:p>
      <w:pPr>
        <w:spacing w:after="0" w:line="62" w:lineRule="exact"/>
        <w:rPr>
          <w:sz w:val="20"/>
          <w:szCs w:val="20"/>
          <w:color w:val="auto"/>
        </w:rPr>
      </w:pPr>
    </w:p>
    <w:p>
      <w:pPr>
        <w:ind w:left="1040" w:right="200" w:hanging="438"/>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clinical studies may produce negative or inconclusive results, and we may decide, or regulators may require us, to conduct additional clinical studies or abandon product development programs;</w:t>
      </w:r>
    </w:p>
    <w:p>
      <w:pPr>
        <w:spacing w:after="0" w:line="62" w:lineRule="exact"/>
        <w:rPr>
          <w:rFonts w:ascii="Arial" w:cs="Arial" w:eastAsia="Arial" w:hAnsi="Arial"/>
          <w:sz w:val="18"/>
          <w:szCs w:val="18"/>
          <w:color w:val="auto"/>
        </w:rPr>
      </w:pPr>
    </w:p>
    <w:p>
      <w:pPr>
        <w:ind w:left="1040" w:right="120" w:hanging="438"/>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patients required for clinical studies may be larger than we anticipate, enrollment in these clinical studies may be insufficient or slower than we anticipate, or patients may drop out of these clinical studies at a higher rate than we anticipate;</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clinical studies or the manufacturing of our planned products may be greater than we anticipate;</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third-party contractors may fail to comply with regulatory requirements or meet their contractual obligations to us in a timely manner, or at all;</w:t>
      </w:r>
    </w:p>
    <w:p>
      <w:pPr>
        <w:spacing w:after="0" w:line="140" w:lineRule="exact"/>
        <w:rPr>
          <w:rFonts w:ascii="Arial" w:cs="Arial" w:eastAsia="Arial" w:hAnsi="Arial"/>
          <w:sz w:val="16"/>
          <w:szCs w:val="16"/>
          <w:color w:val="auto"/>
        </w:rPr>
      </w:pPr>
    </w:p>
    <w:p>
      <w:pPr>
        <w:ind w:left="1040" w:hanging="438"/>
        <w:spacing w:after="0" w:line="264"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might have to suspend or terminate clinical studies of our planned products for various reasons, including a finding that our planned products have unanticipated serious side effects or other unexpected characteristics or that the patients are being exposed to unacceptable health risks;</w:t>
      </w:r>
    </w:p>
    <w:p>
      <w:pPr>
        <w:spacing w:after="0" w:line="73" w:lineRule="exact"/>
        <w:rPr>
          <w:rFonts w:ascii="Arial" w:cs="Arial" w:eastAsia="Arial" w:hAnsi="Arial"/>
          <w:sz w:val="18"/>
          <w:szCs w:val="18"/>
          <w:color w:val="auto"/>
        </w:rPr>
      </w:pPr>
    </w:p>
    <w:p>
      <w:pPr>
        <w:ind w:left="1040" w:hanging="438"/>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regulators may not approve our proposed clinical development plans;</w:t>
      </w:r>
    </w:p>
    <w:p>
      <w:pPr>
        <w:spacing w:after="0" w:line="117" w:lineRule="exact"/>
        <w:rPr>
          <w:rFonts w:ascii="Arial" w:cs="Arial" w:eastAsia="Arial" w:hAnsi="Arial"/>
          <w:sz w:val="18"/>
          <w:szCs w:val="18"/>
          <w:color w:val="auto"/>
        </w:rPr>
      </w:pPr>
    </w:p>
    <w:p>
      <w:pPr>
        <w:ind w:left="1040" w:right="520" w:hanging="438"/>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regulators or independent institutional review boards, or IRBs, may not authorize us or our investigators to commence a clinical study or conduct a clinical study at a prospective study site;</w:t>
      </w:r>
    </w:p>
    <w:p>
      <w:pPr>
        <w:spacing w:after="0" w:line="62" w:lineRule="exact"/>
        <w:rPr>
          <w:rFonts w:ascii="Arial" w:cs="Arial" w:eastAsia="Arial" w:hAnsi="Arial"/>
          <w:sz w:val="18"/>
          <w:szCs w:val="18"/>
          <w:color w:val="auto"/>
        </w:rPr>
      </w:pPr>
    </w:p>
    <w:p>
      <w:pPr>
        <w:ind w:left="1040" w:hanging="438"/>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regulators or IRBs may require that we or our investigators suspend or terminate clinical research for various reasons, including noncompliance with regulatory requirements; and</w:t>
      </w:r>
    </w:p>
    <w:p>
      <w:pPr>
        <w:spacing w:after="0" w:line="62" w:lineRule="exact"/>
        <w:rPr>
          <w:rFonts w:ascii="Arial" w:cs="Arial" w:eastAsia="Arial" w:hAnsi="Arial"/>
          <w:sz w:val="18"/>
          <w:szCs w:val="18"/>
          <w:color w:val="auto"/>
        </w:rPr>
      </w:pPr>
    </w:p>
    <w:p>
      <w:pPr>
        <w:ind w:left="1040" w:right="800" w:hanging="438"/>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supply or quality of our planned products or other materials necessary to conduct clinical studies of our planned products may be insufficient or inadequate.</w:t>
      </w:r>
    </w:p>
    <w:p>
      <w:pPr>
        <w:spacing w:after="0" w:line="170"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If we or any future collaboration partners are required to conduct additional clinical trials or other testing of any planned products beyond those that we contemplate, if those clinical studies or other testing cannot be successfully completed, if the results of these studies or tests are not positive or are only modestly positive or if there are safety concerns, we may:</w:t>
      </w:r>
    </w:p>
    <w:p>
      <w:pPr>
        <w:spacing w:after="0" w:line="73" w:lineRule="exact"/>
        <w:rPr>
          <w:sz w:val="20"/>
          <w:szCs w:val="20"/>
          <w:color w:val="auto"/>
        </w:rPr>
      </w:pPr>
    </w:p>
    <w:p>
      <w:pPr>
        <w:ind w:left="1040" w:hanging="438"/>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planned products;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approval for indications that are not as broad as intended;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 subject to restrictions on how the product is distributed or used.</w:t>
      </w:r>
    </w:p>
    <w:p>
      <w:pPr>
        <w:spacing w:after="0" w:line="225" w:lineRule="exact"/>
        <w:rPr>
          <w:sz w:val="20"/>
          <w:szCs w:val="20"/>
          <w:color w:val="auto"/>
        </w:rPr>
      </w:pPr>
    </w:p>
    <w:p>
      <w:pPr>
        <w:ind w:right="220" w:firstLine="598"/>
        <w:spacing w:after="0" w:line="279" w:lineRule="auto"/>
        <w:rPr>
          <w:sz w:val="20"/>
          <w:szCs w:val="20"/>
          <w:color w:val="auto"/>
        </w:rPr>
      </w:pPr>
      <w:r>
        <w:rPr>
          <w:rFonts w:ascii="Arial" w:cs="Arial" w:eastAsia="Arial" w:hAnsi="Arial"/>
          <w:sz w:val="17"/>
          <w:szCs w:val="17"/>
          <w:color w:val="auto"/>
        </w:rPr>
        <w:t>Our product development costs will also increase if we experience delays in testing or approvals. We do not know whether any clinical studies will begin as planned, will need to be restructured or will be completed on schedule, or at all. Significant clinical study delays also could shorten any periods during which we may have the exclusive right to commercialize our planned products or allow our competitors to bring products to market before we do, which would impair our ability to commercialize our planned products and harm our business and results of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If we fail to obtain regulatory approval for DCCR in the U.S. and E.U., our business would be harmed.</w:t>
      </w:r>
    </w:p>
    <w:p>
      <w:pPr>
        <w:spacing w:after="0" w:line="117"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We are required to obtain regulatory approval for each indication we are seeking before we can market and sell DCCR in a particular jurisdiction, for such indication. Our ability to obtain regulatory approval of DCCR depends on, among other things, successful completion of clinical trials by demonstrating efficacy with statistical significance and clinical meaning, and safety in humans. The results of our current and future clinical trials may not meet the FDA, the European Medicines Agency, or EMA, or other regulatory agencies’ requirements to approve DCCR for marketing under any specific indication, and these regulatory agencies may otherwise determine that our third parties’ manufacturing processes, validation, and/ or facilities are insufficient to support approval. As such, we may need to conduct more clinical trials than we currently anticipate and upgrade the manufacturing processes and facilities, which may require significant additional time and expense, and may delay or prevent approval. If we fail to obtain regulatory approval in a timely manner, our commercialization of DCCR would be delayed and our business would be harmed.</w:t>
      </w:r>
    </w:p>
    <w:p>
      <w:pPr>
        <w:spacing w:after="0" w:line="287"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Clinical drug development involves a lengthy and expensive process with an uncertain outcome, results of earlier studies and trials may not be predictive of future trial results, and our clinical trials may fail to adequately demonstrate the safety and efficacy of DCCR or other potential product candidates.</w:t>
      </w:r>
    </w:p>
    <w:p>
      <w:pPr>
        <w:spacing w:after="0" w:line="1" w:lineRule="exact"/>
        <w:rPr>
          <w:sz w:val="20"/>
          <w:szCs w:val="20"/>
          <w:color w:val="auto"/>
        </w:rPr>
      </w:pPr>
    </w:p>
    <w:p>
      <w:pPr>
        <w:ind w:right="140" w:firstLine="598"/>
        <w:spacing w:after="0" w:line="272"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A failure of one or more of our clinical trials can occur at any time during the clinical trial process. The results of preclinical studies and early clinical trials of our product candidates may not be predictive of the results of later stage clinical trials. There is a high failure rate for drugs proceeding through clinical trials, and product candidates in later stages of clinical trials may fail to show the required safety and efficacy despite having progressed through preclinical studies and initial clinical trials. A number of companies in the pharmaceutical industry have suffered significant setbacks in advanced clinical trials due to lack of efficacy or adverse safety profiles, notwithstanding promising results in earlier clinical trials, and we cannot be certain that we will not face similar setbacks. Even if our clinical trials are completed, the results may not be sufficient to obtain regulatory approval for our product candidates.</w:t>
      </w:r>
    </w:p>
    <w:p>
      <w:pPr>
        <w:spacing w:after="0" w:line="178"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We may experience delays in our clinical trials. We do not know whether future clinical trials, if any, will begin on time, need to be redesigned, enroll an adequate number of patients in a timely manner or be completed on schedule, if at all. Clinical trials can be delayed, suspended or terminated for a variety of reasons, including failure to:</w:t>
      </w:r>
    </w:p>
    <w:p>
      <w:pPr>
        <w:spacing w:after="0" w:line="73" w:lineRule="exact"/>
        <w:rPr>
          <w:sz w:val="20"/>
          <w:szCs w:val="20"/>
          <w:color w:val="auto"/>
        </w:rPr>
      </w:pPr>
    </w:p>
    <w:p>
      <w:pPr>
        <w:ind w:left="1040" w:right="300" w:hanging="438"/>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generate sufficient nonclinical, toxicology, or other in vivo or in vitro data, or clinical safety data to support the initiation or continuation of clinical trials;</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regulatory approval, or feedback on trial design, to commence a trial;</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 recruit and train suitable clinical investigators;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contract research organizations, or CROs, and clinical trial sites;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and maintain institutional review board, or IRB, approval at each clinical trial site;</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 recruit and enroll suitable patients to participate in a trial;</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have a sufficient number of patients complete a trial and/or return for post-treatment follow-up;</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ensure clinical investigators observe trial protocol or continue to participate in a trial;</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a trial;</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address any conflicts or compliance with new or existing laws, rule, regulations or guidelines;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have a sufficient number of clinical trial sites to conduct the trials;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timely manufacture sufficient quantities of product candidate suitable for use at the stage of clinical development; or</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raise sufficient capital to fund a trial.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24" w:name="page25"/>
    <w:bookmarkEnd w:id="24"/>
    <w:p>
      <w:pPr>
        <w:ind w:right="40" w:firstLine="598"/>
        <w:spacing w:after="0" w:line="257" w:lineRule="auto"/>
        <w:rPr>
          <w:sz w:val="20"/>
          <w:szCs w:val="20"/>
          <w:color w:val="auto"/>
        </w:rPr>
      </w:pPr>
      <w:r>
        <w:rPr>
          <w:rFonts w:ascii="Arial" w:cs="Arial" w:eastAsia="Arial" w:hAnsi="Arial"/>
          <w:sz w:val="18"/>
          <w:szCs w:val="18"/>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or caregivers’ perceptions as to the potential advantages of the drug candidate being studied in relation to other available therapies, including any new drugs or treatments that may be approved for the indications we are investigating or any investigational new drugs or treatment under development for the indications we are investigating.</w:t>
      </w:r>
    </w:p>
    <w:p>
      <w:pPr>
        <w:spacing w:after="0" w:line="188"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There has recently been increased activity in the development of drugs to treat PWS. We are aware of eight other current or proposed clinical trials evaluating PWS therapies. If all of these clinical trials are ongoing concurrently, given the limited number of patients, it may hamper recruitment and enrollment of qualified patients for our current trial of DCCR in PWS.</w:t>
      </w:r>
    </w:p>
    <w:p>
      <w:pPr>
        <w:spacing w:after="0" w:line="181"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We could also encounter delays if a clinical trial is suspended or terminated by us, by a data safety monitoring board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165"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for any reason, the commercial prospects of our product candidates may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30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We may be unable to obtain regulatory approval for DCCR or other potential product candidates. The denial or delay of any such approval would delay commercialization and have a material adverse effect on our potential to generate revenue, our business and our results of operations.</w:t>
      </w:r>
    </w:p>
    <w:p>
      <w:pPr>
        <w:spacing w:after="0" w:line="16"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The research, development, testing, manufacturing, labeling, packaging, approval, promotion, advertising, storage, record keeping, marketing, distribution, post-approval monitoring and reporting, and export and import of drug products are subject to extensive regulation by the FDA, and by foreign regulatory authorities in other countries. The legislation and regulations differ from country to country. To gain approval to market our product candidates, we must provide development, manufacturing and clinical data that adequately demonstrates the safety and efficacy of the product for the intended indication. We have not yet obtained regulatory approval to market any of our product candidates in the U.S. or any other country. Our business depends upon obtaining these regulatory approvals. The FDA can delay, limit or deny approval of our product candidates for many reasons, including:</w:t>
      </w:r>
    </w:p>
    <w:p>
      <w:pPr>
        <w:spacing w:after="0" w:line="57" w:lineRule="exact"/>
        <w:rPr>
          <w:sz w:val="20"/>
          <w:szCs w:val="20"/>
          <w:color w:val="auto"/>
        </w:rPr>
      </w:pPr>
    </w:p>
    <w:p>
      <w:pPr>
        <w:ind w:left="1040" w:hanging="438"/>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satisfactorily demonstrate that the product candidates are safe and effective for the requested indication;</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FDA’s disagreement with our trial protocol or the interpretation of data from preclinical studies or clinical trials;</w:t>
      </w:r>
    </w:p>
    <w:p>
      <w:pPr>
        <w:spacing w:after="0" w:line="117" w:lineRule="exact"/>
        <w:rPr>
          <w:rFonts w:ascii="Arial" w:cs="Arial" w:eastAsia="Arial" w:hAnsi="Arial"/>
          <w:sz w:val="18"/>
          <w:szCs w:val="18"/>
          <w:color w:val="auto"/>
        </w:rPr>
      </w:pPr>
    </w:p>
    <w:p>
      <w:pPr>
        <w:ind w:left="1040" w:right="280" w:hanging="438"/>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assess safety in the full population for which we seek approval;</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demonstrate that clinical or other benefits of our product candidates outweigh any safety or other perceived risks;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FDA’s determination that additional preclinical or clinical trials are required;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FDA’s non-approval of the formulation, labeling or the specifications of our product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5" w:name="page26"/>
    <w:bookmarkEnd w:id="25"/>
    <w:p>
      <w:pPr>
        <w:ind w:left="1040" w:hanging="438"/>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FDA’s failure to accept the manufacturing processes or facilities of third-party manufacturers with which we contract; or</w:t>
      </w:r>
    </w:p>
    <w:p>
      <w:pPr>
        <w:spacing w:after="0" w:line="117" w:lineRule="exact"/>
        <w:rPr>
          <w:rFonts w:ascii="Arial" w:cs="Arial" w:eastAsia="Arial" w:hAnsi="Arial"/>
          <w:sz w:val="18"/>
          <w:szCs w:val="18"/>
          <w:color w:val="auto"/>
        </w:rPr>
      </w:pPr>
    </w:p>
    <w:p>
      <w:pPr>
        <w:ind w:left="1040" w:right="380" w:hanging="438"/>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to significantly change in a manner rendering our clinical data insufficient for approval.</w:t>
      </w:r>
    </w:p>
    <w:p>
      <w:pPr>
        <w:spacing w:after="0" w:line="170"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Even if we eventually complete clinical testing and receive approval of any regulatory filing for our product candidates, the FDA may grant approval contingent on the performance of costly additional post-approval clinical trials. The FDA may also approve our product candidates for a more limited indication or a narrower patient population than we originally requested, and the FDA may not approve the labeling that we believe is necessary or desirable for the successful commercialization of our product candidates. To the extent we seek regulatory approval in foreign countries, we may face challenges similar to those described above with regulatory authorities in applicable jurisdictions. Any delay in obtaining, or inability to obtain, applicable regulatory approval for any of our product candidates would delay or prevent commercialization of our product candidates and would materially adversely impact our business, results of operations and prospects.</w:t>
      </w:r>
    </w:p>
    <w:p>
      <w:pPr>
        <w:spacing w:after="0" w:line="29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Even if any planned products receive regulatory approval, these products may fail to achieve the degree of market acceptance by physicians, patients, caregivers, healthcare payors and others in the medical community necessary for commercial success.</w:t>
      </w:r>
    </w:p>
    <w:p>
      <w:pPr>
        <w:spacing w:after="0" w:line="62"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If any planned products receive regulatory approval from the FDA or other regulatory agencies in jurisdictions in which they are not currently approved, they may nonetheless fail to gain sufficient market acceptance by physicians, hospital administrators, patients, healthcare payors and others in the medical community. The degree of market acceptance of our planned products, if approved for commercial sale, will depend on a number of factors, including the following:</w:t>
      </w:r>
    </w:p>
    <w:p>
      <w:pPr>
        <w:spacing w:after="0" w:line="79" w:lineRule="exact"/>
        <w:rPr>
          <w:sz w:val="20"/>
          <w:szCs w:val="20"/>
          <w:color w:val="auto"/>
        </w:rPr>
      </w:pPr>
    </w:p>
    <w:p>
      <w:pPr>
        <w:ind w:left="1040" w:hanging="438"/>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their effectiveness and potential advantages compared to alternative treatments;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 we charge for our planned products;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willingness of physicians to change their current treatment practices;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strength or effectiveness of marketing and distribution support or partners; and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third-party coverage or reimbursement.</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market opportunity for DCCR is smaller than we believe it is, then our revenues may be adversely affected, and our business may suffer.</w:t>
      </w:r>
    </w:p>
    <w:p>
      <w:pPr>
        <w:spacing w:after="0" w:line="140"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PWS is a rare disease, and as such, our projections of both the number of people who have this disease, as well as the subset of people with PWS who have the potential to benefit from treatment with our product candidate, are based on estimates.</w:t>
      </w:r>
    </w:p>
    <w:p>
      <w:pPr>
        <w:spacing w:after="0" w:line="170"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Currently, most reported estimates of the prevalence of PWS are based on studies of small subsets of the population of specific geographic areas, which are then extrapolated to estimate the prevalence of the diseases in the broader world population. In addition, as new studies are performed the estimated prevalence of these diseases may change. There can be no assurance that the prevalence of PWS in the study populations, particularly in these newer studies, accurately reflects the prevalence of this disease in the broader world population. If our estimates of the prevalence of PWS, or of the number of patients who may benefit from treatment with our product candidates prove to be incorrect, the market opportunities for our product candidate may be smaller than we believe it is, our prospects for generating revenue may be adversely affected and our business may suffer.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6" w:name="page27"/>
    <w:bookmarkEnd w:id="26"/>
    <w:p>
      <w:pPr>
        <w:ind w:right="420"/>
        <w:spacing w:after="0" w:line="312" w:lineRule="auto"/>
        <w:rPr>
          <w:sz w:val="20"/>
          <w:szCs w:val="20"/>
          <w:color w:val="auto"/>
        </w:rPr>
      </w:pPr>
      <w:r>
        <w:rPr>
          <w:rFonts w:ascii="Arial" w:cs="Arial" w:eastAsia="Arial" w:hAnsi="Arial"/>
          <w:sz w:val="16"/>
          <w:szCs w:val="16"/>
          <w:b w:val="1"/>
          <w:bCs w:val="1"/>
          <w:i w:val="1"/>
          <w:iCs w:val="1"/>
          <w:color w:val="auto"/>
        </w:rPr>
        <w:t>DCCR is currently under development and we have no sales and distribution personnel, and limited marketing capabilities at the present time to commercialize DCCR, if we receive regulatory approval. If we are unable to develop a sales and marketing and distribution capability on our own or through collaborations or other marketing partners, we will not be successful in commercializing our products, or other planned products.</w:t>
      </w:r>
    </w:p>
    <w:p>
      <w:pPr>
        <w:spacing w:after="0" w:line="39"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product launch. If the commercial launch of a planned product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8" w:lineRule="exact"/>
        <w:rPr>
          <w:sz w:val="20"/>
          <w:szCs w:val="20"/>
          <w:color w:val="auto"/>
        </w:rPr>
      </w:pPr>
    </w:p>
    <w:p>
      <w:pPr>
        <w:ind w:right="60" w:firstLine="598"/>
        <w:spacing w:after="0" w:line="297" w:lineRule="auto"/>
        <w:rPr>
          <w:sz w:val="20"/>
          <w:szCs w:val="20"/>
          <w:color w:val="auto"/>
        </w:rPr>
      </w:pPr>
      <w:r>
        <w:rPr>
          <w:rFonts w:ascii="Arial" w:cs="Arial" w:eastAsia="Arial" w:hAnsi="Arial"/>
          <w:sz w:val="16"/>
          <w:szCs w:val="16"/>
          <w:color w:val="auto"/>
        </w:rPr>
        <w:t>To achieve commercial success for any approved product, we must either develop a sales and marketing infrastructure or outsource these functions to third parties. We also may not be successful entering into arrangements with third parties to sell and market our planned products or may be unable to do so on terms that are favorable to us. We likely will have little control over such third parties, and any of them may fail to devote the necessary resources and attention to sell and market our products effectively and could damage our reputation. If we do not establish sales and marketing capabilities successfully, either on our own or in collaboration with third parties, we will not be successful in commercializing our planned products.</w:t>
      </w:r>
    </w:p>
    <w:p>
      <w:pPr>
        <w:spacing w:after="0" w:line="2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may attempt to form partnerships with respect to our products, but we may not be able to do so, which may cause us to alter our development and commercialization plans and may cause us to terminate any such programs.</w:t>
      </w:r>
    </w:p>
    <w:p>
      <w:pPr>
        <w:spacing w:after="0" w:line="62"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We may form strategic alliances, create joint ventures or collaborations, or enter into licensing agreements with third parties that we believe will more effectively provide resources to develop and commercialize our programs. For example, we currently intend to identify one or more new partners or distributors for the commercialization of our products.</w:t>
      </w:r>
    </w:p>
    <w:p>
      <w:pPr>
        <w:spacing w:after="0" w:line="18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We face significant competition in seeking appropriate strategic partners, and the negotiation process to secure favorable terms is time-consuming and complex. We may not be successful in our efforts to establish such a strategic partnership for any future products and programs on terms that are acceptable to us, or at all.</w:t>
      </w:r>
    </w:p>
    <w:p>
      <w:pPr>
        <w:spacing w:after="0" w:line="181"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Any delays in identifying suitable collaborators and entering into agreements to develop or commercialize our future products could negatively impact the development or commercialization of our future products, particularly in geographic regions like the E.U., where we do not currently have development and commercialization infrastructure. Absent a partner or collaborator, we would need to undertake development or commercialization activities at our own expense. If we elect to fund and undertake development and commercialization activities on our own, we may need to obtain additional expertise and additional capital, which may not be available to us on acceptable terms or at all. If we are unable to do so, we may not be able to develop our future products or bring them to market, and our business may be materially and adversely affected.</w:t>
      </w:r>
    </w:p>
    <w:p>
      <w:pPr>
        <w:spacing w:after="0" w:line="28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Our products may cause serious adverse side effects or have other properties that could delay or prevent their regulatory approval, limit the commercial desirability of an approved label or result in significant negative consequences following any marketing approval.</w:t>
      </w:r>
    </w:p>
    <w:p>
      <w:pPr>
        <w:spacing w:after="0" w:line="38"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The risk of failure of clinical development is high. It is impossible to predict when or if any planned products will prove safe enough to receive regulatory approval. Undesirable side effects caused by any of our products could cause us or regulatory authorities to interrupt, delay or halt clinical trials or could result in a more restrictive label or the delay or denial of regulatory approval by the FDA or other comparable foreign regulatory authority. Additionally, if any of our planned products receives additional marketing approvals, and we or others later identify undesirable side effects caused by such product, a number of potentially significant negative consequences could result, including:</w:t>
      </w:r>
    </w:p>
    <w:p>
      <w:pPr>
        <w:spacing w:after="0" w:line="80" w:lineRule="exact"/>
        <w:rPr>
          <w:sz w:val="20"/>
          <w:szCs w:val="20"/>
          <w:color w:val="auto"/>
        </w:rPr>
      </w:pPr>
    </w:p>
    <w:p>
      <w:pPr>
        <w:ind w:left="1040" w:hanging="438"/>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forced to recall such product and suspend the marketing of such product;</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approvals of such product;</w:t>
      </w:r>
    </w:p>
    <w:p>
      <w:pPr>
        <w:spacing w:after="0" w:line="117" w:lineRule="exact"/>
        <w:rPr>
          <w:rFonts w:ascii="Arial" w:cs="Arial" w:eastAsia="Arial" w:hAnsi="Arial"/>
          <w:sz w:val="18"/>
          <w:szCs w:val="18"/>
          <w:color w:val="auto"/>
        </w:rPr>
      </w:pPr>
    </w:p>
    <w:p>
      <w:pPr>
        <w:ind w:left="1040" w:right="140" w:hanging="438"/>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that could diminish the usage or otherwise limit the commercial success of such products;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ind w:left="1040" w:right="20" w:hanging="438"/>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other regulatory bodies may issue safety alerts, Dear Healthcare Provider letters, press releases or other communications containing warnings about such product;</w:t>
      </w:r>
    </w:p>
    <w:p>
      <w:pPr>
        <w:spacing w:after="0" w:line="62" w:lineRule="exact"/>
        <w:rPr>
          <w:rFonts w:ascii="Arial" w:cs="Arial" w:eastAsia="Arial" w:hAnsi="Arial"/>
          <w:sz w:val="18"/>
          <w:szCs w:val="18"/>
          <w:color w:val="auto"/>
        </w:rPr>
      </w:pPr>
    </w:p>
    <w:p>
      <w:pPr>
        <w:ind w:left="1040" w:right="160" w:hanging="438"/>
        <w:spacing w:after="0" w:line="264"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Risk Evaluation Mitigation Strategies or a comparable foreign regulatory authority may require the establishment or modification of a similar strategy that may, for instance, restrict distribution of our products and impose burdensome implementation requirements on us;</w:t>
      </w:r>
    </w:p>
    <w:p>
      <w:pPr>
        <w:spacing w:after="0" w:line="73" w:lineRule="exact"/>
        <w:rPr>
          <w:rFonts w:ascii="Arial" w:cs="Arial" w:eastAsia="Arial" w:hAnsi="Arial"/>
          <w:sz w:val="18"/>
          <w:szCs w:val="18"/>
          <w:color w:val="auto"/>
        </w:rPr>
      </w:pPr>
    </w:p>
    <w:p>
      <w:pPr>
        <w:ind w:left="1040" w:hanging="438"/>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Any of these events could prevent us from achieving or maintaining market acceptance of the particular planned product, if approved.</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competition, which may result in others discovering, developing or commercializing products before we do, or more successfully than we do.</w:t>
      </w:r>
    </w:p>
    <w:p>
      <w:pPr>
        <w:spacing w:after="0" w:line="152" w:lineRule="exact"/>
        <w:rPr>
          <w:sz w:val="20"/>
          <w:szCs w:val="20"/>
          <w:color w:val="auto"/>
        </w:rPr>
      </w:pPr>
    </w:p>
    <w:p>
      <w:pPr>
        <w:ind w:right="140" w:firstLine="598"/>
        <w:spacing w:after="0" w:line="293" w:lineRule="auto"/>
        <w:rPr>
          <w:sz w:val="20"/>
          <w:szCs w:val="20"/>
          <w:color w:val="auto"/>
        </w:rPr>
      </w:pPr>
      <w:r>
        <w:rPr>
          <w:rFonts w:ascii="Arial" w:cs="Arial" w:eastAsia="Arial" w:hAnsi="Arial"/>
          <w:sz w:val="16"/>
          <w:szCs w:val="16"/>
          <w:color w:val="auto"/>
        </w:rPr>
        <w:t>Alternatives exist for our products and we will likely face competition with respect to any planned products that we may seek to develop or commercialize in the future, from major pharmaceutical companies, specialty pharmaceutical companies, medical device companies, and biotechnology companies worldwide. These companies may reduce prices for their competing drugs in an effort to gain or retain market share and undermine the value our products might otherwise be able to offer to payers. Potential competitors also include academic institutions, government agencies and other public and private research organizations that conduct research, seek patent protection and establish collaborative arrangements for research, development, manufacturing and commercialization. Many of these competitors are attempting to develop therapeutics for our target indications.</w:t>
      </w:r>
    </w:p>
    <w:p>
      <w:pPr>
        <w:spacing w:after="0" w:line="165" w:lineRule="exact"/>
        <w:rPr>
          <w:sz w:val="20"/>
          <w:szCs w:val="20"/>
          <w:color w:val="auto"/>
        </w:rPr>
      </w:pPr>
    </w:p>
    <w:p>
      <w:pPr>
        <w:ind w:right="280" w:firstLine="598"/>
        <w:spacing w:after="0" w:line="312" w:lineRule="auto"/>
        <w:rPr>
          <w:sz w:val="20"/>
          <w:szCs w:val="20"/>
          <w:color w:val="auto"/>
        </w:rPr>
      </w:pPr>
      <w:r>
        <w:rPr>
          <w:rFonts w:ascii="Arial" w:cs="Arial" w:eastAsia="Arial" w:hAnsi="Arial"/>
          <w:sz w:val="16"/>
          <w:szCs w:val="16"/>
          <w:color w:val="auto"/>
        </w:rPr>
        <w:t>Smaller or early stage companies may also prove to be significant competitors, particularly through collaborative arrangements with large and established companies. These third parties compete with us in recruiting and retaining qualified technical and management personnel, establishing clinical study sites and patient registration for clinical studies, as well as in acquiring technologies complementary to, or necessary for, our programs.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 rights may prove to be an inadequate barrier to competition.</w:t>
      </w:r>
    </w:p>
    <w:p>
      <w:pPr>
        <w:spacing w:after="0" w:line="117"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We are the sole owner of patents and patent applications in the U.S. with claims covering the compounds underlying our primary product candidate, DCCR. Foreign counterparts of these patents and applications have been issued in the E.U., Japan, China, Canada, Australia, India and Hong Kong. However, the lifespan of any one patent is limited, and each of these patents will ultimately expire and we cannot be sure that pending applications will be granted, or that we will discover new inventions which we can successfully patent. Moreover, any of our granted patents may be held invalid by a court of competent jurisdiction, and any of these patents may also be construed narrowly by a court of competent jurisdiction in such a way that it is held to not directly cover DCCR. Furthermore, even if our patents are held to be valid and broadly interpreted, third parties may find legitimate ways to compete with DCCR by inventing around our patent. Finally, the process of obtaining new patents is lengthy and expensive, as is the process for enforcing patent rights against an alleged infringer. Any such litigation could take years, cost large sums of money and pose a significant distraction to management. Indeed, certain jurisdictions outside of the U.S. and E.U., where we hope to initially commercialize DCCR have a history of inconsistent, relatively lax or ineffective enforcement of patent rights. In such jurisdictions, even a valid patent may have limited value. Our failure to effectively prosecute our patents would have a harmful impact on our ability to commercialize DCCR in these jurisdictions.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8" w:name="page29"/>
    <w:bookmarkEnd w:id="28"/>
    <w:p>
      <w:pPr>
        <w:spacing w:after="0" w:line="277" w:lineRule="auto"/>
        <w:rPr>
          <w:sz w:val="20"/>
          <w:szCs w:val="20"/>
          <w:color w:val="auto"/>
        </w:rPr>
      </w:pPr>
      <w:r>
        <w:rPr>
          <w:rFonts w:ascii="Arial" w:cs="Arial" w:eastAsia="Arial" w:hAnsi="Arial"/>
          <w:sz w:val="18"/>
          <w:szCs w:val="18"/>
          <w:b w:val="1"/>
          <w:bCs w:val="1"/>
          <w:i w:val="1"/>
          <w:iCs w:val="1"/>
          <w:color w:val="auto"/>
        </w:rPr>
        <w:t>Even if we are able to maintain our existing partners in commercializing our products, they may become subject to unfavorable pricing regulations, third-party reimbursement practices or healthcare reform initiatives, thereby harming our business.</w:t>
      </w:r>
    </w:p>
    <w:p>
      <w:pPr>
        <w:spacing w:after="0" w:line="62" w:lineRule="exact"/>
        <w:rPr>
          <w:sz w:val="20"/>
          <w:szCs w:val="20"/>
          <w:color w:val="auto"/>
        </w:rPr>
      </w:pPr>
    </w:p>
    <w:p>
      <w:pPr>
        <w:ind w:right="140" w:firstLine="598"/>
        <w:spacing w:after="0" w:line="273" w:lineRule="auto"/>
        <w:rPr>
          <w:sz w:val="20"/>
          <w:szCs w:val="20"/>
          <w:color w:val="auto"/>
        </w:rPr>
      </w:pPr>
      <w:r>
        <w:rPr>
          <w:rFonts w:ascii="Arial" w:cs="Arial" w:eastAsia="Arial" w:hAnsi="Arial"/>
          <w:sz w:val="17"/>
          <w:szCs w:val="17"/>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pricing remains subject to continuing governmental control even after initial approval is granted. As a result, we might obtain regulatory approval for a product in a particular country, but then be subject to price regulations that delay our commercial launch of the product and negatively impact the revenue we are able to generate from the sale of the product in that country. Adverse pricing limitations may hinder our ability to recoup our investment in one or more planned products, even if our planned products obtain regulatory approval.</w:t>
      </w:r>
    </w:p>
    <w:p>
      <w:pPr>
        <w:spacing w:after="0" w:line="178"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Our ability to commercialize our products successfully also will depend in part on the extent to which reimbursement for these products and related treatments becomes available from government health administration authorities, private health insurers and other organizations. Government authorities and third-party payers, such as private health insurers and health maintenance organizations, decide which medications they will pay for and establish reimbursement levels. A primary trend in the U.S. healthcare industry and elsewhere is cost containment. Government authorities and these third-party payers have attempted to control costs by limiting coverage and the amount of reimbursement for particular medications. We cannot be sure that reimbursement will be available for any product that we commercialize and, if reimbursement is available, what the level of reimbursement will be. Reimbursement may impact the demand for, or the price of, any product for which we obtain marketing approval. Obtaining reimbursement for our products may be particularly difficult because of the higher prices often associated with products administered under the supervision of a physician. If reimbursement is not available or is available only to limited levels, we may not be able to successfully commercialize any planned product that we successfully develop.</w:t>
      </w:r>
    </w:p>
    <w:p>
      <w:pPr>
        <w:spacing w:after="0" w:line="167" w:lineRule="exact"/>
        <w:rPr>
          <w:sz w:val="20"/>
          <w:szCs w:val="20"/>
          <w:color w:val="auto"/>
        </w:rPr>
      </w:pPr>
    </w:p>
    <w:p>
      <w:pPr>
        <w:ind w:right="60" w:firstLine="598"/>
        <w:spacing w:after="0" w:line="272" w:lineRule="auto"/>
        <w:rPr>
          <w:sz w:val="20"/>
          <w:szCs w:val="20"/>
          <w:color w:val="auto"/>
        </w:rPr>
      </w:pPr>
      <w:r>
        <w:rPr>
          <w:rFonts w:ascii="Arial" w:cs="Arial" w:eastAsia="Arial" w:hAnsi="Arial"/>
          <w:sz w:val="17"/>
          <w:szCs w:val="17"/>
          <w:color w:val="auto"/>
        </w:rPr>
        <w:t>In the U.S.,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government healthcare programs or private payers and by any future relaxation of laws that presently restrict imports of products from countries where they may be sold at lower prices than in the U.S. Third-party payers often rely upon Medicare coverage policy and payment limitations in setting their own reimbursement policies.</w:t>
      </w:r>
    </w:p>
    <w:p>
      <w:pPr>
        <w:spacing w:after="0" w:line="178"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color w:val="auto"/>
        </w:rPr>
        <w:t>Our inability to promptly obtain coverage and profitable payment rates from both government funded and private payers for new products that we develop could have a material adverse effect on our operating results, our ability to raise capital needed to commercialize products and our overall financial condition. In some foreign countries, including major markets in the E.U. and Japan, the pricing of prescription pharmaceuticals is subject to governmental control. In these countries, pricing negotiations with governmental authorities can take nine to twelve months or longer after the receipt of regulatory marketing approval for a product. To obtain reimbursement or pricing approval in some countries, we may be required to conduct a clinical trial that compares the cost-effectiveness of our product to other available therapies. Our business could be materially harmed if reimbursement of our products, if any, is unavailable or limited in scope or amount or if pricing is set at unsatisfactory levels.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to limit commercialization of any products that we may develop.</w:t>
      </w:r>
    </w:p>
    <w:p>
      <w:pPr>
        <w:spacing w:after="0" w:line="140" w:lineRule="exact"/>
        <w:rPr>
          <w:sz w:val="20"/>
          <w:szCs w:val="20"/>
          <w:color w:val="auto"/>
        </w:rPr>
      </w:pPr>
    </w:p>
    <w:p>
      <w:pPr>
        <w:ind w:right="20" w:firstLine="598"/>
        <w:spacing w:after="0" w:line="279" w:lineRule="auto"/>
        <w:rPr>
          <w:sz w:val="20"/>
          <w:szCs w:val="20"/>
          <w:color w:val="auto"/>
        </w:rPr>
      </w:pPr>
      <w:r>
        <w:rPr>
          <w:rFonts w:ascii="Arial" w:cs="Arial" w:eastAsia="Arial" w:hAnsi="Arial"/>
          <w:sz w:val="17"/>
          <w:szCs w:val="17"/>
          <w:color w:val="auto"/>
        </w:rPr>
        <w:t>We face an inherent risk of product liability exposure related to the sale of our products. The marketing, sale and use of our products could lead to the filing of product liability claims against us if someone alleges that our tests failed to perform as designed. We may also be subject to liability for a misunderstanding of, or inappropriate reliance upon, the information we provide. If we cannot successfully defend ourselves against claims that our products caused injuries, we may incur substantial liabilities. Regardless of merit or eventual outcome, liability claims may result in:</w:t>
      </w:r>
    </w:p>
    <w:p>
      <w:pPr>
        <w:spacing w:after="0" w:line="63" w:lineRule="exact"/>
        <w:rPr>
          <w:sz w:val="20"/>
          <w:szCs w:val="20"/>
          <w:color w:val="auto"/>
        </w:rPr>
      </w:pPr>
    </w:p>
    <w:p>
      <w:pPr>
        <w:ind w:left="1040" w:hanging="438"/>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demand for any planned products that we may develop;</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9" w:name="page30"/>
    <w:bookmarkEnd w:id="29"/>
    <w:p>
      <w:pPr>
        <w:ind w:left="1040" w:hanging="438"/>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withdrawal of patients from clinical studies or cancellation of studies;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and distraction to our management team;</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monetary awards to patients;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We currently hold $8.0 million 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members of our executive management team could adversely affect our business.</w:t>
      </w:r>
    </w:p>
    <w:p>
      <w:pPr>
        <w:spacing w:after="0" w:line="117"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Our success in implementing our business strategy depends largely on the skills, experience and performance of key members of our executive management team and others in key management positions, including Dr. Anish Bhatnagar, our Chief Executive Officer, Jonathan Wolter, our Chief Financial Officer, Neil M. Cowen, our Senior Vice President of Drug Development, Kristen Yen, our Vice President of Clinical Operations, and Patricia Hirano our Vice President of Regulatory Affairs. The collective efforts of each of these persons, and others working with them as a team, are critical to us as we continue to develop our technologies, tests and research and development and sales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Our officers all have employment agreements; however, the existence of an employment agreement does not guarantee retention of members of our executive management team and we may not be able to retain those individuals for the duration of or beyond the end of their respective terms. We have secured a $1.0 million “key person” life insurance policy on our Chief Executive Officer, Dr. Anish Bhatnagar, but do not otherwise maintain “key person” life insurance on any of our employees.</w:t>
      </w:r>
    </w:p>
    <w:p>
      <w:pPr>
        <w:spacing w:after="0" w:line="183" w:lineRule="exact"/>
        <w:rPr>
          <w:sz w:val="20"/>
          <w:szCs w:val="20"/>
          <w:color w:val="auto"/>
        </w:rPr>
      </w:pPr>
    </w:p>
    <w:p>
      <w:pPr>
        <w:jc w:val="both"/>
        <w:ind w:right="120" w:firstLine="598"/>
        <w:spacing w:after="0" w:line="264" w:lineRule="auto"/>
        <w:rPr>
          <w:sz w:val="20"/>
          <w:szCs w:val="20"/>
          <w:color w:val="auto"/>
        </w:rPr>
      </w:pPr>
      <w:r>
        <w:rPr>
          <w:rFonts w:ascii="Arial" w:cs="Arial" w:eastAsia="Arial" w:hAnsi="Arial"/>
          <w:sz w:val="18"/>
          <w:szCs w:val="18"/>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turnover creates uncertainties and could harm our business</w:t>
      </w:r>
    </w:p>
    <w:p>
      <w:pPr>
        <w:spacing w:after="0" w:line="117" w:lineRule="exact"/>
        <w:rPr>
          <w:sz w:val="20"/>
          <w:szCs w:val="20"/>
          <w:color w:val="auto"/>
        </w:rPr>
      </w:pPr>
    </w:p>
    <w:p>
      <w:pPr>
        <w:ind w:right="20" w:firstLine="598"/>
        <w:spacing w:after="0" w:line="312" w:lineRule="auto"/>
        <w:rPr>
          <w:sz w:val="20"/>
          <w:szCs w:val="20"/>
          <w:color w:val="auto"/>
        </w:rPr>
      </w:pPr>
      <w:r>
        <w:rPr>
          <w:rFonts w:ascii="Arial" w:cs="Arial" w:eastAsia="Arial" w:hAnsi="Arial"/>
          <w:sz w:val="16"/>
          <w:szCs w:val="16"/>
          <w:color w:val="auto"/>
        </w:rPr>
        <w:t>We have experienced changes in our executive leadership in the past. David O’Toole, our Senior Vice President and Chief Financial Officer, resigned from employment effective September 11, 2017. Mr. Jonathan Wolter, a partner at FLG Partners, LLC, was retained as our interim Chief Financial Officer and on May 30, 2018, was appointed Chief Financial Officer. Patricia Hirano was appointed Vice President of Regulatory Affairs on January 1, 2019.</w:t>
      </w:r>
    </w:p>
    <w:p>
      <w:pPr>
        <w:spacing w:after="0" w:line="14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Changes to strategic or operating goals, which can often times occur with the appointment of new executives, can create uncertainty, may negatively impact our ability to execute quickly and effectively, and may ultimately be unsuccessful. In addition, executive leadership transition periods are often difficult as the new executives gain detailed knowledge of our operations, and friction can result from changes in strategy and management style. Management turnover inherently causes some loss of institutional knowledge, which can negatively affect strategy and execution. Until we integrate new personnel, and unless they are able to succeed in their positions, we may be unable to successfully manage and grow our business, and our financial condition and profitability may suffer.</w:t>
      </w:r>
    </w:p>
    <w:p>
      <w:pPr>
        <w:spacing w:after="0" w:line="193" w:lineRule="exact"/>
        <w:rPr>
          <w:sz w:val="20"/>
          <w:szCs w:val="20"/>
          <w:color w:val="auto"/>
        </w:rPr>
      </w:pPr>
    </w:p>
    <w:p>
      <w:pPr>
        <w:ind w:right="480" w:firstLine="598"/>
        <w:spacing w:after="0" w:line="308" w:lineRule="auto"/>
        <w:rPr>
          <w:sz w:val="20"/>
          <w:szCs w:val="20"/>
          <w:color w:val="auto"/>
        </w:rPr>
      </w:pPr>
      <w:r>
        <w:rPr>
          <w:rFonts w:ascii="Arial" w:cs="Arial" w:eastAsia="Arial" w:hAnsi="Arial"/>
          <w:sz w:val="17"/>
          <w:szCs w:val="17"/>
          <w:color w:val="auto"/>
        </w:rPr>
        <w:t>Further, to the extent we experience additional management turnover, competition for top management is high and it may take months to find a candidate that meets our requirements. If we are unable to attract and retain qualified management personnel, our business could suffer.</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30" w:name="page31"/>
    <w:bookmarkEnd w:id="30"/>
    <w:p>
      <w:pPr>
        <w:ind w:right="260"/>
        <w:spacing w:after="0" w:line="277" w:lineRule="auto"/>
        <w:rPr>
          <w:sz w:val="20"/>
          <w:szCs w:val="20"/>
          <w:color w:val="auto"/>
        </w:rPr>
      </w:pPr>
      <w:r>
        <w:rPr>
          <w:rFonts w:ascii="Arial" w:cs="Arial" w:eastAsia="Arial" w:hAnsi="Arial"/>
          <w:sz w:val="18"/>
          <w:szCs w:val="18"/>
          <w:b w:val="1"/>
          <w:bCs w:val="1"/>
          <w:i w:val="1"/>
          <w:iCs w:val="1"/>
          <w:color w:val="auto"/>
        </w:rPr>
        <w:t>There is a scarcity of experienced professionals in our industry. If we are not able to retain and recruit personnel with the requisite technical skills, we may be unable to successfully execute our business strategy.</w:t>
      </w:r>
    </w:p>
    <w:p>
      <w:pPr>
        <w:spacing w:after="0" w:line="62"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biotechnology businesses, we may not succeed in attracting or retaining the personnel we require to continue and grow our operations.</w:t>
      </w:r>
    </w:p>
    <w:p>
      <w:pPr>
        <w:spacing w:after="0" w:line="29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acquire other businesses or form joint ventures or make investments in other companies or technologies that could harm our operating results, dilute our stockholders’ ownership, increase our debt or cause us to incur significant expense.</w:t>
      </w:r>
    </w:p>
    <w:p>
      <w:pPr>
        <w:spacing w:after="0" w:line="62"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As part of our business strategy, we may pursue acquisitions or licenses of assets or acquisitions of businesses. We also may pursue strategic alliances and joint ventures that leverage our core technology and industry experience to expand our product offerings or sales and distribution resources. Our company has limited experience with acquiring other companies, acquiring or licensing assets or forming strategic alliances and joint ventures.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Any future acquisitions also could result in significant write-offs or the incurrence of debt and contingent liabilities, any of which could have a material adverse effect on our financial condition, results of operations and cash flows. Integration of an acquired company also may disrupt ongoing operations and require management resources that would otherwise focus on developing our existing business. We may experience losses related to investments in other companies, which could have a material negative effect on our results of operations.</w:t>
      </w:r>
    </w:p>
    <w:p>
      <w:pPr>
        <w:spacing w:after="0" w:line="182" w:lineRule="exact"/>
        <w:rPr>
          <w:sz w:val="20"/>
          <w:szCs w:val="20"/>
          <w:color w:val="auto"/>
        </w:rPr>
      </w:pPr>
    </w:p>
    <w:p>
      <w:pPr>
        <w:ind w:right="60" w:firstLine="598"/>
        <w:spacing w:after="0" w:line="276" w:lineRule="auto"/>
        <w:rPr>
          <w:sz w:val="20"/>
          <w:szCs w:val="20"/>
          <w:color w:val="auto"/>
        </w:rPr>
      </w:pPr>
      <w:r>
        <w:rPr>
          <w:rFonts w:ascii="Arial" w:cs="Arial" w:eastAsia="Arial" w:hAnsi="Arial"/>
          <w:sz w:val="17"/>
          <w:szCs w:val="17"/>
          <w:color w:val="auto"/>
        </w:rPr>
        <w:t>We may not identify or complete these transactions in a timely manner, on a cost-effective basis, or at all, and we may not realize the anticipated benefits of any acquisition, license, strategic alliance or joint venture. To finance such a transaction, we may choose to issue shares of our common stock as consideration, which would dilute the ownership of our stockholders. If the price of our common stock is low or volatile, we may not be able to acquire other companies or fund a joint venture project using our stock as consideration. Alternatively, it may be necessary for us to raise additional funds for acquisitions through public or private financings. Additional funds may not be available on terms that are favorable to us, or at all.</w:t>
      </w:r>
    </w:p>
    <w:p>
      <w:pPr>
        <w:spacing w:after="0" w:line="2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will expose us to business, regulatory, political, operational, financial and economic risks associated with doing business outside of the U.S.</w:t>
      </w:r>
    </w:p>
    <w:p>
      <w:pPr>
        <w:spacing w:after="0" w:line="62"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Our business strategy contemplates international expansion, including partnering with distributors, and introducing our current products and other planned products outside the U.S. Doing business internationally involves a number of risks, including:</w:t>
      </w:r>
    </w:p>
    <w:p>
      <w:pPr>
        <w:spacing w:after="0" w:line="62" w:lineRule="exact"/>
        <w:rPr>
          <w:sz w:val="20"/>
          <w:szCs w:val="20"/>
          <w:color w:val="auto"/>
        </w:rPr>
      </w:pPr>
    </w:p>
    <w:p>
      <w:pPr>
        <w:ind w:left="1040" w:right="720" w:hanging="438"/>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export and import restrictions, employment laws, regulatory requirements and other governmental approvals, permits and licenses;</w:t>
      </w:r>
    </w:p>
    <w:p>
      <w:pPr>
        <w:spacing w:after="0" w:line="62" w:lineRule="exact"/>
        <w:rPr>
          <w:rFonts w:ascii="Arial" w:cs="Arial" w:eastAsia="Arial" w:hAnsi="Arial"/>
          <w:sz w:val="18"/>
          <w:szCs w:val="18"/>
          <w:color w:val="auto"/>
        </w:rPr>
      </w:pPr>
    </w:p>
    <w:p>
      <w:pPr>
        <w:ind w:left="1040" w:right="520" w:hanging="438"/>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failure by us or our distributors to obtain regulatory approvals for the sale or use of our current products and our planned future products in various countries;</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managing foreign operations;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complexities associated with managing government payer systems, multiple payer-reimbursement regimes or self-pay systems;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products, including infrastructure conditions and transportation delays;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our distributors do not execute successfully;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1" w:name="page32"/>
    <w:bookmarkEnd w:id="31"/>
    <w:p>
      <w:pPr>
        <w:ind w:left="1040" w:right="560" w:hanging="438"/>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enforcing contracts and collecting accounts receivable, and exposure to foreign currency exchange rate fluctuations;</w:t>
      </w:r>
    </w:p>
    <w:p>
      <w:pPr>
        <w:spacing w:after="0" w:line="62" w:lineRule="exact"/>
        <w:rPr>
          <w:rFonts w:ascii="Arial" w:cs="Arial" w:eastAsia="Arial" w:hAnsi="Arial"/>
          <w:sz w:val="18"/>
          <w:szCs w:val="18"/>
          <w:color w:val="auto"/>
        </w:rPr>
      </w:pPr>
    </w:p>
    <w:p>
      <w:pPr>
        <w:ind w:left="1040" w:right="680" w:hanging="438"/>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or lack of them in certain jurisdictions, forcing more reliance on our trade secrets, if available;</w:t>
      </w:r>
    </w:p>
    <w:p>
      <w:pPr>
        <w:spacing w:after="0" w:line="62" w:lineRule="exact"/>
        <w:rPr>
          <w:rFonts w:ascii="Arial" w:cs="Arial" w:eastAsia="Arial" w:hAnsi="Arial"/>
          <w:sz w:val="18"/>
          <w:szCs w:val="18"/>
          <w:color w:val="auto"/>
        </w:rPr>
      </w:pPr>
    </w:p>
    <w:p>
      <w:pPr>
        <w:ind w:left="1040" w:right="100" w:hanging="438"/>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 and</w:t>
      </w:r>
    </w:p>
    <w:p>
      <w:pPr>
        <w:spacing w:after="0" w:line="62" w:lineRule="exact"/>
        <w:rPr>
          <w:rFonts w:ascii="Arial" w:cs="Arial" w:eastAsia="Arial" w:hAnsi="Arial"/>
          <w:sz w:val="18"/>
          <w:szCs w:val="18"/>
          <w:color w:val="auto"/>
        </w:rPr>
      </w:pPr>
    </w:p>
    <w:p>
      <w:pPr>
        <w:ind w:left="1040" w:right="660" w:hanging="438"/>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comply with the Foreign Corrupt Practices Act, including its books and records provisions and its anti-bribery provisions, by maintaining accurate information and control over sales activities and distributors’ activities.</w:t>
      </w:r>
    </w:p>
    <w:p>
      <w:pPr>
        <w:spacing w:after="0" w:line="170"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Any of these risks, if encountered, could significantly harm our future international expansion and operations and, consequently, have a material adverse effect on our financial condition, results of operations and cash flows.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Intrusions into our computer systems could result in compromise of confidential information.</w:t>
      </w:r>
    </w:p>
    <w:p>
      <w:pPr>
        <w:spacing w:after="0" w:line="117" w:lineRule="exact"/>
        <w:rPr>
          <w:sz w:val="20"/>
          <w:szCs w:val="20"/>
          <w:color w:val="auto"/>
        </w:rPr>
      </w:pPr>
    </w:p>
    <w:p>
      <w:pPr>
        <w:jc w:val="both"/>
        <w:ind w:right="480" w:firstLine="598"/>
        <w:spacing w:after="0" w:line="264" w:lineRule="auto"/>
        <w:rPr>
          <w:sz w:val="20"/>
          <w:szCs w:val="20"/>
          <w:color w:val="auto"/>
        </w:rPr>
      </w:pPr>
      <w:r>
        <w:rPr>
          <w:rFonts w:ascii="Arial" w:cs="Arial" w:eastAsia="Arial" w:hAnsi="Arial"/>
          <w:sz w:val="18"/>
          <w:szCs w:val="18"/>
          <w:color w:val="auto"/>
        </w:rPr>
        <w:t>Any software we develop or use for any of our products may be potentially subject to malfunction or vulnerable to physical break-ins, hackers, improper employee or contractor access, computer viruses, programming errors, or similar problems. Any of these might result in confidential medical, business or other information of other persons or of ourselves being revealed to unauthorized persons.</w:t>
      </w:r>
    </w:p>
    <w:p>
      <w:pPr>
        <w:spacing w:after="0" w:line="181" w:lineRule="exact"/>
        <w:rPr>
          <w:sz w:val="20"/>
          <w:szCs w:val="20"/>
          <w:color w:val="auto"/>
        </w:rPr>
      </w:pPr>
    </w:p>
    <w:p>
      <w:pPr>
        <w:ind w:firstLine="598"/>
        <w:spacing w:after="0" w:line="268" w:lineRule="auto"/>
        <w:rPr>
          <w:sz w:val="20"/>
          <w:szCs w:val="20"/>
          <w:color w:val="auto"/>
        </w:rPr>
      </w:pPr>
      <w:r>
        <w:rPr>
          <w:rFonts w:ascii="Arial" w:cs="Arial" w:eastAsia="Arial" w:hAnsi="Arial"/>
          <w:sz w:val="17"/>
          <w:szCs w:val="17"/>
          <w:color w:val="auto"/>
        </w:rPr>
        <w:t>There are a number of state, federal and international laws protecting the privacy and security of health information and personal data, including on electronic medical systems. As part of the American Recovery and Reinvestment Act 2009, or ARRA, Congress amended the privacy and security provisions of the Health Insurance Portability and Accountability Act of 1996, or HIPAA. HIPAA imposes limitations on the use and disclosure of an individual’s protected healthcare information by healthcare providers, healthcare clearinghouses, and health insurance plans, collectively referred to as covered entities. The HIPAA amendments also impose compliance obligations and corresponding penalties for non-compliance on individuals and entities that provide services to healthcare providers and other covered entities, collectively referred to as business associates. ARRA also made significant increases in the penalties for improper use or disclosure of an individual’s health information under HIPAA and extended enforcement authority to state attorneys general. The amendments also create notification requirements for individuals whose health information has been inappropriately accessed or disclosed: notification requirements to federal regulators and in some cases, notification to local and national media. Notification is not required under HIPAA if the health information that is improperly used or disclosed is deemed secured in accordance with encryption or other standards developed by HHS. Most states have laws requiring notification of affected individuals and state regulators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Activities outside of the U.S. implicate local and national data protection standards, impose additional compliance requirements and generate additional risks of enforcement for non-compliance. We may be required to expend significant capital and other resources to ensure ongoing compliance with applicable privacy and data security laws, to protect against security breaches and hackers or to alleviate problems caused by such breaches.</w:t>
      </w:r>
    </w:p>
    <w:p>
      <w:pPr>
        <w:spacing w:after="0" w:line="181"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With respect to our joint venture, the accuracy of CoSense depends, in part, on the function of proprietary software run by the microprocessors embedded in the device, and despite our efforts to test the software extensively, it is potentially subject to malfunction, physical break-ins, hackers, improper employee or contractor access, computer viruses, programming errors, or similar problems. Any of these might result in confidential medical, business or other information of other persons or of ourselves being revealed to unauthorized persons.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Any future distribution or commercialization agreements we may enter into for our products may place the development of these products outside our control, may require us to relinquish important rights, or may otherwise be on terms unfavorable to us.</w:t>
      </w:r>
    </w:p>
    <w:p>
      <w:pPr>
        <w:spacing w:after="0" w:line="62"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may enter into additional distribution or commercialization agreements with third parties with respect to our products. Our likely collaborators for any distribution, marketing, licensing or other collaboration arrangements include large and mid-size companies, regional and national companies, and distribution or group purchasing organizations. We will have limited control over the amount and timing of resources that our collaborators dedicate to the development or commercialization of our products. Our ability to generate revenue from these arrangements will depend in part on our collaborators’ abilities to successfully perform the functions assigned to them in these arrangements.</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Collaborations involving our products are subject to numerous risks, which may include the following:</w:t>
      </w:r>
    </w:p>
    <w:p>
      <w:pPr>
        <w:spacing w:after="0" w:line="117" w:lineRule="exact"/>
        <w:rPr>
          <w:sz w:val="20"/>
          <w:szCs w:val="20"/>
          <w:color w:val="auto"/>
        </w:rPr>
      </w:pPr>
    </w:p>
    <w:p>
      <w:pPr>
        <w:ind w:left="1040" w:hanging="438"/>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any such collaborations;</w:t>
      </w:r>
    </w:p>
    <w:p>
      <w:pPr>
        <w:spacing w:after="0" w:line="117" w:lineRule="exact"/>
        <w:rPr>
          <w:rFonts w:ascii="Arial" w:cs="Arial" w:eastAsia="Arial" w:hAnsi="Arial"/>
          <w:sz w:val="18"/>
          <w:szCs w:val="18"/>
          <w:color w:val="auto"/>
        </w:rPr>
      </w:pPr>
    </w:p>
    <w:p>
      <w:pPr>
        <w:ind w:left="1040" w:right="360" w:hanging="438"/>
        <w:spacing w:after="0" w:line="286"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our products, or may elect not to continue or renew efforts based on clinical study results, changes in their strategic focus for a variety of reasons, potentially including the acquisition of competitive products, availability of funding, and mergers or acquisitions that divert resources or create competing priorities;</w:t>
      </w:r>
    </w:p>
    <w:p>
      <w:pPr>
        <w:spacing w:after="0" w:line="57" w:lineRule="exact"/>
        <w:rPr>
          <w:rFonts w:ascii="Arial" w:cs="Arial" w:eastAsia="Arial" w:hAnsi="Arial"/>
          <w:sz w:val="17"/>
          <w:szCs w:val="17"/>
          <w:color w:val="auto"/>
        </w:rPr>
      </w:pPr>
    </w:p>
    <w:p>
      <w:pPr>
        <w:ind w:left="1040" w:right="380" w:hanging="438"/>
        <w:spacing w:after="0" w:line="308"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may delay clinical studies, provide insufficient funding for a clinical study program, stop a clinical study, abandon a product, repeat or conduct new clinical studies or require a new engineering iteration of a product for clinical testing;</w:t>
      </w:r>
    </w:p>
    <w:p>
      <w:pPr>
        <w:spacing w:after="0" w:line="38" w:lineRule="exact"/>
        <w:rPr>
          <w:rFonts w:ascii="Arial" w:cs="Arial" w:eastAsia="Arial" w:hAnsi="Arial"/>
          <w:sz w:val="17"/>
          <w:szCs w:val="17"/>
          <w:color w:val="auto"/>
        </w:rPr>
      </w:pPr>
    </w:p>
    <w:p>
      <w:pPr>
        <w:ind w:left="1040" w:hanging="438"/>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w:t>
      </w:r>
    </w:p>
    <w:p>
      <w:pPr>
        <w:spacing w:after="0" w:line="128" w:lineRule="exact"/>
        <w:rPr>
          <w:rFonts w:ascii="Arial" w:cs="Arial" w:eastAsia="Arial" w:hAnsi="Arial"/>
          <w:sz w:val="17"/>
          <w:szCs w:val="17"/>
          <w:color w:val="auto"/>
        </w:rPr>
      </w:pPr>
    </w:p>
    <w:p>
      <w:pPr>
        <w:ind w:left="1040" w:right="500" w:hanging="438"/>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62" w:lineRule="exact"/>
        <w:rPr>
          <w:rFonts w:ascii="Arial" w:cs="Arial" w:eastAsia="Arial" w:hAnsi="Arial"/>
          <w:sz w:val="18"/>
          <w:szCs w:val="18"/>
          <w:color w:val="auto"/>
        </w:rPr>
      </w:pPr>
    </w:p>
    <w:p>
      <w:pPr>
        <w:ind w:left="1040" w:right="140" w:hanging="438"/>
        <w:spacing w:after="0" w:line="264"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3" w:lineRule="exact"/>
        <w:rPr>
          <w:rFonts w:ascii="Arial" w:cs="Arial" w:eastAsia="Arial" w:hAnsi="Arial"/>
          <w:sz w:val="18"/>
          <w:szCs w:val="18"/>
          <w:color w:val="auto"/>
        </w:rPr>
      </w:pPr>
    </w:p>
    <w:p>
      <w:pPr>
        <w:ind w:left="1040" w:right="40" w:hanging="438"/>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causes the delay or termination of the research, development or commercialization of our products or that results in costly litigation or arbitration that diverts management attention and resources;</w:t>
      </w:r>
    </w:p>
    <w:p>
      <w:pPr>
        <w:spacing w:after="0" w:line="62" w:lineRule="exact"/>
        <w:rPr>
          <w:rFonts w:ascii="Arial" w:cs="Arial" w:eastAsia="Arial" w:hAnsi="Arial"/>
          <w:sz w:val="18"/>
          <w:szCs w:val="18"/>
          <w:color w:val="auto"/>
        </w:rPr>
      </w:pPr>
    </w:p>
    <w:p>
      <w:pPr>
        <w:ind w:left="1040" w:right="1140" w:hanging="438"/>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products; and</w:t>
      </w:r>
    </w:p>
    <w:p>
      <w:pPr>
        <w:spacing w:after="0" w:line="62" w:lineRule="exact"/>
        <w:rPr>
          <w:rFonts w:ascii="Arial" w:cs="Arial" w:eastAsia="Arial" w:hAnsi="Arial"/>
          <w:sz w:val="18"/>
          <w:szCs w:val="18"/>
          <w:color w:val="auto"/>
        </w:rPr>
      </w:pPr>
    </w:p>
    <w:p>
      <w:pPr>
        <w:ind w:left="1040" w:right="140" w:hanging="438"/>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70"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color w:val="auto"/>
        </w:rPr>
        <w:t>Any termination or disruption of collaborations could result in delays in the development of products, increases in our costs to develop the products or the termination of development of a product.</w:t>
      </w:r>
    </w:p>
    <w:p>
      <w:pPr>
        <w:spacing w:after="0" w:line="2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regulatory and sales and marketing capabilities, and as a result, we may encounter difficulties in managing our growth, which could disrupt our operations.</w:t>
      </w:r>
    </w:p>
    <w:p>
      <w:pPr>
        <w:spacing w:after="0" w:line="62" w:lineRule="exact"/>
        <w:rPr>
          <w:sz w:val="20"/>
          <w:szCs w:val="20"/>
          <w:color w:val="auto"/>
        </w:rPr>
      </w:pPr>
    </w:p>
    <w:p>
      <w:pPr>
        <w:ind w:right="460" w:firstLine="598"/>
        <w:spacing w:after="0" w:line="279" w:lineRule="auto"/>
        <w:rPr>
          <w:sz w:val="20"/>
          <w:szCs w:val="20"/>
          <w:color w:val="auto"/>
        </w:rPr>
      </w:pPr>
      <w:r>
        <w:rPr>
          <w:rFonts w:ascii="Arial" w:cs="Arial" w:eastAsia="Arial" w:hAnsi="Arial"/>
          <w:sz w:val="17"/>
          <w:szCs w:val="17"/>
          <w:color w:val="auto"/>
        </w:rPr>
        <w:t>As of December 31, 2018, we had nine employees and fourteen full-time or part-time consultants. Over the next several years, we expect to experience significant growth in the number of our employees and the scope of our operations, particularly in the areas of drug development, quality assurance, engineering, product development, regulatory affairs and sales and marketing. To manage our anticipated future growth, we must continue to implement and improve our managerial, operational and financial systems, expand our facilities and continue to</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33" w:name="page34"/>
    <w:bookmarkEnd w:id="33"/>
    <w:p>
      <w:pPr>
        <w:ind w:right="320"/>
        <w:spacing w:after="0" w:line="279" w:lineRule="auto"/>
        <w:rPr>
          <w:sz w:val="20"/>
          <w:szCs w:val="20"/>
          <w:color w:val="auto"/>
        </w:rPr>
      </w:pPr>
      <w:r>
        <w:rPr>
          <w:rFonts w:ascii="Arial" w:cs="Arial" w:eastAsia="Arial" w:hAnsi="Arial"/>
          <w:sz w:val="17"/>
          <w:szCs w:val="17"/>
          <w:color w:val="auto"/>
        </w:rPr>
        <w:t>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Future growth would impose significant added responsibilities on members of management, including:</w:t>
      </w:r>
    </w:p>
    <w:p>
      <w:pPr>
        <w:spacing w:after="0" w:line="63" w:lineRule="exact"/>
        <w:rPr>
          <w:sz w:val="20"/>
          <w:szCs w:val="20"/>
          <w:color w:val="auto"/>
        </w:rPr>
      </w:pPr>
    </w:p>
    <w:p>
      <w:pPr>
        <w:ind w:left="1040" w:hanging="438"/>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managing our clinical trials effectively, which we anticipate being conducted at numerous clinical sites;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identifying, recruiting, maintaining, motivating and integrating additional employees with the expertise and experience we will require;</w:t>
      </w:r>
    </w:p>
    <w:p>
      <w:pPr>
        <w:spacing w:after="0" w:line="128" w:lineRule="exact"/>
        <w:rPr>
          <w:rFonts w:ascii="Arial" w:cs="Arial" w:eastAsia="Arial" w:hAnsi="Arial"/>
          <w:sz w:val="17"/>
          <w:szCs w:val="17"/>
          <w:color w:val="auto"/>
        </w:rPr>
      </w:pPr>
    </w:p>
    <w:p>
      <w:pPr>
        <w:ind w:left="1040" w:right="20" w:hanging="438"/>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while complying with our contractual obligations to licensors, licensees, contractors and other third parties;</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managing additional relationships with various strategic partners, suppliers and other third parties;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improving our managerial, development, operational and finance reporting systems and procedures; and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expanding our facilities.</w:t>
      </w:r>
    </w:p>
    <w:p>
      <w:pPr>
        <w:spacing w:after="0" w:line="225"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Our failure to accomplish any of these tasks could prevent us from successfully growing. Any inability to manage growth could delay the execution of our business plans or disrupt our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we intend to commercialize our products outside the U.S., we will be subject to additional risks.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variety of risks associated with international operations could materially adversely affect our business, including:</w:t>
      </w:r>
    </w:p>
    <w:p>
      <w:pPr>
        <w:spacing w:after="0" w:line="117" w:lineRule="exact"/>
        <w:rPr>
          <w:sz w:val="20"/>
          <w:szCs w:val="20"/>
          <w:color w:val="auto"/>
        </w:rPr>
      </w:pPr>
    </w:p>
    <w:p>
      <w:pPr>
        <w:ind w:left="1040" w:hanging="438"/>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040" w:right="60" w:hanging="438"/>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040" w:right="240" w:hanging="438"/>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certain components of our clinical studies, and those third parties may not perform satisfactorily, including failing to meet deadlines for the completion of such studies.</w:t>
      </w:r>
    </w:p>
    <w:p>
      <w:pPr>
        <w:spacing w:after="0" w:line="62"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We rely on third parties, such as contract research organizations, or CROs, investigational product packaging, labeling and distribution, laboratories, medical institutions and clinical investigators and staff, to perform various functions for our clinical trials. Our reliance on these third parties for clinical development activities reduces our control over these activities but does not relieve us of our responsibilities. We remain responsible for ensuring that each of our clinical studies is conducted in accordance with the general investigational plan and protocols for the study. Moreover, the FDA requires us and third parties involved in the set-up, conduct, analysis and reporting of the clinical studies to comply with regulations and with standards, commonly referred to as good clinical practices, or GCP, to assure that data and reported results are credible and accurate and that the rights, integrity and confidentiality of patients in clinical studies are protected. Our clinical investigators are also required to comply with</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34" w:name="page35"/>
    <w:bookmarkEnd w:id="34"/>
    <w:p>
      <w:pPr>
        <w:ind w:right="180"/>
        <w:spacing w:after="0" w:line="259" w:lineRule="auto"/>
        <w:rPr>
          <w:sz w:val="20"/>
          <w:szCs w:val="20"/>
          <w:color w:val="auto"/>
        </w:rPr>
      </w:pPr>
      <w:r>
        <w:rPr>
          <w:rFonts w:ascii="Arial" w:cs="Arial" w:eastAsia="Arial" w:hAnsi="Arial"/>
          <w:sz w:val="18"/>
          <w:szCs w:val="18"/>
          <w:color w:val="auto"/>
        </w:rPr>
        <w:t>GCPs. Furthermore, these third parties may also have relationships with other entities, some of which may be our competitors. If these third parties do not successfully carry out their contractual duties, meet expected deadlines or conduct our clinical studies in accordance with regulatory requirements or our stated protocols, we will not be able to obtain, or may be delayed in obtaining, regulatory approvals for our planned products and will not be able to, or may be delayed in our efforts to, successfully commercialize our planned products.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biological and hazardous materials in a manner that causes injury, we could be liable for damages.</w:t>
      </w:r>
    </w:p>
    <w:p>
      <w:pPr>
        <w:spacing w:after="0" w:line="117" w:lineRule="exact"/>
        <w:rPr>
          <w:sz w:val="20"/>
          <w:szCs w:val="20"/>
          <w:color w:val="auto"/>
        </w:rPr>
      </w:pPr>
    </w:p>
    <w:p>
      <w:pPr>
        <w:ind w:right="20" w:firstLine="598"/>
        <w:spacing w:after="0" w:line="290" w:lineRule="auto"/>
        <w:rPr>
          <w:sz w:val="20"/>
          <w:szCs w:val="20"/>
          <w:color w:val="auto"/>
        </w:rPr>
      </w:pPr>
      <w:r>
        <w:rPr>
          <w:rFonts w:ascii="Arial" w:cs="Arial" w:eastAsia="Arial" w:hAnsi="Arial"/>
          <w:sz w:val="16"/>
          <w:szCs w:val="16"/>
          <w:color w:val="auto"/>
        </w:rPr>
        <w:t>Our manufacturing processes currently require the controlled use of potentially harmful chemicals.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to, on an ongoing basis, federal, state and local laws and regulations governing the use, storage, handling and disposal of these materials and specified waste products. These are particularly stringent in California, including for purposes of our joint venture with OAHL, where the Cosense manufacturing facility and several suppliers are located. The cost of compliance with these laws and regulations may become significant and could have a material adverse effect on our financial condition, results of operations and cash flows. In the event of an accident or if we otherwise fail to comply with applicable regulations, we could lose our permits or approvals or be held liable for damages or penalized with fines.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460" w:firstLine="598"/>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62" w:lineRule="exact"/>
        <w:rPr>
          <w:sz w:val="20"/>
          <w:szCs w:val="20"/>
          <w:color w:val="auto"/>
        </w:rPr>
      </w:pPr>
    </w:p>
    <w:p>
      <w:pPr>
        <w:ind w:right="80" w:firstLine="598"/>
        <w:spacing w:after="0" w:line="270" w:lineRule="auto"/>
        <w:rPr>
          <w:sz w:val="20"/>
          <w:szCs w:val="20"/>
          <w:color w:val="auto"/>
        </w:rPr>
      </w:pPr>
      <w:r>
        <w:rPr>
          <w:rFonts w:ascii="Arial" w:cs="Arial" w:eastAsia="Arial" w:hAnsi="Arial"/>
          <w:sz w:val="17"/>
          <w:szCs w:val="17"/>
          <w:color w:val="auto"/>
        </w:rPr>
        <w:t>Patent litigation is prevalent in our sectors. Our commercial success depends upon our ability and the ability of our distributors, contract manufacturers, and suppliers to manufacture, market, and sell our planned products, and to use our proprietary technologies without infringing, misappropriating or otherwise violating the proprietary rights or intellectual property of third parties. We may become party to, or be threatened with, future adversarial proceedings or litigation regarding intellectual property rights with respect to our products and technology. Third parties may assert infringement claims against us based on existing or future intellectual property rights. If we are found to infringe a third-party’s intellectual property rights, we could be required to obtain a license from such third-party to continue developing and marketing our products and technology. We may also elect to enter into such a license in order to settle pending or threatened litigation. However, we may not be able to obtain any required license on commercially reasonable terms or at all. Even if we were able to obtain a license, it could be non-exclusive, thereby giving our competitors access to the same technologies licensed to us and could require us to pay significant royalties and other fees.</w:t>
      </w:r>
    </w:p>
    <w:p>
      <w:pPr>
        <w:spacing w:after="0" w:line="182"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We could be forced, including by court order, to cease commercializing the infringing technology or product. In addition, we could be found liable for monetary damages. A finding of infringement could prevent us from commercializing our planned products or force us to cease some of our business operations, which could materially harm our business. 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These and other claims that we have misappropriated the confidential information or trade secrets of third parties can have a similar negative impact on our business to the infringement claims discussed above.</w:t>
      </w:r>
    </w:p>
    <w:p>
      <w:pPr>
        <w:spacing w:after="0" w:line="167"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Even if we are successful in defending against intellectual property claims, litigation or other legal proceedings relating to such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litigation or other intellectual property related proceedings could have a material adverse effect on our ability to compete in the marketplace.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5" w:name="page36"/>
    <w:bookmarkEnd w:id="35"/>
    <w:p>
      <w:pPr>
        <w:ind w:right="52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agreements, we could lose intellectual property rights that are important to our business.</w:t>
      </w:r>
    </w:p>
    <w:p>
      <w:pPr>
        <w:spacing w:after="0" w:line="62"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We are a party to intellectual property arrangements and expect that our future license agreements will impose, various diligence, milestone payment, royalty, insurance and other obligations on us. If we fail to comply with these obligations, any licensor may have the right to terminate such agreements, in which event we may not be able to develop and market any product that is covered by such agreements.</w:t>
      </w:r>
    </w:p>
    <w:p>
      <w:pPr>
        <w:spacing w:after="0" w:line="181" w:lineRule="exact"/>
        <w:rPr>
          <w:sz w:val="20"/>
          <w:szCs w:val="20"/>
          <w:color w:val="auto"/>
        </w:rPr>
      </w:pPr>
    </w:p>
    <w:p>
      <w:pPr>
        <w:ind w:right="80" w:firstLine="598"/>
        <w:spacing w:after="0" w:line="308" w:lineRule="auto"/>
        <w:rPr>
          <w:sz w:val="20"/>
          <w:szCs w:val="20"/>
          <w:color w:val="auto"/>
        </w:rPr>
      </w:pPr>
      <w:r>
        <w:rPr>
          <w:rFonts w:ascii="Arial" w:cs="Arial" w:eastAsia="Arial" w:hAnsi="Arial"/>
          <w:sz w:val="17"/>
          <w:szCs w:val="17"/>
          <w:color w:val="auto"/>
        </w:rPr>
        <w:t>The risks described elsewhere pertaining to our intellectual property rights also apply to any intellectual property rights that we may license, and any failure by us or any future licensor to obtain, maintain, defend and enforce these rights could have a material adverse effect on our business.</w:t>
      </w:r>
    </w:p>
    <w:p>
      <w:pPr>
        <w:spacing w:after="0" w:line="25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Our ability to successfully commercialize our technology and products may be materially adversely affected if we are unable to obtain and maintain effective intellectual property rights for our technologies and planned products, or if the scope of the intellectual property protection is not sufficiently broad.</w:t>
      </w:r>
    </w:p>
    <w:p>
      <w:pPr>
        <w:spacing w:after="0" w:line="73" w:lineRule="exact"/>
        <w:rPr>
          <w:sz w:val="20"/>
          <w:szCs w:val="20"/>
          <w:color w:val="auto"/>
        </w:rPr>
      </w:pPr>
    </w:p>
    <w:p>
      <w:pPr>
        <w:ind w:right="520" w:firstLine="598"/>
        <w:spacing w:after="0" w:line="277" w:lineRule="auto"/>
        <w:rPr>
          <w:sz w:val="20"/>
          <w:szCs w:val="20"/>
          <w:color w:val="auto"/>
        </w:rPr>
      </w:pPr>
      <w:r>
        <w:rPr>
          <w:rFonts w:ascii="Arial" w:cs="Arial" w:eastAsia="Arial" w:hAnsi="Arial"/>
          <w:sz w:val="18"/>
          <w:szCs w:val="18"/>
          <w:color w:val="auto"/>
        </w:rPr>
        <w:t>Our success depends in large part on our ability to obtain and maintain patent and other intellectual property protection in the U.S. and in other countries with respect to our proprietary technology and products.</w:t>
      </w:r>
    </w:p>
    <w:p>
      <w:pPr>
        <w:spacing w:after="0" w:line="170" w:lineRule="exact"/>
        <w:rPr>
          <w:sz w:val="20"/>
          <w:szCs w:val="20"/>
          <w:color w:val="auto"/>
        </w:rPr>
      </w:pPr>
    </w:p>
    <w:p>
      <w:pPr>
        <w:ind w:right="60" w:firstLine="598"/>
        <w:spacing w:after="0" w:line="270" w:lineRule="auto"/>
        <w:rPr>
          <w:sz w:val="20"/>
          <w:szCs w:val="20"/>
          <w:color w:val="auto"/>
        </w:rPr>
      </w:pPr>
      <w:r>
        <w:rPr>
          <w:rFonts w:ascii="Arial" w:cs="Arial" w:eastAsia="Arial" w:hAnsi="Arial"/>
          <w:sz w:val="17"/>
          <w:szCs w:val="17"/>
          <w:color w:val="auto"/>
        </w:rPr>
        <w:t>The patent position of pharmaceutical companies generally is highly uncertain and involves complex legal and factual questions for which legal principles remain unresolved. In recent years patent rights have been the subject of significant litigation. As a result, the issuance, scope, validity, enforceability and commercial value of the patent rights we rely on are highly uncertain. Pending and future patent applications may not result in patents being issued which protect our technology or products or which effectively prevent others from commercializing competitive technologies and products. Changes in either the patent laws or interpretation of the patent laws in the U.S. and other countries may diminish the value of the patents we rely on or narrow the scope of our patent protection. The laws of foreign countries may not protect our rights to the same extent as the laws of the U.S.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or were the first to file for patent protection of such inventions.</w:t>
      </w:r>
    </w:p>
    <w:p>
      <w:pPr>
        <w:spacing w:after="0" w:line="182"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Even if the patent applications we rely on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The issuance of a patent is not conclusive as to its scope, validity or enforceability, and the patents we rely on may be challenged in the courts or patent offices in the U.S. and abroad. Such challenges may result in patent claims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planned products, patents protecting such products might expire before or shortly after such products are commercialized. As a result, our patent portfolio may not provide us with sufficient rights to exclude others from commercializing products similar or identical to ours or otherwise provide us with a competitive advantage.</w:t>
      </w:r>
    </w:p>
    <w:p>
      <w:pPr>
        <w:spacing w:after="0" w:line="29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may become involved in legal proceedings to protect or enforce our intellectual property rights, which could be expensive, time-consuming, or unsuccessful.</w:t>
      </w:r>
    </w:p>
    <w:p>
      <w:pPr>
        <w:spacing w:after="0" w:line="62" w:lineRule="exact"/>
        <w:rPr>
          <w:sz w:val="20"/>
          <w:szCs w:val="20"/>
          <w:color w:val="auto"/>
        </w:rPr>
      </w:pPr>
    </w:p>
    <w:p>
      <w:pPr>
        <w:ind w:right="100" w:firstLine="598"/>
        <w:spacing w:after="0" w:line="254" w:lineRule="auto"/>
        <w:rPr>
          <w:sz w:val="20"/>
          <w:szCs w:val="20"/>
          <w:color w:val="auto"/>
        </w:rPr>
      </w:pPr>
      <w:r>
        <w:rPr>
          <w:rFonts w:ascii="Arial" w:cs="Arial" w:eastAsia="Arial" w:hAnsi="Arial"/>
          <w:sz w:val="18"/>
          <w:szCs w:val="18"/>
          <w:color w:val="auto"/>
        </w:rPr>
        <w:t>Competitors may infringe or otherwise violate the patents we rely on, or our other intellectual property rights. To counter infringement or unauthorized use, we may be required to file infringement claims, which can be expensive and time-consuming. Any claims that we assert against perceived infringers could also provoke these parties to assert counterclaims against us alleging that we infringe their intellectual property rights. In addition, in an infringement proceeding, a court may decide that a patent we are asserting is invalid or unenforceable or may refuse to stop the other party from using the technology at issue on the grounds that the patents we are asserting do not cover the technology in question. An adverse result in any litigation proceeding could put one or more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6" w:name="page37"/>
    <w:bookmarkEnd w:id="36"/>
    <w:p>
      <w:pPr>
        <w:ind w:right="40" w:firstLine="598"/>
        <w:spacing w:after="0" w:line="270" w:lineRule="auto"/>
        <w:rPr>
          <w:sz w:val="20"/>
          <w:szCs w:val="20"/>
          <w:color w:val="auto"/>
        </w:rPr>
      </w:pPr>
      <w:r>
        <w:rPr>
          <w:rFonts w:ascii="Arial" w:cs="Arial" w:eastAsia="Arial" w:hAnsi="Arial"/>
          <w:sz w:val="17"/>
          <w:szCs w:val="17"/>
          <w:color w:val="auto"/>
        </w:rPr>
        <w:t>Interference or derivation proceedings provoked by third parties or brought by the U.S. Patent and Trademark Office, or USPTO, or any foreign patent authority may be necessary to determine the priority of inventions or other matters of inventorship with respect to patents and patent applications. We may become involved in proceedings, including oppositions, interferences, derivation proceedings interparty reviews, patent nullification proceedings, or re-examinations, challenging our patent rights or the patent rights of others, and the outcome of any such proceedings are highly uncertain. An adverse determination in any such proceeding could reduce the scope of, or invalidate, important patent rights, allow third parties to commercialize our technology or products and compete directly with us, without payment to us, or result in our inability to manufacture or commercialize products without infringing third-party patent rights. Our business also could be harmed if a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If we are unable to resolve these disputes, we could lose valuable intellectual property rights.</w:t>
      </w:r>
    </w:p>
    <w:p>
      <w:pPr>
        <w:spacing w:after="0" w:line="178" w:lineRule="exact"/>
        <w:rPr>
          <w:sz w:val="20"/>
          <w:szCs w:val="20"/>
          <w:color w:val="auto"/>
        </w:rPr>
      </w:pPr>
    </w:p>
    <w:p>
      <w:pPr>
        <w:ind w:right="80" w:firstLine="598"/>
        <w:spacing w:after="0" w:line="293"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or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Uncertainties resulting from the initiation and continuation of intellectual property litigation or other proceedings could have a material adverse effect on our ability to compete in the marketplace.</w:t>
      </w:r>
    </w:p>
    <w:p>
      <w:pPr>
        <w:spacing w:after="0" w:line="27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harming our business and competitive position.</w:t>
      </w:r>
    </w:p>
    <w:p>
      <w:pPr>
        <w:spacing w:after="0" w:line="62" w:lineRule="exact"/>
        <w:rPr>
          <w:sz w:val="20"/>
          <w:szCs w:val="20"/>
          <w:color w:val="auto"/>
        </w:rPr>
      </w:pPr>
    </w:p>
    <w:p>
      <w:pPr>
        <w:ind w:firstLine="598"/>
        <w:spacing w:after="0" w:line="268" w:lineRule="auto"/>
        <w:rPr>
          <w:sz w:val="20"/>
          <w:szCs w:val="20"/>
          <w:color w:val="auto"/>
        </w:rPr>
      </w:pPr>
      <w:r>
        <w:rPr>
          <w:rFonts w:ascii="Arial" w:cs="Arial" w:eastAsia="Arial" w:hAnsi="Arial"/>
          <w:sz w:val="17"/>
          <w:szCs w:val="17"/>
          <w:color w:val="auto"/>
        </w:rPr>
        <w:t>In addition to our patented technology and products, we rely upon confidential proprietary information, including trade secrets, unpatented know-how, technology and other proprietary information, to develop and maintain our competitive position. Any disclosure to or misappropriation by third parties of our confidential proprietary information could enable competitors to quickly duplicate or surpass our technological achievements, thus eroding our competitive position in the market. We seek to protect our confidential proprietary information, in part, by confidentiality agreements with our employees and our collaborators and consultants. We also have agreements with our employees and selected consultants that obligate them to assign their inventions to us. These agreements are designed to protect our proprietary information; however, we cannot be certain that our trade secrets and other confidential information will not be disclosed or that competitors will not otherwise gain access to our trade secrets, or that technology relevant to our business will not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 known or be independently discovered by our competitors. In addition, intellectual property laws in foreign countries may not protect trade secrets and confidential information to the same extent as the laws of the U.S. If we are unable to prevent disclosure of the intellectual property related to our technologies to third parties, we may not be able to establish or maintain a competitive advantage in our market, which would harm our ability to protect our rights and have a material adverse effect on our business.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or enforce our intellectual property rights throughout the world.</w:t>
      </w:r>
    </w:p>
    <w:p>
      <w:pPr>
        <w:spacing w:after="0" w:line="117"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Filing, prosecuting and defending patents on all of our planned products throughout the world would be prohibitively expensive to us. Competitors may use our technologies in jurisdictions where we have not obtained patent protection to develop their own products and, further, may export otherwise infringing products to territories where we have patent protection but where enforcement is not as strong as in the U.S. These products may compete with our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17" w:lineRule="exact"/>
        <w:rPr>
          <w:sz w:val="20"/>
          <w:szCs w:val="20"/>
          <w:color w:val="auto"/>
        </w:rPr>
      </w:pPr>
    </w:p>
    <w:p>
      <w:pPr>
        <w:ind w:right="120" w:firstLine="598"/>
        <w:spacing w:after="0" w:line="308"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38" w:lineRule="exact"/>
        <w:rPr>
          <w:sz w:val="20"/>
          <w:szCs w:val="20"/>
          <w:color w:val="auto"/>
        </w:rPr>
      </w:pPr>
    </w:p>
    <w:p>
      <w:pPr>
        <w:ind w:left="1040" w:hanging="438"/>
        <w:spacing w:after="0"/>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Others may be able to make products that are similar to our current and planned products, but that are not covered by claims in our patents;</w:t>
      </w:r>
    </w:p>
    <w:p>
      <w:pPr>
        <w:spacing w:after="0" w:line="140" w:lineRule="exact"/>
        <w:rPr>
          <w:rFonts w:ascii="Arial" w:cs="Arial" w:eastAsia="Arial" w:hAnsi="Arial"/>
          <w:sz w:val="16"/>
          <w:szCs w:val="16"/>
          <w:color w:val="auto"/>
        </w:rPr>
      </w:pPr>
    </w:p>
    <w:p>
      <w:pPr>
        <w:ind w:left="1040" w:right="280" w:hanging="438"/>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original filers of our patents that we developed or purchased might not have been the first to make the inventions covered by the claims contained in such patents;</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117" w:lineRule="exact"/>
        <w:rPr>
          <w:rFonts w:ascii="Arial" w:cs="Arial" w:eastAsia="Arial" w:hAnsi="Arial"/>
          <w:sz w:val="18"/>
          <w:szCs w:val="18"/>
          <w:color w:val="auto"/>
        </w:rPr>
      </w:pPr>
    </w:p>
    <w:p>
      <w:pPr>
        <w:ind w:left="1040" w:right="200" w:hanging="438"/>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Pending patent applications may not lead to issued patents;</w:t>
      </w:r>
    </w:p>
    <w:p>
      <w:pPr>
        <w:spacing w:after="0" w:line="117" w:lineRule="exact"/>
        <w:rPr>
          <w:rFonts w:ascii="Arial" w:cs="Arial" w:eastAsia="Arial" w:hAnsi="Arial"/>
          <w:sz w:val="18"/>
          <w:szCs w:val="18"/>
          <w:color w:val="auto"/>
        </w:rPr>
      </w:pPr>
    </w:p>
    <w:p>
      <w:pPr>
        <w:ind w:left="1040" w:right="100" w:hanging="438"/>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Issued patents may not provide us with any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1040" w:right="820" w:hanging="438"/>
        <w:spacing w:after="0" w:line="308" w:lineRule="auto"/>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40" w:hanging="438"/>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develop or in-license additional proprietary technologies that are patentable; and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333"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or applications will be due to be paid by us to the United States Patent and Trademark Office, or USPTO, and various governmental patent agencies outside of the U.S. in several stages over the lifetime of the patents or applications. The USPTO and various non-U.S. governmental patent agencies require compliance with a number of procedural, documentary, fee payment and other similar provisions during the patent application process.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use our technologies and this circumstance would have a material adverse effect on our business</w:t>
      </w:r>
    </w:p>
    <w:p>
      <w:pPr>
        <w:spacing w:after="0" w:line="28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patent applications and the enforcement or defense of our issued patents.</w:t>
      </w:r>
    </w:p>
    <w:p>
      <w:pPr>
        <w:spacing w:after="0" w:line="62"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In March 2013, under the America Invents Act, or AIA, the U.S. moved to a first-to-file system and made certain other changes to its patent laws. The effects of these changes are currently unclear as the USPTO must still implement various regulations, the courts have yet to address these provisions and the applicability of the act and new regulations on specific patents discussed herein have not been determined and would need to be reviewed. Accordingly, it is not yet clear what, if any, impact the AIA will have on the operation of our business. However, the AIA and its implementation could increase the uncertainties and costs surrounding the prosecution of patent applications and the enforcement or defense of issued patents, all of which could have a material adverse effect on our business and financial condition.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8" w:name="page39"/>
    <w:bookmarkEnd w:id="38"/>
    <w:p>
      <w:pPr>
        <w:ind w:right="760"/>
        <w:spacing w:after="0" w:line="342" w:lineRule="auto"/>
        <w:rPr>
          <w:sz w:val="20"/>
          <w:szCs w:val="20"/>
          <w:color w:val="auto"/>
        </w:rPr>
      </w:pPr>
      <w:r>
        <w:rPr>
          <w:rFonts w:ascii="Arial" w:cs="Arial" w:eastAsia="Arial" w:hAnsi="Arial"/>
          <w:sz w:val="16"/>
          <w:szCs w:val="16"/>
          <w:b w:val="1"/>
          <w:bCs w:val="1"/>
          <w:i w:val="1"/>
          <w:iCs w:val="1"/>
          <w:color w:val="auto"/>
        </w:rPr>
        <w:t>If we do not obtain a patent term extension in the U.S. under the Hatch-Waxman Act and in foreign countries under similar legislation, thereby potentially extending the term of our marketing exclusivity for our planned products, our business may be materially harmed.</w:t>
      </w:r>
    </w:p>
    <w:p>
      <w:pPr>
        <w:spacing w:after="0" w:line="16"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Depending upon the timing, duration and specifics of FDA marketing approval of our products, if any, one or more of the U.S. patents covering any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planned products. Nevertheless, we may not be granted patent term extension either in the U.S. or in any foreign country because of, for example, our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89" w:lineRule="exact"/>
        <w:rPr>
          <w:sz w:val="20"/>
          <w:szCs w:val="20"/>
          <w:color w:val="auto"/>
        </w:rPr>
      </w:pPr>
    </w:p>
    <w:p>
      <w:pPr>
        <w:jc w:val="both"/>
        <w:ind w:right="120" w:firstLine="598"/>
        <w:spacing w:after="0" w:line="264" w:lineRule="auto"/>
        <w:rPr>
          <w:sz w:val="20"/>
          <w:szCs w:val="20"/>
          <w:color w:val="auto"/>
        </w:rPr>
      </w:pPr>
      <w:r>
        <w:rPr>
          <w:rFonts w:ascii="Arial" w:cs="Arial" w:eastAsia="Arial" w:hAnsi="Arial"/>
          <w:sz w:val="18"/>
          <w:szCs w:val="18"/>
          <w:color w:val="auto"/>
        </w:rPr>
        <w:t>If we are unable to obtain patent term extension or restoration, or the term of any such extension is less than requested,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regulatory approval process is expensive, time consuming and uncertain, and may prevent us from obtaining approvals for our planned products.</w:t>
      </w:r>
    </w:p>
    <w:p>
      <w:pPr>
        <w:spacing w:after="0" w:line="152" w:lineRule="exact"/>
        <w:rPr>
          <w:sz w:val="20"/>
          <w:szCs w:val="20"/>
          <w:color w:val="auto"/>
        </w:rPr>
      </w:pPr>
    </w:p>
    <w:p>
      <w:pPr>
        <w:ind w:right="160" w:firstLine="598"/>
        <w:spacing w:after="0" w:line="255" w:lineRule="auto"/>
        <w:rPr>
          <w:sz w:val="20"/>
          <w:szCs w:val="20"/>
          <w:color w:val="auto"/>
        </w:rPr>
      </w:pPr>
      <w:r>
        <w:rPr>
          <w:rFonts w:ascii="Arial" w:cs="Arial" w:eastAsia="Arial" w:hAnsi="Arial"/>
          <w:sz w:val="18"/>
          <w:szCs w:val="18"/>
          <w:color w:val="auto"/>
        </w:rPr>
        <w:t>The research, testing, manufacturing, labeling, approval, selling, import, export, marketing and distribution of our products are subject to extensive regulation by the FDA in the U.S. and other regulatory authorities in other countries, which regulations differ from country to country. We are not permitted to market our planned products in the U.S. until we received the requisite approval or clearance from the FDA. We have not submitted an application or received marketing approval for any planned products. Obtaining approvals from the FDA can be a lengthy, expensive and uncertain process. In addition, failure to comply with FDA and other applicable U.S. and foreign regulatory requirements may subject us to administrative or judicially imposed sanctions, including the following:</w:t>
      </w:r>
    </w:p>
    <w:p>
      <w:pPr>
        <w:spacing w:after="0" w:line="85" w:lineRule="exact"/>
        <w:rPr>
          <w:sz w:val="20"/>
          <w:szCs w:val="20"/>
          <w:color w:val="auto"/>
        </w:rPr>
      </w:pPr>
    </w:p>
    <w:p>
      <w:pPr>
        <w:ind w:left="1040" w:hanging="438"/>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civil or criminal penalties and fines;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suspension of any ongoing clinical studies;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refusal to accept or approve applications for marketing approval of new drugs or biologics or supplements to approved applications filed by us;</w:t>
      </w:r>
    </w:p>
    <w:p>
      <w:pPr>
        <w:spacing w:after="0" w:line="140" w:lineRule="exact"/>
        <w:rPr>
          <w:rFonts w:ascii="Arial" w:cs="Arial" w:eastAsia="Arial" w:hAnsi="Arial"/>
          <w:sz w:val="16"/>
          <w:szCs w:val="16"/>
          <w:color w:val="auto"/>
        </w:rPr>
      </w:pPr>
    </w:p>
    <w:p>
      <w:pPr>
        <w:ind w:left="1040" w:hanging="438"/>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operations, including costly new manufacturing requirements; or</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seizure or detention of our products or import bans.</w:t>
      </w:r>
    </w:p>
    <w:p>
      <w:pPr>
        <w:spacing w:after="0" w:line="225"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Prior to receiving approval to commercialize any of our planned products in the U.S. or abroad, we may be required to demonstrate with substantial evidence from well-controlled clinical studies, and to the satisfaction of the FDA and other regulatory authorities abroad, that such planned products are safe and effective for their intended uses. Results from preclinical studies and clinical studies can be interpreted in different ways. Even if we believe the preclinical or clinical data for our planned products are promising, such data may not be sufficient to support approval by the FDA and other regulatory authorities. Administering any of our planned products to humans may produce undesirable side effects, which could interrupt, delay or cause suspension of clinical studies of our planned products and result in the FDA or other regulatory authorities denying approval of our planned products for any or all targeted indications.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9" w:name="page40"/>
    <w:bookmarkEnd w:id="39"/>
    <w:p>
      <w:pPr>
        <w:ind w:firstLine="598"/>
        <w:spacing w:after="0" w:line="255" w:lineRule="auto"/>
        <w:rPr>
          <w:sz w:val="20"/>
          <w:szCs w:val="20"/>
          <w:color w:val="auto"/>
        </w:rPr>
      </w:pPr>
      <w:r>
        <w:rPr>
          <w:rFonts w:ascii="Arial" w:cs="Arial" w:eastAsia="Arial" w:hAnsi="Arial"/>
          <w:sz w:val="18"/>
          <w:szCs w:val="18"/>
          <w:color w:val="auto"/>
        </w:rPr>
        <w:t>Regulatory approval from the FDA is not guaranteed, and the approval process is expensive and may take several years. The FDA also has substantial discretion in the approval process. Despite the time and expense exerted, failure can occur at any stage, and we could encounter problems that cause us to abandon or repeat clinical studies or perform additional preclinical studies and clinical studies. The number of preclinical studies and clinical studies that will be required for FDA approval varies depending on the planned product, the disease or condition that the planned product is designed to address and the regulations applicable to any particular planned product. The FDA can delay, limit or deny approval of a planned product for many reasons, including, but not limited to, the following:</w:t>
      </w:r>
    </w:p>
    <w:p>
      <w:pPr>
        <w:spacing w:after="0" w:line="85" w:lineRule="exact"/>
        <w:rPr>
          <w:sz w:val="20"/>
          <w:szCs w:val="20"/>
          <w:color w:val="auto"/>
        </w:rPr>
      </w:pPr>
    </w:p>
    <w:p>
      <w:pPr>
        <w:ind w:left="1040" w:hanging="438"/>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planned product may not be deemed safe or effective;</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FDA officials may not find the data from preclinical studies and clinical studies sufficient;</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might not approve our or our third-party manufacturer’s processes or facilities; or</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may change its approval policies or adopt new regulations.</w:t>
      </w:r>
    </w:p>
    <w:p>
      <w:pPr>
        <w:spacing w:after="0" w:line="225"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If any planned products fail to demonstrate safety and effectiveness in clinical studies or do not gain regulatory approval, our business and results of operations will be materially and adversely harmed.</w:t>
      </w:r>
    </w:p>
    <w:p>
      <w:pPr>
        <w:spacing w:after="0" w:line="170"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The research, development, conduct of clinical trials, manufacturing, labeling, approval, selling, import, export, marketing and distribution of pharmaceutical and biologic products also are subject to extensive regulation by the FDA in the U.S. and other regulatory authorities in other countries, which regulations differ from country to country.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Nonclinical Testing</w:t>
      </w:r>
    </w:p>
    <w:p>
      <w:pPr>
        <w:spacing w:after="0" w:line="117" w:lineRule="exact"/>
        <w:rPr>
          <w:sz w:val="20"/>
          <w:szCs w:val="20"/>
          <w:color w:val="auto"/>
        </w:rPr>
      </w:pPr>
    </w:p>
    <w:p>
      <w:pPr>
        <w:ind w:right="200" w:firstLine="598"/>
        <w:spacing w:after="0" w:line="312" w:lineRule="auto"/>
        <w:rPr>
          <w:sz w:val="20"/>
          <w:szCs w:val="20"/>
          <w:color w:val="auto"/>
        </w:rPr>
      </w:pPr>
      <w:r>
        <w:rPr>
          <w:rFonts w:ascii="Arial" w:cs="Arial" w:eastAsia="Arial" w:hAnsi="Arial"/>
          <w:sz w:val="16"/>
          <w:szCs w:val="16"/>
          <w:color w:val="auto"/>
        </w:rPr>
        <w:t>Before a drug candidate in can be tested in humans, it must be studied in laboratory experiments and in animals to generate data to support the drug candidate’s potential benefits and safety. Additional nonclinical testing may be required during the clinical development process such as reproductive toxicology and juvenile toxicology studies. Carcinogenicity studies in two species are generally required for products intended for long-term use.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Investigational New Drug Exemption Application (IND)</w:t>
      </w:r>
    </w:p>
    <w:p>
      <w:pPr>
        <w:spacing w:after="0" w:line="117"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The results of initial nonclinical tests, together with manufacturing information, analytical data and a proposed clinical trial protocol and other information, are submitted as part of an IND to the FDA. If FDA does not identify significant issues during the initial 30-day IND review, the drug candidate can then be studied in human clinical trials to determine if the drug candidate is safe and effective. Each clinical trial protocol and/or amendment, new nonclinical data, and/or new or revised manufacturing information must be submitted to the IND, and the FDA has 30 days to complete its review of each submission.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color w:val="auto"/>
        </w:rPr>
        <w:t>These clinical trials involve three separate phases that often overlap, can take many years and are very expensive. These three phases, which are subject to considerable regulation, are as follows:</w:t>
      </w:r>
    </w:p>
    <w:p>
      <w:pPr>
        <w:spacing w:after="0" w:line="62" w:lineRule="exact"/>
        <w:rPr>
          <w:sz w:val="20"/>
          <w:szCs w:val="20"/>
          <w:color w:val="auto"/>
        </w:rPr>
      </w:pPr>
    </w:p>
    <w:p>
      <w:pPr>
        <w:ind w:left="1040" w:right="280" w:hanging="438"/>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Phase I. The drug candidate is given to a small number of healthy human control subjects or patients suffering from the indicated disease, to test for safety, dose tolerance, pharmacokinetics, metabolism, distribution and excretion.</w:t>
      </w:r>
    </w:p>
    <w:p>
      <w:pPr>
        <w:spacing w:after="0" w:line="62" w:lineRule="exact"/>
        <w:rPr>
          <w:rFonts w:ascii="Arial" w:cs="Arial" w:eastAsia="Arial" w:hAnsi="Arial"/>
          <w:sz w:val="18"/>
          <w:szCs w:val="18"/>
          <w:color w:val="auto"/>
        </w:rPr>
      </w:pPr>
    </w:p>
    <w:p>
      <w:pPr>
        <w:jc w:val="both"/>
        <w:ind w:left="1040" w:right="320" w:hanging="438"/>
        <w:spacing w:after="0" w:line="286"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Phase II. The drug candidate is given to a limited patient population to determine the effect of the drug candidate in treating the disease, the best dose of the drug candidate, and the possible side effects and safety risks of the drug candidate. It is not uncommon for a drug candidate that appears promising in Phase I clinical trials to fail in the more rigorous Phase II clinical trials.</w:t>
      </w:r>
    </w:p>
    <w:p>
      <w:pPr>
        <w:spacing w:after="0" w:line="57" w:lineRule="exact"/>
        <w:rPr>
          <w:rFonts w:ascii="Arial" w:cs="Arial" w:eastAsia="Arial" w:hAnsi="Arial"/>
          <w:sz w:val="17"/>
          <w:szCs w:val="17"/>
          <w:color w:val="auto"/>
        </w:rPr>
      </w:pPr>
    </w:p>
    <w:p>
      <w:pPr>
        <w:ind w:left="1040" w:right="60" w:hanging="438"/>
        <w:spacing w:after="0" w:line="25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Phase III. If a drug candidate appears to be effective and safe in Phase II clinical trials, Phase III clinical trials are commenced to confirm those results. Phase III clinical trials are conducted over a longer term, involve a significantly larger population, are conducted at numerous sites in different geographic regions and are carefully designed to provide reliable and conclusive data regarding the safety and benefits of a drug candidate. It is not uncommon for a drug candidate that appears promising in Phase II clinical trials to fail in the more rigorous and extensive Phase III clinical trials.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0" w:name="page41"/>
    <w:bookmarkEnd w:id="40"/>
    <w:p>
      <w:pPr>
        <w:jc w:val="both"/>
        <w:ind w:right="40" w:firstLine="598"/>
        <w:spacing w:after="0" w:line="302" w:lineRule="auto"/>
        <w:rPr>
          <w:sz w:val="20"/>
          <w:szCs w:val="20"/>
          <w:color w:val="auto"/>
        </w:rPr>
      </w:pPr>
      <w:r>
        <w:rPr>
          <w:rFonts w:ascii="Arial" w:cs="Arial" w:eastAsia="Arial" w:hAnsi="Arial"/>
          <w:sz w:val="16"/>
          <w:szCs w:val="16"/>
          <w:color w:val="auto"/>
        </w:rPr>
        <w:t>For each clinical trial, an independent IRB or independent ethics committee, covering each site proposing to conduct a clinical trial must review and approve the plan for any clinical trial and informed consent information for subjects before the trial commences at that site and it must monitor the study until completed. The FDA, the IRB, or the sponsor may suspend a clinical trial at any time on various grounds, including a finding that the subjects or patients are being exposed to an unacceptable health risk or for failure to comply with the IRB’s requirements, or may impose other conditions.</w:t>
      </w:r>
    </w:p>
    <w:p>
      <w:pPr>
        <w:spacing w:after="0" w:line="154"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Clinical trials involve the administration of an investigational drug to human subjects under the supervision of qualified investigators in accordance with GCP requirements, which include the requirement that all research subjects provide their informed consent in writing for their participation in any clinical trial. Sponsors of clinical trials generally must register and report, at the NIH-maintained website ClinicalTrials.gov, key parameters of certain clinical trials.</w:t>
      </w:r>
    </w:p>
    <w:p>
      <w:pPr>
        <w:spacing w:after="0" w:line="187" w:lineRule="exact"/>
        <w:rPr>
          <w:sz w:val="20"/>
          <w:szCs w:val="20"/>
          <w:color w:val="auto"/>
        </w:rPr>
      </w:pPr>
    </w:p>
    <w:p>
      <w:pPr>
        <w:ind w:right="180" w:firstLine="598"/>
        <w:spacing w:after="0" w:line="302" w:lineRule="auto"/>
        <w:rPr>
          <w:sz w:val="20"/>
          <w:szCs w:val="20"/>
          <w:color w:val="auto"/>
        </w:rPr>
      </w:pPr>
      <w:r>
        <w:rPr>
          <w:rFonts w:ascii="Arial" w:cs="Arial" w:eastAsia="Arial" w:hAnsi="Arial"/>
          <w:sz w:val="16"/>
          <w:szCs w:val="16"/>
          <w:color w:val="auto"/>
        </w:rPr>
        <w:t>At any point in this process, the development of a drug candidate can be stopped for a number of reasons including safety concerns and lack of treatment benefit. We cannot be certain that any clinical trials that we are currently conducting or any that we conduct in the future will be completed successfully or within any specified time period. We may choose, or FDA may require us, to delay or suspend our clinical trials at any time if it appears that the patients are being exposed to an unacceptable health risk or if the drug candidate does not appear to have sufficient treatment benefit.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17"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When we believe that the data from our clinical trials show an adequate level of safety and efficacy, we submit the application to market the drug for a particular use, normally a New Drug Application (NDA) with FDA. FDA may hold a public hearing where an independent advisory committee of expert advisors asks additional questions and makes recommendations regarding the drug candidate. This committee makes a recommendation to FDA that is not binding but is generally followed by FDA. If FDA agrees that the compound has met the required level of safety and efficacy for a particular use, it will allow the drug candidate in the United States to be marketed and sold for that use. It is not unusual, however, for FDA to reject an application because it believes that the risks of the drug candidate outweigh the purported benefit or because it does not believe that the data submitted are reliable or conclusive. The FDA may also issue a Complete Response Letter, or CRL, to indicate that the review cycle for an application is complete and that the application is not ready for approval. CRLs generally outline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the deficiencies have been addressed to the FDA’s satisfaction, the FDA will typically issue an approval letter. An approval letter authorizes commercial marketing of the drug with specific prescribing information for specific indications.</w:t>
      </w:r>
    </w:p>
    <w:p>
      <w:pPr>
        <w:spacing w:after="0" w:line="173"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FDA may also require Phase IV non-registrational studies to explore scientific questions to further characterize safety and efficacy during commercial use of our drug. FDA may also require us to provide additional data or information, improve our manufacturing processes, procedures or facilities or may require extensive surveillance to monitor the safety or benefits of our product candidates if it determines that our filing does not contain adequate evidence of the safety and benefits of the drug. In addition, even if FDA approves a drug, it could limit the uses of the drug. FDA can withdraw approvals if it does not believe that we are complying with regulatory standards or if problems are uncovered or occur after approval.</w:t>
      </w:r>
    </w:p>
    <w:p>
      <w:pPr>
        <w:spacing w:after="0" w:line="173"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In addition to obtaining FDA approval for each drug, we obtain FDA approval of the manufacturing facilities for companies who manufacture our drugs for us. All of these facilities are subject to periodic inspections by FDA. FDA must also approve foreign establishments that manufacture products to be sold in the United States and these facilities are subject to periodic regulatory inspection.</w:t>
      </w:r>
    </w:p>
    <w:p>
      <w:pPr>
        <w:spacing w:after="0" w:line="181" w:lineRule="exact"/>
        <w:rPr>
          <w:sz w:val="20"/>
          <w:szCs w:val="20"/>
          <w:color w:val="auto"/>
        </w:rPr>
      </w:pPr>
    </w:p>
    <w:p>
      <w:pPr>
        <w:ind w:right="200" w:firstLine="598"/>
        <w:spacing w:after="0" w:line="279" w:lineRule="auto"/>
        <w:rPr>
          <w:sz w:val="20"/>
          <w:szCs w:val="20"/>
          <w:color w:val="auto"/>
        </w:rPr>
      </w:pPr>
      <w:r>
        <w:rPr>
          <w:rFonts w:ascii="Arial" w:cs="Arial" w:eastAsia="Arial" w:hAnsi="Arial"/>
          <w:sz w:val="17"/>
          <w:szCs w:val="17"/>
          <w:color w:val="auto"/>
        </w:rPr>
        <w:t>Once issued, the FDA may withdraw product approval if ongoing regulatory requirements are not met or if safety problems are identified after the product reaches the market. In addition, the FDA may require post-approval testing, including Phase IV studies, and surveillance programs to monitor the effect of approved products which have been commercialized, and the FDA has the authority to prevent or limit further marketing of a product based on the results of these post-marketing programs. Drugs may be marketed only for the approved indications and 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1" w:name="page42"/>
    <w:bookmarkEnd w:id="41"/>
    <w:p>
      <w:pPr>
        <w:ind w:right="20"/>
        <w:spacing w:after="0" w:line="302" w:lineRule="auto"/>
        <w:rPr>
          <w:sz w:val="20"/>
          <w:szCs w:val="20"/>
          <w:color w:val="auto"/>
        </w:rPr>
      </w:pPr>
      <w:r>
        <w:rPr>
          <w:rFonts w:ascii="Arial" w:cs="Arial" w:eastAsia="Arial" w:hAnsi="Arial"/>
          <w:sz w:val="16"/>
          <w:szCs w:val="16"/>
          <w:color w:val="auto"/>
        </w:rPr>
        <w:t>accordance with the provisions of the approved label, and, even if the FDA approves a product, it may limit the approved indications for use for the product or impose other conditions, including labeling or distribution restrictions or other risk-management mechanisms. Further, if there are any modifications to the drug, including changes in indications, labeling, or manufacturing processes or facilities, the sponsor may be required to submit and obtain FDA approval of a new or supplemental NDA, which may require the development of additional data or conduct of additional pre-clinical studies and clinical trials.</w:t>
      </w:r>
    </w:p>
    <w:p>
      <w:pPr>
        <w:spacing w:after="0" w:line="26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Even if we receive marketing approval for a planned product, we will be subject to ongoing regulatory obligations and continued regulatory review, which may result in significant additional expense and subject us to penalties if we fail to comply with applicable regulatory requirements.</w:t>
      </w:r>
    </w:p>
    <w:p>
      <w:pPr>
        <w:spacing w:after="0" w:line="16" w:lineRule="exact"/>
        <w:rPr>
          <w:sz w:val="20"/>
          <w:szCs w:val="20"/>
          <w:color w:val="auto"/>
        </w:rPr>
      </w:pPr>
    </w:p>
    <w:p>
      <w:pPr>
        <w:ind w:right="180" w:firstLine="598"/>
        <w:spacing w:after="0" w:line="273" w:lineRule="auto"/>
        <w:rPr>
          <w:sz w:val="20"/>
          <w:szCs w:val="20"/>
          <w:color w:val="auto"/>
        </w:rPr>
      </w:pPr>
      <w:r>
        <w:rPr>
          <w:rFonts w:ascii="Arial" w:cs="Arial" w:eastAsia="Arial" w:hAnsi="Arial"/>
          <w:sz w:val="17"/>
          <w:szCs w:val="17"/>
          <w:color w:val="auto"/>
        </w:rPr>
        <w:t>Once marketing approval has been obtained, the approved product and its manufacturer are subject to continual review by the FDA or non-U.S. regulatory authorities. With respect to our joint venture, the current clearance for CoSense, as well as any additional regulatory approval that we receive for any of our other planned products may be subject to limitations on the indicated uses for which the product may be marketed. Future approvals may contain requirements for potentially costly post-marketing follow-up studies to monitor the safety and effectiveness of the approved product. In addition, we are subject to extensive and ongoing regulatory requirements by the FDA and other regulatory authorities with regard to the labeling, packaging, adverse event reporting, storage, advertising, promotion and recordkeeping for our products.</w:t>
      </w:r>
    </w:p>
    <w:p>
      <w:pPr>
        <w:spacing w:after="0" w:line="178"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color w:val="auto"/>
        </w:rPr>
        <w:t>In addition, we are required to comply with cGMP regulations regarding the manufacture of our drugs, which include requirements related to quality control and quality assurance as well as the corresponding maintenance of records and documentation. Further, regulatory authorities must approve these manufacturing facilities before they can be used to manufacture drug products, and these 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w:t>
      </w:r>
    </w:p>
    <w:p>
      <w:pPr>
        <w:spacing w:after="0" w:line="165"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Once a pharmaceutical product is approved, a product will be subject to pervasive and continuing regulation by the FDA, EMA, and other health authorities, including, among other things, recordkeeping, periodic reporting, product sampling and distribution, advertising and promotion and reporting of adverse experiences with the product.</w:t>
      </w:r>
    </w:p>
    <w:p>
      <w:pPr>
        <w:spacing w:after="0" w:line="181"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In addition, drug manufacturers and other entities involved in the manufacture and distribution of approved drugs are subject to periodic unannounced inspections by the FDA and these state agencies for compliance with cGMP requirements. Changes to the manufacturing process are strictly regulated and generally require prior FDA approval before being implemented. FDA regulations also require investigation and correction of any deviations from cGMP or QSR and impose reporting and documentation requirements upon us and any third-party manufacturers that we may decide to use. Accordingly, manufacturers must continue to expend time, money, and effort in the area of production and quality control to maintain cGMP or QSR compliance.</w:t>
      </w:r>
    </w:p>
    <w:p>
      <w:pPr>
        <w:spacing w:after="0" w:line="158" w:lineRule="exact"/>
        <w:rPr>
          <w:sz w:val="20"/>
          <w:szCs w:val="20"/>
          <w:color w:val="auto"/>
        </w:rPr>
      </w:pPr>
    </w:p>
    <w:p>
      <w:pPr>
        <w:ind w:right="20" w:firstLine="598"/>
        <w:spacing w:after="0" w:line="302"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46" w:lineRule="exact"/>
        <w:rPr>
          <w:sz w:val="20"/>
          <w:szCs w:val="20"/>
          <w:color w:val="auto"/>
        </w:rPr>
      </w:pPr>
    </w:p>
    <w:p>
      <w:pPr>
        <w:ind w:left="1040" w:hanging="438"/>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1040" w:hanging="438"/>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refusal of the FDA to approve pending applications or supplements to approved applications, or suspension or revocation of product approvals;</w:t>
      </w:r>
    </w:p>
    <w:p>
      <w:pPr>
        <w:spacing w:after="0" w:line="140" w:lineRule="exact"/>
        <w:rPr>
          <w:rFonts w:ascii="Arial" w:cs="Arial" w:eastAsia="Arial" w:hAnsi="Arial"/>
          <w:sz w:val="16"/>
          <w:szCs w:val="16"/>
          <w:color w:val="auto"/>
        </w:rPr>
      </w:pPr>
    </w:p>
    <w:p>
      <w:pPr>
        <w:ind w:left="1040" w:hanging="438"/>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ind w:right="360" w:firstLine="598"/>
        <w:spacing w:after="0" w:line="279" w:lineRule="auto"/>
        <w:rPr>
          <w:sz w:val="20"/>
          <w:szCs w:val="20"/>
          <w:color w:val="auto"/>
        </w:rPr>
      </w:pPr>
      <w:r>
        <w:rPr>
          <w:rFonts w:ascii="Arial" w:cs="Arial" w:eastAsia="Arial" w:hAnsi="Arial"/>
          <w:sz w:val="17"/>
          <w:szCs w:val="17"/>
          <w:color w:val="auto"/>
        </w:rPr>
        <w:t>The FDA strictly regulates the marketing, labeling, advertising and promotion of drug and device products that are placed on the market. While physicians may prescribe drugs and devices for off label uses, manufacturers may only promote for the approved indications and in accordance with the provisions of the approved label. The FDA and other agencies actively enforce the laws and regulations prohibiting the promotion of off label uses, and a company that is found to have improperly promoted off label uses may be subject to significant liability.</w:t>
      </w:r>
    </w:p>
    <w:p>
      <w:pPr>
        <w:spacing w:after="0" w:line="17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Drugs that treat serious or life-threatening diseases and conditions that are not adequately addressed by existing drugs, and for which the development program is designed to address the unmet medical need, may be designated as fast track and/or breakthrough candidates by FDA and may be eligible for accelerated and priority review.</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Drugs that are developed for rare diseases can be designated as Orphan Drugs. In the U.S., the disease or condition has an incidence of less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than 200,000 persons and in the E.U. the prevalence of the condition must be not more than 5 in 10,000 persons. In the U.S., orphan-designated drugs 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granted up to 7-year market exclusivity. In the E.U., products granted orphan designation are subject to reduced fees for protocol assistance, marketing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authorization applications, inspections before authorization, applications for changes to marketing authorizations, and annual fees, access to the centralized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authorization procedure, and 10 years of market exclusivity.</w:t>
      </w:r>
    </w:p>
    <w:p>
      <w:pPr>
        <w:spacing w:after="0" w:line="211" w:lineRule="exact"/>
        <w:rPr>
          <w:sz w:val="20"/>
          <w:szCs w:val="20"/>
          <w:color w:val="auto"/>
        </w:rPr>
      </w:pPr>
    </w:p>
    <w:p>
      <w:pPr>
        <w:ind w:right="100" w:firstLine="598"/>
        <w:spacing w:after="0" w:line="273" w:lineRule="auto"/>
        <w:rPr>
          <w:sz w:val="20"/>
          <w:szCs w:val="20"/>
          <w:color w:val="auto"/>
        </w:rPr>
      </w:pPr>
      <w:r>
        <w:rPr>
          <w:rFonts w:ascii="Arial" w:cs="Arial" w:eastAsia="Arial" w:hAnsi="Arial"/>
          <w:sz w:val="17"/>
          <w:szCs w:val="17"/>
          <w:color w:val="auto"/>
        </w:rPr>
        <w:t>Drugs are also subject to extensive regulation outside of the U.S. In the E.U., there is a centralized approval procedure that authorizes marketing of a product in all countries of the E.U. (which includes most major countries in the E.U.). If this centralized approval procedure is not used, approval in one country of the E.U. can be used to obtain approval in another country of the E.U. under one of two simplified application processes: the mutual recognition procedure or the decentralized procedure, both of which rely on the principle of mutual recognition. After receiving regulatory approval through any of the E.U. registration procedures, separate pricing and reimbursement approvals are also required in most countries. The E.U. also has requirements for approval of manufacturing facilities for all products that are approved for sale by the E.U. regulatory authorities.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marketing approvals in foreign jurisdictions will prevent us from marketing our products internationally.</w:t>
      </w:r>
    </w:p>
    <w:p>
      <w:pPr>
        <w:spacing w:after="0" w:line="117" w:lineRule="exact"/>
        <w:rPr>
          <w:sz w:val="20"/>
          <w:szCs w:val="20"/>
          <w:color w:val="auto"/>
        </w:rPr>
      </w:pPr>
    </w:p>
    <w:p>
      <w:pPr>
        <w:ind w:right="280" w:firstLine="598"/>
        <w:spacing w:after="0" w:line="264" w:lineRule="auto"/>
        <w:rPr>
          <w:sz w:val="20"/>
          <w:szCs w:val="20"/>
          <w:color w:val="auto"/>
        </w:rPr>
      </w:pPr>
      <w:r>
        <w:rPr>
          <w:rFonts w:ascii="Arial" w:cs="Arial" w:eastAsia="Arial" w:hAnsi="Arial"/>
          <w:sz w:val="18"/>
          <w:szCs w:val="18"/>
          <w:color w:val="auto"/>
        </w:rPr>
        <w:t>We intend to seek distribution and marketing partners for our current products outside the U.S. and may market planned products in international markets. Our joint venture has obtained a CE Mark certification for CoSense and it is therefore authorized for sale in the E.U.; however, in order to market products in Asia, Latin America and other foreign jurisdictions, we must obtain separate regulatory approvals.</w:t>
      </w:r>
    </w:p>
    <w:p>
      <w:pPr>
        <w:spacing w:after="0" w:line="181" w:lineRule="exact"/>
        <w:rPr>
          <w:sz w:val="20"/>
          <w:szCs w:val="20"/>
          <w:color w:val="auto"/>
        </w:rPr>
      </w:pPr>
    </w:p>
    <w:p>
      <w:pPr>
        <w:ind w:right="220" w:firstLine="598"/>
        <w:spacing w:after="0" w:line="271" w:lineRule="auto"/>
        <w:rPr>
          <w:sz w:val="20"/>
          <w:szCs w:val="20"/>
          <w:color w:val="auto"/>
        </w:rPr>
      </w:pPr>
      <w:r>
        <w:rPr>
          <w:rFonts w:ascii="Arial" w:cs="Arial" w:eastAsia="Arial" w:hAnsi="Arial"/>
          <w:sz w:val="17"/>
          <w:szCs w:val="17"/>
          <w:color w:val="auto"/>
        </w:rPr>
        <w:t>We have had limited interactions with foreign regulatory authorities. The approval procedures vary among countries and can involve additional clinical testing, and the time required to obtain approval may differ from that required to obtain FDA approval. Moreover, clinical studies or manufacturing processes conducted in one country may not be accepted by regulatory authorities in other countries. Approval by the FDA and CE Mark certification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Healthcare reform measures could hinder or prevent our planned products’ commercial success.</w:t>
      </w:r>
    </w:p>
    <w:p>
      <w:pPr>
        <w:spacing w:after="0" w:line="117"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In the U.S., there have been, and we expect there will continue to be, a number of legislative and regulatory changes to the healthcare system in ways that could affect our future revenue and profitability and the future revenue and profitability of our potential customers. Federal and state lawmakers regularly propose and, at times, enact legislation that would result in significant changes to the healthcare system, some of which are intended to contain or reduce the costs of medical products and services. For example, one of the most significant healthcare reform measures in decades, the Patient Protection and Affordable Care Act of 2010, or PPACA, was enacted in 2010. The PPACA contains a number of provisions, including those governing enrollments in federal healthcare programs, reimbursement changes and fraud and abuse measures, all of which will impact existing government healthcare programs and will result in the development of new programs. The PPACA, among other things:</w:t>
      </w:r>
    </w:p>
    <w:p>
      <w:pPr>
        <w:spacing w:after="0" w:line="70" w:lineRule="exact"/>
        <w:rPr>
          <w:sz w:val="20"/>
          <w:szCs w:val="20"/>
          <w:color w:val="auto"/>
        </w:rPr>
      </w:pPr>
    </w:p>
    <w:p>
      <w:pPr>
        <w:ind w:left="1040" w:hanging="438"/>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imposes a tax of 2.3% on the retail sales price of medical devices sold after December 31, 2012;</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could result in the imposition of injunctions;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requires collection of rebates for drugs paid by Medicaid managed care organizations; and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requires manufacturers to participate in a coverage gap discount program, under which they must agree to offer</w:t>
      </w:r>
    </w:p>
    <w:p>
      <w:pPr>
        <w:spacing w:after="0" w:line="117" w:lineRule="exact"/>
        <w:rPr>
          <w:rFonts w:ascii="Arial" w:cs="Arial" w:eastAsia="Arial" w:hAnsi="Arial"/>
          <w:sz w:val="18"/>
          <w:szCs w:val="18"/>
          <w:color w:val="auto"/>
        </w:rPr>
      </w:pPr>
    </w:p>
    <w:p>
      <w:pPr>
        <w:ind w:left="1040" w:right="260" w:hanging="438"/>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50% point-of-sale discounts off negotiated prices of applicable branded drugs to eligible beneficiaries during their coverage gap period, as a condition for the manufacturer’s outpatient drugs to be covered under Medicare Part D.</w:t>
      </w:r>
    </w:p>
    <w:p>
      <w:pPr>
        <w:spacing w:after="0" w:line="170"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While the U.S. Supreme Court upheld the constitutionality of most elements of the PPACA in June 2012, other legal challenges are still pending final adjudication in several jurisdictions. The PPACA, among other things, imposed an excise tax of 2.3% on the sale of most medical devices, including ours, and any failure to pay this amount could result in the imposition of an injunction on the sale of our products, fines and penalties. Although this tax has been suspended through 2019, it is expected to apply to sales of our products, including CoSense devices and may be applicable to CoSense consumables sold under our joint venture and also Serenz devices, in 2020 and thereafter. The current presidential administration and Congress may continue to attempt broad sweeping changes to the current health care laws. We face uncertainties that might result from modifications or repeal of any of the provisions of the PPACA, including as a result of current and future executive orders and legislative actions. The impact of those changes on us and potential effect on the medical device industry as a whole is currently unknown. Any changes to the PPACA are likely to have an impact on our results of operations, and may have a material adverse effect on our results of operations. We cannot predict what other health care programs and regulations will ultimately be implemented at the federal or state level or the effect of any future legislation or regulation in the United States may have on our business.</w:t>
      </w:r>
    </w:p>
    <w:p>
      <w:pPr>
        <w:spacing w:after="0" w:line="169"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In addition, other legislative changes have been proposed and adopted since the PPACA was enacted. For example, the Budget Control Act of 2011, among other things, created the Joint Select Committee on Deficit Reduction to recommend proposals for spending reductions to Congress. The Joint Select Committee did not achieve a targeted deficit reduction of at least $1.2 trillion for the years 2013 through 2021, which triggered the legislation’s automatic reduction to several government programs, including aggregate reductions to Medicare payments to providers of up to 2% per fiscal year, starting in 2013. In January 2013, former President Obama signed into law the American Taxpayer Relief Act of 2012, or the ATRA, which delayed for another two months the budget cuts mandated by the sequestration provisions of the Budget Control Act of 2011. The ATRA, among other things, also reduced Medicare payments to several providers, including hospitals, and increased the statute of limitations period for the government to recover overpayments to providers from three to five years. In March 2013, the President signed an executive order implementing sequestration, and in April 2013, the 2% Medicare reductions went into effect. We cannot predict whether any additional legislative changes will affect our business.</w:t>
      </w:r>
    </w:p>
    <w:p>
      <w:pPr>
        <w:spacing w:after="0" w:line="182" w:lineRule="exact"/>
        <w:rPr>
          <w:sz w:val="20"/>
          <w:szCs w:val="20"/>
          <w:color w:val="auto"/>
        </w:rPr>
      </w:pPr>
    </w:p>
    <w:p>
      <w:pPr>
        <w:ind w:right="20" w:firstLine="598"/>
        <w:spacing w:after="0" w:line="286" w:lineRule="auto"/>
        <w:rPr>
          <w:sz w:val="20"/>
          <w:szCs w:val="20"/>
          <w:color w:val="auto"/>
        </w:rPr>
      </w:pPr>
      <w:r>
        <w:rPr>
          <w:rFonts w:ascii="Arial" w:cs="Arial" w:eastAsia="Arial" w:hAnsi="Arial"/>
          <w:sz w:val="17"/>
          <w:szCs w:val="17"/>
          <w:color w:val="auto"/>
        </w:rPr>
        <w:t>There likely will continue to be legislative and regulatory proposals at the federal and state levels directed at containing or lowering the cost of health care. We cannot predict the initiatives that may be adopted in the future or their full impact. The continuing efforts of the government, insurance companies, managed care organizations and other payers of healthcare services to contain or reduce costs of health care may adversely affect:</w:t>
      </w:r>
    </w:p>
    <w:p>
      <w:pPr>
        <w:spacing w:after="0" w:line="57" w:lineRule="exact"/>
        <w:rPr>
          <w:sz w:val="20"/>
          <w:szCs w:val="20"/>
          <w:color w:val="auto"/>
        </w:rPr>
      </w:pPr>
    </w:p>
    <w:p>
      <w:pPr>
        <w:ind w:left="1040" w:hanging="438"/>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4" w:name="page45"/>
    <w:bookmarkEnd w:id="44"/>
    <w:p>
      <w:pPr>
        <w:ind w:firstLine="598"/>
        <w:spacing w:after="0" w:line="270" w:lineRule="auto"/>
        <w:rPr>
          <w:sz w:val="20"/>
          <w:szCs w:val="20"/>
          <w:color w:val="auto"/>
        </w:rPr>
      </w:pPr>
      <w:r>
        <w:rPr>
          <w:rFonts w:ascii="Arial" w:cs="Arial" w:eastAsia="Arial" w:hAnsi="Arial"/>
          <w:sz w:val="17"/>
          <w:szCs w:val="17"/>
          <w:color w:val="auto"/>
        </w:rPr>
        <w:t>Further, changes in regulatory requirements and guidance may occur and we may need to amend clinical study protocols to reflect these changes. Amendments may require us to resubmit our clinical study protocols IRBs for reexamination, which may impact the costs, timing or successful completion of a clinical study. In light of widely publicized events concerning the safety risk of certain drug products, regulatory authorities, members of Congress, the Governmental Accounting Office, medical professionals and the general public have raised concerns about potential drug safety issues. These events have resulted in the recall and withdrawal of drug products, revisions to drug labeling that further limit use of the drug products and establishment of risk management programs that may, for instance, restrict distribution of drug products or require safety surveillance or patient education. The increased attention to drug safety issues may result in a more cautious approach by the FDA to clinical studies and the drug approval process. Data from clinical studies may receive greater scrutiny with respect to safety, which may make the FDA or other regulatory authorities more likely to terminate or suspend clinical studies before completion or require longer or additional clinical studies that may result in substantial additional expense and a delay or failure in obtaining approval or approval for a more limited indication than originally sought.</w:t>
      </w:r>
    </w:p>
    <w:p>
      <w:pPr>
        <w:spacing w:after="0" w:line="178"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Given the serious public health risks of high-profile adverse safety events with certain drug products, the FDA may require, as a condition of approval, costly risk evaluation and mitigation strategies,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29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62"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Even though we do not and will not control referrals of healthcare services or bill directly to Medicare, Medicaid or other third-party payers, certain federal and state healthcare laws and regulations pertaining to fraud and abuse and patients’ rights are and will be applicable to our business. We could be subject to healthcare fraud and abuse and patient privacy regulation by both the federal government and the states in which we conduct our business. The regulations that may affect our ability to operate include, without limitation:</w:t>
      </w:r>
    </w:p>
    <w:p>
      <w:pPr>
        <w:spacing w:after="0" w:line="79" w:lineRule="exact"/>
        <w:rPr>
          <w:sz w:val="20"/>
          <w:szCs w:val="20"/>
          <w:color w:val="auto"/>
        </w:rPr>
      </w:pPr>
    </w:p>
    <w:p>
      <w:pPr>
        <w:ind w:left="1040" w:right="60" w:hanging="438"/>
        <w:spacing w:after="0" w:line="259"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healthcare program Anti-Kickback Statute, which prohibits, among other things, any person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78" w:lineRule="exact"/>
        <w:rPr>
          <w:rFonts w:ascii="Arial" w:cs="Arial" w:eastAsia="Arial" w:hAnsi="Arial"/>
          <w:sz w:val="18"/>
          <w:szCs w:val="18"/>
          <w:color w:val="auto"/>
        </w:rPr>
      </w:pPr>
    </w:p>
    <w:p>
      <w:pPr>
        <w:ind w:left="1040" w:right="380" w:hanging="438"/>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indirectly, to induce either the referral of an individual, for an item or service or the purchasing or ordering of a good or service, for which payment may be made under federal healthcare programs, such as the Medicare and Medicaid programs;</w:t>
      </w:r>
    </w:p>
    <w:p>
      <w:pPr>
        <w:spacing w:after="0" w:line="62" w:lineRule="exact"/>
        <w:rPr>
          <w:rFonts w:ascii="Arial" w:cs="Arial" w:eastAsia="Arial" w:hAnsi="Arial"/>
          <w:sz w:val="18"/>
          <w:szCs w:val="18"/>
          <w:color w:val="auto"/>
        </w:rPr>
      </w:pPr>
    </w:p>
    <w:p>
      <w:pPr>
        <w:ind w:left="1040" w:right="140" w:hanging="438"/>
        <w:spacing w:after="0" w:line="264"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False Claims Act, which prohibits, among other things, individuals or entities from knowingly presenting, or causing to be presented, false claims, or knowingly using false statements, to obtain payment from the federal government, and which may apply to entities like us which provide coding and billing advice to customers;</w:t>
      </w:r>
    </w:p>
    <w:p>
      <w:pPr>
        <w:spacing w:after="0" w:line="73" w:lineRule="exact"/>
        <w:rPr>
          <w:rFonts w:ascii="Arial" w:cs="Arial" w:eastAsia="Arial" w:hAnsi="Arial"/>
          <w:sz w:val="18"/>
          <w:szCs w:val="18"/>
          <w:color w:val="auto"/>
        </w:rPr>
      </w:pPr>
    </w:p>
    <w:p>
      <w:pPr>
        <w:ind w:left="1040" w:right="620" w:hanging="438"/>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healthcare benefit program or making false statements relating to healthcare matters;</w:t>
      </w:r>
    </w:p>
    <w:p>
      <w:pPr>
        <w:spacing w:after="0" w:line="62" w:lineRule="exact"/>
        <w:rPr>
          <w:rFonts w:ascii="Arial" w:cs="Arial" w:eastAsia="Arial" w:hAnsi="Arial"/>
          <w:sz w:val="18"/>
          <w:szCs w:val="18"/>
          <w:color w:val="auto"/>
        </w:rPr>
      </w:pPr>
    </w:p>
    <w:p>
      <w:pPr>
        <w:ind w:left="1040" w:right="160" w:hanging="438"/>
        <w:spacing w:after="0" w:line="264"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transparency requirements under the Health Care Reform Law requires manufacturers of drugs, devices, biologics and medical supplies to report to the HHS information related to physician payments and other transfers of value and physician ownership and investment interests;</w:t>
      </w:r>
    </w:p>
    <w:p>
      <w:pPr>
        <w:spacing w:after="0" w:line="73" w:lineRule="exact"/>
        <w:rPr>
          <w:rFonts w:ascii="Arial" w:cs="Arial" w:eastAsia="Arial" w:hAnsi="Arial"/>
          <w:sz w:val="18"/>
          <w:szCs w:val="18"/>
          <w:color w:val="auto"/>
        </w:rPr>
      </w:pPr>
    </w:p>
    <w:p>
      <w:pPr>
        <w:ind w:left="1040" w:right="520" w:hanging="438"/>
        <w:spacing w:after="0" w:line="308" w:lineRule="auto"/>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which governs the conduct of certain electronic healthcare transactions and protects the security and privacy of protected health information; and</w:t>
      </w:r>
    </w:p>
    <w:p>
      <w:pPr>
        <w:spacing w:after="0" w:line="38" w:lineRule="exact"/>
        <w:rPr>
          <w:rFonts w:ascii="Arial" w:cs="Arial" w:eastAsia="Arial" w:hAnsi="Arial"/>
          <w:sz w:val="17"/>
          <w:szCs w:val="17"/>
          <w:color w:val="auto"/>
        </w:rPr>
      </w:pPr>
    </w:p>
    <w:p>
      <w:pPr>
        <w:ind w:left="1040" w:right="460" w:hanging="438"/>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payer, including commercial insurers.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5" w:name="page46"/>
    <w:bookmarkEnd w:id="45"/>
    <w:p>
      <w:pPr>
        <w:ind w:right="80" w:firstLine="598"/>
        <w:spacing w:after="0" w:line="259" w:lineRule="auto"/>
        <w:rPr>
          <w:sz w:val="20"/>
          <w:szCs w:val="20"/>
          <w:color w:val="auto"/>
        </w:rPr>
      </w:pPr>
      <w:r>
        <w:rPr>
          <w:rFonts w:ascii="Arial" w:cs="Arial" w:eastAsia="Arial" w:hAnsi="Arial"/>
          <w:sz w:val="18"/>
          <w:szCs w:val="18"/>
          <w:color w:val="auto"/>
        </w:rPr>
        <w:t>The PPACA, among other things, amends the intent requirement of the Federal Anti-Kickback Statute and criminal healthcare fraud statutes. A person or entity no longer needs to have actual knowledge of this statute or specific intent to violate it. In addition, the PPACA provides that the government may assert that a claim including items or services resulting from a violation of the Federal Anti-Kickback Statute constitutes a false or fraudulent claim for purposes of the False Claims Act.</w:t>
      </w:r>
    </w:p>
    <w:p>
      <w:pPr>
        <w:spacing w:after="0" w:line="187"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purchasers of our securities could incur substantial losses.</w:t>
      </w:r>
    </w:p>
    <w:p>
      <w:pPr>
        <w:spacing w:after="0" w:line="11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Our stock price has been and is likely to continue to be volatile. The stock market in general, and the market for biotechnology and medical device companies in particular, have experienced extreme volatility that has often been unrelated to the operating performance of particular companies. During the period from January 1, 2018, through December 31, 2018, the reported high and low prices of our common stock ranged from $3.60 to $1.45. As a result of this volatility, investors may not be able to sell their common stock at or above the purchase price. The market price for our common stock may be influenced by many factors, including the following:</w:t>
      </w:r>
    </w:p>
    <w:p>
      <w:pPr>
        <w:spacing w:after="0" w:line="80" w:lineRule="exact"/>
        <w:rPr>
          <w:sz w:val="20"/>
          <w:szCs w:val="20"/>
          <w:color w:val="auto"/>
        </w:rPr>
      </w:pPr>
    </w:p>
    <w:p>
      <w:pPr>
        <w:ind w:left="1040" w:hanging="438"/>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successfully commercialize, and realize significant revenues from sales of our products;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results of clinical studies of our products or those of our competitors;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regulatory or legal developments in the U.S. and other countries, especially changes in laws or regulations applicable to our products;</w:t>
      </w:r>
    </w:p>
    <w:p>
      <w:pPr>
        <w:spacing w:after="0" w:line="128" w:lineRule="exact"/>
        <w:rPr>
          <w:rFonts w:ascii="Arial" w:cs="Arial" w:eastAsia="Arial" w:hAnsi="Arial"/>
          <w:sz w:val="17"/>
          <w:szCs w:val="17"/>
          <w:color w:val="auto"/>
        </w:rPr>
      </w:pPr>
    </w:p>
    <w:p>
      <w:pPr>
        <w:ind w:left="1040" w:right="760" w:hanging="438"/>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commercialization partners, or our competitors, and the timing of these introductions or announcements;</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actions taken by regulatory agencies with respect to our products, clinical studies, manufacturing process or sales and marketing terms;</w:t>
      </w:r>
    </w:p>
    <w:p>
      <w:pPr>
        <w:spacing w:after="0" w:line="128" w:lineRule="exact"/>
        <w:rPr>
          <w:rFonts w:ascii="Arial" w:cs="Arial" w:eastAsia="Arial" w:hAnsi="Arial"/>
          <w:sz w:val="17"/>
          <w:szCs w:val="17"/>
          <w:color w:val="auto"/>
        </w:rPr>
      </w:pPr>
    </w:p>
    <w:p>
      <w:pPr>
        <w:ind w:left="1040" w:hanging="438"/>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products or planned products;</w:t>
      </w:r>
    </w:p>
    <w:p>
      <w:pPr>
        <w:spacing w:after="0" w:line="117" w:lineRule="exact"/>
        <w:rPr>
          <w:rFonts w:ascii="Arial" w:cs="Arial" w:eastAsia="Arial" w:hAnsi="Arial"/>
          <w:sz w:val="18"/>
          <w:szCs w:val="18"/>
          <w:color w:val="auto"/>
        </w:rPr>
      </w:pPr>
    </w:p>
    <w:p>
      <w:pPr>
        <w:ind w:left="1040" w:right="1000" w:hanging="438"/>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concerning our collaborations, including but not limited to those with our sources of manufacturing supply and our commercialization partners;</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concerning our ability to bring our manufacturing processes to scale in a cost-effective manner;</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117" w:lineRule="exact"/>
        <w:rPr>
          <w:rFonts w:ascii="Arial" w:cs="Arial" w:eastAsia="Arial" w:hAnsi="Arial"/>
          <w:sz w:val="18"/>
          <w:szCs w:val="18"/>
          <w:color w:val="auto"/>
        </w:rPr>
      </w:pPr>
    </w:p>
    <w:p>
      <w:pPr>
        <w:ind w:left="1040" w:right="280" w:hanging="438"/>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46" w:name="page47"/>
    <w:bookmarkEnd w:id="46"/>
    <w:p>
      <w:pPr>
        <w:ind w:left="1040" w:right="260" w:hanging="438"/>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other risks described in this “Risk Factors” section.</w:t>
      </w:r>
    </w:p>
    <w:p>
      <w:pPr>
        <w:spacing w:after="0" w:line="225"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These broad market and industry factors may seriously harm the market price of our common stock, regardless of our operating performance.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2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or the perception that future sales may occur, may cause the market price of our common stock to decline, even if our business is doing well.</w:t>
      </w:r>
    </w:p>
    <w:p>
      <w:pPr>
        <w:spacing w:after="0" w:line="62"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Sales of substantial amounts of our common stock in the public market, or the perception that these sales may occur, could materially and adversely affect the price of our common stock and could impair our ability to raise capital through the sale of additional equity securities. All of our shares of common stock are freely tradable, without restriction, in the public market, except for any shares held by our affiliates.</w:t>
      </w:r>
    </w:p>
    <w:p>
      <w:pPr>
        <w:spacing w:after="0" w:line="181" w:lineRule="exact"/>
        <w:rPr>
          <w:sz w:val="20"/>
          <w:szCs w:val="20"/>
          <w:color w:val="auto"/>
        </w:rPr>
      </w:pPr>
    </w:p>
    <w:p>
      <w:pPr>
        <w:ind w:right="300" w:firstLine="598"/>
        <w:spacing w:after="0" w:line="279" w:lineRule="auto"/>
        <w:rPr>
          <w:sz w:val="20"/>
          <w:szCs w:val="20"/>
          <w:color w:val="auto"/>
        </w:rPr>
      </w:pPr>
      <w:r>
        <w:rPr>
          <w:rFonts w:ascii="Arial" w:cs="Arial" w:eastAsia="Arial" w:hAnsi="Arial"/>
          <w:sz w:val="17"/>
          <w:szCs w:val="17"/>
          <w:color w:val="auto"/>
        </w:rPr>
        <w:t>We issued 13,780 shares of Series B Convertible Preferred Stock in 2017. As of December 31, 2017, all of the shares of Series B Convertible Preferred Stock have been converted into 2,556,000 shares of common stock. Under the terms of the Series B Convertible Preferred Stock, no shares of common stock have been issued to Sabby Management, LLC, or “Sabby”, upon conversion of the Series B Convertible Preferred Stock to the extent such issuance of shares of common stock would have resulted in Sabby having ownership in excess of 4.99%.</w:t>
      </w:r>
    </w:p>
    <w:p>
      <w:pPr>
        <w:spacing w:after="0" w:line="171"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On March 7, 2017, we issued 1,666,666 shares of common stock for an investment of $8.0 million from the completion of the concurrent financing and issued 416,666 shares of common stock for an investment of $2.0 million from Aspire Capital pursuant to the 2017 Aspire Purchase Agreement. All the shares issued under the 2017 Aspire Purchase Agreement are eligible for future resale under a registration statement on Form S-1 on February 1, 2017 that was declared effective by the SEC on February 15, 2017. We terminated the 2017 Aspire Purchase Agreement on December 15, 2017 in connection with the closing of the 2017 PIPE Offering.</w:t>
      </w:r>
    </w:p>
    <w:p>
      <w:pPr>
        <w:spacing w:after="0" w:line="188"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On December 11, 2017, we entered into a Securities Purchase Agreement with certain purchasers, pursuant to which we sold and issued 8,141,116 immediately separable units at a price per unit of $1.84, for aggregate gross proceeds of $15.0 million. Each unit consisted of one share of our common stock and a warrant to purchase 0.74 shares of our common stock at an exercise price of $2.00 per share, for an aggregate of 8,141,116 shares of common stock and corresponding warrants to purchase an aggregate of 6,024,425 shares of common stock, together the shares of common stock are referred to as the 2017 Resale Shares. We also granted certain registration rights to these stockholders, pursuant to which, among other things, we prepared and filed a registration statement with the SEC to register for resale the 2017 Resale Shares. The registration statement was declared effective in February 2018.</w:t>
      </w:r>
    </w:p>
    <w:p>
      <w:pPr>
        <w:spacing w:after="0" w:line="165"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On December 19, 2018, we entered into a Securities Purchase Agreement with certain purchasers, pursuant to which we sold and issued 10,272,375 units at a price per unit of $1.61, for aggregate gross proceeds of $16.5 million. Each unit consisted of one share of our common stock and a warrant to purchase 0.05 shares of our common stock at an exercise price of $2.00 per share, for an aggregate of 10,272,375 shares of common stock and corresponding warrants to purchase an aggregate of 513,617 shares of common stock, together with the shares of common stock are referred to as the 2018 Resale Shares. We also granted certain registration rights to these stockholders, pursuant to which, among other things, we will prepare and file with the SEC a registration statement to register for resale the 2018 Resale Shares prior to March 31, 2019.</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7" w:name="page48"/>
    <w:bookmarkEnd w:id="47"/>
    <w:p>
      <w:pPr>
        <w:ind w:right="120" w:firstLine="598"/>
        <w:spacing w:after="0" w:line="264" w:lineRule="auto"/>
        <w:rPr>
          <w:sz w:val="20"/>
          <w:szCs w:val="20"/>
          <w:color w:val="auto"/>
        </w:rPr>
      </w:pPr>
      <w:r>
        <w:rPr>
          <w:rFonts w:ascii="Arial" w:cs="Arial" w:eastAsia="Arial" w:hAnsi="Arial"/>
          <w:sz w:val="18"/>
          <w:szCs w:val="18"/>
          <w:color w:val="auto"/>
        </w:rPr>
        <w:t>In the future, we may issue additional shares of common stock or other equity or debt securities convertible into common stock in connection with a financing, acquisition, litigation settlement, employee arrangement or otherwise. Any such issuance could result in substantial dilution to our existing stockholders and could cause our stock price to decline.</w:t>
      </w:r>
    </w:p>
    <w:p>
      <w:pPr>
        <w:spacing w:after="0" w:line="289"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38" w:lineRule="exact"/>
        <w:rPr>
          <w:sz w:val="20"/>
          <w:szCs w:val="20"/>
          <w:color w:val="auto"/>
        </w:rPr>
      </w:pPr>
    </w:p>
    <w:p>
      <w:pPr>
        <w:ind w:right="60" w:firstLine="598"/>
        <w:spacing w:after="0" w:line="270" w:lineRule="auto"/>
        <w:rPr>
          <w:sz w:val="20"/>
          <w:szCs w:val="20"/>
          <w:color w:val="auto"/>
        </w:rPr>
      </w:pPr>
      <w:r>
        <w:rPr>
          <w:rFonts w:ascii="Arial" w:cs="Arial" w:eastAsia="Arial" w:hAnsi="Arial"/>
          <w:sz w:val="17"/>
          <w:szCs w:val="17"/>
          <w:color w:val="auto"/>
        </w:rPr>
        <w:t>We are an “emerging growth company,” as defined in the Jumpstart Our Business Startups Act, or the JOBS Act, which was enacted in April 2012, and as a “smaller reporting company” under the Exchange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After we are no longer an emerging growth company and for as long as we remain a smaller reporting company, we will remain eligible for certain exemptions, including not being required to comply with the auditor attestation requirements of Section 404 of the Sarbanes-Oxley Act and reduced disclosure obligations regarding executive compensation, but we will be required to hold a nonbinding advisory vote on executive compensation and obtain stockholder approval of golden parachute payments.</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could be an emerging growth company for up to five years, although circumstances could cause us to lose that status earlier. We will remain 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emerging growth company until the earlier of (1) the last day of the fiscal year following the fifth anniversary of the completion of our initial public offering,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IPO, which would be December 31, 2019, (2) the last day of the fiscal year in which we have total annual gross revenue of at least $1.07 billion, (3)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date on which we are deemed to be a large accelerated filer, which means the market value of our common stock that is held by non-affiliates exceeds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$700.0 million as of the prior June 30th, and (4) the date on which we have issued more than $1.0 billion in non-convertible debt securities during the prior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three-year period. We will remain a smaller reporting company until we have a public float, or value attributable to stock held by non-affiliates, of at least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$250 million, as measured on the prior June 30th.</w:t>
      </w:r>
    </w:p>
    <w:p>
      <w:pPr>
        <w:spacing w:after="0" w:line="211" w:lineRule="exact"/>
        <w:rPr>
          <w:sz w:val="20"/>
          <w:szCs w:val="20"/>
          <w:color w:val="auto"/>
        </w:rPr>
      </w:pPr>
    </w:p>
    <w:p>
      <w:pPr>
        <w:ind w:right="80" w:firstLine="598"/>
        <w:spacing w:after="0" w:line="279" w:lineRule="auto"/>
        <w:rPr>
          <w:sz w:val="20"/>
          <w:szCs w:val="20"/>
          <w:color w:val="auto"/>
        </w:rPr>
      </w:pPr>
      <w:r>
        <w:rPr>
          <w:rFonts w:ascii="Arial" w:cs="Arial" w:eastAsia="Arial" w:hAnsi="Arial"/>
          <w:sz w:val="17"/>
          <w:szCs w:val="17"/>
          <w:color w:val="auto"/>
        </w:rPr>
        <w:t>Under the JOBS Act, emerging growth companies can delay adopting new or revised accounting standards issued subsequent to the enactment of the JOBS Act until such time as those standards apply to private companies. We have elected to use the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under the JOBS Act.</w:t>
      </w:r>
    </w:p>
    <w:p>
      <w:pPr>
        <w:spacing w:after="0" w:line="171" w:lineRule="exact"/>
        <w:rPr>
          <w:sz w:val="20"/>
          <w:szCs w:val="20"/>
          <w:color w:val="auto"/>
        </w:rPr>
      </w:pPr>
    </w:p>
    <w:p>
      <w:pPr>
        <w:ind w:right="80" w:firstLine="598"/>
        <w:spacing w:after="0" w:line="342" w:lineRule="auto"/>
        <w:rPr>
          <w:sz w:val="20"/>
          <w:szCs w:val="20"/>
          <w:color w:val="auto"/>
        </w:rPr>
      </w:pPr>
      <w:r>
        <w:rPr>
          <w:rFonts w:ascii="Arial" w:cs="Arial" w:eastAsia="Arial" w:hAnsi="Arial"/>
          <w:sz w:val="16"/>
          <w:szCs w:val="16"/>
          <w:color w:val="auto"/>
        </w:rPr>
        <w:t>We cannot predict if investors will find our common stock less attractive to the extent we rely on available exemptions. If some investors do find our common stock less attractive, there may be a less active trading market for our common stock and our stock price may be more volatile or may decline.</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may continue to maintain the ability to control or significantly influence all matters submitted to stockholders for approval and under certain circumstances Abingworth LLP, Vivo Ventures, Oracle Investment Management and Jack W. Schuler and their affiliates may have control over key decision making.</w:t>
      </w:r>
    </w:p>
    <w:p>
      <w:pPr>
        <w:spacing w:after="0" w:line="73"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color w:val="auto"/>
        </w:rPr>
        <w:t>Our executive officers, directors and principal stockholders own a majority of our outstanding common stock. Entities associated with Abingworth LLP, Vivo Ventures, Oracle Investment Management and Jack W. Schuler, as of December 31, 2018, beneficially own approximately 46.2 percent of our common stock. As a result, the foregoing group of stockholders are able to control all matters submitted to our stockholders for approval, as well as our management and affairs. For example, these stockholders will control the election of directors and the approval of any merger, consolidation or sale of all or substantially all of our assets. This concentration of voting power could delay or prevent an acquisition of our company on terms that other stockholders may desire.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8" w:name="page49"/>
    <w:bookmarkEnd w:id="48"/>
    <w:p>
      <w:pPr>
        <w:ind w:right="24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increased costs as a result of operating as a public company, and our management has devoted and will be required to continue to devote substantial time to new compliance initiatives.</w:t>
      </w:r>
    </w:p>
    <w:p>
      <w:pPr>
        <w:spacing w:after="0" w:line="62" w:lineRule="exact"/>
        <w:rPr>
          <w:sz w:val="20"/>
          <w:szCs w:val="20"/>
          <w:color w:val="auto"/>
        </w:rPr>
      </w:pPr>
    </w:p>
    <w:p>
      <w:pPr>
        <w:ind w:right="40" w:firstLine="598"/>
        <w:spacing w:after="0" w:line="288" w:lineRule="auto"/>
        <w:rPr>
          <w:sz w:val="20"/>
          <w:szCs w:val="20"/>
          <w:color w:val="auto"/>
        </w:rPr>
      </w:pPr>
      <w:r>
        <w:rPr>
          <w:rFonts w:ascii="Arial" w:cs="Arial" w:eastAsia="Arial" w:hAnsi="Arial"/>
          <w:sz w:val="16"/>
          <w:szCs w:val="16"/>
          <w:color w:val="auto"/>
        </w:rPr>
        <w:t>We have incurred and will continue to incur significant legal, accounting and other expenses as a public company. We are subject to the reporting requirements of the Securities Exchange Act of 1934, as amended, the other rules and regulations of the SEC, and the rules and regulations of The NASDAQ Capital Market, or NASDAQ. The expenses of being a public company are material, and compliance with the various reporting and other requirements applicable to public companies requires considerable time and attention of management. For example, the Sarbanes-Oxley Act and the rules of the SEC and national securities exchanges have imposed various requirements on public companies, including requiring establishment and maintenance of effective disclosure and financial controls. Our management and other personnel need to devote a substantial amount of time to these compliance initiatives. These rules and regulations will continue to increase our legal and financial compliance costs and will make some activities more time-consuming and costly. For example, these rules and regulations may make it difficult and expensive for us to obtain adequate director and officer liability insurance, and we may be required to accept reduced policy limits on coverage or incur substantial costs to maintain the same or similar coverage. The impact of these events could also make it more difficult for us to attract and retain qualified personnel to serve on our Board of Directors, our board committees, or as executive officers.</w:t>
      </w:r>
    </w:p>
    <w:p>
      <w:pPr>
        <w:spacing w:after="0" w:line="169" w:lineRule="exact"/>
        <w:rPr>
          <w:sz w:val="20"/>
          <w:szCs w:val="20"/>
          <w:color w:val="auto"/>
        </w:rPr>
      </w:pPr>
    </w:p>
    <w:p>
      <w:pPr>
        <w:ind w:right="60" w:firstLine="598"/>
        <w:spacing w:after="0" w:line="254" w:lineRule="auto"/>
        <w:rPr>
          <w:sz w:val="20"/>
          <w:szCs w:val="20"/>
          <w:color w:val="auto"/>
        </w:rPr>
      </w:pPr>
      <w:r>
        <w:rPr>
          <w:rFonts w:ascii="Arial" w:cs="Arial" w:eastAsia="Arial" w:hAnsi="Arial"/>
          <w:sz w:val="18"/>
          <w:szCs w:val="18"/>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or Section 404. In addition, we will be required to have our independent registered public accounting firm attest to the effectiveness of our internal control over financial reporting beginning with our annual report on Form 10-K following the date on which we are no longer an emerging growth company or smaller reporting company. Our compliance with Section 404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w:t>
      </w:r>
    </w:p>
    <w:p>
      <w:pPr>
        <w:spacing w:after="0" w:line="192"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If we are not able to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 Our ability to successfully implement our business plan and comply with Section 404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This, in turn, could have an adverse impact on trading prices for our common stock, and could adversely affect our ability to access the capital markets.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 forwards and certain other tax attributes will be limited.</w:t>
      </w:r>
    </w:p>
    <w:p>
      <w:pPr>
        <w:spacing w:after="0" w:line="117"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Our ability to utilize our federal net operating loss, carryforwards and federal tax credit will be limited under Sections 382 and 383 of the Internal Revenue Code of 1986, as amended, or the Code. The limitations apply if an “ownership change,” as defined by Section 382, occurs. Generally, an ownership change occurs if the percentage of the value of the stock that is owned by one or more direct or indirect “five percent shareholders” increases by more than 50% over their lowest ownership percentage at any time during the applicable testing period (typically three years). During the year ended December 31, 2016, we experienced an “ownership change”, and in the year ended December 31, 2017 our acquisition of Essentialis resulted in an ownership change, of which both changes will limit our ability to utilize our existing and acquired net operating losses and other tax attributes to offset taxable income. As a result, if we earn net taxable income, our ability to use our pre-change net operating loss carryforwards and other tax attributes to offset U.S. federal taxable income will be subject to limitations, which could potentially result in increased future tax liability to us.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As our warrant holders exercise their warrants into shares of our common stock, our stockholders will be diluted.</w:t>
      </w:r>
    </w:p>
    <w:p>
      <w:pPr>
        <w:spacing w:after="0" w:line="117" w:lineRule="exact"/>
        <w:rPr>
          <w:sz w:val="20"/>
          <w:szCs w:val="20"/>
          <w:color w:val="auto"/>
        </w:rPr>
      </w:pPr>
    </w:p>
    <w:p>
      <w:pPr>
        <w:ind w:right="20" w:firstLine="598"/>
        <w:spacing w:after="0" w:line="308" w:lineRule="auto"/>
        <w:rPr>
          <w:sz w:val="20"/>
          <w:szCs w:val="20"/>
          <w:color w:val="auto"/>
        </w:rPr>
      </w:pPr>
      <w:r>
        <w:rPr>
          <w:rFonts w:ascii="Arial" w:cs="Arial" w:eastAsia="Arial" w:hAnsi="Arial"/>
          <w:sz w:val="17"/>
          <w:szCs w:val="17"/>
          <w:color w:val="auto"/>
        </w:rPr>
        <w:t>The exercise of some or all of our warrants results in issuance of common stock that dilute the ownership interests of existing stockholders. Any sales of the common stock issuable upon exercise of the warrants could adversely affect prevailing market prices of our common stock.</w:t>
      </w:r>
    </w:p>
    <w:p>
      <w:pPr>
        <w:spacing w:after="0" w:line="25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If holders of our warrants elect to exercise their warrants and sell material amounts of our common stock in the market, such sales could cause the price of our common stock to decline, and the potential for such downward pressure on the price of our common stock may encourage short selling of our common stock by holders of our warrants or other parties.</w:t>
      </w:r>
    </w:p>
    <w:p>
      <w:pPr>
        <w:spacing w:after="0" w:line="73" w:lineRule="exact"/>
        <w:rPr>
          <w:sz w:val="20"/>
          <w:szCs w:val="20"/>
          <w:color w:val="auto"/>
        </w:rPr>
      </w:pPr>
    </w:p>
    <w:p>
      <w:pPr>
        <w:ind w:right="20" w:firstLine="598"/>
        <w:spacing w:after="0" w:line="271" w:lineRule="auto"/>
        <w:rPr>
          <w:sz w:val="20"/>
          <w:szCs w:val="20"/>
          <w:color w:val="auto"/>
        </w:rPr>
      </w:pPr>
      <w:r>
        <w:rPr>
          <w:rFonts w:ascii="Arial" w:cs="Arial" w:eastAsia="Arial" w:hAnsi="Arial"/>
          <w:sz w:val="17"/>
          <w:szCs w:val="17"/>
          <w:color w:val="auto"/>
        </w:rPr>
        <w:t>If there is significant downward pressure on the price of our common stock, it may encourage holders of our warrants, or other parties, to sell shares by means of short sales or otherwise. Short sales involve the sale, usually with a future delivery date, of common stock the seller does not own. Covered short sales are sales made in an amount not greater than the number of shares subject to the short seller’s right to acquire common stock, such as upon exercise of warrants. A holder of warrants may close out any covered short position by exercising all, or a portion, of its warrants, or by purchasing shares in the open market. In determining the source of shares to close out the covered short position, a holder of warrants will likely consider, among other things, the price of common stock available for purchase in the open market as compared to the exercise price of the warrants. The existence of a significant number of short sales generally causes the price of common stock to decline, in part because it indicates that a number of market participants are taking a position that will be profitable only if the price of the common stock declines.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Under certain circumstances we may be required to settle the value of the Series A, Series C, 2017 PIPE Warrants and 2018 PIPE Warrants in cash.</w:t>
      </w:r>
    </w:p>
    <w:p>
      <w:pPr>
        <w:spacing w:after="0" w:line="140"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If, at any time while the Series A, Series C, 2017 PIPE Warrants and 2018 PIPE Warrants, or the Warrants, are outstanding, we enter into a “Fundamental Transaction” (as defined in the Warrants), which includes, but is not limited to, a purchase offer, tender offer or exchange offer, a stock or share purchase agreement or other business combination (including, without limitation, a reorganization, recapitalization, spin-off or other scheme of arrangement), then each registered holder of outstanding Warrants as at any time prior to the consummation of the Fundamental Transaction, may elect and require us to purchase the Warrants held by such person immediately prior to the consummation of such Fundamental Transaction by making a cash payment in an amount equal to the Black Scholes Value of the remaining unexercised portion of such registered holder’s Warrants.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be able to maintain the listing of our securities on The NASDAQ Capital Market.</w:t>
      </w:r>
    </w:p>
    <w:p>
      <w:pPr>
        <w:spacing w:after="0" w:line="117"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We have listed our common stock and Series A Warrants on NASDAQ. We might not be able to maintain the listing standards of that exchange, which includes requirements that we maintain our shareholders’ equity, total value of shares held by unaffiliated shareholders, market capitalization above certain specified levels and minimum bid requirement of $1.00 per common share. We do not expect to become profitable for some time and there is a risk that our shareholders’ equity could fall below the $2.5 million level required by NASDAQ. If we do not regain compliance with the minimum bid requirement or our shareholders’ equity falls below $2.5 million, it will cause us to fail to conform to the NASDAQ listing requirements on an ongoing basis, which in turn could cause our common stock to cease to trade on the NASDAQ exchange, and be required to move to the Over the Counter Bulletin Board or the “pink sheets” exchange maintained by OTC Markets Group, Inc. The OTC Bulletin Board and the “pink sheets” are generally considered to be markets that are less efficient, and to provide less liquidity in the shares, than the NASDAQ market.</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Due to the speculative nature of warrants, there is no guarantee that it will ever be profitable for holders of the warrants to exercise the warrants.</w:t>
      </w:r>
    </w:p>
    <w:p>
      <w:pPr>
        <w:spacing w:after="0" w:line="140"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The warrants we have issued and outstanding do not confer any rights of common stock ownership on their holders, such as voting rights or the right to receive dividends, but rather merely represent the right to acquire shares of common stock at a fixed price for a limited period of time. Specifically, holders of Series A Warrants may exercise their right to acquire the common stock and pay an exercise price of $32.50 per share prior to the expiration of the five-year term on November 12, 2019, after which date any unexercised Series A Warrants will expire and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0" w:name="page51"/>
    <w:bookmarkEnd w:id="50"/>
    <w:p>
      <w:pPr>
        <w:ind w:right="180"/>
        <w:spacing w:after="0" w:line="276" w:lineRule="auto"/>
        <w:rPr>
          <w:sz w:val="20"/>
          <w:szCs w:val="20"/>
          <w:color w:val="auto"/>
        </w:rPr>
      </w:pPr>
      <w:r>
        <w:rPr>
          <w:rFonts w:ascii="Arial" w:cs="Arial" w:eastAsia="Arial" w:hAnsi="Arial"/>
          <w:sz w:val="17"/>
          <w:szCs w:val="17"/>
          <w:color w:val="auto"/>
        </w:rPr>
        <w:t>have no further value. Holders of Series C Warrants may exercise their right to acquire common stock and pay an exercise price of $31.25 per share prior to the expiration of the five-year term on March 4, 2020. Holders of the 2017 PIPE Warrants are entitled to purchase one share of our common stock at an exercise price equal to $2.00 per share prior to at the earlier of (i) December 15, 2020 or (ii) 30 days following positive Phase III results for DCCR tablet in Prader-Willi syndrome. Holders of the 2018 PIPE Warrants are entitled to purchase one share of our common stock at an exercise price equal to $2.00 per share prior to the expiration of the five-year term on December 21, 2023.</w:t>
      </w:r>
    </w:p>
    <w:p>
      <w:pPr>
        <w:spacing w:after="0" w:line="173"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Following the amendment of the Series D Common Stock Purchase Warrants, the holders may exercise their right to acquire common stock and pay an amended exercise price of $8.75 per share prior to the expiration of the five-year term on October 15, 2020. In certain circumstances, the Series A Warrants, Series C Warrants and Series D Warrants may be exercisable on a cashless basis. There can be no assurance that the market price of the common stock will ever equal or exceed the exercise price of the warrants, and, consequently, whether it will ever be profitable for holders of the warrants to exercise the warrants.</w:t>
      </w:r>
    </w:p>
    <w:p>
      <w:pPr>
        <w:spacing w:after="0" w:line="2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2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62" w:lineRule="exact"/>
        <w:rPr>
          <w:sz w:val="20"/>
          <w:szCs w:val="20"/>
          <w:color w:val="auto"/>
        </w:rPr>
      </w:pPr>
    </w:p>
    <w:p>
      <w:pPr>
        <w:ind w:right="400" w:firstLine="598"/>
        <w:spacing w:after="0" w:line="272" w:lineRule="auto"/>
        <w:rPr>
          <w:sz w:val="20"/>
          <w:szCs w:val="20"/>
          <w:color w:val="auto"/>
        </w:rPr>
      </w:pPr>
      <w:r>
        <w:rPr>
          <w:rFonts w:ascii="Arial" w:cs="Arial" w:eastAsia="Arial" w:hAnsi="Arial"/>
          <w:sz w:val="17"/>
          <w:szCs w:val="17"/>
          <w:color w:val="auto"/>
        </w:rPr>
        <w:t>Provisions in our corporate charter and our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the following:</w:t>
      </w:r>
    </w:p>
    <w:p>
      <w:pPr>
        <w:spacing w:after="0" w:line="70" w:lineRule="exact"/>
        <w:rPr>
          <w:sz w:val="20"/>
          <w:szCs w:val="20"/>
          <w:color w:val="auto"/>
        </w:rPr>
      </w:pPr>
    </w:p>
    <w:p>
      <w:pPr>
        <w:ind w:left="1040" w:hanging="438"/>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staggered three-year terms which may delay or prevent a change of our management or a change in control;</w:t>
      </w:r>
    </w:p>
    <w:p>
      <w:pPr>
        <w:spacing w:after="0" w:line="62" w:lineRule="exact"/>
        <w:rPr>
          <w:rFonts w:ascii="Arial" w:cs="Arial" w:eastAsia="Arial" w:hAnsi="Arial"/>
          <w:sz w:val="18"/>
          <w:szCs w:val="18"/>
          <w:color w:val="auto"/>
        </w:rPr>
      </w:pPr>
    </w:p>
    <w:p>
      <w:pPr>
        <w:ind w:left="1040" w:right="280" w:hanging="438"/>
        <w:spacing w:after="0" w:line="308" w:lineRule="auto"/>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Board of Directors has the right to elect directors to fill a vacancy created by the expansion of our Board of Directors or the resignation, death or removal of a director, which will prevent stockholders from being able to fill vacancies on our Board of Directors;</w:t>
      </w:r>
    </w:p>
    <w:p>
      <w:pPr>
        <w:spacing w:after="0" w:line="38" w:lineRule="exact"/>
        <w:rPr>
          <w:rFonts w:ascii="Arial" w:cs="Arial" w:eastAsia="Arial" w:hAnsi="Arial"/>
          <w:sz w:val="17"/>
          <w:szCs w:val="17"/>
          <w:color w:val="auto"/>
        </w:rPr>
      </w:pPr>
    </w:p>
    <w:p>
      <w:pPr>
        <w:ind w:left="1040" w:right="20" w:hanging="438"/>
        <w:spacing w:after="0" w:line="264"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stockholders are not able to act by written consent or call special stockholders’ meetings; as a result, a holder, or holders, controlling a majority of our capital stock cannot take certain actions other than at annual stockholders’ meetings or special stockholders’ meetings called by our Board of Directors, the chairman of our board, the chief executive officer or the president;</w:t>
      </w:r>
    </w:p>
    <w:p>
      <w:pPr>
        <w:spacing w:after="0" w:line="73" w:lineRule="exact"/>
        <w:rPr>
          <w:rFonts w:ascii="Arial" w:cs="Arial" w:eastAsia="Arial" w:hAnsi="Arial"/>
          <w:sz w:val="18"/>
          <w:szCs w:val="18"/>
          <w:color w:val="auto"/>
        </w:rPr>
      </w:pPr>
    </w:p>
    <w:p>
      <w:pPr>
        <w:ind w:left="1040" w:right="20" w:hanging="438"/>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certificate of incorporation prohibits cumulative voting in the election of directors, which limits the ability of minority stockholders to elect director candidates;</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amendments of our certificate of incorporation and bylaws require the approval of 66 2/3% of our outstanding voting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1" w:name="page52"/>
    <w:bookmarkEnd w:id="51"/>
    <w:p>
      <w:pPr>
        <w:ind w:left="1040" w:right="60" w:hanging="438"/>
        <w:spacing w:after="0" w:line="312" w:lineRule="auto"/>
        <w:tabs>
          <w:tab w:leader="none" w:pos="10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stockholders are required to provide advance notice and additional disclosures in order to nominate individuals for election to our Board of Directors or to propose matters that can be acted upon at a stockholders’ meeting, which may discourage or deter a potential acquirer from conducting a solicitation of proxies to elect the acquirer’s own slate of directors or otherwise attempting to obtain control of our company; and</w:t>
      </w:r>
    </w:p>
    <w:p>
      <w:pPr>
        <w:spacing w:after="0" w:line="38" w:lineRule="exact"/>
        <w:rPr>
          <w:rFonts w:ascii="Arial" w:cs="Arial" w:eastAsia="Arial" w:hAnsi="Arial"/>
          <w:sz w:val="16"/>
          <w:szCs w:val="16"/>
          <w:color w:val="auto"/>
        </w:rPr>
      </w:pPr>
    </w:p>
    <w:p>
      <w:pPr>
        <w:ind w:left="1040" w:hanging="438"/>
        <w:spacing w:after="0" w:line="342" w:lineRule="auto"/>
        <w:tabs>
          <w:tab w:leader="none" w:pos="10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Board of Directors are able to issue, without stockholder approval, shares of undesignated preferred stock, which makes it possible for our Board of Directors to issue preferred stock with voting or other rights or preferences that could impede the success of any attempt to acquire us.</w:t>
      </w:r>
    </w:p>
    <w:p>
      <w:pPr>
        <w:spacing w:after="0" w:line="124"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9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Our employment agreements with our executive officers may require us to pay severance benefits to any of those persons who are terminated in connection with a change in control of us, which could harm our financial condition or results.</w:t>
      </w:r>
    </w:p>
    <w:p>
      <w:pPr>
        <w:spacing w:after="0" w:line="62" w:lineRule="exact"/>
        <w:rPr>
          <w:sz w:val="20"/>
          <w:szCs w:val="20"/>
          <w:color w:val="auto"/>
        </w:rPr>
      </w:pPr>
    </w:p>
    <w:p>
      <w:pPr>
        <w:ind w:right="40" w:firstLine="598"/>
        <w:spacing w:after="0" w:line="276" w:lineRule="auto"/>
        <w:rPr>
          <w:sz w:val="20"/>
          <w:szCs w:val="20"/>
          <w:color w:val="auto"/>
        </w:rPr>
      </w:pPr>
      <w:r>
        <w:rPr>
          <w:rFonts w:ascii="Arial" w:cs="Arial" w:eastAsia="Arial" w:hAnsi="Arial"/>
          <w:sz w:val="17"/>
          <w:szCs w:val="17"/>
          <w:color w:val="auto"/>
        </w:rPr>
        <w:t>Certain of our executive officers are parties to employment agreements that contain change in control and severance provisions providing for aggregate cash payments for severance and other benefits and acceleration of stock options vesting in the event of a termination of employment in connection with a change in control of us. The accelerated vesting of options could result in dilution to our existing stockholders and harm the market price of our common stock. The payment of these severance benefits could harm our financial condition and results. In addition, these potential severance payments may discourage or prevent third parties from seeking a business combination with us.</w:t>
      </w:r>
    </w:p>
    <w:p>
      <w:pPr>
        <w:spacing w:after="0" w:line="28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our stockholders’ sole source of gain.</w:t>
      </w:r>
    </w:p>
    <w:p>
      <w:pPr>
        <w:spacing w:after="0" w:line="62" w:lineRule="exact"/>
        <w:rPr>
          <w:sz w:val="20"/>
          <w:szCs w:val="20"/>
          <w:color w:val="auto"/>
        </w:rPr>
      </w:pPr>
    </w:p>
    <w:p>
      <w:pPr>
        <w:ind w:right="20" w:firstLine="598"/>
        <w:spacing w:after="0" w:line="28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of our future earnings, if any, to finance the growth and development of our business. In addition, the terms of existing or any future debt agreements may preclude us from paying dividends. As a result, capital appreciation, if any, of our common stock will be our stockholders’ sole source of gain for the foreseeable future.</w:t>
      </w:r>
    </w:p>
    <w:p>
      <w:pPr>
        <w:spacing w:after="0" w:line="27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sale of our common stock to investors in the 2018 PIPE Offering may cause substantial dilution to our existing stockholders and the sale of common stock by these investors could cause the price of our common stock to decline.</w:t>
      </w:r>
    </w:p>
    <w:p>
      <w:pPr>
        <w:spacing w:after="0" w:line="62" w:lineRule="exact"/>
        <w:rPr>
          <w:sz w:val="20"/>
          <w:szCs w:val="20"/>
          <w:color w:val="auto"/>
        </w:rPr>
      </w:pPr>
    </w:p>
    <w:p>
      <w:pPr>
        <w:ind w:right="60" w:firstLine="598"/>
        <w:spacing w:after="0" w:line="273" w:lineRule="auto"/>
        <w:rPr>
          <w:sz w:val="20"/>
          <w:szCs w:val="20"/>
          <w:color w:val="auto"/>
        </w:rPr>
      </w:pPr>
      <w:r>
        <w:rPr>
          <w:rFonts w:ascii="Arial" w:cs="Arial" w:eastAsia="Arial" w:hAnsi="Arial"/>
          <w:sz w:val="17"/>
          <w:szCs w:val="17"/>
          <w:color w:val="auto"/>
        </w:rPr>
        <w:t>On December 19, 2018, we entered into a Securities Purchase Agreement with certain purchasers, pursuant to which we sold and issued 10,272,375 units at a price per unit of $1.61, for aggregate gross proceeds of $16.5 million. Each unit consisted of one share of our common stock and a warrant to purchase 0.05 shares of our common stock at an exercise price of $2.00 per share, for an aggregate of 10,272,375 shares of common stock and corresponding warrants to purchase an aggregate of 513,617 shares of common stock, together with the shares of common stock are referred to as the 2018 Resale Shares. We also granted certain registration rights to these stockholders, pursuant to which, among other things, we will prepare and file with the SEC a registration statement to register for resale the 2018 Resale Shares prior to March 31, 2019.</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2" w:name="page53"/>
    <w:bookmarkEnd w:id="52"/>
    <w:p>
      <w:pPr>
        <w:jc w:val="center"/>
        <w:ind w:right="-59"/>
        <w:spacing w:after="0"/>
        <w:rPr>
          <w:sz w:val="20"/>
          <w:szCs w:val="20"/>
          <w:color w:val="auto"/>
        </w:rPr>
      </w:pPr>
      <w:r>
        <w:rPr>
          <w:rFonts w:ascii="Arial" w:cs="Arial" w:eastAsia="Arial" w:hAnsi="Arial"/>
          <w:sz w:val="18"/>
          <w:szCs w:val="18"/>
          <w:b w:val="1"/>
          <w:bCs w:val="1"/>
          <w:color w:val="auto"/>
        </w:rPr>
        <w:t>ITEM 2. PROPERTIES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300" w:firstLine="598"/>
        <w:spacing w:after="0" w:line="342" w:lineRule="auto"/>
        <w:rPr>
          <w:sz w:val="20"/>
          <w:szCs w:val="20"/>
          <w:color w:val="auto"/>
        </w:rPr>
      </w:pPr>
      <w:r>
        <w:rPr>
          <w:rFonts w:ascii="Arial" w:cs="Arial" w:eastAsia="Arial" w:hAnsi="Arial"/>
          <w:sz w:val="16"/>
          <w:szCs w:val="16"/>
          <w:color w:val="auto"/>
        </w:rPr>
        <w:t>Our principal facilities consist of office space in Redwood City, California, which also contains space for Capnia’s final assembly and calibration facility for CoSense. We currently occupy 8,171 square feet of office space under a non-cancelable operating lease that terminates in August 2019.</w:t>
      </w:r>
    </w:p>
    <w:p>
      <w:pPr>
        <w:spacing w:after="0" w:line="124"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We believe that the facilities that we currently lease are adequate for our needs for the immediate future and that, should it be needed, additional space can be leased on commercially reasonable terms to accommodate any future growth.</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left="260" w:right="26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right="640" w:firstLine="598"/>
        <w:spacing w:after="0" w:line="342" w:lineRule="auto"/>
        <w:rPr>
          <w:sz w:val="20"/>
          <w:szCs w:val="20"/>
          <w:color w:val="auto"/>
        </w:rPr>
      </w:pPr>
      <w:r>
        <w:rPr>
          <w:rFonts w:ascii="Arial" w:cs="Arial" w:eastAsia="Arial" w:hAnsi="Arial"/>
          <w:sz w:val="16"/>
          <w:szCs w:val="16"/>
          <w:color w:val="auto"/>
        </w:rPr>
        <w:t>Our common stock is quoted on NASDAQ under the symbol “SLNO” and our Series A warrants are quoted on NSADAQ under the symbol “SLNOW.” Our Series C Warrants, Series D Warrants, 2017 PIPE Warrants and 2018 PIPE Warrants are not traded on a national securities exchange.</w:t>
      </w:r>
    </w:p>
    <w:p>
      <w:pPr>
        <w:spacing w:after="0" w:line="124"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As of March 6, 2019, there were 80 shareholders of record for our common stock. A substantially greater number of stockholders may be “street name” or beneficial holders, whose shares are held of record by banks, brokers and other financial institutions.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We have never declared or paid cash dividends on our common stock, and currently do not plan to declare dividends on shares of our common stock in the foreseeable future. We expect to retain our future earnings, if any, for use in the operation and expansion of our business. The payment of cash dividends in the future, if any, will be at the discretion of our board of directors and will depend upon such factors as earnings levels, capital requirements, our overall financial condition and any other factors deemed relevant by our board of directors.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Recent Sales of Unregistered Equity Securities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During the year ended December 31, 2018, we issued the following unregistered securities:</w:t>
      </w:r>
    </w:p>
    <w:p>
      <w:pPr>
        <w:spacing w:after="0" w:line="117" w:lineRule="exact"/>
        <w:rPr>
          <w:sz w:val="20"/>
          <w:szCs w:val="20"/>
          <w:color w:val="auto"/>
        </w:rPr>
      </w:pPr>
    </w:p>
    <w:p>
      <w:pPr>
        <w:ind w:left="1040" w:right="60" w:hanging="438"/>
        <w:spacing w:after="0" w:line="255"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December 19, 2018, we entered into a Securities Purchase Agreement with certain purchasers, pursuant to which we sold and issued 10,272,375 units at a price per unit of $1.61, for aggregate gross proceeds of $16.5 million and net proceeds of $16.3 million. Each unit consisted of one share of our common stock and a warrant to purchase 0.05 shares of our common stock at an exercise price of $2.00 per share, for an aggregate of 10,272,375 shares of common stock and corresponding warrants to purchase an aggregate of 513,617 shares of common stock, together with the shares of common stock are referred to as the 2018 Resale Shares. We also granted certain registration rights to these stockholders, pursuant to which, among other things, we will prepare and file with the SEC a registration statement to register for resale the 2018 Resale Shares prior to March 31, 2019.</w:t>
      </w:r>
    </w:p>
    <w:p>
      <w:pPr>
        <w:spacing w:after="0" w:line="81" w:lineRule="exact"/>
        <w:rPr>
          <w:rFonts w:ascii="Arial" w:cs="Arial" w:eastAsia="Arial" w:hAnsi="Arial"/>
          <w:sz w:val="18"/>
          <w:szCs w:val="18"/>
          <w:color w:val="auto"/>
        </w:rPr>
      </w:pPr>
    </w:p>
    <w:p>
      <w:pPr>
        <w:ind w:left="1040" w:right="100" w:hanging="438"/>
        <w:spacing w:after="0" w:line="291" w:lineRule="auto"/>
        <w:tabs>
          <w:tab w:leader="none" w:pos="10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On December 11, 2017, we entered into a Securities Purchase Agreement with certain purchasers, pursuant to which we sold and issued 8,141,116 immediately separable units at a price per unit of $1.84, for aggregate gross proceeds of $15.0 million and net proceeds of $13.8 million. Each unit consisted of one share of our common stock and a warrant to purchase 0.74 shares of our common stock at an exercise price of $2.00 per share, for an aggregate of 8,141,116 shares of common stock and corresponding warrants to purchase an aggregate of 6,024,425 shares of common stock, together the shares of common stock are referred to as the 2017 Resale Shares. We also granted certain registration rights to these stockholders, pursuant to which, among other things, we prepared and filed a registration statement with the SEC to register for resale the 2017 Resale Shares. The registration statement was declared effective in February 2018.</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4" w:name="page55"/>
    <w:bookmarkEnd w:id="54"/>
    <w:p>
      <w:pPr>
        <w:ind w:right="140" w:firstLine="598"/>
        <w:spacing w:after="0" w:line="297" w:lineRule="auto"/>
        <w:rPr>
          <w:sz w:val="20"/>
          <w:szCs w:val="20"/>
          <w:color w:val="auto"/>
        </w:rPr>
      </w:pPr>
      <w:r>
        <w:rPr>
          <w:rFonts w:ascii="Arial" w:cs="Arial" w:eastAsia="Arial" w:hAnsi="Arial"/>
          <w:sz w:val="16"/>
          <w:szCs w:val="16"/>
          <w:color w:val="auto"/>
        </w:rPr>
        <w:t>Except as outlined above, none of the foregoing transactions involved any underwriters, underwriting discounts or commissions or any public offering. We believe that these transactions were exempt from the registration requirements of the Securities Act under Section 4(2) of the Securities Act as transactions by an issuer not involving any public offering. The recipients of securities in each of these transactions represented their intention to acquire the securities for investment only and not with a view to or for sale in connection with any distribution thereof and appropriate legends were affixed to the stock certificates and instruments issued in such transactions. All recipients had adequate access, through their relationships with us, to information about us.</w:t>
      </w:r>
    </w:p>
    <w:p>
      <w:pPr>
        <w:spacing w:after="0" w:line="50" w:lineRule="exact"/>
        <w:rPr>
          <w:sz w:val="20"/>
          <w:szCs w:val="20"/>
          <w:color w:val="auto"/>
        </w:rPr>
      </w:pPr>
    </w:p>
    <w:p>
      <w:pPr>
        <w:ind w:left="1040" w:right="660" w:hanging="438"/>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the year ended December 31, 2018, we granted to officers, directors, employees, consultants and other service providers options to purchase an aggregate of 756,086 shares of common stock under our 2014 Equity Incentive Plan.</w:t>
      </w:r>
    </w:p>
    <w:p>
      <w:pPr>
        <w:spacing w:after="0" w:line="62" w:lineRule="exact"/>
        <w:rPr>
          <w:rFonts w:ascii="Arial" w:cs="Arial" w:eastAsia="Arial" w:hAnsi="Arial"/>
          <w:sz w:val="18"/>
          <w:szCs w:val="18"/>
          <w:color w:val="auto"/>
        </w:rPr>
      </w:pPr>
    </w:p>
    <w:p>
      <w:pPr>
        <w:ind w:left="1040" w:right="660" w:hanging="438"/>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the year ended December 31, 2017, we granted to officers, directors, employees, consultants and other service providers options to purchase an aggregate of 622,755 shares of common stock under our 2014 Equity Incentive Plan.</w:t>
      </w:r>
    </w:p>
    <w:p>
      <w:pPr>
        <w:spacing w:after="0" w:line="170"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We believe that these transactions were exempt from the registration requirements of the Securities Act under Rule 701 promulgated under the Securities Act as offers and sales of securities pursuant to certain compensatory benefit plans and contracts relating to compensation in compliance with Rule 701. The recipients of securities in these transactions represented their intention to acquire the securities for investment only and not with a view to or for sale in connection with any distribution thereof and appropriate legends were affixed to the stock certificates and instruments issued in such transactions. All recipients had adequate access, through their relationships with us, to information about us.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Use of Proceeds</w:t>
      </w:r>
    </w:p>
    <w:p>
      <w:pPr>
        <w:spacing w:after="0" w:line="117"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There has been no material change in the planned use of proceeds from the 2017 PIPE Offering or 2018 PIPE Offering as described in our final prospectus filed with the SEC pursuant to Rule 424(b) for such transaction.</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6. SELECTED FINANCIAL INFORMATION</w:t>
      </w:r>
    </w:p>
    <w:p>
      <w:pPr>
        <w:spacing w:after="0" w:line="22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Pursuant to Item 301(c) of Regulation S-K.as a smaller reporting company, we not required to provide the information required by this item.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i w:val="1"/>
          <w:iCs w:val="1"/>
          <w:color w:val="auto"/>
        </w:rPr>
        <w:t>The following discussion and analysis should be read in conjunction with our audited consolidated financial statements and the related notes that appear elsewhere in this Annual Report on Form 10-K. This Annual Report on Form 10-K contains “forward-looking statements” within the meaning of Section 21E of the Securities Exchange Act of 1934, as amended, or the Exchange Act. These statements are often identified by the use of words such as “may,” “will,” “expect,” “believe,” “anticipate,” “intend,” “could,” “should,” “estimate,” “plan,”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 Item 1A of this Annual Report on Form 10-K and elsewhere in this report. The forward-looking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 xml:space="preserve">We were initially established as a diversified healthcare company that developed and commercialized innovative diagnostics, devices and therapeutics addressing unmet medical needs, which consisted of: precision metering of gas flow technology marketed as Serenz </w:t>
      </w:r>
      <w:r>
        <w:rPr>
          <w:rFonts w:ascii="Arial" w:cs="Arial" w:eastAsia="Arial" w:hAnsi="Arial"/>
          <w:sz w:val="15"/>
          <w:szCs w:val="15"/>
          <w:color w:val="auto"/>
        </w:rPr>
        <w:t>®</w:t>
      </w:r>
      <w:r>
        <w:rPr>
          <w:rFonts w:ascii="Arial" w:cs="Arial" w:eastAsia="Arial" w:hAnsi="Arial"/>
          <w:sz w:val="18"/>
          <w:szCs w:val="18"/>
          <w:color w:val="auto"/>
        </w:rPr>
        <w:t xml:space="preserve"> Allergy Relief, or Serenz; CoSense </w:t>
      </w:r>
      <w:r>
        <w:rPr>
          <w:rFonts w:ascii="Arial" w:cs="Arial" w:eastAsia="Arial" w:hAnsi="Arial"/>
          <w:sz w:val="15"/>
          <w:szCs w:val="15"/>
          <w:color w:val="auto"/>
        </w:rPr>
        <w:t>®</w:t>
      </w:r>
      <w:r>
        <w:rPr>
          <w:rFonts w:ascii="Arial" w:cs="Arial" w:eastAsia="Arial" w:hAnsi="Arial"/>
          <w:sz w:val="18"/>
          <w:szCs w:val="18"/>
          <w:color w:val="auto"/>
        </w:rPr>
        <w:t xml:space="preserve"> End-Tidal Carbon Monoxide (ETCO) Monitor, or CoSense, which measures ETCO and aids in the detection of excessive hemolysis, a condition in which red blood cells degrade rapidly and which can lead to adverse neurological outcomes; and, products that included temperature probes, scales, surgical tables, and patient surfaces.</w:t>
      </w:r>
    </w:p>
    <w:p>
      <w:pPr>
        <w:spacing w:after="0" w:line="188"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On December 22, 2016, we entered into the Merger Agreement with Essentialis. Essentialis’s efforts prior to the Merger were focused primarily on developing and testing product candidates that target the ATP-sensitive potassium channel, a metabolically regulated membrane protein whose modulation has the potential to impact a wide range of rare metabolic, cardiovascular, and CNS diseases. Essentialis had tested DCCR as a treatment for PWS, a complex metabolic/neurobehavioral disorder. DCCR has orphan designation for the treatment of PWS in the U.S. as well as in the E.U. Consummation of the Merger was subject to various closing conditions, including our consummation of a financing of at least $8.0 million at, or substantially contemporaneous with, the closing of the Merger, which occurred on March 7, 2017 and the receipt of stockholder approval of the Merger at a special meeting of our stockholders, which was held on March 6, 2017. As a result, we now primarily focus on the development and commercialization of novel therapeutics for the treatment of rare diseases. Our current research and development efforts are primarily focused on advancing our lead candidate, DCCR tablets for the treatment of PWS, into late-stage clinical development.</w:t>
      </w:r>
    </w:p>
    <w:p>
      <w:pPr>
        <w:spacing w:after="0" w:line="182" w:lineRule="exact"/>
        <w:rPr>
          <w:sz w:val="20"/>
          <w:szCs w:val="20"/>
          <w:color w:val="auto"/>
        </w:rPr>
      </w:pPr>
    </w:p>
    <w:p>
      <w:pPr>
        <w:ind w:right="160" w:firstLine="598"/>
        <w:spacing w:after="0" w:line="257" w:lineRule="auto"/>
        <w:rPr>
          <w:sz w:val="20"/>
          <w:szCs w:val="20"/>
          <w:color w:val="auto"/>
        </w:rPr>
      </w:pPr>
      <w:r>
        <w:rPr>
          <w:rFonts w:ascii="Arial" w:cs="Arial" w:eastAsia="Arial" w:hAnsi="Arial"/>
          <w:sz w:val="18"/>
          <w:szCs w:val="18"/>
          <w:color w:val="auto"/>
        </w:rPr>
        <w:t>Subsequent to March 7, 2017, we explored opportunities, and made a decision to divest, sell or otherwise dispose of the CoSense, NFI and Serenz businesses. Accordingly, and pursuant to ASC 205-20-45-10, the assets and liabilities related to the discontinued activities of CoSense, NFI and Serenz businesses are presented separately in the balance sheet as held for sale items, and the related operations reported herein for the CoSense, NFI and Serenz activities are reported as discontinued operations in the statements of operations until the time that the assets were disposed of. Our remaining ownership in Capnia is recorded as an investment and initially measured at fair value.</w:t>
      </w:r>
    </w:p>
    <w:p>
      <w:pPr>
        <w:spacing w:after="0" w:line="188"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color w:val="auto"/>
        </w:rPr>
        <w:t>Our previously wholly-owned subsidiary NFI also marketed innovative pulmonary resuscitation solutions for the inpatient and ambulatory neonatal markets. We sold NFI in a stock transaction that was completed on July 18, 2017, pursuant to the NFI Purchase Agreement with Neoforce Holdings, a wholly-owned subsidiary of Flexicare Medical Limited, a privately-held United Kingdom company, for $720,000 and adjustments for inventory and the current cash balances held at NFI (see Note 5).</w:t>
      </w:r>
    </w:p>
    <w:p>
      <w:pPr>
        <w:spacing w:after="0" w:line="18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On December 4, 2017, we and our then wholly-owned subsidiary Capnia, entered into a joint venture with OAHL with the purpose of developing and commercializing CoSense with the intent to transfer ownership of Capnia to OAHL. During October 2018, Capnia issued 1,690,322 shares of its common stock to OAHL, representing 53% of its outstanding shares, after which we no longer hold a controlling interest in Capnia. Accordingly, we deconsolidate Capnia’s financial statements from ours and our remaining minority interest in Capnia is reported as a Minority interest investment in our consolidated balance sheet.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6" w:name="page57"/>
    <w:bookmarkEnd w:id="56"/>
    <w:p>
      <w:pPr>
        <w:ind w:left="600"/>
        <w:spacing w:after="0"/>
        <w:rPr>
          <w:sz w:val="20"/>
          <w:szCs w:val="20"/>
          <w:color w:val="auto"/>
        </w:rPr>
      </w:pPr>
      <w:r>
        <w:rPr>
          <w:rFonts w:ascii="Arial" w:cs="Arial" w:eastAsia="Arial" w:hAnsi="Arial"/>
          <w:sz w:val="18"/>
          <w:szCs w:val="18"/>
          <w:color w:val="auto"/>
        </w:rPr>
        <w:t>We continue to separately evaluate alternatives for our Serenz portfolio.</w:t>
      </w:r>
    </w:p>
    <w:p>
      <w:pPr>
        <w:spacing w:after="0" w:line="225"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On July 27, 2018 the FDA has granted Fast Track designation to DCCR for the treatment of PWS. We are currently conducting a Phase III clinical trial of DCCR for the treatment of PWS.</w:t>
      </w:r>
    </w:p>
    <w:p>
      <w:pPr>
        <w:spacing w:after="0" w:line="170" w:lineRule="exact"/>
        <w:rPr>
          <w:sz w:val="20"/>
          <w:szCs w:val="20"/>
          <w:color w:val="auto"/>
        </w:rPr>
      </w:pPr>
    </w:p>
    <w:p>
      <w:pPr>
        <w:ind w:right="1000" w:firstLine="598"/>
        <w:spacing w:after="0" w:line="342" w:lineRule="auto"/>
        <w:rPr>
          <w:sz w:val="20"/>
          <w:szCs w:val="20"/>
          <w:color w:val="auto"/>
        </w:rPr>
      </w:pPr>
      <w:r>
        <w:rPr>
          <w:rFonts w:ascii="Arial" w:cs="Arial" w:eastAsia="Arial" w:hAnsi="Arial"/>
          <w:sz w:val="16"/>
          <w:szCs w:val="16"/>
          <w:color w:val="auto"/>
        </w:rPr>
        <w:t>We have continued to focus on expense control, including reducing our workforce, reducing outside consultants, reducing legal fees and implementing a policy providing for Board members to receive common stock in lieu of cash payments as compensation for Board service.</w:t>
      </w:r>
    </w:p>
    <w:p>
      <w:pPr>
        <w:spacing w:after="0" w:line="124"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As of December 31, 2018, we had an accumulated deficit of $127.0 million, primarily as a result of research and development and general and administrative expenses. While we may in the future generate revenue from a variety of sources, potentially including sales of our neonatology products, therapeutic products, other diagnostic products, license fees, milestone payments, and research and development payments in connection with potential future strategic partnerships, we have, to date, generated approximately $2,000 of revenue only from the 2013 license agreement pertaining to Serenz, approximately $2.7 million in revenue from our neonatology products and approximately $0.2 million in government grants; these activities are reported as discontinued operations in our accompanying consolidated financial statements. We may never be successful in commercializing our novel therapeutic and in divesting, selling or otherwise disposing of our existing neonatology products or related therapeutic products. Accordingly, we expect to incur significant losses from operations for the foreseeable future, and there can be no assurance that we will ever generate significant revenue or profits.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Sabby 2016 Stock Purchase</w:t>
      </w:r>
    </w:p>
    <w:p>
      <w:pPr>
        <w:spacing w:after="0" w:line="117" w:lineRule="exact"/>
        <w:rPr>
          <w:sz w:val="20"/>
          <w:szCs w:val="20"/>
          <w:color w:val="auto"/>
        </w:rPr>
      </w:pPr>
    </w:p>
    <w:p>
      <w:pPr>
        <w:ind w:right="20" w:firstLine="598"/>
        <w:spacing w:after="0" w:line="285" w:lineRule="auto"/>
        <w:rPr>
          <w:sz w:val="20"/>
          <w:szCs w:val="20"/>
          <w:color w:val="auto"/>
        </w:rPr>
      </w:pPr>
      <w:r>
        <w:rPr>
          <w:rFonts w:ascii="Arial" w:cs="Arial" w:eastAsia="Arial" w:hAnsi="Arial"/>
          <w:sz w:val="16"/>
          <w:szCs w:val="16"/>
          <w:color w:val="auto"/>
        </w:rPr>
        <w:t>We issued a total of 13,780 780 shares of Series B Convertible Preferred Stock under the Securities Purchase Agreement entered into on June 29, 2016 with Sabby Healthcare Master Fund Ltd and Sabby Volatility Warrant Fund Ltd, which are funds managed by Sabby Management, LLC, collectively referred to as Sabby, as amended by Amendment No. 1 dated September 2016, referred to as the 2016 Sabby Purchase Agreement. These shares had a par value of $0.001 and a stated value of $1,000 per share. The aggregate purchase price of the Series B Convertible Preferred shares was $13.8 million, and were convertible to common stock at a rate of 200 shares of common stock for each converted share of Series B Convertible Preferred Stock, for a total of 2,756,000 shares of our common stock, based on a fixed conversion price of $5.00 per share on an as-converted basis. Under the terms of the Series B Convertible Preferred Stock, in no event shall shares of common stock be issued to Sabby upon conversion of the Series B Convertible Preferred Stock to the extent such issuance of shares of common stock would result in Sabby having ownership in excess of 4.99%. The Series B Convertible Preferred Stock did not have an expiration date and were not redeemable at the option of the holders. In addition, on the effect date of the 2016 Sabby Purchase Agreement the exercise price of the existing Series D Warrants originally issued in conjunction with the 2015 Sabby Purchase Agreement was reduced from $12.30 to $8.75 per share. In connection with the 2016 Sabby Purchase Agreement, we also were obligated to repurchased the remaining 7,780 outstanding Series A Convertible Preferred Stock held by Sabby for an aggregate amount of $7.8 million, which shares were originally purchased by Sabby under the 2015 Sabby Purchase Agreement and which shares represent 841,081 shares of common stock on an as-converted basis. The sale of the Series B Convertible Preferred Stock occurred in two separate closings. The first closing was on July 5, 2016 and the second closing was on September 29, 2016. Between the two closings, after the repurchase of the Series A Convertible Preferred Stock and estimated transaction expenses, we received $5.6 million of net proceeds. During 2016, 2017 and 2018 Sabby converted 1,000, 8,209 and 4,571 shares of Series B Convertible Preferred stock into 200,000, 1,641,800 and 914,200 shares of common stock, respectively. As of December 31, 2018, there were no shares of Series B Convertible Preferred Stock outstanding.</w:t>
      </w:r>
    </w:p>
    <w:p>
      <w:pPr>
        <w:spacing w:after="0" w:line="32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Aspire Stock Purchase</w:t>
      </w:r>
    </w:p>
    <w:p>
      <w:pPr>
        <w:spacing w:after="0" w:line="117" w:lineRule="exact"/>
        <w:rPr>
          <w:sz w:val="20"/>
          <w:szCs w:val="20"/>
          <w:color w:val="auto"/>
        </w:rPr>
      </w:pPr>
    </w:p>
    <w:p>
      <w:pPr>
        <w:ind w:right="300" w:firstLine="598"/>
        <w:spacing w:after="0" w:line="257" w:lineRule="auto"/>
        <w:rPr>
          <w:sz w:val="20"/>
          <w:szCs w:val="20"/>
          <w:color w:val="auto"/>
        </w:rPr>
      </w:pPr>
      <w:r>
        <w:rPr>
          <w:rFonts w:ascii="Arial" w:cs="Arial" w:eastAsia="Arial" w:hAnsi="Arial"/>
          <w:sz w:val="18"/>
          <w:szCs w:val="18"/>
          <w:color w:val="auto"/>
        </w:rPr>
        <w:t>On January 27, 2017, we entered into a Common Stock Purchase Agreement (the “2017 Aspire Purchase Agreement”) with Aspire Capital Fund, LLC (“Aspire Capital”), which provides that, upon the terms and subject to the conditions and limitations set forth therein, Aspire Capital is committed to purchase up to an aggregate of $17.0 million in value of shares of our common stock over the 30-month term of the 2017 Aspire Purchase Agreement. We issued Aspire Capital 141,666 shares of common stock as commitment shares under the 2017 Aspire Purchase Agreement. The 2017 Aspire Purchase Agreement was terminated upon the closing of the 2017 PIPE Offering.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7" w:name="page58"/>
    <w:bookmarkEnd w:id="57"/>
    <w:p>
      <w:pPr>
        <w:ind w:left="600"/>
        <w:spacing w:after="0"/>
        <w:rPr>
          <w:sz w:val="20"/>
          <w:szCs w:val="20"/>
          <w:color w:val="auto"/>
        </w:rPr>
      </w:pPr>
      <w:r>
        <w:rPr>
          <w:rFonts w:ascii="Arial" w:cs="Arial" w:eastAsia="Arial" w:hAnsi="Arial"/>
          <w:sz w:val="18"/>
          <w:szCs w:val="18"/>
          <w:b w:val="1"/>
          <w:bCs w:val="1"/>
          <w:i w:val="1"/>
          <w:iCs w:val="1"/>
          <w:color w:val="auto"/>
        </w:rPr>
        <w:t>2017 PIPE Offering</w:t>
      </w:r>
    </w:p>
    <w:p>
      <w:pPr>
        <w:spacing w:after="0" w:line="117"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On December 11, 2017, we entered into a Securities Purchase Agreement with certain purchasers, pursuant to which we sold and issued 8,141,116 immediately separable units at a price per unit of $1.84, for aggregate gross proceeds of $15.0 million. Each unit consisted of one share of our common stock and a warrant to purchase 0.74 shares of our common stock at an exercise price of $2.00 per share, for an aggregate of 8,141,116 shares of common stock and corresponding warrants to purchase an aggregate of 6,024,425 shares of common stock, together the shares of common stock are referred to as the 2017 Resale Shares. We also granted certain registration rights to these stockholders, pursuant to which, among other things, we prepared and filed a registration statement with the SEC to register for resale the 2017 Resale Shares. The registration statement was declared effective in February 2018.</w:t>
      </w:r>
    </w:p>
    <w:p>
      <w:pPr>
        <w:spacing w:after="0" w:line="27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2018 PIPE Offering</w:t>
      </w:r>
    </w:p>
    <w:p>
      <w:pPr>
        <w:spacing w:after="0" w:line="117"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On December 19, 2018, we entered into a Securities Purchase Agreement with certain purchasers, pursuant to which we sold and issued 10,272,375 units at a price per unit of $1.61, for aggregate gross proceeds of $16.5 million. Each unit consisted of one share of our common stock and a warrant to purchase 0.05 shares of our common stock at an exercise price of $2.00 per share, for an aggregate of 10,272,375 shares of common stock and corresponding warrants to purchase an aggregate of 513,617 shares of common stock, together with the shares of common stock are referred to as the 2018 Resale Shares. We also granted certain registration rights to these stockholders, pursuant to which, among other things, we will prepare and file with the SEC a registration statement to register for resale the 2018 Resale Shares prior to March 31, 2019.</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have not generated net income from operations to date, and, at December 31, 2018 and December 31, 2017, we had an accumulated deficit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$127.0 million and $113.7 million, respectively, primarily as a result of research and development and general and administrative expenses. We may never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successful in commercializing our novel therapeutics products for the treatment of rare diseases. Accordingly, we expect to incur significant losses from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operations for the foreseeable future, and there can be no assurance that we will ever generate significant revenue or profits.</w:t>
      </w:r>
    </w:p>
    <w:p>
      <w:pPr>
        <w:spacing w:after="0" w:line="31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40" w:firstLine="598"/>
        <w:spacing w:after="0" w:line="308" w:lineRule="auto"/>
        <w:rPr>
          <w:sz w:val="20"/>
          <w:szCs w:val="20"/>
          <w:color w:val="auto"/>
        </w:rPr>
      </w:pPr>
      <w:r>
        <w:rPr>
          <w:rFonts w:ascii="Arial" w:cs="Arial" w:eastAsia="Arial" w:hAnsi="Arial"/>
          <w:sz w:val="17"/>
          <w:szCs w:val="17"/>
          <w:color w:val="auto"/>
        </w:rPr>
        <w:t>To date, we have earned no revenue from the commercial development and sale of novel therapeutic products and the revenue resulting from commercialization and sale of the CoSense, Neo Force, Inc. and Serenz products is reported in discontinued operations.</w:t>
      </w:r>
    </w:p>
    <w:p>
      <w:pPr>
        <w:spacing w:after="0" w:line="25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40" w:firstLine="598"/>
        <w:spacing w:after="0" w:line="255" w:lineRule="auto"/>
        <w:rPr>
          <w:sz w:val="20"/>
          <w:szCs w:val="20"/>
          <w:color w:val="auto"/>
        </w:rPr>
      </w:pPr>
      <w:r>
        <w:rPr>
          <w:rFonts w:ascii="Arial" w:cs="Arial" w:eastAsia="Arial" w:hAnsi="Arial"/>
          <w:sz w:val="18"/>
          <w:szCs w:val="18"/>
          <w:color w:val="auto"/>
        </w:rPr>
        <w:t>Research and development costs are expensed as incurred. Research and development costs consist primarily of salaries and benefits, professional consultant fees, prototype expenses, certain facility costs and other costs associated with clinical trials, net of reimbursed amounts. Costs to acquire technologies to be used in research and development that have not reached technological feasibility, and have no alternative future use, are expensed to research and development costs when incurred. Research and development expenses resulting from the development of novel therapeutic products are reported in continuing operations, and research and development expenses resulting from the development of the CoSense, Neo Force, Inc. and Serenz products are reported in discontinued operations.</w:t>
      </w:r>
    </w:p>
    <w:p>
      <w:pPr>
        <w:spacing w:after="0" w:line="30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7"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Sales and marketing expenses consist principally of salaries and benefits, professional consulting fees, and other expenses associated with commercial activities. We anticipate these expenses will increase significantly in future periods, reflecting the increased level of sales and marketing activity necessary for the commercial launch of a successful future therapeutic drug candidate. We have to date incurred no sales and marketing expenses related to the sale and commercialization of novel therapeutic products, and the sales and marketing expenses related to the CoSense, Neo Force, Inc. and Serenz products are reported in discontinued operations.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58" w:name="page59"/>
    <w:bookmarkEnd w:id="58"/>
    <w:p>
      <w:pPr>
        <w:ind w:left="6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General and administrative expenses consist principally of salaries and benefits, professional fees for legal, consulting, audit and tax services, insurance, rent, and other general operating expenses not otherwise included in research and development. We anticipate general and administrative expenses will increase in future periods, reflecting an expanding infrastructure, other administrative expenses and increased professional fees associated with being a public reporting company. General and administrative expenses incurred in operating all components of our business are classified as continuing operations and are not allocated to specific research and development or sales and marketing activities that have been discontinued. General and administrative expenses, such as rent, that are incurred specifically to directly support research and development and sales and marketing activities for the CoSense, Neo Force, Inc. and Serenz products are reported in discontinued operations.</w:t>
      </w:r>
    </w:p>
    <w:p>
      <w:pPr>
        <w:spacing w:after="0" w:line="28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11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Change in fair value of contingent consideration represents the change in the fair value of the additional consideration that we expect to pay Essentialis stockholders based on our assessment of the expected likelihood of achieving commercial sales milestones of $100.0 million and $200.0 million in future years.</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220" w:firstLine="598"/>
        <w:spacing w:after="0" w:line="308" w:lineRule="auto"/>
        <w:rPr>
          <w:sz w:val="20"/>
          <w:szCs w:val="20"/>
          <w:color w:val="auto"/>
        </w:rPr>
      </w:pPr>
      <w:r>
        <w:rPr>
          <w:rFonts w:ascii="Arial" w:cs="Arial" w:eastAsia="Arial" w:hAnsi="Arial"/>
          <w:sz w:val="17"/>
          <w:szCs w:val="17"/>
          <w:color w:val="auto"/>
        </w:rPr>
        <w:t>Other income (expense) is primarily comprised of the gain recognized from the transfer of the majority ownership and resulting deconsolidation of Capnia and changes in the fair value of the Series A, Series C and the 2017 and 2018 PIPE common stock warrant liabilities.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color w:val="auto"/>
        </w:rPr>
        <w:t>Our management’s discussion and analysis of financial condition and results of operations are based upon our audited financial statements, which have been prepared in accordance with GAAP. The preparation of these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to our audited financial statements contained herein.</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Series A, Series C, 2017 PIPE Warrants, and the 2018 PIPE Warrants</w:t>
      </w:r>
    </w:p>
    <w:p>
      <w:pPr>
        <w:spacing w:after="0" w:line="117"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 xml:space="preserve">We account for the Series A, Series C, 2017 PIPE warrants, and 2018 PIPE warrants, collectively referred to as the Warrants, in accordance with the guidance in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The Warrants contain standard anti-dilution provisions for stock dividends, stock splits, subdivisions, combinations and similar types of recapitalization events. The Warrants also contain a fundamental transactions provision that permits their settlement in cash at fair value at the option of the holder upon the occurrence of a change in control. Such change in control events include tender offers or hostile takeovers, which are not within our sole control as the issuer of these warrants. Accordingly, the warrants are considered to have a cash settlement feature that precludes their classification as equity instruments. Settlement at fair value upon the occurrence of a fundamental transaction would be computed using the Black Scholes Option Pricing Model, which approximates the binomial lattice model.</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classified the Warrants as liabilities at their fair value and re-measure the warrants at each balance sheet date until they are exercised or expire.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change in the fair value is recognized as other income (expense) in the statements of operations.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9" w:name="page60"/>
    <w:bookmarkEnd w:id="59"/>
    <w:p>
      <w:pPr>
        <w:ind w:left="60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280" w:firstLine="598"/>
        <w:spacing w:after="0" w:line="308" w:lineRule="auto"/>
        <w:rPr>
          <w:sz w:val="20"/>
          <w:szCs w:val="20"/>
          <w:color w:val="auto"/>
        </w:rPr>
      </w:pPr>
      <w:r>
        <w:rPr>
          <w:rFonts w:ascii="Arial" w:cs="Arial" w:eastAsia="Arial" w:hAnsi="Arial"/>
          <w:sz w:val="17"/>
          <w:szCs w:val="17"/>
          <w:color w:val="auto"/>
        </w:rPr>
        <w:t>Research and development costs are charged to operations as incurred. Research and development costs consist primarily of salaries and benefits, consultant fees, prototype expenses, certain facility costs and other costs associated with clinical trials, net of reimbursed amounts.</w:t>
      </w:r>
    </w:p>
    <w:p>
      <w:pPr>
        <w:spacing w:after="0" w:line="147" w:lineRule="exact"/>
        <w:rPr>
          <w:sz w:val="20"/>
          <w:szCs w:val="20"/>
          <w:color w:val="auto"/>
        </w:rPr>
      </w:pPr>
    </w:p>
    <w:p>
      <w:pPr>
        <w:ind w:right="200" w:firstLine="598"/>
        <w:spacing w:after="0" w:line="258" w:lineRule="auto"/>
        <w:rPr>
          <w:sz w:val="20"/>
          <w:szCs w:val="20"/>
          <w:color w:val="auto"/>
        </w:rPr>
      </w:pPr>
      <w:r>
        <w:rPr>
          <w:rFonts w:ascii="Arial" w:cs="Arial" w:eastAsia="Arial" w:hAnsi="Arial"/>
          <w:sz w:val="18"/>
          <w:szCs w:val="18"/>
          <w:color w:val="auto"/>
        </w:rPr>
        <w:t>Costs to acquire technologies to be used in research and development that have not reached technological feasibility and have no alternative future use are expensed to research and development costs when incurred.</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Certain Research and Development expenses are reported as Discontinued Operations.</w:t>
      </w:r>
    </w:p>
    <w:p>
      <w:pPr>
        <w:spacing w:after="0" w:line="31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60" w:firstLine="598"/>
        <w:spacing w:after="0" w:line="279" w:lineRule="auto"/>
        <w:rPr>
          <w:sz w:val="20"/>
          <w:szCs w:val="20"/>
          <w:color w:val="auto"/>
        </w:rPr>
      </w:pPr>
      <w:r>
        <w:rPr>
          <w:rFonts w:ascii="Arial" w:cs="Arial" w:eastAsia="Arial" w:hAnsi="Arial"/>
          <w:sz w:val="17"/>
          <w:szCs w:val="17"/>
          <w:color w:val="auto"/>
        </w:rPr>
        <w:t>Stock-based compensation costs related to stock options granted to employees and directors are measured at the date of grant based on the estimated fair value of the award. We estimate the grant date fair value, and the resulting stock-based compensation expense, using the Black-Scholes option-pricing model. The grant date fair value of stock-based awards is recognized on a straight-line basis over the requisite service period, which is generally the vesting period of the award. Stock options we grant to employees generally vest over four years.</w:t>
      </w:r>
    </w:p>
    <w:p>
      <w:pPr>
        <w:spacing w:after="0" w:line="17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The Black-Scholes option-pricing model requires the use of highly subjective assumptions to estimate the fair value of stock-based awards. If we had made different assumptions, our stock-based compensation expense, net loss and net loss per share of common stock could have been significantly different. These assumptions include:</w:t>
      </w:r>
    </w:p>
    <w:p>
      <w:pPr>
        <w:spacing w:after="0" w:line="73" w:lineRule="exact"/>
        <w:rPr>
          <w:sz w:val="20"/>
          <w:szCs w:val="20"/>
          <w:color w:val="auto"/>
        </w:rPr>
      </w:pPr>
    </w:p>
    <w:p>
      <w:pPr>
        <w:ind w:left="1040" w:right="520" w:hanging="438"/>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We calculate the estimated volatility rate based on the volatilities of common stock of comparable companies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w:t>
      </w:r>
    </w:p>
    <w:p>
      <w:pPr>
        <w:spacing w:after="0" w:line="62" w:lineRule="exact"/>
        <w:rPr>
          <w:rFonts w:ascii="Arial" w:cs="Arial" w:eastAsia="Arial" w:hAnsi="Arial"/>
          <w:sz w:val="18"/>
          <w:szCs w:val="18"/>
          <w:color w:val="auto"/>
        </w:rPr>
      </w:pPr>
    </w:p>
    <w:p>
      <w:pPr>
        <w:ind w:left="1040" w:right="180" w:hanging="438"/>
        <w:spacing w:after="0" w:line="264"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We do not believe we are able to rely on our historical exercise and post-vesting termination activity to provide accurate data</w:t>
      </w:r>
      <w:r>
        <w:rPr>
          <w:rFonts w:ascii="Arial" w:cs="Arial" w:eastAsia="Arial" w:hAnsi="Arial"/>
          <w:sz w:val="18"/>
          <w:szCs w:val="18"/>
          <w:i w:val="1"/>
          <w:iCs w:val="1"/>
          <w:color w:val="auto"/>
        </w:rPr>
        <w:t xml:space="preserve"> </w:t>
      </w:r>
      <w:r>
        <w:rPr>
          <w:rFonts w:ascii="Arial" w:cs="Arial" w:eastAsia="Arial" w:hAnsi="Arial"/>
          <w:sz w:val="18"/>
          <w:szCs w:val="18"/>
          <w:color w:val="auto"/>
        </w:rPr>
        <w:t>for estimating the expected term for use in estimating the fair value-based measurement of our options. Therefore, we have opted to use the “simplified method” for estimating the expected term of options.</w:t>
      </w:r>
    </w:p>
    <w:p>
      <w:pPr>
        <w:spacing w:after="0" w:line="73" w:lineRule="exact"/>
        <w:rPr>
          <w:rFonts w:ascii="Arial" w:cs="Arial" w:eastAsia="Arial" w:hAnsi="Arial"/>
          <w:sz w:val="18"/>
          <w:szCs w:val="18"/>
          <w:color w:val="auto"/>
        </w:rPr>
      </w:pPr>
    </w:p>
    <w:p>
      <w:pPr>
        <w:ind w:left="1040" w:right="500" w:hanging="438"/>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The risk-free interest rate is based on the yields of U.S. Treasury securities with maturities similar to the expected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w:t>
      </w:r>
    </w:p>
    <w:p>
      <w:pPr>
        <w:spacing w:after="0" w:line="62" w:lineRule="exact"/>
        <w:rPr>
          <w:rFonts w:ascii="Arial" w:cs="Arial" w:eastAsia="Arial" w:hAnsi="Arial"/>
          <w:sz w:val="18"/>
          <w:szCs w:val="18"/>
          <w:color w:val="auto"/>
        </w:rPr>
      </w:pPr>
    </w:p>
    <w:p>
      <w:pPr>
        <w:ind w:left="1040" w:right="20" w:hanging="438"/>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declared or paid any cash dividends and do not presently plan to pay cash dividends in the foreseeable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Consequently, we used an expected dividend yield of zero.</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40" w:firstLine="598"/>
        <w:spacing w:after="0" w:line="302" w:lineRule="auto"/>
        <w:rPr>
          <w:sz w:val="20"/>
          <w:szCs w:val="20"/>
          <w:color w:val="auto"/>
        </w:rPr>
      </w:pPr>
      <w:r>
        <w:rPr>
          <w:rFonts w:ascii="Arial" w:cs="Arial" w:eastAsia="Arial" w:hAnsi="Arial"/>
          <w:sz w:val="16"/>
          <w:szCs w:val="16"/>
          <w:color w:val="auto"/>
        </w:rPr>
        <w:t>Business combinations are recorded in accordance with ASC 805. Business combinations are considered, pursuant to ASC 805, to be a purchase of a business entity or a purchase of assets. The guidance established by ASU 2017-01 provides additional guidance in assessing the purchase by providing an initial screen to determine if substantially all of the fair value of the gross assets acquired is concentrated in a single asset or group of similar assets; if the substance of this test is met, the acquisition is treated as a purchase of assets and not the acquisition of a business entity.</w:t>
      </w:r>
    </w:p>
    <w:p>
      <w:pPr>
        <w:spacing w:after="0" w:line="154"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Our acquisition of Essentialis was determined to be an asset acquisition, and the total value of the purchase consideration was allocated to the asset acquired. The asset acquired was recorded as the sum of the estimated fair value of the shares issued on the completion of the merger, the estimated fair value of the shares to be issued under the holdback and milestone stock payment provisions in the future, the estimated fair value of the contingent consideration to be paid for achieving certain commercial milestones in the future, and the value equivalent to the increase in the liability for deferred taxes resulting from the tax effect of the net assets and liabilities acquired.</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7"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Contingent consideration elements of a business combination are recorded in accordance with ASC 805 which provides that, when contingent consideration terms provide for future payment obligations, the obligation is measured at its fair value on the acquisition date, and the subsequent increase or decrease of the value of the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estimated amounts of contingent consideration to be paid is be recognized as expense or income, respectively, in the statements of operations.</w:t>
      </w:r>
    </w:p>
    <w:p>
      <w:pPr>
        <w:spacing w:after="0" w:line="225" w:lineRule="exact"/>
        <w:rPr>
          <w:sz w:val="20"/>
          <w:szCs w:val="20"/>
          <w:color w:val="auto"/>
        </w:rPr>
      </w:pPr>
    </w:p>
    <w:p>
      <w:pPr>
        <w:ind w:right="200" w:firstLine="598"/>
        <w:spacing w:after="0" w:line="257" w:lineRule="auto"/>
        <w:rPr>
          <w:sz w:val="20"/>
          <w:szCs w:val="20"/>
          <w:color w:val="auto"/>
        </w:rPr>
      </w:pPr>
      <w:r>
        <w:rPr>
          <w:rFonts w:ascii="Arial" w:cs="Arial" w:eastAsia="Arial" w:hAnsi="Arial"/>
          <w:sz w:val="18"/>
          <w:szCs w:val="18"/>
          <w:color w:val="auto"/>
        </w:rPr>
        <w:t>Our agreement to pay the selling shareholders of Essentialis for achieving certain commercial milestones resulted in the recognition of a contingent consideration, which was recorded at the inception of the transaction, and subsequent changes to estimate of the amounts of contingent consideration to be paid will be recognized as expenses or income in the statements of operations. The fair value of the contingent consideration is based on our analysis of the likelihood of the drug indication moving from Phase II through approval in the Federal Drug Administration approval process and then reaching the cumulative revenue milestones.</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Common Stock Purchase Warrants and Other Derivative Financial Instruments</w:t>
      </w:r>
    </w:p>
    <w:p>
      <w:pPr>
        <w:spacing w:after="0" w:line="117"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 xml:space="preserve">We account for the warrants in accordance with the guidance in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We classify common stock purchase warrants and other free standing derivative financial instruments as equity if the contracts (i) require physical settlement or net-share settlement or (ii) give the us a choice of net-cash settlement or settlement in its own shares (physical settlement or net-share settlement). We classify any contracts that (i) require net-cash settlement (including a requirement to net cash settle the contract if an event occurs and if that event is outside our control), (ii) give the counterparty a choice of net-cash settlement or settlement in shares (physical settlement or net-share settlement), or (iii) contain reset provisions as either an asset or a liability. We assess classification of freestanding derivatives at each reporting date to determine whether a change in classification between equity and liabilities is required. We determined that certain freestanding derivatives, which principally consist of Series A, Series C, the 2017 PIPE Warrants and 2018 PIPE Warrants, do not satisfy the criteria for classification as equity instruments due to the existence of certain cash settlement features that are not within our sole control or variable settlement provision that cause them to not be indexed to our stock.</w:t>
      </w:r>
    </w:p>
    <w:p>
      <w:pPr>
        <w:spacing w:after="0" w:line="29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We use the liability method of accounting for income taxes, whereby deferred tax assets or liability account balances are calculated at the balance sheet date using current tax laws and rates in effect for the year in which the differences are expected to affect taxable income. We have provided a valuation allowance to reduce deferred tax assets to the amount that will more likely than not be realized.</w:t>
      </w:r>
    </w:p>
    <w:p>
      <w:pPr>
        <w:spacing w:after="0" w:line="181" w:lineRule="exact"/>
        <w:rPr>
          <w:sz w:val="20"/>
          <w:szCs w:val="20"/>
          <w:color w:val="auto"/>
        </w:rPr>
      </w:pPr>
    </w:p>
    <w:p>
      <w:pPr>
        <w:jc w:val="both"/>
        <w:ind w:right="20" w:firstLine="598"/>
        <w:spacing w:after="0" w:line="259" w:lineRule="auto"/>
        <w:rPr>
          <w:sz w:val="20"/>
          <w:szCs w:val="20"/>
          <w:color w:val="auto"/>
        </w:rPr>
      </w:pPr>
      <w:r>
        <w:rPr>
          <w:rFonts w:ascii="Arial" w:cs="Arial" w:eastAsia="Arial" w:hAnsi="Arial"/>
          <w:sz w:val="18"/>
          <w:szCs w:val="18"/>
          <w:color w:val="auto"/>
        </w:rPr>
        <w:t>We make certain estimates and judgments in determining income tax expense for financial statement purposes. These estimates and judgments occur in the calculation of tax credits, benefits and deductions and in the calculation of certain tax assets and liabilities, which arise from differences in the timing of recognition of revenues and expenses for tax and financial statement purposes. Significant changes to these estimates may result in an increase or decrease to our tax provision in a subsequent period.</w:t>
      </w:r>
    </w:p>
    <w:p>
      <w:pPr>
        <w:spacing w:after="0" w:line="187" w:lineRule="exact"/>
        <w:rPr>
          <w:sz w:val="20"/>
          <w:szCs w:val="20"/>
          <w:color w:val="auto"/>
        </w:rPr>
      </w:pPr>
    </w:p>
    <w:p>
      <w:pPr>
        <w:ind w:right="80" w:firstLine="598"/>
        <w:spacing w:after="0" w:line="312" w:lineRule="auto"/>
        <w:rPr>
          <w:sz w:val="20"/>
          <w:szCs w:val="20"/>
          <w:color w:val="auto"/>
        </w:rPr>
      </w:pPr>
      <w:r>
        <w:rPr>
          <w:rFonts w:ascii="Arial" w:cs="Arial" w:eastAsia="Arial" w:hAnsi="Arial"/>
          <w:sz w:val="16"/>
          <w:szCs w:val="16"/>
          <w:color w:val="auto"/>
        </w:rPr>
        <w:t>We make estimates and judgments about our future taxable income that are based on assumptions that are consistent with our plans and estimates. Should the actual amounts differ from our estimates, the amount of our valuation allowance could be materially impacted. Any adjustment to the deferred tax asset valuation allowance would be recorded in the income statement for the periods in which the adjustment is determined to be required.</w:t>
      </w:r>
    </w:p>
    <w:p>
      <w:pPr>
        <w:spacing w:after="0" w:line="147"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color w:val="auto"/>
        </w:rPr>
        <w:t xml:space="preserve">We account for uncertainty in income taxes as required by the provisions of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which clarifies the accounting for uncertainty in income taxes recognized in an enterprise’s financial statements.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estimate and measure the tax benefit as the largest amount that is more than 50% likely of being realized upon ultimate settlement. It is inherently difficult and subjective to estimate such amounts, as this requires us to determine the probability of various possible outcomes. We consider many factors when evaluating and estimating our tax positions and tax benefits, which may require periodic adjustments and may not accurately anticipate actual outcomes.</w:t>
      </w:r>
    </w:p>
    <w:p>
      <w:pPr>
        <w:spacing w:after="0" w:line="189"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In addition, the use of net operating loss and tax credit carryforwards may be limited under Section 382 of the Internal Revenue Code in certain situations where changes occur in the stock ownership of a company. In the event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1" w:name="page62"/>
    <w:bookmarkEnd w:id="61"/>
    <w:p>
      <w:pPr>
        <w:ind w:right="120"/>
        <w:spacing w:after="0" w:line="277" w:lineRule="auto"/>
        <w:rPr>
          <w:sz w:val="20"/>
          <w:szCs w:val="20"/>
          <w:color w:val="auto"/>
        </w:rPr>
      </w:pPr>
      <w:r>
        <w:rPr>
          <w:rFonts w:ascii="Arial" w:cs="Arial" w:eastAsia="Arial" w:hAnsi="Arial"/>
          <w:sz w:val="18"/>
          <w:szCs w:val="18"/>
          <w:color w:val="auto"/>
        </w:rPr>
        <w:t>that we have had a change in ownership, utilization of the carryforwards could be restricted. For more information, see the section titled “Risk Factors—Our ability to use our net operating loss carry forwards and certain other tax attributes will be limited.”</w:t>
      </w:r>
    </w:p>
    <w:p>
      <w:pPr>
        <w:spacing w:after="0" w:line="170"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Continuing operations are reported net of the related tax effects and discontinued operations are reported net of related tax effects in the statements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Comparison of the Years Ended December 31, 2018 and 2017 from continuing operations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4"/>
          </w:tcPr>
          <w:p>
            <w:pPr>
              <w:jc w:val="center"/>
              <w:ind w:left="394"/>
              <w:spacing w:after="0"/>
              <w:rPr>
                <w:sz w:val="20"/>
                <w:szCs w:val="20"/>
                <w:color w:val="auto"/>
              </w:rPr>
            </w:pPr>
            <w:r>
              <w:rPr>
                <w:rFonts w:ascii="Arial" w:cs="Arial" w:eastAsia="Arial" w:hAnsi="Arial"/>
                <w:sz w:val="14"/>
                <w:szCs w:val="14"/>
                <w:b w:val="1"/>
                <w:bCs w:val="1"/>
                <w:color w:val="auto"/>
                <w:w w:val="93"/>
              </w:rPr>
              <w:t>Year Ended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4"/>
            <w:vMerge w:val="restart"/>
          </w:tcPr>
          <w:p>
            <w:pPr>
              <w:jc w:val="right"/>
              <w:ind w:right="76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4"/>
          </w:tcPr>
          <w:p>
            <w:pPr>
              <w:jc w:val="center"/>
              <w:ind w:left="394"/>
              <w:spacing w:after="0"/>
              <w:rPr>
                <w:sz w:val="20"/>
                <w:szCs w:val="20"/>
                <w:color w:val="auto"/>
              </w:rPr>
            </w:pPr>
            <w:r>
              <w:rPr>
                <w:rFonts w:ascii="Arial" w:cs="Arial" w:eastAsia="Arial" w:hAnsi="Arial"/>
                <w:sz w:val="14"/>
                <w:szCs w:val="14"/>
                <w:b w:val="1"/>
                <w:bCs w:val="1"/>
                <w:color w:val="auto"/>
                <w:w w:val="92"/>
              </w:rPr>
              <w:t>December 31,</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Amount</w:t>
            </w:r>
          </w:p>
        </w:tc>
        <w:tc>
          <w:tcPr>
            <w:tcW w:w="1020" w:type="dxa"/>
            <w:vAlign w:val="bottom"/>
            <w:tcBorders>
              <w:top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4"/>
          </w:tcPr>
          <w:p>
            <w:pPr>
              <w:jc w:val="center"/>
              <w:ind w:left="374"/>
              <w:spacing w:after="0" w:line="155" w:lineRule="exact"/>
              <w:rPr>
                <w:sz w:val="20"/>
                <w:szCs w:val="20"/>
                <w:color w:val="auto"/>
              </w:rPr>
            </w:pPr>
            <w:r>
              <w:rPr>
                <w:rFonts w:ascii="Arial" w:cs="Arial" w:eastAsia="Arial" w:hAnsi="Arial"/>
                <w:sz w:val="14"/>
                <w:szCs w:val="14"/>
                <w:color w:val="auto"/>
                <w:w w:val="92"/>
              </w:rPr>
              <w:t>(in thousands)</w:t>
            </w: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0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7,178</w:t>
            </w:r>
          </w:p>
        </w:tc>
        <w:tc>
          <w:tcPr>
            <w:tcW w:w="140" w:type="dxa"/>
            <w:vAlign w:val="bottom"/>
          </w:tcPr>
          <w:p>
            <w:pPr>
              <w:spacing w:after="0"/>
              <w:rPr>
                <w:sz w:val="19"/>
                <w:szCs w:val="19"/>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3,069</w:t>
            </w:r>
          </w:p>
        </w:tc>
        <w:tc>
          <w:tcPr>
            <w:tcW w:w="120" w:type="dxa"/>
            <w:vAlign w:val="bottom"/>
          </w:tcPr>
          <w:p>
            <w:pPr>
              <w:spacing w:after="0"/>
              <w:rPr>
                <w:sz w:val="19"/>
                <w:szCs w:val="19"/>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4,109</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and marketing</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44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5"/>
        </w:trPr>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contingent</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consideration</w:t>
            </w: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2,492</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(1,925)</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4440" w:type="dxa"/>
            <w:vAlign w:val="bottom"/>
            <w:vMerge w:val="restart"/>
          </w:tcPr>
          <w:p>
            <w:pPr>
              <w:ind w:left="740"/>
              <w:spacing w:after="0"/>
              <w:rPr>
                <w:sz w:val="20"/>
                <w:szCs w:val="20"/>
                <w:color w:val="auto"/>
              </w:rPr>
            </w:pPr>
            <w:r>
              <w:rPr>
                <w:rFonts w:ascii="Arial" w:cs="Arial" w:eastAsia="Arial" w:hAnsi="Arial"/>
                <w:sz w:val="18"/>
                <w:szCs w:val="18"/>
                <w:color w:val="auto"/>
              </w:rPr>
              <w:t>Total operating expenses</w:t>
            </w:r>
          </w:p>
        </w:tc>
        <w:tc>
          <w:tcPr>
            <w:tcW w:w="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2,130</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44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Operating loss</w:t>
            </w:r>
          </w:p>
        </w:tc>
        <w:tc>
          <w:tcPr>
            <w:tcW w:w="8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vMerge w:val="continue"/>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(14,301)</w:t>
            </w:r>
          </w:p>
        </w:tc>
        <w:tc>
          <w:tcPr>
            <w:tcW w:w="14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(12,171)</w:t>
            </w:r>
          </w:p>
        </w:tc>
        <w:tc>
          <w:tcPr>
            <w:tcW w:w="1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w:t>
            </w:r>
          </w:p>
        </w:tc>
        <w:tc>
          <w:tcPr>
            <w:tcW w:w="220" w:type="dxa"/>
            <w:vAlign w:val="bottom"/>
            <w:vMerge w:val="continue"/>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Other income (expense)</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Cease-use income</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4440" w:type="dxa"/>
            <w:vAlign w:val="bottom"/>
          </w:tcPr>
          <w:p>
            <w:pPr>
              <w:ind w:left="240"/>
              <w:spacing w:after="0"/>
              <w:rPr>
                <w:sz w:val="20"/>
                <w:szCs w:val="20"/>
                <w:color w:val="auto"/>
              </w:rPr>
            </w:pPr>
            <w:r>
              <w:rPr>
                <w:rFonts w:ascii="Arial" w:cs="Arial" w:eastAsia="Arial" w:hAnsi="Arial"/>
                <w:sz w:val="18"/>
                <w:szCs w:val="18"/>
                <w:color w:val="auto"/>
              </w:rPr>
              <w:t>Change in fair value of warrants liabilities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1,207</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deconsolidation of former subsidiary</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440" w:type="dxa"/>
            <w:vAlign w:val="bottom"/>
          </w:tcPr>
          <w:p>
            <w:pPr>
              <w:ind w:left="240"/>
              <w:spacing w:after="0"/>
              <w:rPr>
                <w:sz w:val="20"/>
                <w:szCs w:val="20"/>
                <w:color w:val="auto"/>
              </w:rPr>
            </w:pPr>
            <w:r>
              <w:rPr>
                <w:rFonts w:ascii="Arial" w:cs="Arial" w:eastAsia="Arial" w:hAnsi="Arial"/>
                <w:sz w:val="18"/>
                <w:szCs w:val="18"/>
                <w:color w:val="auto"/>
              </w:rPr>
              <w:t>Interest and other expense, net</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528</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4440" w:type="dxa"/>
            <w:vAlign w:val="bottom"/>
            <w:vMerge w:val="restart"/>
            <w:shd w:val="clear" w:color="auto" w:fill="CFF0FC"/>
          </w:tcPr>
          <w:p>
            <w:pPr>
              <w:ind w:left="740"/>
              <w:spacing w:after="0"/>
              <w:rPr>
                <w:sz w:val="20"/>
                <w:szCs w:val="20"/>
                <w:color w:val="auto"/>
              </w:rPr>
            </w:pPr>
            <w:r>
              <w:rPr>
                <w:rFonts w:ascii="Arial" w:cs="Arial" w:eastAsia="Arial" w:hAnsi="Arial"/>
                <w:sz w:val="18"/>
                <w:szCs w:val="18"/>
                <w:color w:val="auto"/>
              </w:rPr>
              <w:t>Total other income (expense)</w:t>
            </w:r>
          </w:p>
        </w:tc>
        <w:tc>
          <w:tcPr>
            <w:tcW w:w="8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vMerge w:val="continue"/>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w:t>
            </w:r>
          </w:p>
        </w:tc>
        <w:tc>
          <w:tcPr>
            <w:tcW w:w="1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3,731</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5"/>
        </w:trPr>
        <w:tc>
          <w:tcPr>
            <w:tcW w:w="4440" w:type="dxa"/>
            <w:vAlign w:val="bottom"/>
          </w:tcPr>
          <w:p>
            <w:pPr>
              <w:spacing w:after="0"/>
              <w:rPr>
                <w:sz w:val="20"/>
                <w:szCs w:val="20"/>
                <w:color w:val="auto"/>
              </w:rPr>
            </w:pPr>
            <w:r>
              <w:rPr>
                <w:rFonts w:ascii="Arial" w:cs="Arial" w:eastAsia="Arial" w:hAnsi="Arial"/>
                <w:sz w:val="18"/>
                <w:szCs w:val="18"/>
                <w:color w:val="auto"/>
              </w:rPr>
              <w:t>Loss from continuing operations before provision</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Arial" w:cs="Arial" w:eastAsia="Arial" w:hAnsi="Arial"/>
                <w:sz w:val="18"/>
                <w:szCs w:val="18"/>
                <w:color w:val="auto"/>
              </w:rPr>
              <w:t>for tax benefit</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(11,841)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(13,442)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1,601</w:t>
            </w:r>
          </w:p>
        </w:tc>
        <w:tc>
          <w:tcPr>
            <w:tcW w:w="22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tax benefit</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(1,650)</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Loss from continuing operations</w:t>
            </w:r>
          </w:p>
        </w:tc>
        <w:tc>
          <w:tcPr>
            <w:tcW w:w="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(11,841)</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(11,792)</w:t>
            </w:r>
          </w:p>
        </w:tc>
        <w:tc>
          <w:tcPr>
            <w:tcW w:w="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vMerge w:val="continue"/>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(1,494)</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(3,593)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8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(13,335)</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(15,385)</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2,050</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We have not commenced commercialization of DCCR, our current sole novel therapeutic product, and accordingly, through December 31, 2018, have generated no revenue in continuing operations.</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jc w:val="both"/>
        <w:ind w:right="260" w:firstLine="598"/>
        <w:spacing w:after="0" w:line="264" w:lineRule="auto"/>
        <w:rPr>
          <w:sz w:val="20"/>
          <w:szCs w:val="20"/>
          <w:color w:val="auto"/>
        </w:rPr>
      </w:pPr>
      <w:r>
        <w:rPr>
          <w:rFonts w:ascii="Arial" w:cs="Arial" w:eastAsia="Arial" w:hAnsi="Arial"/>
          <w:sz w:val="18"/>
          <w:szCs w:val="18"/>
          <w:color w:val="auto"/>
        </w:rPr>
        <w:t>Research and development expense of $7.2 million for the year ended December 31, 2018 increased by $4.1 million over 2017 resulting primarily from efforts directed toward development and commencement, during the quarter ended June 30, 2018, of the Phase III trial of DCCR which we acquired with the Essentialis acquisition on March 7, 2017.</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Sales and marketing expense</w:t>
      </w:r>
    </w:p>
    <w:p>
      <w:pPr>
        <w:spacing w:after="0" w:line="11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Sales and marketing expense of approximately $26,000 during 2017 consisted of expense incurred to revise our website. We have not yet commenced commercialization of DCCR, our current sole novel therapeutic product, and accordingly, during 2018 have incurred no sales and marketing activities in continuing operations.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2" w:name="page63"/>
    <w:bookmarkEnd w:id="62"/>
    <w:p>
      <w:pPr>
        <w:ind w:left="60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General and administrative expense of $6.6 million during 2018 decreased by approximately $28,000 from 2017. The decrease was primarily due to planned spending reductions in 2018, specifically including a decrease in employee and consultant-related expenses of approximately $329,000, approximately $275,000 of general cost savings including the sublease of excess facility space, and an approximate $71,000 reduction in legal costs related to our intellectual property. These decreases were largely offset by approximately $355,000 of additional amortization expense of the intangible patent asset acquired in the March 7, 2017 acquisition of Essentialis, as 2017 had amortization for a portion of the year compared to the entire period in 2018, and an increase of approximately $288,000 for professional fees and investor communication expenses, primarily related to financing activities and regulatory filings required in 2018</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11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We are obligated to make cash payments of up to a maximum of $30 million to Essentialis stockholders upon the achievement of certain future commercial milestones associated with the sale of Essentialis’ product in accordance with the terms of the Essentialis merger agreement. The fair value of the liability for the contingent consideration payable by us achieving the commercial sales milestones of $100 million and $200 million was estimated to be $5.6 million as of December 31, 2018, an approximate $567,000 increase from the estimate as of December 31, 2017. During 2017 the estimate increased $2.5 million from the initial liability of $2.6 million estimated at the time of the merger.</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Other income of approximately $2.5 million in 2018 increased $3.7 million from other expense of $1.3 million during 2017. The increase in other income was primarily due to a $2.0 million gain recognized on the deconsolidation of Capnia upon the issuance of majority shares to OAHL and a net decrease in the fair value of warrants liabilities during 2018 compared to a net increase in 2017, resulting in a net increase of $1.2 million. In addition, there was an approximate $528,000 decrease in interest and other expense due primarily to the fact that during 2017 there were commitment shares issued to Aspire Capital with a value of approximately $600,000.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Results of Discontinued Operations</w:t>
      </w:r>
    </w:p>
    <w:p>
      <w:pPr>
        <w:spacing w:after="0" w:line="121"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Discontinued operations consist of our activities previously dedicated to the development and commercialization of innovative diagnostics, devices and therapeutics addressing unmet medical needs, which consisted of: precision metering of gas flow technology marketed as Serenz</w:t>
      </w:r>
      <w:r>
        <w:rPr>
          <w:rFonts w:ascii="Arial" w:cs="Arial" w:eastAsia="Arial" w:hAnsi="Arial"/>
          <w:sz w:val="14"/>
          <w:szCs w:val="14"/>
          <w:color w:val="auto"/>
        </w:rPr>
        <w:t>®</w:t>
      </w:r>
      <w:r>
        <w:rPr>
          <w:rFonts w:ascii="Arial" w:cs="Arial" w:eastAsia="Arial" w:hAnsi="Arial"/>
          <w:sz w:val="17"/>
          <w:szCs w:val="17"/>
          <w:color w:val="auto"/>
        </w:rPr>
        <w:t xml:space="preserve"> Allergy Relief, or Serenz; CoSense</w:t>
      </w:r>
      <w:r>
        <w:rPr>
          <w:rFonts w:ascii="Arial" w:cs="Arial" w:eastAsia="Arial" w:hAnsi="Arial"/>
          <w:sz w:val="14"/>
          <w:szCs w:val="14"/>
          <w:color w:val="auto"/>
        </w:rPr>
        <w:t>®</w:t>
      </w:r>
      <w:r>
        <w:rPr>
          <w:rFonts w:ascii="Arial" w:cs="Arial" w:eastAsia="Arial" w:hAnsi="Arial"/>
          <w:sz w:val="17"/>
          <w:szCs w:val="17"/>
          <w:color w:val="auto"/>
        </w:rPr>
        <w:t xml:space="preserve"> End-Tidal Carbon Monoxide (ETCO) Monitor, or CoSense, which measures ETCO and aids in the detection of excessive hemolysis, a condition in which red blood cells degrade rapidly; and, products that included temperature probes, scales, surgical tables and patient surfaces. In March 2017, we determined to divest, sell or otherwise dispose of the CoSense, Neo Force, Inc., and Serenz businesses in order to focus on the development and commercialization of novel therapeutics for the treatment of rare diseases. The discontinued operations for the development and commercialization of innovative diagnostic devices and therapeutics are summarized below.</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4"/>
          </w:tcPr>
          <w:p>
            <w:pPr>
              <w:jc w:val="center"/>
              <w:ind w:left="394"/>
              <w:spacing w:after="0"/>
              <w:rPr>
                <w:sz w:val="20"/>
                <w:szCs w:val="20"/>
                <w:color w:val="auto"/>
              </w:rPr>
            </w:pPr>
            <w:r>
              <w:rPr>
                <w:rFonts w:ascii="Arial" w:cs="Arial" w:eastAsia="Arial" w:hAnsi="Arial"/>
                <w:sz w:val="14"/>
                <w:szCs w:val="14"/>
                <w:b w:val="1"/>
                <w:bCs w:val="1"/>
                <w:color w:val="auto"/>
                <w:w w:val="93"/>
              </w:rPr>
              <w:t>Year Ended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3"/>
            <w:vMerge w:val="restart"/>
          </w:tcPr>
          <w:p>
            <w:pPr>
              <w:jc w:val="right"/>
              <w:ind w:right="491"/>
              <w:spacing w:after="0"/>
              <w:rPr>
                <w:sz w:val="20"/>
                <w:szCs w:val="20"/>
                <w:color w:val="auto"/>
              </w:rPr>
            </w:pPr>
            <w:r>
              <w:rPr>
                <w:rFonts w:ascii="Arial" w:cs="Arial" w:eastAsia="Arial" w:hAnsi="Arial"/>
                <w:sz w:val="14"/>
                <w:szCs w:val="14"/>
                <w:b w:val="1"/>
                <w:bCs w:val="1"/>
                <w:color w:val="auto"/>
              </w:rPr>
              <w:t>Increase (decrease)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left="394"/>
              <w:spacing w:after="0"/>
              <w:rPr>
                <w:sz w:val="20"/>
                <w:szCs w:val="20"/>
                <w:color w:val="auto"/>
              </w:rPr>
            </w:pPr>
            <w:r>
              <w:rPr>
                <w:rFonts w:ascii="Arial" w:cs="Arial" w:eastAsia="Arial" w:hAnsi="Arial"/>
                <w:sz w:val="14"/>
                <w:szCs w:val="14"/>
                <w:b w:val="1"/>
                <w:bCs w:val="1"/>
                <w:color w:val="auto"/>
                <w:w w:val="92"/>
              </w:rPr>
              <w:t>December 31,</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ind w:right="311"/>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4"/>
          </w:tcPr>
          <w:p>
            <w:pPr>
              <w:jc w:val="center"/>
              <w:ind w:left="374"/>
              <w:spacing w:after="0"/>
              <w:rPr>
                <w:sz w:val="20"/>
                <w:szCs w:val="20"/>
                <w:color w:val="auto"/>
              </w:rPr>
            </w:pPr>
            <w:r>
              <w:rPr>
                <w:rFonts w:ascii="Arial" w:cs="Arial" w:eastAsia="Arial" w:hAnsi="Arial"/>
                <w:sz w:val="14"/>
                <w:szCs w:val="14"/>
                <w:color w:val="auto"/>
                <w:w w:val="92"/>
              </w:rPr>
              <w:t>(in thousands)</w:t>
            </w: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15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(673)</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(788)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4020" w:type="dxa"/>
            <w:vAlign w:val="bottom"/>
            <w:vMerge w:val="restart"/>
            <w:shd w:val="clear" w:color="auto" w:fill="CFF0FC"/>
          </w:tcPr>
          <w:p>
            <w:pPr>
              <w:jc w:val="right"/>
              <w:ind w:right="2130"/>
              <w:spacing w:after="0"/>
              <w:rPr>
                <w:sz w:val="20"/>
                <w:szCs w:val="20"/>
                <w:color w:val="auto"/>
              </w:rPr>
            </w:pPr>
            <w:r>
              <w:rPr>
                <w:rFonts w:ascii="Arial" w:cs="Arial" w:eastAsia="Arial" w:hAnsi="Arial"/>
                <w:sz w:val="18"/>
                <w:szCs w:val="18"/>
                <w:color w:val="auto"/>
              </w:rPr>
              <w:t>Gross profit (loss)</w:t>
            </w:r>
          </w:p>
        </w:tc>
        <w:tc>
          <w:tcPr>
            <w:tcW w:w="1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20" w:type="dxa"/>
            <w:vAlign w:val="bottom"/>
            <w:vMerge w:val="continue"/>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Expenses:</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(1,321)</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(193)</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(276)</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020" w:type="dxa"/>
            <w:vAlign w:val="bottom"/>
            <w:vMerge w:val="restart"/>
          </w:tcPr>
          <w:p>
            <w:pPr>
              <w:jc w:val="right"/>
              <w:ind w:right="2130"/>
              <w:spacing w:after="0"/>
              <w:rPr>
                <w:sz w:val="20"/>
                <w:szCs w:val="20"/>
                <w:color w:val="auto"/>
              </w:rPr>
            </w:pPr>
            <w:r>
              <w:rPr>
                <w:rFonts w:ascii="Arial" w:cs="Arial" w:eastAsia="Arial" w:hAnsi="Arial"/>
                <w:sz w:val="18"/>
                <w:szCs w:val="18"/>
                <w:color w:val="auto"/>
              </w:rPr>
              <w:t>Total expenses</w:t>
            </w:r>
          </w:p>
        </w:tc>
        <w:tc>
          <w:tcPr>
            <w:tcW w:w="1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2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(1,790)</w:t>
            </w:r>
          </w:p>
        </w:tc>
        <w:tc>
          <w:tcPr>
            <w:tcW w:w="220" w:type="dxa"/>
            <w:vAlign w:val="bottom"/>
            <w:vMerge w:val="continue"/>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40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20" w:type="dxa"/>
            <w:vAlign w:val="bottom"/>
            <w:vMerge w:val="continue"/>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w:t>
            </w:r>
          </w:p>
        </w:tc>
        <w:tc>
          <w:tcPr>
            <w:tcW w:w="14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(3,399)</w:t>
            </w:r>
          </w:p>
        </w:tc>
        <w:tc>
          <w:tcPr>
            <w:tcW w:w="1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1,905</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Other expense</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on sale of assets</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Other expense</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02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other expense</w:t>
            </w:r>
          </w:p>
        </w:tc>
        <w:tc>
          <w:tcPr>
            <w:tcW w:w="1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20" w:type="dxa"/>
            <w:vAlign w:val="bottom"/>
            <w:vMerge w:val="continue"/>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color w:val="auto"/>
              </w:rPr>
              <w:t>Net loss from discontinued operations</w:t>
            </w:r>
          </w:p>
        </w:tc>
        <w:tc>
          <w:tcPr>
            <w:tcW w:w="12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2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(1,494)</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(3,593)</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2,099</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Product revenue</w:t>
      </w:r>
    </w:p>
    <w:p>
      <w:pPr>
        <w:spacing w:after="0" w:line="117" w:lineRule="exact"/>
        <w:rPr>
          <w:sz w:val="20"/>
          <w:szCs w:val="20"/>
          <w:color w:val="auto"/>
        </w:rPr>
      </w:pPr>
    </w:p>
    <w:p>
      <w:pPr>
        <w:jc w:val="both"/>
        <w:ind w:right="40" w:firstLine="598"/>
        <w:spacing w:after="0" w:line="342" w:lineRule="auto"/>
        <w:rPr>
          <w:sz w:val="20"/>
          <w:szCs w:val="20"/>
          <w:color w:val="auto"/>
        </w:rPr>
      </w:pPr>
      <w:r>
        <w:rPr>
          <w:rFonts w:ascii="Arial" w:cs="Arial" w:eastAsia="Arial" w:hAnsi="Arial"/>
          <w:sz w:val="16"/>
          <w:szCs w:val="16"/>
          <w:color w:val="auto"/>
        </w:rPr>
        <w:t>Revenue related to our discontinued operations was approximately $62,000 during 2018, an approximate $673,000 decrease from the discontinued operations revenue during 2017. The decrease resulted primarily from the sale of the NFI business in July 2017 and a decrease in Capnia revenue.</w:t>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Cost of product revenue related to our discontinued operations has declined in relation to the decrease in sales activity.</w:t>
      </w:r>
    </w:p>
    <w:p>
      <w:pPr>
        <w:spacing w:after="0" w:line="33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240" w:firstLine="598"/>
        <w:spacing w:after="0" w:line="308" w:lineRule="auto"/>
        <w:rPr>
          <w:sz w:val="20"/>
          <w:szCs w:val="20"/>
          <w:color w:val="auto"/>
        </w:rPr>
      </w:pPr>
      <w:r>
        <w:rPr>
          <w:rFonts w:ascii="Arial" w:cs="Arial" w:eastAsia="Arial" w:hAnsi="Arial"/>
          <w:sz w:val="17"/>
          <w:szCs w:val="17"/>
          <w:color w:val="auto"/>
        </w:rPr>
        <w:t>Research and development expense related to our discontinued operations decreased by $1.3 million from 2017 to 2018. The decrease primarily resulted from the sale of NFI in July 2017, and the curtailment of spending towards the development of the Serenz product during 2017.</w:t>
      </w:r>
    </w:p>
    <w:p>
      <w:pPr>
        <w:spacing w:after="0" w:line="25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Sales and marketing expense</w:t>
      </w:r>
    </w:p>
    <w:p>
      <w:pPr>
        <w:spacing w:after="0" w:line="117" w:lineRule="exact"/>
        <w:rPr>
          <w:sz w:val="20"/>
          <w:szCs w:val="20"/>
          <w:color w:val="auto"/>
        </w:rPr>
      </w:pPr>
    </w:p>
    <w:p>
      <w:pPr>
        <w:jc w:val="both"/>
        <w:ind w:right="20" w:firstLine="598"/>
        <w:spacing w:after="0" w:line="264" w:lineRule="auto"/>
        <w:rPr>
          <w:sz w:val="20"/>
          <w:szCs w:val="20"/>
          <w:color w:val="auto"/>
        </w:rPr>
      </w:pPr>
      <w:r>
        <w:rPr>
          <w:rFonts w:ascii="Arial" w:cs="Arial" w:eastAsia="Arial" w:hAnsi="Arial"/>
          <w:sz w:val="18"/>
          <w:szCs w:val="18"/>
          <w:color w:val="auto"/>
        </w:rPr>
        <w:t>Sales and marketing expense during 2018 was approximately $25,000, representing an approximate $193,000 decrease from 2017. The decrease is largely attributed to our stopping the promotion and sales of the Serenz product in the second quarter of 2017. The sales and marketing expenses relating to our discontinued operations during 2018 relate only to Capnia’s marketing of its CoSense products.</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661" w:right="439" w:bottom="1440" w:gutter="0" w:footer="0" w:header="0"/>
        </w:sectPr>
      </w:pPr>
    </w:p>
    <w:bookmarkStart w:id="64" w:name="page65"/>
    <w:bookmarkEnd w:id="64"/>
    <w:p>
      <w:pPr>
        <w:ind w:left="60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960" w:firstLine="598"/>
        <w:spacing w:after="0" w:line="277" w:lineRule="auto"/>
        <w:rPr>
          <w:sz w:val="20"/>
          <w:szCs w:val="20"/>
          <w:color w:val="auto"/>
        </w:rPr>
      </w:pPr>
      <w:r>
        <w:rPr>
          <w:rFonts w:ascii="Arial" w:cs="Arial" w:eastAsia="Arial" w:hAnsi="Arial"/>
          <w:sz w:val="18"/>
          <w:szCs w:val="18"/>
          <w:color w:val="auto"/>
        </w:rPr>
        <w:t>General and administrative expense associated with our discontinued operations was approximately $393,000 during 2018, a decrease of approximately $276,000 from 2017. The decrease was primarily due to the sale of NFI in July 2017.</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Other expense</w:t>
      </w:r>
    </w:p>
    <w:p>
      <w:pPr>
        <w:spacing w:after="0" w:line="117" w:lineRule="exact"/>
        <w:rPr>
          <w:sz w:val="20"/>
          <w:szCs w:val="20"/>
          <w:color w:val="auto"/>
        </w:rPr>
      </w:pPr>
    </w:p>
    <w:p>
      <w:pPr>
        <w:ind w:right="560" w:firstLine="598"/>
        <w:spacing w:after="0" w:line="277" w:lineRule="auto"/>
        <w:rPr>
          <w:sz w:val="20"/>
          <w:szCs w:val="20"/>
          <w:color w:val="auto"/>
        </w:rPr>
      </w:pPr>
      <w:r>
        <w:rPr>
          <w:rFonts w:ascii="Arial" w:cs="Arial" w:eastAsia="Arial" w:hAnsi="Arial"/>
          <w:sz w:val="18"/>
          <w:szCs w:val="18"/>
          <w:color w:val="auto"/>
        </w:rPr>
        <w:t>During 2017 we recorded other expense of approximately $194,000, consisting primarily of the loss recorded on the sale of our wholly-owned subsidiary, NFI.</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We had a net loss of $13.3 million during 2018 and an accumulated deficit of $127.0 million at December 31, 2018 from having incurred losses since our inception. We had $22.8 million of working capital at December 31, 2018 and used $11.7 million of cash in operating activities during 2018. We have financed our operations principally through issuances of equity securities.</w:t>
      </w:r>
    </w:p>
    <w:p>
      <w:pPr>
        <w:spacing w:after="0" w:line="181" w:lineRule="exact"/>
        <w:rPr>
          <w:sz w:val="20"/>
          <w:szCs w:val="20"/>
          <w:color w:val="auto"/>
        </w:rPr>
      </w:pPr>
    </w:p>
    <w:p>
      <w:pPr>
        <w:ind w:right="820" w:firstLine="598"/>
        <w:spacing w:after="0" w:line="277" w:lineRule="auto"/>
        <w:rPr>
          <w:sz w:val="20"/>
          <w:szCs w:val="20"/>
          <w:color w:val="auto"/>
        </w:rPr>
      </w:pPr>
      <w:r>
        <w:rPr>
          <w:rFonts w:ascii="Arial" w:cs="Arial" w:eastAsia="Arial" w:hAnsi="Arial"/>
          <w:sz w:val="18"/>
          <w:szCs w:val="18"/>
          <w:color w:val="auto"/>
        </w:rPr>
        <w:t>We have continued to focus on expense control, including reducing our workforce, eliminating outside consultants, reducing legal fees and implementing a plan to allow Board members to receive common stock, in lieu of cash payments.</w:t>
      </w:r>
    </w:p>
    <w:p>
      <w:pPr>
        <w:spacing w:after="0" w:line="170"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The accompanying consolidated financial statements have been prepared under the assumption we will continue to operate as a going concern, which contemplates the realization of assets and the settlement of liabilities in the normal course of business. The consolidated financial statements do not include any adjustments to reflect the possible future effects on the recoverability and classification of assets or the amounts of liabilities that may result from uncertainty related to our ability to continue as a going concern.</w:t>
      </w:r>
    </w:p>
    <w:p>
      <w:pPr>
        <w:spacing w:after="0" w:line="187"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We expect to continue incurring losses for the foreseeable future and may be required to raise additional capital to complete our clinical trials, pursue product development initiatives and penetrate markets for the sale of our products. We believe that we will continue to have access to capital resources through possible public or private equity offerings, debt financings, corporate collaborations or other means, but the access to such capital resources is uncertain and is not assured. If we are unable to secure additional capital, we may be required to curtail our clinical trials and development of new products and take additional measures to reduce costs in order to conserve our cash in amounts sufficient to sustain operations and meet our obligations. These measures could cause significant delays in our efforts to complete clinical trials and commercialize our products, which is critical to the realization of our business plan and our future operations. These matters raise substantial doubt about our ability to continue as a going concern within one year from the date of filing this annual report. The consolidated financial statements do not include any adjustments relating to the recoverability and classification of asset amounts or the classification of liabilities that might be necessary should we be unable to continue as a going concern.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w:t>
      </w:r>
    </w:p>
    <w:p>
      <w:pPr>
        <w:spacing w:after="0" w:line="230"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Year Ended</w:t>
      </w:r>
    </w:p>
    <w:p>
      <w:pPr>
        <w:jc w:val="center"/>
        <w:ind w:left="53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54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continuing operating activities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(10,322)</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(6,919)</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Net cash used in discontinued operating activities</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(1,361)</w:t>
            </w:r>
          </w:p>
        </w:tc>
        <w:tc>
          <w:tcPr>
            <w:tcW w:w="3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(3,031)</w:t>
            </w:r>
          </w:p>
        </w:tc>
      </w:tr>
      <w:tr>
        <w:trPr>
          <w:trHeight w:val="223"/>
        </w:trPr>
        <w:tc>
          <w:tcPr>
            <w:tcW w:w="54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(11,683)</w:t>
            </w: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(9,950)</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Net cash used in continuing investing activities</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19"/>
                <w:szCs w:val="19"/>
                <w:color w:val="auto"/>
              </w:rPr>
            </w:pPr>
          </w:p>
        </w:tc>
      </w:tr>
      <w:tr>
        <w:trPr>
          <w:trHeight w:val="215"/>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discontinued</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(172)</w:t>
            </w: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80" w:type="dxa"/>
            <w:vAlign w:val="bottom"/>
            <w:shd w:val="clear" w:color="auto" w:fill="CFF0FC"/>
          </w:tcPr>
          <w:p>
            <w:pPr>
              <w:spacing w:after="0"/>
              <w:rPr>
                <w:sz w:val="20"/>
                <w:szCs w:val="20"/>
                <w:color w:val="auto"/>
              </w:rPr>
            </w:pPr>
          </w:p>
        </w:tc>
      </w:tr>
      <w:tr>
        <w:trPr>
          <w:trHeight w:val="223"/>
        </w:trPr>
        <w:tc>
          <w:tcPr>
            <w:tcW w:w="54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cash (used in) provided by investing activities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continuing financing activities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16,302</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23,945</w:t>
            </w:r>
          </w:p>
        </w:tc>
        <w:tc>
          <w:tcPr>
            <w:tcW w:w="80" w:type="dxa"/>
            <w:vAlign w:val="bottom"/>
            <w:shd w:val="clear" w:color="auto" w:fill="CFF0FC"/>
          </w:tcPr>
          <w:p>
            <w:pPr>
              <w:spacing w:after="0"/>
              <w:rPr>
                <w:sz w:val="19"/>
                <w:szCs w:val="19"/>
                <w:color w:val="auto"/>
              </w:rPr>
            </w:pPr>
          </w:p>
        </w:tc>
      </w:tr>
      <w:tr>
        <w:trPr>
          <w:trHeight w:val="215"/>
        </w:trPr>
        <w:tc>
          <w:tcPr>
            <w:tcW w:w="5440" w:type="dxa"/>
            <w:vAlign w:val="bottom"/>
          </w:tcPr>
          <w:p>
            <w:pPr>
              <w:spacing w:after="0"/>
              <w:rPr>
                <w:sz w:val="20"/>
                <w:szCs w:val="20"/>
                <w:color w:val="auto"/>
              </w:rPr>
            </w:pPr>
            <w:r>
              <w:rPr>
                <w:rFonts w:ascii="Arial" w:cs="Arial" w:eastAsia="Arial" w:hAnsi="Arial"/>
                <w:sz w:val="18"/>
                <w:szCs w:val="18"/>
                <w:color w:val="auto"/>
              </w:rPr>
              <w:t>Net cash provided by discontinued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financing activities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20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80" w:type="dxa"/>
            <w:vAlign w:val="bottom"/>
            <w:tcBorders>
              <w:bottom w:val="single" w:sz="8" w:color="CFF0FC"/>
            </w:tcBorders>
          </w:tcPr>
          <w:p>
            <w:pPr>
              <w:spacing w:after="0"/>
              <w:rPr>
                <w:sz w:val="20"/>
                <w:szCs w:val="20"/>
                <w:color w:val="auto"/>
              </w:rPr>
            </w:pPr>
          </w:p>
        </w:tc>
      </w:tr>
      <w:tr>
        <w:trPr>
          <w:trHeight w:val="223"/>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17,827</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24,170</w:t>
            </w:r>
          </w:p>
        </w:tc>
        <w:tc>
          <w:tcPr>
            <w:tcW w:w="80" w:type="dxa"/>
            <w:vAlign w:val="bottom"/>
            <w:shd w:val="clear" w:color="auto" w:fill="CFF0FC"/>
          </w:tcPr>
          <w:p>
            <w:pPr>
              <w:spacing w:after="0"/>
              <w:rPr>
                <w:sz w:val="19"/>
                <w:szCs w:val="19"/>
                <w:color w:val="auto"/>
              </w:rPr>
            </w:pPr>
          </w:p>
        </w:tc>
      </w:tr>
      <w:tr>
        <w:trPr>
          <w:trHeight w:val="209"/>
        </w:trPr>
        <w:tc>
          <w:tcPr>
            <w:tcW w:w="5440" w:type="dxa"/>
            <w:vAlign w:val="bottom"/>
          </w:tcPr>
          <w:p>
            <w:pPr>
              <w:spacing w:after="0"/>
              <w:rPr>
                <w:sz w:val="20"/>
                <w:szCs w:val="20"/>
                <w:color w:val="auto"/>
              </w:rPr>
            </w:pPr>
            <w:r>
              <w:rPr>
                <w:rFonts w:ascii="Arial" w:cs="Arial" w:eastAsia="Arial" w:hAnsi="Arial"/>
                <w:sz w:val="18"/>
                <w:szCs w:val="18"/>
                <w:color w:val="auto"/>
              </w:rPr>
              <w:t>Net increase (decrease) in cash, cash equivalents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and restricted cash</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Continuing operations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5,972</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16,464</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Discontinued operations</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(2,090)</w:t>
            </w: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14,374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Operations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During 2018 operating activities used net cash of $10.3 million, which was primarily due to the loss from continuing operations of $11.8 million,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adjusted for non-cash expenses of $2.0 million for depreciation and amortization, $1.3 million of expenses paid with common stock or equity awards,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$160,000 operating loss on minority interest investment and approximately $45,000 for the net change in fair value of common stock warrants and contingent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consideration, all of which were partially offset by the non-cash gain of $2.0 million recognized on the deconsolidation of Capnia upon the issuance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majority shares to OAHL.</w:t>
      </w:r>
    </w:p>
    <w:p>
      <w:pPr>
        <w:spacing w:after="0" w:line="211"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During the year ended December 31, 2017, we used net cash of $6.9 million for continuing operating activities, resulting primarily from the loss from continuing operations of $11.8 million, adjusted for the non-cash items consisting primarily of $1.6 million of depreciation and amortization, $2.5 million of expense for the change in the fair value of contingent consideration for the acquisition of Essentialis, $1.2 million of expenses paid with common stock or equity awards, approximately $602,000 for issuing shares to Aspire Capital, and approximately $685,000 for the change in fair value of the liability for warrants, all of which were partially offset by the non-cash provision for income tax benefit in the amount of $1.7 million.</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ind w:right="320" w:firstLine="598"/>
        <w:spacing w:after="0" w:line="342" w:lineRule="auto"/>
        <w:rPr>
          <w:sz w:val="20"/>
          <w:szCs w:val="20"/>
          <w:color w:val="auto"/>
        </w:rPr>
      </w:pPr>
      <w:r>
        <w:rPr>
          <w:rFonts w:ascii="Arial" w:cs="Arial" w:eastAsia="Arial" w:hAnsi="Arial"/>
          <w:sz w:val="16"/>
          <w:szCs w:val="16"/>
          <w:color w:val="auto"/>
        </w:rPr>
        <w:t>Minimal cash was used for investing activities during 2018 and 2017 for the costs of acquiring property and equipment. During 2017 the net cash used in investing activities was primarily a result of approximately $573,000 for the payment of costs associated with the acquisition of Essentialis.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66" w:name="page67"/>
    <w:bookmarkEnd w:id="66"/>
    <w:p>
      <w:pPr>
        <w:ind w:left="600"/>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7"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During 2018 we obtained $16.5 million of cash from the issuance of common stock and warrants in the 2018 PIPE offering, which proceeds were partially offset by approximately $250,000 of costs. During 2017 we obtained net cash of $23.9 million resulting from the proceeds of $10.0 million from the issuance of common stock immediately upon closing the acquisition of Essentialis together with $15.0 million of proceeds from the issuance of common stock and warrants on common stock resulting from the 2017 PIPE Offering, all of which proceeds were partially offset by $1.1 million of costs paid for the raising and issuance of the related securities offerings.</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December 31, 2018, we had cash, cash equivalents and restricted cash of $23.1 million.</w:t>
      </w:r>
    </w:p>
    <w:p>
      <w:pPr>
        <w:spacing w:after="0" w:line="225"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We do not believe that we have sufficient capital resources to sustain operations through at least the next twelve months from the date of this filing. We expect to continue incurring losses for the foreseeable future and may be required to raise additional capital to pursue our therapeutic product development initiatives. These conditions raise substantial doubt about our ability to continue as a going concern for a period of one year from the date of this report.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7"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During 2018 we used net cash of $1.4 million for discontinued operating activities, compared to $3.0 million during 2017. The decrease was primarily due to the lower comparative level of operating activities for the discontinued operations, reflecting primarily the sale of NFI in July 2017, and to a lesser extent the deconsolidation of Capnia, Inc. upon the transfer of the majority share ownership in October 2018.</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Cash provided by (used in) investing activities</w:t>
      </w:r>
    </w:p>
    <w:p>
      <w:pPr>
        <w:spacing w:after="0" w:line="117"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During 2018 we used approximately $172,000 of cash for discontinued investing activities, representing the net cash reduction for the deconsolidation of Capnia, Inc. upon the transfer of the majority share ownership in October 2018. During 2017 net cash provided by investing activities was approximately $716,000, resulting primarily from the sale of the NFI operations in July 2017.</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7"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color w:val="auto"/>
        </w:rPr>
        <w:t>Net cash provided by financing activities related to discontinued operations was $1.5 million during 2018 and approximately $225,000 during 2017, representing the cash received during the respective periods from our joint venture partner.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As of December 31, 2018, we had lease obligations totaling approximately $335,000, consisting of operating leases for our operating facilities in Redwood City, California. We signed a lease for our current operating facilities at 1235 Radio Road in Redwood City in July 2015, which expires in August of 2019. We are subleasing a portion of this unused space to two separate parties.</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contractual obligations as of December 31, 2018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center"/>
              <w:ind w:right="70"/>
              <w:spacing w:after="0"/>
              <w:rPr>
                <w:sz w:val="20"/>
                <w:szCs w:val="20"/>
                <w:color w:val="auto"/>
              </w:rPr>
            </w:pPr>
            <w:r>
              <w:rPr>
                <w:rFonts w:ascii="Arial" w:cs="Arial" w:eastAsia="Arial" w:hAnsi="Arial"/>
                <w:sz w:val="14"/>
                <w:szCs w:val="14"/>
                <w:b w:val="1"/>
                <w:bCs w:val="1"/>
                <w:color w:val="auto"/>
                <w:w w:val="91"/>
              </w:rPr>
              <w:t>Payments due by period</w:t>
            </w: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137"/>
              <w:spacing w:after="0" w:line="133" w:lineRule="exact"/>
              <w:rPr>
                <w:sz w:val="20"/>
                <w:szCs w:val="20"/>
                <w:color w:val="auto"/>
              </w:rPr>
            </w:pPr>
            <w:r>
              <w:rPr>
                <w:rFonts w:ascii="Arial" w:cs="Arial" w:eastAsia="Arial" w:hAnsi="Arial"/>
                <w:sz w:val="14"/>
                <w:szCs w:val="14"/>
                <w:b w:val="1"/>
                <w:bCs w:val="1"/>
                <w:color w:val="auto"/>
                <w:w w:val="94"/>
              </w:rPr>
              <w:t>Less than</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4"/>
                <w:szCs w:val="14"/>
                <w:b w:val="1"/>
                <w:bCs w:val="1"/>
                <w:color w:val="auto"/>
              </w:rPr>
              <w:t>1 to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87"/>
              </w:rPr>
              <w:t>4 to 5</w:t>
            </w:r>
          </w:p>
        </w:tc>
        <w:tc>
          <w:tcPr>
            <w:tcW w:w="200" w:type="dxa"/>
            <w:vAlign w:val="bottom"/>
          </w:tcPr>
          <w:p>
            <w:pPr>
              <w:spacing w:after="0"/>
              <w:rPr>
                <w:sz w:val="11"/>
                <w:szCs w:val="11"/>
                <w:color w:val="auto"/>
              </w:rPr>
            </w:pPr>
          </w:p>
        </w:tc>
        <w:tc>
          <w:tcPr>
            <w:tcW w:w="106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9"/>
              </w:rPr>
              <w:t>After 5</w:t>
            </w:r>
          </w:p>
        </w:tc>
        <w:tc>
          <w:tcPr>
            <w:tcW w:w="220" w:type="dxa"/>
            <w:vAlign w:val="bottom"/>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37"/>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years</w:t>
            </w:r>
          </w:p>
        </w:tc>
        <w:tc>
          <w:tcPr>
            <w:tcW w:w="20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years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obligations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417"/>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67" w:name="page68"/>
    <w:bookmarkEnd w:id="67"/>
    <w:p>
      <w:pPr>
        <w:ind w:firstLine="598"/>
        <w:spacing w:after="0" w:line="255" w:lineRule="auto"/>
        <w:rPr>
          <w:sz w:val="20"/>
          <w:szCs w:val="20"/>
          <w:color w:val="auto"/>
        </w:rPr>
      </w:pPr>
      <w:r>
        <w:rPr>
          <w:rFonts w:ascii="Arial" w:cs="Arial" w:eastAsia="Arial" w:hAnsi="Arial"/>
          <w:sz w:val="18"/>
          <w:szCs w:val="18"/>
          <w:color w:val="auto"/>
        </w:rPr>
        <w:t>We are obligated to make future payments to third parties under in-license agreements, including sublicense fees, royalties, and payments that become due and payable on the achievement of certain development and commercialization milestones. As the amount and timing of sublicense fees and the achievement and timing of these milestones are not probable and estimable, such commitments have not been included on our balance sheet or in the contractual obligations tables above. We are also obligated to make certain payments of deferred compensation to management upon completion of certain types of transactions. As the amount and timing of such payments are not probable and estimable, such commitments have not been included on our balance sheet or in the contractual obligations tables above.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As of December 31, 2018, we had no off-balance sheet arrangements as defined in Item 303(a)(4) of Regulation S-K as promulgated by the SEC.</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Guidance Update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Guidance</w:t>
      </w:r>
    </w:p>
    <w:p>
      <w:pPr>
        <w:spacing w:after="0" w:line="117"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or other standard setting bodies and adopted by us as of the specified effective date (see Note 3).</w:t>
      </w:r>
    </w:p>
    <w:p>
      <w:pPr>
        <w:spacing w:after="0" w:line="27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121" w:lineRule="exact"/>
        <w:rPr>
          <w:sz w:val="20"/>
          <w:szCs w:val="20"/>
          <w:color w:val="auto"/>
        </w:rPr>
      </w:pPr>
    </w:p>
    <w:p>
      <w:pPr>
        <w:jc w:val="both"/>
        <w:ind w:right="140" w:firstLine="598"/>
        <w:spacing w:after="0" w:line="312" w:lineRule="auto"/>
        <w:rPr>
          <w:sz w:val="20"/>
          <w:szCs w:val="20"/>
          <w:color w:val="auto"/>
        </w:rPr>
      </w:pPr>
      <w:r>
        <w:rPr>
          <w:rFonts w:ascii="Arial" w:cs="Arial" w:eastAsia="Arial" w:hAnsi="Arial"/>
          <w:sz w:val="16"/>
          <w:szCs w:val="16"/>
          <w:color w:val="auto"/>
        </w:rPr>
        <w:t>We had unrestricted cash and cash equivalents totaling $23.1 million at December 31, 2018. This balance was invested primarily in money market funds and are held for working capital purposes. We do not enter into investments for trading or speculative purposes. We believe we do not have material exposure to changes in fair value as a result of changes in interest rates. Declines in interest rates, however, will reduce future investment income.</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68" w:name="page69"/>
    <w:bookmarkEnd w:id="68"/>
    <w:p>
      <w:pPr>
        <w:jc w:val="center"/>
        <w:ind w:right="20"/>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Soleno Therapeutics,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gridSpan w:val="7"/>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Report of Independent Registered Public Accounting Firm</w:t>
              </w:r>
            </w:hyperlink>
          </w:p>
        </w:tc>
        <w:tc>
          <w:tcPr>
            <w:tcW w:w="65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18"/>
        </w:trPr>
        <w:tc>
          <w:tcPr>
            <w:tcW w:w="210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71">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24"/>
                <w:szCs w:val="24"/>
                <w:color w:val="auto"/>
              </w:rPr>
            </w:pPr>
          </w:p>
        </w:tc>
        <w:tc>
          <w:tcPr>
            <w:tcW w:w="700" w:type="dxa"/>
            <w:vAlign w:val="bottom"/>
          </w:tcPr>
          <w:p>
            <w:pPr>
              <w:spacing w:after="0"/>
              <w:rPr>
                <w:sz w:val="24"/>
                <w:szCs w:val="24"/>
                <w:color w:val="auto"/>
              </w:rPr>
            </w:pPr>
          </w:p>
        </w:tc>
        <w:tc>
          <w:tcPr>
            <w:tcW w:w="65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18"/>
        </w:trPr>
        <w:tc>
          <w:tcPr>
            <w:tcW w:w="4920" w:type="dxa"/>
            <w:vAlign w:val="bottom"/>
            <w:gridSpan w:val="7"/>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Consolidated Statements of Operations</w:t>
              </w:r>
            </w:hyperlink>
          </w:p>
        </w:tc>
        <w:tc>
          <w:tcPr>
            <w:tcW w:w="65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318"/>
        </w:trPr>
        <w:tc>
          <w:tcPr>
            <w:tcW w:w="35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73">
              <w:r>
                <w:rPr>
                  <w:rFonts w:ascii="Arial" w:cs="Arial" w:eastAsia="Arial" w:hAnsi="Arial"/>
                  <w:sz w:val="18"/>
                  <w:szCs w:val="18"/>
                  <w:color w:val="0000EE"/>
                  <w:w w:val="90"/>
                </w:rPr>
                <w:t>Consolidated Statements of Stockholders’ Equity</w:t>
              </w:r>
            </w:hyperlink>
          </w:p>
        </w:tc>
        <w:tc>
          <w:tcPr>
            <w:tcW w:w="1360" w:type="dxa"/>
            <w:vAlign w:val="bottom"/>
            <w:gridSpan w:val="2"/>
          </w:tcPr>
          <w:p>
            <w:pPr>
              <w:spacing w:after="0"/>
              <w:rPr>
                <w:sz w:val="24"/>
                <w:szCs w:val="24"/>
                <w:color w:val="auto"/>
              </w:rPr>
            </w:pPr>
          </w:p>
        </w:tc>
        <w:tc>
          <w:tcPr>
            <w:tcW w:w="65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18"/>
        </w:trPr>
        <w:tc>
          <w:tcPr>
            <w:tcW w:w="288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Consolidated Statements of Cash Flows</w:t>
              </w:r>
            </w:hyperlink>
          </w:p>
        </w:tc>
        <w:tc>
          <w:tcPr>
            <w:tcW w:w="2040" w:type="dxa"/>
            <w:vAlign w:val="bottom"/>
            <w:gridSpan w:val="4"/>
          </w:tcPr>
          <w:p>
            <w:pPr>
              <w:spacing w:after="0"/>
              <w:rPr>
                <w:sz w:val="24"/>
                <w:szCs w:val="24"/>
                <w:color w:val="auto"/>
              </w:rPr>
            </w:pPr>
          </w:p>
        </w:tc>
        <w:tc>
          <w:tcPr>
            <w:tcW w:w="65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18"/>
        </w:trPr>
        <w:tc>
          <w:tcPr>
            <w:tcW w:w="4920" w:type="dxa"/>
            <w:vAlign w:val="bottom"/>
            <w:gridSpan w:val="7"/>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Notes to Consolidated Financial Statements</w:t>
              </w:r>
            </w:hyperlink>
          </w:p>
        </w:tc>
        <w:tc>
          <w:tcPr>
            <w:tcW w:w="65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885"/>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20" w:type="dxa"/>
            <w:vAlign w:val="bottom"/>
          </w:tcPr>
          <w:p>
            <w:pPr>
              <w:jc w:val="right"/>
              <w:ind w:right="5550"/>
              <w:spacing w:after="0"/>
              <w:rPr>
                <w:sz w:val="20"/>
                <w:szCs w:val="20"/>
                <w:color w:val="auto"/>
              </w:rPr>
            </w:pPr>
            <w:r>
              <w:rPr>
                <w:rFonts w:ascii="Arial" w:cs="Arial" w:eastAsia="Arial" w:hAnsi="Arial"/>
                <w:sz w:val="18"/>
                <w:szCs w:val="18"/>
                <w:color w:val="auto"/>
              </w:rPr>
              <w:t>67</w:t>
            </w:r>
          </w:p>
        </w:tc>
      </w:tr>
      <w:tr>
        <w:trPr>
          <w:trHeight w:val="115"/>
        </w:trPr>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Soleno Therapeutics, Inc.</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140" w:firstLine="598"/>
        <w:spacing w:after="0" w:line="297" w:lineRule="auto"/>
        <w:rPr>
          <w:sz w:val="20"/>
          <w:szCs w:val="20"/>
          <w:color w:val="auto"/>
        </w:rPr>
      </w:pPr>
      <w:r>
        <w:rPr>
          <w:rFonts w:ascii="Arial" w:cs="Arial" w:eastAsia="Arial" w:hAnsi="Arial"/>
          <w:sz w:val="16"/>
          <w:szCs w:val="16"/>
          <w:color w:val="auto"/>
        </w:rPr>
        <w:t>We have audited the accompanying consolidated balance sheets of Soleno Therapeutics, Inc. (the “Company”) as of December 31, 2018 and 2017, the related consolidated statements of operations, stockholders’ equity, and cash flows for each of the two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two years in the period ended December 31, 2018, in conformity with accounting principles generally accepted in the United States of America.</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21" w:lineRule="exact"/>
        <w:rPr>
          <w:sz w:val="20"/>
          <w:szCs w:val="20"/>
          <w:color w:val="auto"/>
        </w:rPr>
      </w:pPr>
    </w:p>
    <w:p>
      <w:pPr>
        <w:ind w:right="80" w:firstLine="598"/>
        <w:spacing w:after="0" w:line="279"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more fully described in Note 2, the Company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ind w:firstLine="598"/>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19, 2019</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540" w:type="dxa"/>
            <w:vAlign w:val="bottom"/>
            <w:tcBorders>
              <w:bottom w:val="single" w:sz="8" w:color="CFF0FC"/>
            </w:tcBorders>
          </w:tcPr>
          <w:p>
            <w:pPr>
              <w:spacing w:after="0"/>
              <w:rPr>
                <w:sz w:val="14"/>
                <w:szCs w:val="14"/>
                <w:color w:val="auto"/>
              </w:rPr>
            </w:pPr>
          </w:p>
        </w:tc>
        <w:tc>
          <w:tcPr>
            <w:tcW w:w="13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Current assets</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Cash and cash equivalents</w:t>
            </w:r>
          </w:p>
        </w:tc>
        <w:tc>
          <w:tcPr>
            <w:tcW w:w="15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23,099</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740"/>
              <w:spacing w:after="0"/>
              <w:rPr>
                <w:sz w:val="20"/>
                <w:szCs w:val="20"/>
                <w:color w:val="auto"/>
              </w:rPr>
            </w:pPr>
            <w:r>
              <w:rPr>
                <w:rFonts w:ascii="Arial" w:cs="Arial" w:eastAsia="Arial" w:hAnsi="Arial"/>
                <w:sz w:val="18"/>
                <w:szCs w:val="18"/>
                <w:color w:val="auto"/>
              </w:rPr>
              <w:t>Restricted cash</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740"/>
              <w:spacing w:after="0"/>
              <w:rPr>
                <w:sz w:val="20"/>
                <w:szCs w:val="20"/>
                <w:color w:val="auto"/>
              </w:rPr>
            </w:pPr>
            <w:r>
              <w:rPr>
                <w:rFonts w:ascii="Arial" w:cs="Arial" w:eastAsia="Arial" w:hAnsi="Arial"/>
                <w:sz w:val="18"/>
                <w:szCs w:val="18"/>
                <w:color w:val="auto"/>
              </w:rPr>
              <w:t>Due from related party</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Minority interest investment in former subsidiary</w:t>
            </w: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40" w:type="dxa"/>
            <w:vAlign w:val="bottom"/>
          </w:tcPr>
          <w:p>
            <w:pPr>
              <w:ind w:left="740"/>
              <w:spacing w:after="0"/>
              <w:rPr>
                <w:sz w:val="20"/>
                <w:szCs w:val="20"/>
                <w:color w:val="auto"/>
              </w:rPr>
            </w:pPr>
            <w:r>
              <w:rPr>
                <w:rFonts w:ascii="Arial" w:cs="Arial" w:eastAsia="Arial" w:hAnsi="Arial"/>
                <w:sz w:val="18"/>
                <w:szCs w:val="18"/>
                <w:color w:val="auto"/>
              </w:rPr>
              <w:t>Current assets held for sale</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Total current assets</w:t>
            </w:r>
          </w:p>
        </w:tc>
        <w:tc>
          <w:tcPr>
            <w:tcW w:w="13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24,670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17,994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Long-term assets</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Property and equipment, net</w:t>
            </w: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740"/>
              <w:spacing w:after="0"/>
              <w:rPr>
                <w:sz w:val="20"/>
                <w:szCs w:val="20"/>
                <w:color w:val="auto"/>
              </w:rPr>
            </w:pPr>
            <w:r>
              <w:rPr>
                <w:rFonts w:ascii="Arial" w:cs="Arial" w:eastAsia="Arial" w:hAnsi="Arial"/>
                <w:sz w:val="18"/>
                <w:szCs w:val="18"/>
                <w:color w:val="auto"/>
              </w:rPr>
              <w:t>Other assets</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Intangible assets, net</w:t>
            </w: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740"/>
              <w:spacing w:after="0"/>
              <w:rPr>
                <w:sz w:val="20"/>
                <w:szCs w:val="20"/>
                <w:color w:val="auto"/>
              </w:rPr>
            </w:pPr>
            <w:r>
              <w:rPr>
                <w:rFonts w:ascii="Arial" w:cs="Arial" w:eastAsia="Arial" w:hAnsi="Arial"/>
                <w:sz w:val="18"/>
                <w:szCs w:val="18"/>
                <w:color w:val="auto"/>
              </w:rPr>
              <w:t>Long-term assets held for sale</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Borders>
              <w:top w:val="single" w:sz="8" w:color="CFF0FC"/>
              <w:bottom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Total assets</w:t>
            </w:r>
          </w:p>
        </w:tc>
        <w:tc>
          <w:tcPr>
            <w:tcW w:w="13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43,151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39,022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934</w:t>
            </w:r>
          </w:p>
        </w:tc>
        <w:tc>
          <w:tcPr>
            <w:tcW w:w="160" w:type="dxa"/>
            <w:vAlign w:val="bottom"/>
          </w:tcPr>
          <w:p>
            <w:pPr>
              <w:spacing w:after="0"/>
              <w:rPr>
                <w:sz w:val="19"/>
                <w:szCs w:val="19"/>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compensation and other current liabilities</w:t>
            </w: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740"/>
              <w:spacing w:after="0"/>
              <w:rPr>
                <w:sz w:val="20"/>
                <w:szCs w:val="20"/>
                <w:color w:val="auto"/>
              </w:rPr>
            </w:pPr>
            <w:r>
              <w:rPr>
                <w:rFonts w:ascii="Arial" w:cs="Arial" w:eastAsia="Arial" w:hAnsi="Arial"/>
                <w:sz w:val="18"/>
                <w:szCs w:val="18"/>
                <w:color w:val="auto"/>
              </w:rPr>
              <w:t>Current liabilities held for sale</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Total current liabilities</w:t>
            </w:r>
          </w:p>
        </w:tc>
        <w:tc>
          <w:tcPr>
            <w:tcW w:w="13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Long-term liabilities</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Series A warrant liability</w:t>
            </w: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740"/>
              <w:spacing w:after="0"/>
              <w:rPr>
                <w:sz w:val="20"/>
                <w:szCs w:val="20"/>
                <w:color w:val="auto"/>
              </w:rPr>
            </w:pPr>
            <w:r>
              <w:rPr>
                <w:rFonts w:ascii="Arial" w:cs="Arial" w:eastAsia="Arial" w:hAnsi="Arial"/>
                <w:sz w:val="18"/>
                <w:szCs w:val="18"/>
                <w:color w:val="auto"/>
              </w:rPr>
              <w:t>Series C warrant liability</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2017 PIPE Warrant liability</w:t>
            </w: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740"/>
              <w:spacing w:after="0"/>
              <w:rPr>
                <w:sz w:val="20"/>
                <w:szCs w:val="20"/>
                <w:color w:val="auto"/>
              </w:rPr>
            </w:pPr>
            <w:r>
              <w:rPr>
                <w:rFonts w:ascii="Arial" w:cs="Arial" w:eastAsia="Arial" w:hAnsi="Arial"/>
                <w:sz w:val="18"/>
                <w:szCs w:val="18"/>
                <w:color w:val="auto"/>
              </w:rPr>
              <w:t>2018 PIPE Warrant liability</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Contingent liability for Essentialis purchase price</w:t>
            </w: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740"/>
              <w:spacing w:after="0"/>
              <w:rPr>
                <w:sz w:val="20"/>
                <w:szCs w:val="20"/>
                <w:color w:val="auto"/>
              </w:rPr>
            </w:pPr>
            <w:r>
              <w:rPr>
                <w:rFonts w:ascii="Arial" w:cs="Arial" w:eastAsia="Arial" w:hAnsi="Arial"/>
                <w:sz w:val="18"/>
                <w:szCs w:val="18"/>
                <w:color w:val="auto"/>
              </w:rPr>
              <w:t>Other liabilities</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Long-term liabilities held for sale</w:t>
            </w: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Total liabilities</w:t>
            </w:r>
          </w:p>
        </w:tc>
        <w:tc>
          <w:tcPr>
            <w:tcW w:w="13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12,738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7)</w:t>
            </w: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Stockholders’ equity</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10,000,000 shares authorized:</w:t>
            </w: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40" w:type="dxa"/>
            <w:vAlign w:val="bottom"/>
          </w:tcPr>
          <w:p>
            <w:pPr>
              <w:ind w:left="260"/>
              <w:spacing w:after="0"/>
              <w:rPr>
                <w:sz w:val="20"/>
                <w:szCs w:val="20"/>
                <w:color w:val="auto"/>
              </w:rPr>
            </w:pPr>
            <w:r>
              <w:rPr>
                <w:rFonts w:ascii="Arial" w:cs="Arial" w:eastAsia="Arial" w:hAnsi="Arial"/>
                <w:sz w:val="18"/>
                <w:szCs w:val="18"/>
                <w:color w:val="auto"/>
              </w:rPr>
              <w:t>Series B convertible preferred stock, 13,780 shares designated at</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380"/>
              <w:spacing w:after="0"/>
              <w:rPr>
                <w:sz w:val="20"/>
                <w:szCs w:val="20"/>
                <w:color w:val="auto"/>
              </w:rPr>
            </w:pPr>
            <w:r>
              <w:rPr>
                <w:rFonts w:ascii="Arial" w:cs="Arial" w:eastAsia="Arial" w:hAnsi="Arial"/>
                <w:sz w:val="18"/>
                <w:szCs w:val="18"/>
                <w:color w:val="auto"/>
              </w:rPr>
              <w:t>December 31, 2018 and December 31, 2017; zero and 4,571 shares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380"/>
              <w:spacing w:after="0"/>
              <w:rPr>
                <w:sz w:val="20"/>
                <w:szCs w:val="20"/>
                <w:color w:val="auto"/>
              </w:rPr>
            </w:pPr>
            <w:r>
              <w:rPr>
                <w:rFonts w:ascii="Arial" w:cs="Arial" w:eastAsia="Arial" w:hAnsi="Arial"/>
                <w:sz w:val="18"/>
                <w:szCs w:val="18"/>
                <w:color w:val="auto"/>
              </w:rPr>
              <w:t>issued and outstanding at December 31, 2018 and at December</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380"/>
              <w:spacing w:after="0"/>
              <w:rPr>
                <w:sz w:val="20"/>
                <w:szCs w:val="20"/>
                <w:color w:val="auto"/>
              </w:rPr>
            </w:pPr>
            <w:r>
              <w:rPr>
                <w:rFonts w:ascii="Arial" w:cs="Arial" w:eastAsia="Arial" w:hAnsi="Arial"/>
                <w:sz w:val="18"/>
                <w:szCs w:val="18"/>
                <w:color w:val="auto"/>
              </w:rPr>
              <w:t>31, 2017, respectively. Liquidation value of zero.</w:t>
            </w: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$0.001 par value, 100,000,000 shares authorized,</w:t>
            </w: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31,755,169 and 19,238,972 shares issued and outstanding at</w:t>
            </w: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2018 and December 31, 2017, respectively.</w:t>
            </w:r>
          </w:p>
        </w:tc>
        <w:tc>
          <w:tcPr>
            <w:tcW w:w="1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Additional paid-in-capital</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157,413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140,495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(127,032)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(113,697)</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13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30,413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3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43,151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39,022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6"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For the Years Ended</w:t>
      </w:r>
    </w:p>
    <w:p>
      <w:pPr>
        <w:jc w:val="center"/>
        <w:ind w:left="77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0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7,178</w:t>
            </w:r>
          </w:p>
        </w:tc>
        <w:tc>
          <w:tcPr>
            <w:tcW w:w="160" w:type="dxa"/>
            <w:vAlign w:val="bottom"/>
          </w:tcPr>
          <w:p>
            <w:pPr>
              <w:spacing w:after="0"/>
              <w:rPr>
                <w:sz w:val="19"/>
                <w:szCs w:val="19"/>
                <w:color w:val="auto"/>
              </w:rPr>
            </w:pP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1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operating expenses</w:t>
            </w:r>
          </w:p>
        </w:tc>
        <w:tc>
          <w:tcPr>
            <w:tcW w:w="1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(14,301)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Other income (expense)</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Cease-use income</w:t>
            </w: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Change in fair value of warrants liabilities</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deconsolidation of former subsidiary</w:t>
            </w: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Interest and other expense, net</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other income (expense)</w:t>
            </w:r>
          </w:p>
        </w:tc>
        <w:tc>
          <w:tcPr>
            <w:tcW w:w="1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Loss from continuing operations before provision for income tax benefit</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 benefit from continuing operations</w:t>
            </w: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2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w:t>
            </w: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Operating loss</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(1,494)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w:t>
            </w: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(13,335)</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(15,385)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Loss per common share from continuing operations, basic and diluted</w:t>
            </w:r>
          </w:p>
        </w:tc>
        <w:tc>
          <w:tcPr>
            <w:tcW w:w="16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Loss per common share from discontinued operations, basic and diluted</w:t>
            </w: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63"/>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per common share, basic and diluted</w:t>
            </w:r>
          </w:p>
        </w:tc>
        <w:tc>
          <w:tcPr>
            <w:tcW w:w="126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Weighted-average common shares outstanding used to calculate basic and</w:t>
            </w:r>
          </w:p>
        </w:tc>
        <w:tc>
          <w:tcPr>
            <w:tcW w:w="1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diluted net loss per common share</w:t>
            </w:r>
          </w:p>
        </w:tc>
        <w:tc>
          <w:tcPr>
            <w:tcW w:w="1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20,975,479</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8,977,795</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Series B Convertible</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Additional</w:t>
            </w:r>
          </w:p>
        </w:tc>
        <w:tc>
          <w:tcPr>
            <w:tcW w:w="10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rPr>
              <w:t>Preferred Stock</w:t>
            </w: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tcBorders>
              <w:bottom w:val="single" w:sz="8" w:color="auto"/>
            </w:tcBorders>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Paid-In</w:t>
            </w:r>
          </w:p>
        </w:tc>
        <w:tc>
          <w:tcPr>
            <w:tcW w:w="1040" w:type="dxa"/>
            <w:vAlign w:val="bottom"/>
            <w:gridSpan w:val="4"/>
            <w:vMerge w:val="continue"/>
          </w:tcPr>
          <w:p>
            <w:pPr>
              <w:spacing w:after="0"/>
              <w:rPr>
                <w:sz w:val="14"/>
                <w:szCs w:val="14"/>
                <w:color w:val="auto"/>
              </w:rPr>
            </w:pPr>
          </w:p>
        </w:tc>
        <w:tc>
          <w:tcPr>
            <w:tcW w:w="1000" w:type="dxa"/>
            <w:vAlign w:val="bottom"/>
            <w:gridSpan w:val="4"/>
          </w:tcPr>
          <w:p>
            <w:pPr>
              <w:ind w:left="80"/>
              <w:spacing w:after="0"/>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56"/>
        </w:trPr>
        <w:tc>
          <w:tcPr>
            <w:tcW w:w="43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142"/>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ind w:right="140"/>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0"/>
              <w:spacing w:after="0" w:line="155" w:lineRule="exact"/>
              <w:rPr>
                <w:sz w:val="20"/>
                <w:szCs w:val="20"/>
                <w:color w:val="auto"/>
              </w:rPr>
            </w:pPr>
            <w:r>
              <w:rPr>
                <w:rFonts w:ascii="Arial" w:cs="Arial" w:eastAsia="Arial" w:hAnsi="Arial"/>
                <w:sz w:val="14"/>
                <w:szCs w:val="14"/>
                <w:b w:val="1"/>
                <w:bCs w:val="1"/>
                <w:color w:val="auto"/>
                <w:w w:val="98"/>
              </w:rPr>
              <w:t>Amount</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60"/>
              <w:spacing w:after="0" w:line="155" w:lineRule="exact"/>
              <w:rPr>
                <w:sz w:val="20"/>
                <w:szCs w:val="20"/>
                <w:color w:val="auto"/>
              </w:rPr>
            </w:pPr>
            <w:r>
              <w:rPr>
                <w:rFonts w:ascii="Arial" w:cs="Arial" w:eastAsia="Arial" w:hAnsi="Arial"/>
                <w:sz w:val="14"/>
                <w:szCs w:val="14"/>
                <w:b w:val="1"/>
                <w:bCs w:val="1"/>
                <w:color w:val="auto"/>
              </w:rPr>
              <w:t>Equity</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Balances at January 1, 2017</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12,780</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3,357,387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101,744</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(98,312)</w:t>
            </w: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20" w:type="dxa"/>
            <w:vAlign w:val="bottom"/>
          </w:tcPr>
          <w:p>
            <w:pPr>
              <w:ind w:left="260"/>
              <w:spacing w:after="0"/>
              <w:rPr>
                <w:sz w:val="20"/>
                <w:szCs w:val="20"/>
                <w:color w:val="auto"/>
              </w:rPr>
            </w:pPr>
            <w:r>
              <w:rPr>
                <w:rFonts w:ascii="Arial" w:cs="Arial" w:eastAsia="Arial" w:hAnsi="Arial"/>
                <w:sz w:val="16"/>
                <w:szCs w:val="16"/>
                <w:color w:val="auto"/>
              </w:rPr>
              <w:t>Stock-based compensation</w:t>
            </w: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 on conversion of</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series B convertible preferred shares</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(8,209)</w:t>
            </w:r>
          </w:p>
        </w:tc>
        <w:tc>
          <w:tcPr>
            <w:tcW w:w="5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1,641,800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320" w:type="dxa"/>
            <w:vAlign w:val="bottom"/>
          </w:tcPr>
          <w:p>
            <w:pPr>
              <w:ind w:left="260"/>
              <w:spacing w:after="0"/>
              <w:rPr>
                <w:sz w:val="20"/>
                <w:szCs w:val="20"/>
                <w:color w:val="auto"/>
              </w:rPr>
            </w:pPr>
            <w:r>
              <w:rPr>
                <w:rFonts w:ascii="Arial" w:cs="Arial" w:eastAsia="Arial" w:hAnsi="Arial"/>
                <w:sz w:val="16"/>
                <w:szCs w:val="16"/>
                <w:color w:val="auto"/>
              </w:rPr>
              <w:t>Issuance of common stock to board members in</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20" w:type="dxa"/>
            <w:vAlign w:val="bottom"/>
          </w:tcPr>
          <w:p>
            <w:pPr>
              <w:ind w:left="380"/>
              <w:spacing w:after="0"/>
              <w:rPr>
                <w:sz w:val="20"/>
                <w:szCs w:val="20"/>
                <w:color w:val="auto"/>
              </w:rPr>
            </w:pPr>
            <w:r>
              <w:rPr>
                <w:rFonts w:ascii="Arial" w:cs="Arial" w:eastAsia="Arial" w:hAnsi="Arial"/>
                <w:sz w:val="16"/>
                <w:szCs w:val="16"/>
                <w:color w:val="auto"/>
              </w:rPr>
              <w:t>lieu of cash payments for quarterly board fees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90,306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 to acquire Essentialis</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3,783,388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17,247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320" w:type="dxa"/>
            <w:vAlign w:val="bottom"/>
          </w:tcPr>
          <w:p>
            <w:pPr>
              <w:ind w:left="260"/>
              <w:spacing w:after="0"/>
              <w:rPr>
                <w:sz w:val="20"/>
                <w:szCs w:val="20"/>
                <w:color w:val="auto"/>
              </w:rPr>
            </w:pPr>
            <w:r>
              <w:rPr>
                <w:rFonts w:ascii="Arial" w:cs="Arial" w:eastAsia="Arial" w:hAnsi="Arial"/>
                <w:sz w:val="16"/>
                <w:szCs w:val="16"/>
                <w:color w:val="auto"/>
              </w:rPr>
              <w:t>Sale of shares under the 2017 Aspire Purchase</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20" w:type="dxa"/>
            <w:vAlign w:val="bottom"/>
          </w:tcPr>
          <w:p>
            <w:pPr>
              <w:ind w:left="380"/>
              <w:spacing w:after="0"/>
              <w:rPr>
                <w:sz w:val="20"/>
                <w:szCs w:val="20"/>
                <w:color w:val="auto"/>
              </w:rPr>
            </w:pPr>
            <w:r>
              <w:rPr>
                <w:rFonts w:ascii="Arial" w:cs="Arial" w:eastAsia="Arial" w:hAnsi="Arial"/>
                <w:sz w:val="16"/>
                <w:szCs w:val="16"/>
                <w:color w:val="auto"/>
              </w:rPr>
              <w:t>Agreement</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2,083,333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9,998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shares to Aspire Capital in lieu of</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commitment fees</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141,666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20" w:type="dxa"/>
            <w:vAlign w:val="bottom"/>
          </w:tcPr>
          <w:p>
            <w:pPr>
              <w:ind w:left="260"/>
              <w:spacing w:after="0"/>
              <w:rPr>
                <w:sz w:val="20"/>
                <w:szCs w:val="20"/>
                <w:color w:val="auto"/>
              </w:rPr>
            </w:pPr>
            <w:r>
              <w:rPr>
                <w:rFonts w:ascii="Arial" w:cs="Arial" w:eastAsia="Arial" w:hAnsi="Arial"/>
                <w:sz w:val="16"/>
                <w:szCs w:val="16"/>
                <w:color w:val="auto"/>
              </w:rPr>
              <w:t>Rounding adjustment resulting from 1 for 5 reverse</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20" w:type="dxa"/>
            <w:vAlign w:val="bottom"/>
          </w:tcPr>
          <w:p>
            <w:pPr>
              <w:ind w:left="380"/>
              <w:spacing w:after="0"/>
              <w:rPr>
                <w:sz w:val="20"/>
                <w:szCs w:val="20"/>
                <w:color w:val="auto"/>
              </w:rPr>
            </w:pPr>
            <w:r>
              <w:rPr>
                <w:rFonts w:ascii="Arial" w:cs="Arial" w:eastAsia="Arial" w:hAnsi="Arial"/>
                <w:sz w:val="16"/>
                <w:szCs w:val="16"/>
                <w:color w:val="auto"/>
              </w:rPr>
              <w:t>split</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Sale of shares to investors in the 2017 PIPE, net of</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costs of $1,172</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8,141,116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13,819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13,827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20" w:type="dxa"/>
            <w:vAlign w:val="bottom"/>
          </w:tcPr>
          <w:p>
            <w:pPr>
              <w:ind w:left="260"/>
              <w:spacing w:after="0"/>
              <w:rPr>
                <w:sz w:val="20"/>
                <w:szCs w:val="20"/>
                <w:color w:val="auto"/>
              </w:rPr>
            </w:pPr>
            <w:r>
              <w:rPr>
                <w:rFonts w:ascii="Arial" w:cs="Arial" w:eastAsia="Arial" w:hAnsi="Arial"/>
                <w:sz w:val="16"/>
                <w:szCs w:val="16"/>
                <w:color w:val="auto"/>
              </w:rPr>
              <w:t>Fair value at transaction date of warrants to</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20" w:type="dxa"/>
            <w:vAlign w:val="bottom"/>
          </w:tcPr>
          <w:p>
            <w:pPr>
              <w:ind w:left="380"/>
              <w:spacing w:after="0"/>
              <w:rPr>
                <w:sz w:val="20"/>
                <w:szCs w:val="20"/>
                <w:color w:val="auto"/>
              </w:rPr>
            </w:pPr>
            <w:r>
              <w:rPr>
                <w:rFonts w:ascii="Arial" w:cs="Arial" w:eastAsia="Arial" w:hAnsi="Arial"/>
                <w:sz w:val="16"/>
                <w:szCs w:val="16"/>
                <w:color w:val="auto"/>
              </w:rPr>
              <w:t>purchase common stock under the 2017 PIPE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(4,187)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(4,187)</w:t>
            </w:r>
          </w:p>
        </w:tc>
        <w:tc>
          <w:tcPr>
            <w:tcW w:w="0" w:type="dxa"/>
            <w:vAlign w:val="bottom"/>
          </w:tcPr>
          <w:p>
            <w:pPr>
              <w:spacing w:after="0"/>
              <w:rPr>
                <w:sz w:val="1"/>
                <w:szCs w:val="1"/>
                <w:color w:val="auto"/>
              </w:rPr>
            </w:pPr>
          </w:p>
        </w:tc>
      </w:tr>
      <w:tr>
        <w:trPr>
          <w:trHeight w:val="219"/>
        </w:trPr>
        <w:tc>
          <w:tcPr>
            <w:tcW w:w="4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(15,385)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(15,385)</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6"/>
                <w:szCs w:val="16"/>
                <w:color w:val="auto"/>
              </w:rPr>
              <w:t>Balances at December 31, 2017</w:t>
            </w: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320" w:type="dxa"/>
            <w:vAlign w:val="bottom"/>
            <w:vMerge w:val="continue"/>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4,571</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19,238,972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140,495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(113,697)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26,817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320" w:type="dxa"/>
            <w:vAlign w:val="bottom"/>
          </w:tcPr>
          <w:p>
            <w:pPr>
              <w:ind w:left="260"/>
              <w:spacing w:after="0"/>
              <w:rPr>
                <w:sz w:val="20"/>
                <w:szCs w:val="20"/>
                <w:color w:val="auto"/>
              </w:rPr>
            </w:pPr>
            <w:r>
              <w:rPr>
                <w:rFonts w:ascii="Arial" w:cs="Arial" w:eastAsia="Arial" w:hAnsi="Arial"/>
                <w:sz w:val="16"/>
                <w:szCs w:val="16"/>
                <w:color w:val="auto"/>
              </w:rPr>
              <w:t>Issuance of common stock on conversion of</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20" w:type="dxa"/>
            <w:vAlign w:val="bottom"/>
          </w:tcPr>
          <w:p>
            <w:pPr>
              <w:ind w:left="380"/>
              <w:spacing w:after="0"/>
              <w:rPr>
                <w:sz w:val="20"/>
                <w:szCs w:val="20"/>
                <w:color w:val="auto"/>
              </w:rPr>
            </w:pPr>
            <w:r>
              <w:rPr>
                <w:rFonts w:ascii="Arial" w:cs="Arial" w:eastAsia="Arial" w:hAnsi="Arial"/>
                <w:sz w:val="16"/>
                <w:szCs w:val="16"/>
                <w:color w:val="auto"/>
              </w:rPr>
              <w:t>series B convertible preferred shares</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(4,571)</w:t>
            </w:r>
          </w:p>
        </w:tc>
        <w:tc>
          <w:tcPr>
            <w:tcW w:w="540" w:type="dxa"/>
            <w:vAlign w:val="bottom"/>
          </w:tcPr>
          <w:p>
            <w:pPr>
              <w:spacing w:after="0"/>
              <w:rPr>
                <w:sz w:val="18"/>
                <w:szCs w:val="18"/>
                <w:color w:val="auto"/>
              </w:rPr>
            </w:pPr>
          </w:p>
        </w:tc>
        <w:tc>
          <w:tcPr>
            <w:tcW w:w="460" w:type="dxa"/>
            <w:vAlign w:val="bottom"/>
            <w:gridSpan w:val="2"/>
          </w:tcPr>
          <w:p>
            <w:pPr>
              <w:jc w:val="center"/>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914,200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restricted common stock for bonuses</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99,217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320" w:type="dxa"/>
            <w:vAlign w:val="bottom"/>
          </w:tcPr>
          <w:p>
            <w:pPr>
              <w:ind w:left="260"/>
              <w:spacing w:after="0"/>
              <w:rPr>
                <w:sz w:val="20"/>
                <w:szCs w:val="20"/>
                <w:color w:val="auto"/>
              </w:rPr>
            </w:pPr>
            <w:r>
              <w:rPr>
                <w:rFonts w:ascii="Arial" w:cs="Arial" w:eastAsia="Arial" w:hAnsi="Arial"/>
                <w:sz w:val="16"/>
                <w:szCs w:val="16"/>
                <w:color w:val="auto"/>
              </w:rPr>
              <w:t>Issuance of common stock to board members</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20" w:type="dxa"/>
            <w:vAlign w:val="bottom"/>
          </w:tcPr>
          <w:p>
            <w:pPr>
              <w:ind w:left="380"/>
              <w:spacing w:after="0"/>
              <w:rPr>
                <w:sz w:val="20"/>
                <w:szCs w:val="20"/>
                <w:color w:val="auto"/>
              </w:rPr>
            </w:pPr>
            <w:r>
              <w:rPr>
                <w:rFonts w:ascii="Arial" w:cs="Arial" w:eastAsia="Arial" w:hAnsi="Arial"/>
                <w:sz w:val="16"/>
                <w:szCs w:val="16"/>
                <w:color w:val="auto"/>
              </w:rPr>
              <w:t>in lieu of cash payments for quarterly board fees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146,371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 held back on</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acquisition of Essentialis</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1,084,034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320" w:type="dxa"/>
            <w:vAlign w:val="bottom"/>
          </w:tcPr>
          <w:p>
            <w:pPr>
              <w:ind w:left="260"/>
              <w:spacing w:after="0"/>
              <w:rPr>
                <w:sz w:val="20"/>
                <w:szCs w:val="20"/>
                <w:color w:val="auto"/>
              </w:rPr>
            </w:pPr>
            <w:r>
              <w:rPr>
                <w:rFonts w:ascii="Arial" w:cs="Arial" w:eastAsia="Arial" w:hAnsi="Arial"/>
                <w:sz w:val="16"/>
                <w:szCs w:val="16"/>
                <w:color w:val="auto"/>
              </w:rPr>
              <w:t>Sale of shares to investors in the 2018 PIPE, net of</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20" w:type="dxa"/>
            <w:vAlign w:val="bottom"/>
          </w:tcPr>
          <w:p>
            <w:pPr>
              <w:ind w:left="380"/>
              <w:spacing w:after="0"/>
              <w:rPr>
                <w:sz w:val="20"/>
                <w:szCs w:val="20"/>
                <w:color w:val="auto"/>
              </w:rPr>
            </w:pPr>
            <w:r>
              <w:rPr>
                <w:rFonts w:ascii="Arial" w:cs="Arial" w:eastAsia="Arial" w:hAnsi="Arial"/>
                <w:sz w:val="16"/>
                <w:szCs w:val="16"/>
                <w:color w:val="auto"/>
              </w:rPr>
              <w:t>costs of $250</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10,272,375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16,239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Fair value at transaction date of warrants to</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purchase common stock under the 2018 PIPE</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(582)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(582)</w:t>
            </w:r>
          </w:p>
        </w:tc>
        <w:tc>
          <w:tcPr>
            <w:tcW w:w="0" w:type="dxa"/>
            <w:vAlign w:val="bottom"/>
          </w:tcPr>
          <w:p>
            <w:pPr>
              <w:spacing w:after="0"/>
              <w:rPr>
                <w:sz w:val="1"/>
                <w:szCs w:val="1"/>
                <w:color w:val="auto"/>
              </w:rPr>
            </w:pPr>
          </w:p>
        </w:tc>
      </w:tr>
      <w:tr>
        <w:trPr>
          <w:trHeight w:val="213"/>
        </w:trPr>
        <w:tc>
          <w:tcPr>
            <w:tcW w:w="4320" w:type="dxa"/>
            <w:vAlign w:val="bottom"/>
          </w:tcPr>
          <w:p>
            <w:pPr>
              <w:ind w:left="260"/>
              <w:spacing w:after="0"/>
              <w:rPr>
                <w:sz w:val="20"/>
                <w:szCs w:val="20"/>
                <w:color w:val="auto"/>
              </w:rPr>
            </w:pPr>
            <w:r>
              <w:rPr>
                <w:rFonts w:ascii="Arial" w:cs="Arial" w:eastAsia="Arial" w:hAnsi="Arial"/>
                <w:sz w:val="16"/>
                <w:szCs w:val="16"/>
                <w:color w:val="auto"/>
              </w:rPr>
              <w:t>Net loss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(13,335)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(13,335)</w:t>
            </w:r>
          </w:p>
        </w:tc>
        <w:tc>
          <w:tcPr>
            <w:tcW w:w="0" w:type="dxa"/>
            <w:vAlign w:val="bottom"/>
          </w:tcPr>
          <w:p>
            <w:pPr>
              <w:spacing w:after="0"/>
              <w:rPr>
                <w:sz w:val="1"/>
                <w:szCs w:val="1"/>
                <w:color w:val="auto"/>
              </w:rPr>
            </w:pPr>
          </w:p>
        </w:tc>
      </w:tr>
      <w:tr>
        <w:trPr>
          <w:trHeight w:val="20"/>
        </w:trPr>
        <w:tc>
          <w:tcPr>
            <w:tcW w:w="43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Balances at December 31, 2018</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vMerge w:val="continue"/>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31,755,169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157,413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(127,032)</w:t>
            </w: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30,413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90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4"/>
                <w:szCs w:val="14"/>
                <w:b w:val="1"/>
                <w:bCs w:val="1"/>
                <w:color w:val="auto"/>
              </w:rPr>
              <w:t>For the Years Ended December 31,</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240" w:type="dxa"/>
            <w:vAlign w:val="bottom"/>
          </w:tcPr>
          <w:p>
            <w:pPr>
              <w:spacing w:after="0"/>
              <w:rPr>
                <w:sz w:val="13"/>
                <w:szCs w:val="13"/>
                <w:color w:val="auto"/>
              </w:rPr>
            </w:pPr>
          </w:p>
        </w:tc>
        <w:tc>
          <w:tcPr>
            <w:tcW w:w="2660" w:type="dxa"/>
            <w:vAlign w:val="bottom"/>
            <w:gridSpan w:val="2"/>
          </w:tcPr>
          <w:p>
            <w:pPr>
              <w:jc w:val="right"/>
              <w:ind w:right="52"/>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ind w:right="67"/>
              <w:spacing w:after="0" w:line="155" w:lineRule="exact"/>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6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20"/>
                <w:szCs w:val="20"/>
                <w:color w:val="auto"/>
              </w:rPr>
            </w:pPr>
            <w:r>
              <w:rPr>
                <w:rFonts w:ascii="Arial" w:cs="Arial" w:eastAsia="Arial" w:hAnsi="Arial"/>
                <w:sz w:val="14"/>
                <w:szCs w:val="14"/>
                <w:color w:val="auto"/>
              </w:rPr>
              <w:t>Net loss</w:t>
            </w:r>
          </w:p>
        </w:tc>
        <w:tc>
          <w:tcPr>
            <w:tcW w:w="2660" w:type="dxa"/>
            <w:vAlign w:val="bottom"/>
            <w:gridSpan w:val="2"/>
          </w:tcPr>
          <w:p>
            <w:pPr>
              <w:jc w:val="right"/>
              <w:ind w:right="892"/>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(13,335)</w:t>
            </w:r>
          </w:p>
        </w:tc>
        <w:tc>
          <w:tcPr>
            <w:tcW w:w="1040" w:type="dxa"/>
            <w:vAlign w:val="bottom"/>
          </w:tcPr>
          <w:p>
            <w:pPr>
              <w:jc w:val="right"/>
              <w:ind w:right="927"/>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(15,385)</w:t>
            </w:r>
          </w:p>
        </w:tc>
        <w:tc>
          <w:tcPr>
            <w:tcW w:w="0" w:type="dxa"/>
            <w:vAlign w:val="bottom"/>
          </w:tcPr>
          <w:p>
            <w:pPr>
              <w:spacing w:after="0"/>
              <w:rPr>
                <w:sz w:val="1"/>
                <w:szCs w:val="1"/>
                <w:color w:val="auto"/>
              </w:rPr>
            </w:pPr>
          </w:p>
        </w:tc>
      </w:tr>
      <w:tr>
        <w:trPr>
          <w:trHeight w:val="162"/>
        </w:trPr>
        <w:tc>
          <w:tcPr>
            <w:tcW w:w="6240" w:type="dxa"/>
            <w:vAlign w:val="bottom"/>
            <w:shd w:val="clear" w:color="auto" w:fill="CFF0FC"/>
          </w:tcPr>
          <w:p>
            <w:pPr>
              <w:spacing w:after="0"/>
              <w:rPr>
                <w:sz w:val="20"/>
                <w:szCs w:val="20"/>
                <w:color w:val="auto"/>
              </w:rPr>
            </w:pPr>
            <w:r>
              <w:rPr>
                <w:rFonts w:ascii="Arial" w:cs="Arial" w:eastAsia="Arial" w:hAnsi="Arial"/>
                <w:sz w:val="14"/>
                <w:szCs w:val="14"/>
                <w:color w:val="auto"/>
              </w:rPr>
              <w:t>Loss from discontinued operations</w:t>
            </w:r>
          </w:p>
        </w:tc>
        <w:tc>
          <w:tcPr>
            <w:tcW w:w="16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(1,494)</w:t>
            </w:r>
          </w:p>
        </w:tc>
        <w:tc>
          <w:tcPr>
            <w:tcW w:w="10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(3,593)</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4"/>
                <w:szCs w:val="14"/>
                <w:color w:val="auto"/>
              </w:rPr>
              <w:t>Loss from continuing operations</w:t>
            </w:r>
          </w:p>
        </w:tc>
        <w:tc>
          <w:tcPr>
            <w:tcW w:w="16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40" w:type="dxa"/>
            <w:vAlign w:val="bottom"/>
            <w:vMerge w:val="continue"/>
          </w:tcPr>
          <w:p>
            <w:pPr>
              <w:spacing w:after="0"/>
              <w:rPr>
                <w:sz w:val="13"/>
                <w:szCs w:val="13"/>
                <w:color w:val="auto"/>
              </w:rPr>
            </w:pPr>
          </w:p>
        </w:tc>
        <w:tc>
          <w:tcPr>
            <w:tcW w:w="1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(11,841)</w:t>
            </w:r>
          </w:p>
        </w:tc>
        <w:tc>
          <w:tcPr>
            <w:tcW w:w="1040" w:type="dxa"/>
            <w:vAlign w:val="bottom"/>
          </w:tcPr>
          <w:p>
            <w:pPr>
              <w:spacing w:after="0"/>
              <w:rPr>
                <w:sz w:val="13"/>
                <w:szCs w:val="13"/>
                <w:color w:val="auto"/>
              </w:rPr>
            </w:pPr>
          </w:p>
        </w:tc>
        <w:tc>
          <w:tcPr>
            <w:tcW w:w="6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(11,792)</w:t>
            </w:r>
          </w:p>
        </w:tc>
        <w:tc>
          <w:tcPr>
            <w:tcW w:w="0" w:type="dxa"/>
            <w:vAlign w:val="bottom"/>
          </w:tcPr>
          <w:p>
            <w:pPr>
              <w:spacing w:after="0"/>
              <w:rPr>
                <w:sz w:val="1"/>
                <w:szCs w:val="1"/>
                <w:color w:val="auto"/>
              </w:rPr>
            </w:pPr>
          </w:p>
        </w:tc>
      </w:tr>
      <w:tr>
        <w:trPr>
          <w:trHeight w:val="151"/>
        </w:trPr>
        <w:tc>
          <w:tcPr>
            <w:tcW w:w="624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rPr>
              <w:t>Adjustments to reconcile net loss from continuing operations to net cash used in</w:t>
            </w:r>
          </w:p>
        </w:tc>
        <w:tc>
          <w:tcPr>
            <w:tcW w:w="16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240" w:type="dxa"/>
            <w:vAlign w:val="bottom"/>
            <w:shd w:val="clear" w:color="auto" w:fill="CFF0FC"/>
          </w:tcPr>
          <w:p>
            <w:pPr>
              <w:ind w:left="100"/>
              <w:spacing w:after="0" w:line="159" w:lineRule="exact"/>
              <w:rPr>
                <w:sz w:val="20"/>
                <w:szCs w:val="20"/>
                <w:color w:val="auto"/>
              </w:rPr>
            </w:pPr>
            <w:r>
              <w:rPr>
                <w:rFonts w:ascii="Arial" w:cs="Arial" w:eastAsia="Arial" w:hAnsi="Arial"/>
                <w:sz w:val="14"/>
                <w:szCs w:val="14"/>
                <w:color w:val="auto"/>
              </w:rPr>
              <w:t>operating activities:</w:t>
            </w:r>
          </w:p>
        </w:tc>
        <w:tc>
          <w:tcPr>
            <w:tcW w:w="16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1,963</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 expense</w:t>
            </w:r>
          </w:p>
        </w:tc>
        <w:tc>
          <w:tcPr>
            <w:tcW w:w="16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988</w:t>
            </w: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260"/>
              <w:spacing w:after="0"/>
              <w:rPr>
                <w:sz w:val="20"/>
                <w:szCs w:val="20"/>
                <w:color w:val="auto"/>
              </w:rPr>
            </w:pPr>
            <w:r>
              <w:rPr>
                <w:rFonts w:ascii="Arial" w:cs="Arial" w:eastAsia="Arial" w:hAnsi="Arial"/>
                <w:sz w:val="14"/>
                <w:szCs w:val="14"/>
                <w:color w:val="auto"/>
              </w:rPr>
              <w:t>Income tax benefit</w:t>
            </w:r>
          </w:p>
        </w:tc>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(1,651)</w:t>
            </w:r>
          </w:p>
        </w:tc>
        <w:tc>
          <w:tcPr>
            <w:tcW w:w="0" w:type="dxa"/>
            <w:vAlign w:val="bottom"/>
          </w:tcPr>
          <w:p>
            <w:pPr>
              <w:spacing w:after="0"/>
              <w:rPr>
                <w:sz w:val="1"/>
                <w:szCs w:val="1"/>
                <w:color w:val="auto"/>
              </w:rPr>
            </w:pPr>
          </w:p>
        </w:tc>
      </w:tr>
      <w:tr>
        <w:trPr>
          <w:trHeight w:val="162"/>
        </w:trPr>
        <w:tc>
          <w:tcPr>
            <w:tcW w:w="6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Board fees paid with common stock</w:t>
            </w:r>
          </w:p>
        </w:tc>
        <w:tc>
          <w:tcPr>
            <w:tcW w:w="16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w:t>
            </w: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260"/>
              <w:spacing w:after="0"/>
              <w:rPr>
                <w:sz w:val="20"/>
                <w:szCs w:val="20"/>
                <w:color w:val="auto"/>
              </w:rPr>
            </w:pPr>
            <w:r>
              <w:rPr>
                <w:rFonts w:ascii="Arial" w:cs="Arial" w:eastAsia="Arial" w:hAnsi="Arial"/>
                <w:sz w:val="14"/>
                <w:szCs w:val="14"/>
                <w:color w:val="auto"/>
              </w:rPr>
              <w:t>Change in fair value of stock warrants</w:t>
            </w:r>
          </w:p>
        </w:tc>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(522)</w:t>
            </w: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685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 in fair value of contingent consideration</w:t>
            </w:r>
          </w:p>
        </w:tc>
        <w:tc>
          <w:tcPr>
            <w:tcW w:w="16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567</w:t>
            </w: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260"/>
              <w:spacing w:after="0"/>
              <w:rPr>
                <w:sz w:val="20"/>
                <w:szCs w:val="20"/>
                <w:color w:val="auto"/>
              </w:rPr>
            </w:pPr>
            <w:r>
              <w:rPr>
                <w:rFonts w:ascii="Arial" w:cs="Arial" w:eastAsia="Arial" w:hAnsi="Arial"/>
                <w:sz w:val="14"/>
                <w:szCs w:val="14"/>
                <w:color w:val="auto"/>
              </w:rPr>
              <w:t>Non-cash expense of issuing shares to Aspire Capital</w:t>
            </w:r>
          </w:p>
        </w:tc>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Gain on deconsolidation of former subsidiary</w:t>
            </w:r>
          </w:p>
        </w:tc>
        <w:tc>
          <w:tcPr>
            <w:tcW w:w="16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(1,994)</w:t>
            </w:r>
          </w:p>
        </w:tc>
        <w:tc>
          <w:tcPr>
            <w:tcW w:w="10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240" w:type="dxa"/>
            <w:vAlign w:val="bottom"/>
          </w:tcPr>
          <w:p>
            <w:pPr>
              <w:ind w:left="260"/>
              <w:spacing w:after="0"/>
              <w:rPr>
                <w:sz w:val="20"/>
                <w:szCs w:val="20"/>
                <w:color w:val="auto"/>
              </w:rPr>
            </w:pPr>
            <w:r>
              <w:rPr>
                <w:rFonts w:ascii="Arial" w:cs="Arial" w:eastAsia="Arial" w:hAnsi="Arial"/>
                <w:sz w:val="14"/>
                <w:szCs w:val="14"/>
                <w:color w:val="auto"/>
              </w:rPr>
              <w:t>Operating loss of minority interest investment</w:t>
            </w:r>
          </w:p>
        </w:tc>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160</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 in operating assets and liabilities:</w:t>
            </w:r>
          </w:p>
        </w:tc>
        <w:tc>
          <w:tcPr>
            <w:tcW w:w="16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Prepaid expenses, other current assets and other assets</w:t>
            </w:r>
          </w:p>
        </w:tc>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(60)</w:t>
            </w:r>
          </w:p>
        </w:tc>
        <w:tc>
          <w:tcPr>
            <w:tcW w:w="10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62"/>
        </w:trPr>
        <w:tc>
          <w:tcPr>
            <w:tcW w:w="62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Due from related party</w:t>
            </w:r>
          </w:p>
        </w:tc>
        <w:tc>
          <w:tcPr>
            <w:tcW w:w="16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(64)</w:t>
            </w:r>
          </w:p>
        </w:tc>
        <w:tc>
          <w:tcPr>
            <w:tcW w:w="10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Accounts payable</w:t>
            </w:r>
          </w:p>
        </w:tc>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249</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Accrued compensation and other current liabilities</w:t>
            </w:r>
          </w:p>
        </w:tc>
        <w:tc>
          <w:tcPr>
            <w:tcW w:w="16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(43)</w:t>
            </w:r>
          </w:p>
        </w:tc>
        <w:tc>
          <w:tcPr>
            <w:tcW w:w="10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Other long-term liabilities</w:t>
            </w:r>
          </w:p>
        </w:tc>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
        </w:trPr>
        <w:tc>
          <w:tcPr>
            <w:tcW w:w="6240" w:type="dxa"/>
            <w:vAlign w:val="bottom"/>
            <w:vMerge w:val="restart"/>
            <w:shd w:val="clear" w:color="auto" w:fill="CFF0FC"/>
          </w:tcPr>
          <w:p>
            <w:pPr>
              <w:ind w:left="740"/>
              <w:spacing w:after="0"/>
              <w:rPr>
                <w:sz w:val="20"/>
                <w:szCs w:val="20"/>
                <w:color w:val="auto"/>
              </w:rPr>
            </w:pPr>
            <w:r>
              <w:rPr>
                <w:rFonts w:ascii="Arial" w:cs="Arial" w:eastAsia="Arial" w:hAnsi="Arial"/>
                <w:sz w:val="14"/>
                <w:szCs w:val="14"/>
                <w:b w:val="1"/>
                <w:bCs w:val="1"/>
                <w:color w:val="auto"/>
              </w:rPr>
              <w:t>Net cash used in continuing operating activities</w:t>
            </w:r>
          </w:p>
        </w:tc>
        <w:tc>
          <w:tcPr>
            <w:tcW w:w="16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40" w:type="dxa"/>
            <w:vAlign w:val="bottom"/>
            <w:vMerge w:val="continue"/>
            <w:shd w:val="clear" w:color="auto" w:fill="CFF0FC"/>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color w:val="auto"/>
              </w:rPr>
              <w:t>(10,322)</w:t>
            </w:r>
          </w:p>
        </w:tc>
        <w:tc>
          <w:tcPr>
            <w:tcW w:w="10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(6,919)</w:t>
            </w:r>
          </w:p>
        </w:tc>
        <w:tc>
          <w:tcPr>
            <w:tcW w:w="0" w:type="dxa"/>
            <w:vAlign w:val="bottom"/>
          </w:tcPr>
          <w:p>
            <w:pPr>
              <w:spacing w:after="0"/>
              <w:rPr>
                <w:sz w:val="1"/>
                <w:szCs w:val="1"/>
                <w:color w:val="auto"/>
              </w:rPr>
            </w:pPr>
          </w:p>
        </w:tc>
      </w:tr>
      <w:tr>
        <w:trPr>
          <w:trHeight w:val="162"/>
        </w:trPr>
        <w:tc>
          <w:tcPr>
            <w:tcW w:w="6240" w:type="dxa"/>
            <w:vAlign w:val="bottom"/>
          </w:tcPr>
          <w:p>
            <w:pPr>
              <w:ind w:left="740"/>
              <w:spacing w:after="0"/>
              <w:rPr>
                <w:sz w:val="20"/>
                <w:szCs w:val="20"/>
                <w:color w:val="auto"/>
              </w:rPr>
            </w:pPr>
            <w:r>
              <w:rPr>
                <w:rFonts w:ascii="Arial" w:cs="Arial" w:eastAsia="Arial" w:hAnsi="Arial"/>
                <w:sz w:val="14"/>
                <w:szCs w:val="14"/>
                <w:b w:val="1"/>
                <w:bCs w:val="1"/>
                <w:color w:val="auto"/>
              </w:rPr>
              <w:t>Net cash used in discontinued operating activities</w:t>
            </w:r>
          </w:p>
        </w:tc>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(1,361)</w:t>
            </w:r>
          </w:p>
        </w:tc>
        <w:tc>
          <w:tcPr>
            <w:tcW w:w="10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(3,031)</w:t>
            </w:r>
          </w:p>
        </w:tc>
        <w:tc>
          <w:tcPr>
            <w:tcW w:w="0" w:type="dxa"/>
            <w:vAlign w:val="bottom"/>
          </w:tcPr>
          <w:p>
            <w:pPr>
              <w:spacing w:after="0"/>
              <w:rPr>
                <w:sz w:val="1"/>
                <w:szCs w:val="1"/>
                <w:color w:val="auto"/>
              </w:rPr>
            </w:pPr>
          </w:p>
        </w:tc>
      </w:tr>
      <w:tr>
        <w:trPr>
          <w:trHeight w:val="20"/>
        </w:trPr>
        <w:tc>
          <w:tcPr>
            <w:tcW w:w="6240" w:type="dxa"/>
            <w:vAlign w:val="bottom"/>
            <w:vMerge w:val="restart"/>
            <w:shd w:val="clear" w:color="auto" w:fill="CFF0FC"/>
          </w:tcPr>
          <w:p>
            <w:pPr>
              <w:ind w:left="740"/>
              <w:spacing w:after="0"/>
              <w:rPr>
                <w:sz w:val="20"/>
                <w:szCs w:val="20"/>
                <w:color w:val="auto"/>
              </w:rPr>
            </w:pPr>
            <w:r>
              <w:rPr>
                <w:rFonts w:ascii="Arial" w:cs="Arial" w:eastAsia="Arial" w:hAnsi="Arial"/>
                <w:sz w:val="14"/>
                <w:szCs w:val="14"/>
                <w:b w:val="1"/>
                <w:bCs w:val="1"/>
                <w:color w:val="auto"/>
              </w:rPr>
              <w:t>Net cash used in operating activities</w:t>
            </w:r>
          </w:p>
        </w:tc>
        <w:tc>
          <w:tcPr>
            <w:tcW w:w="16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40" w:type="dxa"/>
            <w:vAlign w:val="bottom"/>
            <w:vMerge w:val="continue"/>
            <w:shd w:val="clear" w:color="auto" w:fill="CFF0FC"/>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color w:val="auto"/>
              </w:rPr>
              <w:t>(11,683)</w:t>
            </w:r>
          </w:p>
        </w:tc>
        <w:tc>
          <w:tcPr>
            <w:tcW w:w="10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(9,950)</w:t>
            </w:r>
          </w:p>
        </w:tc>
        <w:tc>
          <w:tcPr>
            <w:tcW w:w="0" w:type="dxa"/>
            <w:vAlign w:val="bottom"/>
          </w:tcPr>
          <w:p>
            <w:pPr>
              <w:spacing w:after="0"/>
              <w:rPr>
                <w:sz w:val="1"/>
                <w:szCs w:val="1"/>
                <w:color w:val="auto"/>
              </w:rPr>
            </w:pPr>
          </w:p>
        </w:tc>
      </w:tr>
      <w:tr>
        <w:trPr>
          <w:trHeight w:val="156"/>
        </w:trPr>
        <w:tc>
          <w:tcPr>
            <w:tcW w:w="624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6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FF0FC"/>
          </w:tcPr>
          <w:p>
            <w:pPr>
              <w:spacing w:after="0"/>
              <w:rPr>
                <w:sz w:val="20"/>
                <w:szCs w:val="20"/>
                <w:color w:val="auto"/>
              </w:rPr>
            </w:pPr>
            <w:r>
              <w:rPr>
                <w:rFonts w:ascii="Arial" w:cs="Arial" w:eastAsia="Arial" w:hAnsi="Arial"/>
                <w:sz w:val="14"/>
                <w:szCs w:val="14"/>
                <w:color w:val="auto"/>
              </w:rPr>
              <w:t>Costs of Essentialis acquisition paid</w:t>
            </w:r>
          </w:p>
        </w:tc>
        <w:tc>
          <w:tcPr>
            <w:tcW w:w="16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20"/>
                <w:szCs w:val="20"/>
                <w:color w:val="auto"/>
              </w:rPr>
            </w:pPr>
            <w:r>
              <w:rPr>
                <w:rFonts w:ascii="Arial" w:cs="Arial" w:eastAsia="Arial" w:hAnsi="Arial"/>
                <w:sz w:val="14"/>
                <w:szCs w:val="14"/>
                <w:color w:val="auto"/>
              </w:rPr>
              <w:t>Security deposit on sublease</w:t>
            </w:r>
          </w:p>
        </w:tc>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FF0FC"/>
          </w:tcPr>
          <w:p>
            <w:pPr>
              <w:spacing w:after="0"/>
              <w:rPr>
                <w:sz w:val="20"/>
                <w:szCs w:val="20"/>
                <w:color w:val="auto"/>
              </w:rPr>
            </w:pPr>
            <w:r>
              <w:rPr>
                <w:rFonts w:ascii="Arial" w:cs="Arial" w:eastAsia="Arial" w:hAnsi="Arial"/>
                <w:sz w:val="14"/>
                <w:szCs w:val="14"/>
                <w:color w:val="auto"/>
              </w:rPr>
              <w:t>Purchases of property and equipment</w:t>
            </w:r>
          </w:p>
        </w:tc>
        <w:tc>
          <w:tcPr>
            <w:tcW w:w="16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(8)</w:t>
            </w:r>
          </w:p>
        </w:tc>
        <w:tc>
          <w:tcPr>
            <w:tcW w:w="10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Net cash used in continuing investing activities</w:t>
            </w:r>
          </w:p>
        </w:tc>
        <w:tc>
          <w:tcPr>
            <w:tcW w:w="16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40" w:type="dxa"/>
            <w:vAlign w:val="bottom"/>
            <w:vMerge w:val="continue"/>
          </w:tcPr>
          <w:p>
            <w:pPr>
              <w:spacing w:after="0"/>
              <w:rPr>
                <w:sz w:val="13"/>
                <w:szCs w:val="13"/>
                <w:color w:val="auto"/>
              </w:rPr>
            </w:pPr>
          </w:p>
        </w:tc>
        <w:tc>
          <w:tcPr>
            <w:tcW w:w="1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(8)</w:t>
            </w:r>
          </w:p>
        </w:tc>
        <w:tc>
          <w:tcPr>
            <w:tcW w:w="1040" w:type="dxa"/>
            <w:vAlign w:val="bottom"/>
          </w:tcPr>
          <w:p>
            <w:pPr>
              <w:spacing w:after="0"/>
              <w:rPr>
                <w:sz w:val="13"/>
                <w:szCs w:val="13"/>
                <w:color w:val="auto"/>
              </w:rPr>
            </w:pPr>
          </w:p>
        </w:tc>
        <w:tc>
          <w:tcPr>
            <w:tcW w:w="6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162"/>
        </w:trPr>
        <w:tc>
          <w:tcPr>
            <w:tcW w:w="6240" w:type="dxa"/>
            <w:vAlign w:val="bottom"/>
            <w:shd w:val="clear" w:color="auto" w:fill="CFF0FC"/>
          </w:tcPr>
          <w:p>
            <w:pPr>
              <w:ind w:left="740"/>
              <w:spacing w:after="0"/>
              <w:rPr>
                <w:sz w:val="20"/>
                <w:szCs w:val="20"/>
                <w:color w:val="auto"/>
              </w:rPr>
            </w:pPr>
            <w:r>
              <w:rPr>
                <w:rFonts w:ascii="Arial" w:cs="Arial" w:eastAsia="Arial" w:hAnsi="Arial"/>
                <w:sz w:val="14"/>
                <w:szCs w:val="14"/>
                <w:b w:val="1"/>
                <w:bCs w:val="1"/>
                <w:color w:val="auto"/>
              </w:rPr>
              <w:t>Net cash (used in) provided by discontinued investing activities</w:t>
            </w:r>
          </w:p>
        </w:tc>
        <w:tc>
          <w:tcPr>
            <w:tcW w:w="16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(172)</w:t>
            </w: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16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40" w:type="dxa"/>
            <w:vAlign w:val="bottom"/>
            <w:vMerge w:val="continue"/>
          </w:tcPr>
          <w:p>
            <w:pPr>
              <w:spacing w:after="0"/>
              <w:rPr>
                <w:sz w:val="13"/>
                <w:szCs w:val="13"/>
                <w:color w:val="auto"/>
              </w:rPr>
            </w:pPr>
          </w:p>
        </w:tc>
        <w:tc>
          <w:tcPr>
            <w:tcW w:w="1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(180)</w:t>
            </w:r>
          </w:p>
        </w:tc>
        <w:tc>
          <w:tcPr>
            <w:tcW w:w="104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154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62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20"/>
                <w:szCs w:val="20"/>
                <w:color w:val="auto"/>
              </w:rPr>
            </w:pPr>
            <w:r>
              <w:rPr>
                <w:rFonts w:ascii="Arial" w:cs="Arial" w:eastAsia="Arial" w:hAnsi="Arial"/>
                <w:sz w:val="14"/>
                <w:szCs w:val="14"/>
                <w:color w:val="auto"/>
              </w:rPr>
              <w:t>Proceeds from issuance of common stock</w:t>
            </w:r>
          </w:p>
        </w:tc>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FF0FC"/>
          </w:tcPr>
          <w:p>
            <w:pPr>
              <w:spacing w:after="0"/>
              <w:rPr>
                <w:sz w:val="20"/>
                <w:szCs w:val="20"/>
                <w:color w:val="auto"/>
              </w:rPr>
            </w:pPr>
            <w:r>
              <w:rPr>
                <w:rFonts w:ascii="Arial" w:cs="Arial" w:eastAsia="Arial" w:hAnsi="Arial"/>
                <w:sz w:val="14"/>
                <w:szCs w:val="14"/>
                <w:color w:val="auto"/>
              </w:rPr>
              <w:t>Proceeds from sale of common stock and common stock warrants</w:t>
            </w:r>
          </w:p>
        </w:tc>
        <w:tc>
          <w:tcPr>
            <w:tcW w:w="16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16,500</w:t>
            </w: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15,008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20"/>
                <w:szCs w:val="20"/>
                <w:color w:val="auto"/>
              </w:rPr>
            </w:pPr>
            <w:r>
              <w:rPr>
                <w:rFonts w:ascii="Arial" w:cs="Arial" w:eastAsia="Arial" w:hAnsi="Arial"/>
                <w:sz w:val="14"/>
                <w:szCs w:val="14"/>
                <w:color w:val="auto"/>
              </w:rPr>
              <w:t>Cash paid for the issuance of common stock and common stock warrants</w:t>
            </w:r>
          </w:p>
        </w:tc>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(198)</w:t>
            </w:r>
          </w:p>
        </w:tc>
        <w:tc>
          <w:tcPr>
            <w:tcW w:w="10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(1,063)</w:t>
            </w:r>
          </w:p>
        </w:tc>
        <w:tc>
          <w:tcPr>
            <w:tcW w:w="0" w:type="dxa"/>
            <w:vAlign w:val="bottom"/>
          </w:tcPr>
          <w:p>
            <w:pPr>
              <w:spacing w:after="0"/>
              <w:rPr>
                <w:sz w:val="1"/>
                <w:szCs w:val="1"/>
                <w:color w:val="auto"/>
              </w:rPr>
            </w:pPr>
          </w:p>
        </w:tc>
      </w:tr>
      <w:tr>
        <w:trPr>
          <w:trHeight w:val="156"/>
        </w:trPr>
        <w:tc>
          <w:tcPr>
            <w:tcW w:w="624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b w:val="1"/>
                <w:bCs w:val="1"/>
                <w:color w:val="auto"/>
              </w:rPr>
              <w:t>Net cash provided by continuing financing activities</w:t>
            </w:r>
          </w:p>
        </w:tc>
        <w:tc>
          <w:tcPr>
            <w:tcW w:w="162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16,302</w:t>
            </w:r>
          </w:p>
        </w:tc>
        <w:tc>
          <w:tcPr>
            <w:tcW w:w="28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23,945</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Borders>
              <w:bottom w:val="single" w:sz="8" w:color="CFF0FC"/>
            </w:tcBorders>
          </w:tcPr>
          <w:p>
            <w:pPr>
              <w:ind w:left="740"/>
              <w:spacing w:after="0"/>
              <w:rPr>
                <w:sz w:val="20"/>
                <w:szCs w:val="20"/>
                <w:color w:val="auto"/>
              </w:rPr>
            </w:pPr>
            <w:r>
              <w:rPr>
                <w:rFonts w:ascii="Arial" w:cs="Arial" w:eastAsia="Arial" w:hAnsi="Arial"/>
                <w:sz w:val="14"/>
                <w:szCs w:val="14"/>
                <w:b w:val="1"/>
                <w:bCs w:val="1"/>
                <w:color w:val="auto"/>
              </w:rPr>
              <w:t>Net cash provided by discontinued financing activities</w:t>
            </w:r>
          </w:p>
        </w:tc>
        <w:tc>
          <w:tcPr>
            <w:tcW w:w="16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1,525</w:t>
            </w:r>
          </w:p>
        </w:tc>
        <w:tc>
          <w:tcPr>
            <w:tcW w:w="28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240" w:type="dxa"/>
            <w:vAlign w:val="bottom"/>
            <w:shd w:val="clear" w:color="auto" w:fill="CFF0FC"/>
          </w:tcPr>
          <w:p>
            <w:pPr>
              <w:ind w:left="740"/>
              <w:spacing w:after="0" w:line="155" w:lineRule="exact"/>
              <w:rPr>
                <w:sz w:val="20"/>
                <w:szCs w:val="20"/>
                <w:color w:val="auto"/>
              </w:rPr>
            </w:pPr>
            <w:r>
              <w:rPr>
                <w:rFonts w:ascii="Arial" w:cs="Arial" w:eastAsia="Arial" w:hAnsi="Arial"/>
                <w:sz w:val="14"/>
                <w:szCs w:val="14"/>
                <w:b w:val="1"/>
                <w:bCs w:val="1"/>
                <w:color w:val="auto"/>
              </w:rPr>
              <w:t>Net cash provided by financing activities</w:t>
            </w:r>
          </w:p>
        </w:tc>
        <w:tc>
          <w:tcPr>
            <w:tcW w:w="1620" w:type="dxa"/>
            <w:vAlign w:val="bottom"/>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17,827</w:t>
            </w:r>
          </w:p>
        </w:tc>
        <w:tc>
          <w:tcPr>
            <w:tcW w:w="280" w:type="dxa"/>
            <w:vAlign w:val="bottom"/>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24,170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6240" w:type="dxa"/>
            <w:vAlign w:val="bottom"/>
          </w:tcPr>
          <w:p>
            <w:pPr>
              <w:ind w:left="500"/>
              <w:spacing w:after="0" w:line="145" w:lineRule="exact"/>
              <w:rPr>
                <w:sz w:val="20"/>
                <w:szCs w:val="20"/>
                <w:color w:val="auto"/>
              </w:rPr>
            </w:pPr>
            <w:r>
              <w:rPr>
                <w:rFonts w:ascii="Arial" w:cs="Arial" w:eastAsia="Arial" w:hAnsi="Arial"/>
                <w:sz w:val="14"/>
                <w:szCs w:val="14"/>
                <w:color w:val="auto"/>
              </w:rPr>
              <w:t>Net increase in cash, cash equivalents and restricted cash from</w:t>
            </w:r>
          </w:p>
        </w:tc>
        <w:tc>
          <w:tcPr>
            <w:tcW w:w="1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240" w:type="dxa"/>
            <w:vAlign w:val="bottom"/>
          </w:tcPr>
          <w:p>
            <w:pPr>
              <w:ind w:left="600"/>
              <w:spacing w:after="0" w:line="159" w:lineRule="exact"/>
              <w:rPr>
                <w:sz w:val="20"/>
                <w:szCs w:val="20"/>
                <w:color w:val="auto"/>
              </w:rPr>
            </w:pPr>
            <w:r>
              <w:rPr>
                <w:rFonts w:ascii="Arial" w:cs="Arial" w:eastAsia="Arial" w:hAnsi="Arial"/>
                <w:sz w:val="14"/>
                <w:szCs w:val="14"/>
                <w:color w:val="auto"/>
              </w:rPr>
              <w:t>continuing operations</w:t>
            </w:r>
          </w:p>
        </w:tc>
        <w:tc>
          <w:tcPr>
            <w:tcW w:w="1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5,972</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16,464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240" w:type="dxa"/>
            <w:vAlign w:val="bottom"/>
            <w:shd w:val="clear" w:color="auto" w:fill="CFF0FC"/>
          </w:tcPr>
          <w:p>
            <w:pPr>
              <w:ind w:left="500"/>
              <w:spacing w:after="0" w:line="151" w:lineRule="exact"/>
              <w:rPr>
                <w:sz w:val="20"/>
                <w:szCs w:val="20"/>
                <w:color w:val="auto"/>
              </w:rPr>
            </w:pPr>
            <w:r>
              <w:rPr>
                <w:rFonts w:ascii="Arial" w:cs="Arial" w:eastAsia="Arial" w:hAnsi="Arial"/>
                <w:sz w:val="14"/>
                <w:szCs w:val="14"/>
                <w:color w:val="auto"/>
              </w:rPr>
              <w:t>Net decrease in cash, cash equivalents and restricted cash from</w:t>
            </w:r>
          </w:p>
        </w:tc>
        <w:tc>
          <w:tcPr>
            <w:tcW w:w="16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240" w:type="dxa"/>
            <w:vAlign w:val="bottom"/>
            <w:shd w:val="clear" w:color="auto" w:fill="CFF0FC"/>
          </w:tcPr>
          <w:p>
            <w:pPr>
              <w:ind w:left="600"/>
              <w:spacing w:after="0" w:line="159" w:lineRule="exact"/>
              <w:rPr>
                <w:sz w:val="20"/>
                <w:szCs w:val="20"/>
                <w:color w:val="auto"/>
              </w:rPr>
            </w:pPr>
            <w:r>
              <w:rPr>
                <w:rFonts w:ascii="Arial" w:cs="Arial" w:eastAsia="Arial" w:hAnsi="Arial"/>
                <w:sz w:val="14"/>
                <w:szCs w:val="14"/>
                <w:color w:val="auto"/>
              </w:rPr>
              <w:t>discontinued operations</w:t>
            </w:r>
          </w:p>
        </w:tc>
        <w:tc>
          <w:tcPr>
            <w:tcW w:w="16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line="159" w:lineRule="exact"/>
              <w:rPr>
                <w:sz w:val="20"/>
                <w:szCs w:val="20"/>
                <w:color w:val="auto"/>
              </w:rPr>
            </w:pPr>
            <w:r>
              <w:rPr>
                <w:rFonts w:ascii="Arial" w:cs="Arial" w:eastAsia="Arial" w:hAnsi="Arial"/>
                <w:sz w:val="14"/>
                <w:szCs w:val="14"/>
                <w:color w:val="auto"/>
              </w:rPr>
              <w:t>(8)</w:t>
            </w:r>
          </w:p>
        </w:tc>
        <w:tc>
          <w:tcPr>
            <w:tcW w:w="10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(2,090)</w:t>
            </w:r>
          </w:p>
        </w:tc>
        <w:tc>
          <w:tcPr>
            <w:tcW w:w="0" w:type="dxa"/>
            <w:vAlign w:val="bottom"/>
          </w:tcPr>
          <w:p>
            <w:pPr>
              <w:spacing w:after="0"/>
              <w:rPr>
                <w:sz w:val="1"/>
                <w:szCs w:val="1"/>
                <w:color w:val="auto"/>
              </w:rPr>
            </w:pPr>
          </w:p>
        </w:tc>
      </w:tr>
      <w:tr>
        <w:trPr>
          <w:trHeight w:val="156"/>
        </w:trPr>
        <w:tc>
          <w:tcPr>
            <w:tcW w:w="6240" w:type="dxa"/>
            <w:vAlign w:val="bottom"/>
          </w:tcPr>
          <w:p>
            <w:pPr>
              <w:ind w:left="500"/>
              <w:spacing w:after="0" w:line="155" w:lineRule="exact"/>
              <w:rPr>
                <w:sz w:val="20"/>
                <w:szCs w:val="20"/>
                <w:color w:val="auto"/>
              </w:rPr>
            </w:pPr>
            <w:r>
              <w:rPr>
                <w:rFonts w:ascii="Arial" w:cs="Arial" w:eastAsia="Arial" w:hAnsi="Arial"/>
                <w:sz w:val="14"/>
                <w:szCs w:val="14"/>
                <w:color w:val="auto"/>
              </w:rPr>
              <w:t>Net increase in cash, cash equivalents and restricted cash</w:t>
            </w:r>
          </w:p>
        </w:tc>
        <w:tc>
          <w:tcPr>
            <w:tcW w:w="16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5,964</w:t>
            </w:r>
          </w:p>
        </w:tc>
        <w:tc>
          <w:tcPr>
            <w:tcW w:w="28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14,374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240" w:type="dxa"/>
            <w:vAlign w:val="bottom"/>
            <w:shd w:val="clear" w:color="auto" w:fill="CFF0FC"/>
          </w:tcPr>
          <w:p>
            <w:pPr>
              <w:ind w:left="500"/>
              <w:spacing w:after="0" w:line="151" w:lineRule="exact"/>
              <w:rPr>
                <w:sz w:val="20"/>
                <w:szCs w:val="20"/>
                <w:color w:val="auto"/>
              </w:rPr>
            </w:pPr>
            <w:r>
              <w:rPr>
                <w:rFonts w:ascii="Arial" w:cs="Arial" w:eastAsia="Arial" w:hAnsi="Arial"/>
                <w:sz w:val="14"/>
                <w:szCs w:val="14"/>
                <w:color w:val="auto"/>
              </w:rPr>
              <w:t>Net increase in cash and cash equivalents included in current assets held for</w:t>
            </w:r>
          </w:p>
        </w:tc>
        <w:tc>
          <w:tcPr>
            <w:tcW w:w="16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240" w:type="dxa"/>
            <w:vAlign w:val="bottom"/>
            <w:shd w:val="clear" w:color="auto" w:fill="CFF0FC"/>
          </w:tcPr>
          <w:p>
            <w:pPr>
              <w:ind w:left="600"/>
              <w:spacing w:after="0" w:line="159" w:lineRule="exact"/>
              <w:rPr>
                <w:sz w:val="20"/>
                <w:szCs w:val="20"/>
                <w:color w:val="auto"/>
              </w:rPr>
            </w:pPr>
            <w:r>
              <w:rPr>
                <w:rFonts w:ascii="Arial" w:cs="Arial" w:eastAsia="Arial" w:hAnsi="Arial"/>
                <w:sz w:val="14"/>
                <w:szCs w:val="14"/>
                <w:color w:val="auto"/>
              </w:rPr>
              <w:t>sale</w:t>
            </w:r>
          </w:p>
        </w:tc>
        <w:tc>
          <w:tcPr>
            <w:tcW w:w="16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24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Cash, cash equivalents and restricted cash, beginning of period</w:t>
            </w:r>
          </w:p>
        </w:tc>
        <w:tc>
          <w:tcPr>
            <w:tcW w:w="162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17,135</w:t>
            </w:r>
          </w:p>
        </w:tc>
        <w:tc>
          <w:tcPr>
            <w:tcW w:w="28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2,761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cash equivalents and restricted cash, end of period</w:t>
            </w:r>
          </w:p>
        </w:tc>
        <w:tc>
          <w:tcPr>
            <w:tcW w:w="2660" w:type="dxa"/>
            <w:vAlign w:val="bottom"/>
            <w:gridSpan w:val="2"/>
            <w:shd w:val="clear" w:color="auto" w:fill="CFF0FC"/>
          </w:tcPr>
          <w:p>
            <w:pPr>
              <w:jc w:val="right"/>
              <w:ind w:right="892"/>
              <w:spacing w:after="0" w:line="155" w:lineRule="exact"/>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23,099</w:t>
            </w: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927"/>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17,135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b w:val="1"/>
                <w:bCs w:val="1"/>
                <w:color w:val="auto"/>
              </w:rPr>
              <w:t>Supplemental disclosures of non-cash investing and financing information</w:t>
            </w:r>
          </w:p>
        </w:tc>
        <w:tc>
          <w:tcPr>
            <w:tcW w:w="16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1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Issuance of common stock in Essentialis acquisition</w:t>
            </w:r>
          </w:p>
        </w:tc>
        <w:tc>
          <w:tcPr>
            <w:tcW w:w="162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892"/>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927"/>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17,246</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4"/>
                <w:szCs w:val="14"/>
                <w:color w:val="auto"/>
              </w:rPr>
              <w:t>Contingent consideration of Essentialis acquisition</w:t>
            </w:r>
          </w:p>
        </w:tc>
        <w:tc>
          <w:tcPr>
            <w:tcW w:w="1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40" w:type="dxa"/>
            <w:vAlign w:val="bottom"/>
            <w:tcBorders>
              <w:bottom w:val="single" w:sz="8" w:color="CFF0FC"/>
            </w:tcBorders>
            <w:vMerge w:val="continue"/>
          </w:tcPr>
          <w:p>
            <w:pPr>
              <w:spacing w:after="0"/>
              <w:rPr>
                <w:sz w:val="15"/>
                <w:szCs w:val="15"/>
                <w:color w:val="auto"/>
              </w:rPr>
            </w:pPr>
          </w:p>
        </w:tc>
        <w:tc>
          <w:tcPr>
            <w:tcW w:w="16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892"/>
              <w:spacing w:after="0" w:line="143"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927"/>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2,590</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240" w:type="dxa"/>
            <w:vAlign w:val="bottom"/>
            <w:tcBorders>
              <w:bottom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Accrued liability for cost of issuing common stock</w:t>
            </w:r>
          </w:p>
        </w:tc>
        <w:tc>
          <w:tcPr>
            <w:tcW w:w="162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ind w:right="892"/>
              <w:spacing w:after="0" w:line="143"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52</w:t>
            </w:r>
          </w:p>
        </w:tc>
        <w:tc>
          <w:tcPr>
            <w:tcW w:w="28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ind w:right="927"/>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4"/>
                <w:szCs w:val="14"/>
                <w:color w:val="auto"/>
              </w:rPr>
              <w:t>Warrants issued in connection with sale of common stock</w:t>
            </w:r>
          </w:p>
        </w:tc>
        <w:tc>
          <w:tcPr>
            <w:tcW w:w="1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2660" w:type="dxa"/>
            <w:vAlign w:val="bottom"/>
            <w:gridSpan w:val="2"/>
          </w:tcPr>
          <w:p>
            <w:pPr>
              <w:jc w:val="right"/>
              <w:ind w:right="892"/>
              <w:spacing w:after="0" w:line="143"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582</w:t>
            </w:r>
          </w:p>
        </w:tc>
        <w:tc>
          <w:tcPr>
            <w:tcW w:w="280" w:type="dxa"/>
            <w:vAlign w:val="bottom"/>
          </w:tcPr>
          <w:p>
            <w:pPr>
              <w:spacing w:after="0"/>
              <w:rPr>
                <w:sz w:val="12"/>
                <w:szCs w:val="12"/>
                <w:color w:val="auto"/>
              </w:rPr>
            </w:pPr>
          </w:p>
        </w:tc>
        <w:tc>
          <w:tcPr>
            <w:tcW w:w="1040" w:type="dxa"/>
            <w:vAlign w:val="bottom"/>
          </w:tcPr>
          <w:p>
            <w:pPr>
              <w:jc w:val="right"/>
              <w:ind w:right="927"/>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4,187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4" w:name="page75"/>
    <w:bookmarkEnd w:id="74"/>
    <w:p>
      <w:pPr>
        <w:jc w:val="center"/>
        <w:ind w:right="-59"/>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w:t>
      </w:r>
    </w:p>
    <w:p>
      <w:pPr>
        <w:spacing w:after="0" w:line="121" w:lineRule="exact"/>
        <w:rPr>
          <w:sz w:val="20"/>
          <w:szCs w:val="20"/>
          <w:color w:val="auto"/>
        </w:rPr>
      </w:pPr>
    </w:p>
    <w:p>
      <w:pPr>
        <w:ind w:right="80" w:firstLine="598"/>
        <w:spacing w:after="0" w:line="272" w:lineRule="auto"/>
        <w:rPr>
          <w:sz w:val="20"/>
          <w:szCs w:val="20"/>
          <w:color w:val="auto"/>
        </w:rPr>
      </w:pPr>
      <w:r>
        <w:rPr>
          <w:rFonts w:ascii="Arial" w:cs="Arial" w:eastAsia="Arial" w:hAnsi="Arial"/>
          <w:sz w:val="17"/>
          <w:szCs w:val="17"/>
          <w:color w:val="auto"/>
        </w:rPr>
        <w:t xml:space="preserve">Soleno Therapeutics, Inc. (the “Company” or “Soleno”) was incorporated in the State of Delaware on August 25, 1999, and is located in Redwood City, California. On May 8, 2017, Soleno received stockholder approval to amend its Amended and Restated Certificate of Incorporation to change its name from “Capnia, Inc.” to “Soleno Therapeutics, Inc.” The Company was initially established as a diversified healthcare company that developed and commercialized innovative diagnostics, devices and therapeutics addressing unmet medical needs, which consisted of: precision metering of gas flow technology marketed as Serenz </w:t>
      </w:r>
      <w:r>
        <w:rPr>
          <w:rFonts w:ascii="Arial" w:cs="Arial" w:eastAsia="Arial" w:hAnsi="Arial"/>
          <w:sz w:val="14"/>
          <w:szCs w:val="14"/>
          <w:color w:val="auto"/>
        </w:rPr>
        <w:t>®</w:t>
      </w:r>
      <w:r>
        <w:rPr>
          <w:rFonts w:ascii="Arial" w:cs="Arial" w:eastAsia="Arial" w:hAnsi="Arial"/>
          <w:sz w:val="17"/>
          <w:szCs w:val="17"/>
          <w:color w:val="auto"/>
        </w:rPr>
        <w:t xml:space="preserve"> Allergy Relief, or Serenz; CoSense </w:t>
      </w:r>
      <w:r>
        <w:rPr>
          <w:rFonts w:ascii="Arial" w:cs="Arial" w:eastAsia="Arial" w:hAnsi="Arial"/>
          <w:sz w:val="14"/>
          <w:szCs w:val="14"/>
          <w:color w:val="auto"/>
        </w:rPr>
        <w:t>®</w:t>
      </w:r>
      <w:r>
        <w:rPr>
          <w:rFonts w:ascii="Arial" w:cs="Arial" w:eastAsia="Arial" w:hAnsi="Arial"/>
          <w:sz w:val="17"/>
          <w:szCs w:val="17"/>
          <w:color w:val="auto"/>
        </w:rPr>
        <w:t xml:space="preserve"> End-Tidal Carbon Monoxide (ETCO) Monitor, or CoSense, which measures ETCO and aids in the detection of excessive hemolysis, a condition in which red blood cells degrade rapidly and which can lead to adverse neurological outcomes; and, products that included temperature probes, scales, surgical tables, and patient surfaces.</w:t>
      </w:r>
    </w:p>
    <w:p>
      <w:pPr>
        <w:spacing w:after="0" w:line="178"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The Company’s previously wholly-owned subsidiary, NeoForce, Inc. or NFI, through which the Company acquired substantially all of the assets of an unrelated privately-held company, NeoForce Group, Inc., or NeoForce, also marketed innovative pulmonary resuscitation solutions for the inpatient and ambulatory neonatal markets.</w:t>
      </w:r>
    </w:p>
    <w:p>
      <w:pPr>
        <w:spacing w:after="0" w:line="181"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The Company acquired Essentialis, Inc., or Essentialis, through a merger, or the Merger, on March 7, 2017, pursuant to Agreement and Plan of Merger dated December 22, 2016. Essentialis’s efforts prior to the Merger were focused primarily on developing and testing product candidates that target the ATP-sensitive potassium channel, a metabolically regulated membrane protein whose modulation has the potential to impact a wide range of rare metabolic, cardiovascular, and CNS diseases. Essentialis has tested Diazoxide Choline Controlled Release Tablet, or DCCR, as a treatment for Prader-Willi Syndrome, or PWS, a complex metabolic/neurobehavioral disorder. DCCR has orphan designation for the treatment of PWS in the United States, or U.S., as well as in the European Union, or E.U. Consummation of the Merger was subject to various closing conditions, including the Company’s consummation of a financing of at least $8.0 million at, or substantially contemporaneous with, the closing of the Merger, which occurred on March 7, 2017 and the receipt of stockholder approval of the Merger at a special meeting of its stockholders, which was held on March 6, 2017.</w:t>
      </w:r>
    </w:p>
    <w:p>
      <w:pPr>
        <w:spacing w:after="0" w:line="179"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Subsequent to the acquisition of Essentialis, the Company determined to divest, sell or otherwise dispose of the CoSense, NFI and Serenz businesses. Accordingly, and pursuant to ASC 205-20-45-10, any assets and liabilities related to the discontinued activities of CoSense, NFI and Serenz have been presented separately in the balance sheet as held for sale items, and the related operations reported herein for the CoSense, NFI and Serenz activities are reported as discontinued operations in the statements of operations.</w:t>
      </w:r>
    </w:p>
    <w:p>
      <w:pPr>
        <w:spacing w:after="0" w:line="187" w:lineRule="exact"/>
        <w:rPr>
          <w:sz w:val="20"/>
          <w:szCs w:val="20"/>
          <w:color w:val="auto"/>
        </w:rPr>
      </w:pPr>
    </w:p>
    <w:p>
      <w:pPr>
        <w:ind w:right="20" w:firstLine="598"/>
        <w:spacing w:after="0" w:line="286" w:lineRule="auto"/>
        <w:rPr>
          <w:sz w:val="20"/>
          <w:szCs w:val="20"/>
          <w:color w:val="auto"/>
        </w:rPr>
      </w:pPr>
      <w:r>
        <w:rPr>
          <w:rFonts w:ascii="Arial" w:cs="Arial" w:eastAsia="Arial" w:hAnsi="Arial"/>
          <w:sz w:val="17"/>
          <w:szCs w:val="17"/>
          <w:color w:val="auto"/>
        </w:rPr>
        <w:t>The Company determined to divest, sell or otherwise dispose of the CoSense, NFI and Serenz businesses in order to focus on the development and commercialization of novel therapeutics for the treatment of rare diseases. The Company’s current research and development efforts are primarily focused on advancing its lead candidate, DCCR tablets for the treatment of PWS, into late-stage clinical development.</w:t>
      </w:r>
    </w:p>
    <w:p>
      <w:pPr>
        <w:spacing w:after="0" w:line="166" w:lineRule="exact"/>
        <w:rPr>
          <w:sz w:val="20"/>
          <w:szCs w:val="20"/>
          <w:color w:val="auto"/>
        </w:rPr>
      </w:pPr>
    </w:p>
    <w:p>
      <w:pPr>
        <w:ind w:right="80" w:firstLine="598"/>
        <w:spacing w:after="0" w:line="286" w:lineRule="auto"/>
        <w:rPr>
          <w:sz w:val="20"/>
          <w:szCs w:val="20"/>
          <w:color w:val="auto"/>
        </w:rPr>
      </w:pPr>
      <w:r>
        <w:rPr>
          <w:rFonts w:ascii="Arial" w:cs="Arial" w:eastAsia="Arial" w:hAnsi="Arial"/>
          <w:sz w:val="17"/>
          <w:szCs w:val="17"/>
          <w:color w:val="auto"/>
        </w:rPr>
        <w:t>The Company sold its entire interest in NFI in a stock transaction that was completed on July 18, 2017, pursuant to a Stock Purchase Agreement dated July 18, 2017, or the NFI Purchase Agreement, entered into with Neoforce Holdings, Inc., a wholly-owned subsidiary of Flexicare Medical Limited, a privately-held United Kingdom company, for $720,000 and adjustments for inventory and the current cash balances held at NFI.</w:t>
      </w:r>
    </w:p>
    <w:p>
      <w:pPr>
        <w:spacing w:after="0" w:line="166"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On December 4, 2017, Soleno, and Capnia, Inc., a Delaware corporation, or Capnia, entered into a joint venture with OptAsia Healthcare Limited, or OAHL. The purpose of the joint venture is to develop and commercialize medical monitors, including CoSense, that measure end-tidal carbon monoxide in breath to assist in the detection of excessive hemolysis in neonates, a condition in which red blood cells degrade rapidly and which can lead to adverse neurological outcomes.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continues to separately evaluate alternatives for its Serenz portfolio.</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Restatement of prior periods</w:t>
      </w:r>
    </w:p>
    <w:p>
      <w:pPr>
        <w:spacing w:after="0" w:line="117" w:lineRule="exact"/>
        <w:rPr>
          <w:sz w:val="20"/>
          <w:szCs w:val="20"/>
          <w:color w:val="auto"/>
        </w:rPr>
      </w:pPr>
    </w:p>
    <w:p>
      <w:pPr>
        <w:ind w:right="480" w:firstLine="598"/>
        <w:spacing w:after="0" w:line="255" w:lineRule="auto"/>
        <w:rPr>
          <w:sz w:val="20"/>
          <w:szCs w:val="20"/>
          <w:color w:val="auto"/>
        </w:rPr>
      </w:pPr>
      <w:r>
        <w:rPr>
          <w:rFonts w:ascii="Arial" w:cs="Arial" w:eastAsia="Arial" w:hAnsi="Arial"/>
          <w:sz w:val="18"/>
          <w:szCs w:val="18"/>
          <w:color w:val="auto"/>
        </w:rPr>
        <w:t>During the preparation of the condensed consolidated financial statements as of September 30, 2018 and for the related three and nine months then ended, the Company determined that an error had been made in certain previously reported consolidated balance sheets and statements of operations for the valuation and resultant reporting of fair value for the Company’s Series A Warrants, resulting in the value of the warrant liability being overstated. The Company adjusted the prior period information reported in the September 30, 2018 interim condensed consolidated financial statements. The Company determined that the error was not material to any of the previously reported periods in which the error occurred and has not amended any previously issued consolidated financial statements.</w:t>
      </w:r>
    </w:p>
    <w:p>
      <w:pPr>
        <w:spacing w:after="0" w:line="193" w:lineRule="exact"/>
        <w:rPr>
          <w:sz w:val="20"/>
          <w:szCs w:val="20"/>
          <w:color w:val="auto"/>
        </w:rPr>
      </w:pPr>
    </w:p>
    <w:p>
      <w:pPr>
        <w:ind w:right="400" w:firstLine="598"/>
        <w:spacing w:after="0" w:line="264" w:lineRule="auto"/>
        <w:rPr>
          <w:sz w:val="20"/>
          <w:szCs w:val="20"/>
          <w:color w:val="auto"/>
        </w:rPr>
      </w:pPr>
      <w:r>
        <w:rPr>
          <w:rFonts w:ascii="Arial" w:cs="Arial" w:eastAsia="Arial" w:hAnsi="Arial"/>
          <w:sz w:val="18"/>
          <w:szCs w:val="18"/>
          <w:color w:val="auto"/>
        </w:rPr>
        <w:t>The following table (in thousands, except share and per share amounts) sets forth the effects of the restatement on affected items within the Company’s previously reported consolidated balance sheets and statements of operations for the periods ended December 31, 2017, March 31, 2018, and June 30, 2018, had the adjustments been made in the corresponding quarters.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7"/>
          </w:tcPr>
          <w:p>
            <w:pPr>
              <w:jc w:val="center"/>
              <w:ind w:left="404"/>
              <w:spacing w:after="0"/>
              <w:rPr>
                <w:sz w:val="20"/>
                <w:szCs w:val="20"/>
                <w:color w:val="auto"/>
              </w:rPr>
            </w:pPr>
            <w:r>
              <w:rPr>
                <w:rFonts w:ascii="Arial" w:cs="Arial" w:eastAsia="Arial" w:hAnsi="Arial"/>
                <w:sz w:val="11"/>
                <w:szCs w:val="11"/>
                <w:b w:val="1"/>
                <w:bCs w:val="1"/>
                <w:color w:val="auto"/>
                <w:w w:val="87"/>
              </w:rPr>
              <w:t>As of December 31, 2017</w:t>
            </w:r>
          </w:p>
        </w:tc>
        <w:tc>
          <w:tcPr>
            <w:tcW w:w="5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7"/>
          </w:tcPr>
          <w:p>
            <w:pPr>
              <w:jc w:val="center"/>
              <w:ind w:left="444"/>
              <w:spacing w:after="0"/>
              <w:rPr>
                <w:sz w:val="20"/>
                <w:szCs w:val="20"/>
                <w:color w:val="auto"/>
              </w:rPr>
            </w:pPr>
            <w:r>
              <w:rPr>
                <w:rFonts w:ascii="Arial" w:cs="Arial" w:eastAsia="Arial" w:hAnsi="Arial"/>
                <w:sz w:val="11"/>
                <w:szCs w:val="11"/>
                <w:b w:val="1"/>
                <w:bCs w:val="1"/>
                <w:color w:val="auto"/>
                <w:w w:val="90"/>
              </w:rPr>
              <w:t>As of March 31, 2018</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1"/>
                <w:szCs w:val="11"/>
                <w:b w:val="1"/>
                <w:bCs w:val="1"/>
                <w:color w:val="auto"/>
                <w:w w:val="88"/>
              </w:rPr>
              <w:t>As of June 30, 2018</w:t>
            </w: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8"/>
          </w:tcPr>
          <w:p>
            <w:pPr>
              <w:ind w:left="40"/>
              <w:spacing w:after="0"/>
              <w:rPr>
                <w:sz w:val="20"/>
                <w:szCs w:val="20"/>
                <w:color w:val="auto"/>
              </w:rPr>
            </w:pPr>
            <w:r>
              <w:rPr>
                <w:rFonts w:ascii="Arial" w:cs="Arial" w:eastAsia="Arial" w:hAnsi="Arial"/>
                <w:sz w:val="11"/>
                <w:szCs w:val="11"/>
                <w:b w:val="1"/>
                <w:bCs w:val="1"/>
                <w:color w:val="auto"/>
                <w:w w:val="90"/>
              </w:rPr>
              <w:t>As of June 30, 2018</w:t>
            </w: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15"/>
        </w:trPr>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tcPr>
          <w:p>
            <w:pPr>
              <w:jc w:val="center"/>
              <w:ind w:right="200"/>
              <w:spacing w:after="0" w:line="115" w:lineRule="exact"/>
              <w:rPr>
                <w:sz w:val="20"/>
                <w:szCs w:val="20"/>
                <w:color w:val="auto"/>
              </w:rPr>
            </w:pPr>
            <w:r>
              <w:rPr>
                <w:rFonts w:ascii="Arial" w:cs="Arial" w:eastAsia="Arial" w:hAnsi="Arial"/>
                <w:sz w:val="11"/>
                <w:szCs w:val="11"/>
                <w:b w:val="1"/>
                <w:bCs w:val="1"/>
                <w:color w:val="auto"/>
                <w:w w:val="85"/>
              </w:rPr>
              <w:t>As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center"/>
              <w:ind w:right="320"/>
              <w:spacing w:after="0" w:line="115" w:lineRule="exact"/>
              <w:rPr>
                <w:sz w:val="20"/>
                <w:szCs w:val="20"/>
                <w:color w:val="auto"/>
              </w:rPr>
            </w:pPr>
            <w:r>
              <w:rPr>
                <w:rFonts w:ascii="Arial" w:cs="Arial" w:eastAsia="Arial" w:hAnsi="Arial"/>
                <w:sz w:val="11"/>
                <w:szCs w:val="11"/>
                <w:b w:val="1"/>
                <w:bCs w:val="1"/>
                <w:color w:val="auto"/>
                <w:w w:val="85"/>
              </w:rPr>
              <w:t>As</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3"/>
          </w:tcPr>
          <w:p>
            <w:pPr>
              <w:jc w:val="center"/>
              <w:ind w:right="266"/>
              <w:spacing w:after="0" w:line="115" w:lineRule="exact"/>
              <w:rPr>
                <w:sz w:val="20"/>
                <w:szCs w:val="20"/>
                <w:color w:val="auto"/>
              </w:rPr>
            </w:pPr>
            <w:r>
              <w:rPr>
                <w:rFonts w:ascii="Arial" w:cs="Arial" w:eastAsia="Arial" w:hAnsi="Arial"/>
                <w:sz w:val="11"/>
                <w:szCs w:val="11"/>
                <w:b w:val="1"/>
                <w:bCs w:val="1"/>
                <w:color w:val="auto"/>
                <w:w w:val="85"/>
              </w:rPr>
              <w:t>As</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3"/>
          </w:tcPr>
          <w:p>
            <w:pPr>
              <w:jc w:val="center"/>
              <w:ind w:right="300"/>
              <w:spacing w:after="0" w:line="115" w:lineRule="exact"/>
              <w:rPr>
                <w:sz w:val="20"/>
                <w:szCs w:val="20"/>
                <w:color w:val="auto"/>
              </w:rPr>
            </w:pPr>
            <w:r>
              <w:rPr>
                <w:rFonts w:ascii="Arial" w:cs="Arial" w:eastAsia="Arial" w:hAnsi="Arial"/>
                <w:sz w:val="11"/>
                <w:szCs w:val="11"/>
                <w:b w:val="1"/>
                <w:bCs w:val="1"/>
                <w:color w:val="auto"/>
                <w:w w:val="85"/>
              </w:rPr>
              <w:t>As</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22"/>
        </w:trPr>
        <w:tc>
          <w:tcPr>
            <w:tcW w:w="1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3"/>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Previously</w:t>
            </w:r>
          </w:p>
        </w:tc>
        <w:tc>
          <w:tcPr>
            <w:tcW w:w="100" w:type="dxa"/>
            <w:vAlign w:val="bottom"/>
          </w:tcPr>
          <w:p>
            <w:pPr>
              <w:spacing w:after="0"/>
              <w:rPr>
                <w:sz w:val="10"/>
                <w:szCs w:val="10"/>
                <w:color w:val="auto"/>
              </w:rPr>
            </w:pPr>
          </w:p>
        </w:tc>
        <w:tc>
          <w:tcPr>
            <w:tcW w:w="860" w:type="dxa"/>
            <w:vAlign w:val="bottom"/>
            <w:gridSpan w:val="3"/>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Correction</w:t>
            </w:r>
          </w:p>
        </w:tc>
        <w:tc>
          <w:tcPr>
            <w:tcW w:w="80" w:type="dxa"/>
            <w:vAlign w:val="bottom"/>
          </w:tcPr>
          <w:p>
            <w:pPr>
              <w:spacing w:after="0"/>
              <w:rPr>
                <w:sz w:val="10"/>
                <w:szCs w:val="10"/>
                <w:color w:val="auto"/>
              </w:rPr>
            </w:pPr>
          </w:p>
        </w:tc>
        <w:tc>
          <w:tcPr>
            <w:tcW w:w="780" w:type="dxa"/>
            <w:vAlign w:val="bottom"/>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w w:val="85"/>
              </w:rPr>
              <w:t>As</w:t>
            </w:r>
          </w:p>
        </w:tc>
        <w:tc>
          <w:tcPr>
            <w:tcW w:w="820" w:type="dxa"/>
            <w:vAlign w:val="bottom"/>
            <w:gridSpan w:val="3"/>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Previously</w:t>
            </w:r>
          </w:p>
        </w:tc>
        <w:tc>
          <w:tcPr>
            <w:tcW w:w="20" w:type="dxa"/>
            <w:vAlign w:val="bottom"/>
          </w:tcPr>
          <w:p>
            <w:pPr>
              <w:spacing w:after="0"/>
              <w:rPr>
                <w:sz w:val="10"/>
                <w:szCs w:val="10"/>
                <w:color w:val="auto"/>
              </w:rPr>
            </w:pPr>
          </w:p>
        </w:tc>
        <w:tc>
          <w:tcPr>
            <w:tcW w:w="780" w:type="dxa"/>
            <w:vAlign w:val="bottom"/>
            <w:gridSpan w:val="4"/>
          </w:tcPr>
          <w:p>
            <w:pPr>
              <w:jc w:val="center"/>
              <w:ind w:right="280"/>
              <w:spacing w:after="0" w:line="122" w:lineRule="exact"/>
              <w:rPr>
                <w:sz w:val="20"/>
                <w:szCs w:val="20"/>
                <w:color w:val="auto"/>
              </w:rPr>
            </w:pPr>
            <w:r>
              <w:rPr>
                <w:rFonts w:ascii="Arial" w:cs="Arial" w:eastAsia="Arial" w:hAnsi="Arial"/>
                <w:sz w:val="11"/>
                <w:szCs w:val="11"/>
                <w:b w:val="1"/>
                <w:bCs w:val="1"/>
                <w:color w:val="auto"/>
                <w:w w:val="89"/>
              </w:rPr>
              <w:t>Correction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jc w:val="right"/>
              <w:ind w:right="440"/>
              <w:spacing w:after="0" w:line="122" w:lineRule="exact"/>
              <w:rPr>
                <w:sz w:val="20"/>
                <w:szCs w:val="20"/>
                <w:color w:val="auto"/>
              </w:rPr>
            </w:pPr>
            <w:r>
              <w:rPr>
                <w:rFonts w:ascii="Arial" w:cs="Arial" w:eastAsia="Arial" w:hAnsi="Arial"/>
                <w:sz w:val="11"/>
                <w:szCs w:val="11"/>
                <w:b w:val="1"/>
                <w:bCs w:val="1"/>
                <w:color w:val="auto"/>
              </w:rPr>
              <w:t>As</w:t>
            </w:r>
          </w:p>
        </w:tc>
        <w:tc>
          <w:tcPr>
            <w:tcW w:w="800" w:type="dxa"/>
            <w:vAlign w:val="bottom"/>
            <w:gridSpan w:val="5"/>
          </w:tcPr>
          <w:p>
            <w:pPr>
              <w:jc w:val="center"/>
              <w:ind w:right="166"/>
              <w:spacing w:after="0" w:line="122" w:lineRule="exact"/>
              <w:rPr>
                <w:sz w:val="20"/>
                <w:szCs w:val="20"/>
                <w:color w:val="auto"/>
              </w:rPr>
            </w:pPr>
            <w:r>
              <w:rPr>
                <w:rFonts w:ascii="Arial" w:cs="Arial" w:eastAsia="Arial" w:hAnsi="Arial"/>
                <w:sz w:val="11"/>
                <w:szCs w:val="11"/>
                <w:b w:val="1"/>
                <w:bCs w:val="1"/>
                <w:color w:val="auto"/>
                <w:w w:val="89"/>
              </w:rPr>
              <w:t>Previously</w:t>
            </w:r>
          </w:p>
        </w:tc>
        <w:tc>
          <w:tcPr>
            <w:tcW w:w="800" w:type="dxa"/>
            <w:vAlign w:val="bottom"/>
            <w:gridSpan w:val="5"/>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Correction</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3"/>
          </w:tcPr>
          <w:p>
            <w:pPr>
              <w:jc w:val="right"/>
              <w:ind w:right="400"/>
              <w:spacing w:after="0" w:line="122" w:lineRule="exact"/>
              <w:rPr>
                <w:sz w:val="20"/>
                <w:szCs w:val="20"/>
                <w:color w:val="auto"/>
              </w:rPr>
            </w:pPr>
            <w:r>
              <w:rPr>
                <w:rFonts w:ascii="Arial" w:cs="Arial" w:eastAsia="Arial" w:hAnsi="Arial"/>
                <w:sz w:val="11"/>
                <w:szCs w:val="11"/>
                <w:b w:val="1"/>
                <w:bCs w:val="1"/>
                <w:color w:val="auto"/>
              </w:rPr>
              <w:t>As</w:t>
            </w:r>
          </w:p>
        </w:tc>
        <w:tc>
          <w:tcPr>
            <w:tcW w:w="60" w:type="dxa"/>
            <w:vAlign w:val="bottom"/>
          </w:tcPr>
          <w:p>
            <w:pPr>
              <w:spacing w:after="0"/>
              <w:rPr>
                <w:sz w:val="10"/>
                <w:szCs w:val="10"/>
                <w:color w:val="auto"/>
              </w:rPr>
            </w:pPr>
          </w:p>
        </w:tc>
        <w:tc>
          <w:tcPr>
            <w:tcW w:w="740" w:type="dxa"/>
            <w:vAlign w:val="bottom"/>
            <w:gridSpan w:val="5"/>
          </w:tcPr>
          <w:p>
            <w:pPr>
              <w:jc w:val="center"/>
              <w:ind w:right="180"/>
              <w:spacing w:after="0" w:line="122" w:lineRule="exact"/>
              <w:rPr>
                <w:sz w:val="20"/>
                <w:szCs w:val="20"/>
                <w:color w:val="auto"/>
              </w:rPr>
            </w:pPr>
            <w:r>
              <w:rPr>
                <w:rFonts w:ascii="Arial" w:cs="Arial" w:eastAsia="Arial" w:hAnsi="Arial"/>
                <w:sz w:val="11"/>
                <w:szCs w:val="11"/>
                <w:b w:val="1"/>
                <w:bCs w:val="1"/>
                <w:color w:val="auto"/>
                <w:w w:val="86"/>
              </w:rPr>
              <w:t>Previously</w:t>
            </w:r>
          </w:p>
        </w:tc>
        <w:tc>
          <w:tcPr>
            <w:tcW w:w="60" w:type="dxa"/>
            <w:vAlign w:val="bottom"/>
          </w:tcPr>
          <w:p>
            <w:pPr>
              <w:spacing w:after="0"/>
              <w:rPr>
                <w:sz w:val="10"/>
                <w:szCs w:val="10"/>
                <w:color w:val="auto"/>
              </w:rPr>
            </w:pPr>
          </w:p>
        </w:tc>
        <w:tc>
          <w:tcPr>
            <w:tcW w:w="760" w:type="dxa"/>
            <w:vAlign w:val="bottom"/>
            <w:gridSpan w:val="5"/>
          </w:tcPr>
          <w:p>
            <w:pPr>
              <w:jc w:val="center"/>
              <w:ind w:right="200"/>
              <w:spacing w:after="0" w:line="122" w:lineRule="exact"/>
              <w:rPr>
                <w:sz w:val="20"/>
                <w:szCs w:val="20"/>
                <w:color w:val="auto"/>
              </w:rPr>
            </w:pPr>
            <w:r>
              <w:rPr>
                <w:rFonts w:ascii="Arial" w:cs="Arial" w:eastAsia="Arial" w:hAnsi="Arial"/>
                <w:sz w:val="11"/>
                <w:szCs w:val="11"/>
                <w:b w:val="1"/>
                <w:bCs w:val="1"/>
                <w:color w:val="auto"/>
                <w:w w:val="93"/>
              </w:rPr>
              <w:t>Correction</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ind w:right="280"/>
              <w:spacing w:after="0" w:line="122" w:lineRule="exact"/>
              <w:rPr>
                <w:sz w:val="20"/>
                <w:szCs w:val="20"/>
                <w:color w:val="auto"/>
              </w:rPr>
            </w:pPr>
            <w:r>
              <w:rPr>
                <w:rFonts w:ascii="Arial" w:cs="Arial" w:eastAsia="Arial" w:hAnsi="Arial"/>
                <w:sz w:val="11"/>
                <w:szCs w:val="11"/>
                <w:b w:val="1"/>
                <w:bCs w:val="1"/>
                <w:color w:val="auto"/>
              </w:rPr>
              <w:t>As</w:t>
            </w:r>
          </w:p>
        </w:tc>
      </w:tr>
      <w:tr>
        <w:trPr>
          <w:trHeight w:val="135"/>
        </w:trPr>
        <w:tc>
          <w:tcPr>
            <w:tcW w:w="1540" w:type="dxa"/>
            <w:vAlign w:val="bottom"/>
            <w:tcBorders>
              <w:bottom w:val="single" w:sz="8" w:color="CFF0FC"/>
            </w:tcBorders>
          </w:tcPr>
          <w:p>
            <w:pPr>
              <w:spacing w:after="0"/>
              <w:rPr>
                <w:sz w:val="11"/>
                <w:szCs w:val="11"/>
                <w:color w:val="auto"/>
              </w:rPr>
            </w:pPr>
          </w:p>
        </w:tc>
        <w:tc>
          <w:tcPr>
            <w:tcW w:w="32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4"/>
              <w:spacing w:after="0"/>
              <w:rPr>
                <w:sz w:val="20"/>
                <w:szCs w:val="20"/>
                <w:color w:val="auto"/>
              </w:rPr>
            </w:pPr>
            <w:r>
              <w:rPr>
                <w:rFonts w:ascii="Arial" w:cs="Arial" w:eastAsia="Arial" w:hAnsi="Arial"/>
                <w:sz w:val="11"/>
                <w:szCs w:val="11"/>
                <w:b w:val="1"/>
                <w:bCs w:val="1"/>
                <w:color w:val="auto"/>
                <w:w w:val="91"/>
              </w:rPr>
              <w:t>Reported</w:t>
            </w:r>
          </w:p>
        </w:tc>
        <w:tc>
          <w:tcPr>
            <w:tcW w:w="1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b w:val="1"/>
                <w:bCs w:val="1"/>
                <w:color w:val="auto"/>
                <w:w w:val="91"/>
              </w:rPr>
              <w:t>of error</w:t>
            </w:r>
          </w:p>
        </w:tc>
        <w:tc>
          <w:tcPr>
            <w:tcW w:w="2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b w:val="1"/>
                <w:bCs w:val="1"/>
                <w:color w:val="auto"/>
                <w:w w:val="86"/>
              </w:rPr>
              <w:t>Restated</w:t>
            </w:r>
          </w:p>
        </w:tc>
        <w:tc>
          <w:tcPr>
            <w:tcW w:w="26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24"/>
              <w:spacing w:after="0"/>
              <w:rPr>
                <w:sz w:val="20"/>
                <w:szCs w:val="20"/>
                <w:color w:val="auto"/>
              </w:rPr>
            </w:pPr>
            <w:r>
              <w:rPr>
                <w:rFonts w:ascii="Arial" w:cs="Arial" w:eastAsia="Arial" w:hAnsi="Arial"/>
                <w:sz w:val="11"/>
                <w:szCs w:val="11"/>
                <w:b w:val="1"/>
                <w:bCs w:val="1"/>
                <w:color w:val="auto"/>
                <w:w w:val="86"/>
              </w:rPr>
              <w:t>Reported</w:t>
            </w:r>
          </w:p>
        </w:tc>
        <w:tc>
          <w:tcPr>
            <w:tcW w:w="220" w:type="dxa"/>
            <w:vAlign w:val="bottom"/>
            <w:tcBorders>
              <w:bottom w:val="single" w:sz="8" w:color="CFF0FC"/>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b w:val="1"/>
                <w:bCs w:val="1"/>
                <w:color w:val="auto"/>
                <w:w w:val="91"/>
              </w:rPr>
              <w:t>of error</w:t>
            </w:r>
          </w:p>
        </w:tc>
        <w:tc>
          <w:tcPr>
            <w:tcW w:w="220" w:type="dxa"/>
            <w:vAlign w:val="bottom"/>
            <w:tcBorders>
              <w:bottom w:val="single" w:sz="8" w:color="CFF0FC"/>
            </w:tcBorders>
            <w:gridSpan w:val="2"/>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1"/>
                <w:szCs w:val="11"/>
                <w:b w:val="1"/>
                <w:bCs w:val="1"/>
                <w:color w:val="auto"/>
                <w:w w:val="90"/>
              </w:rPr>
              <w:t>Restated</w:t>
            </w:r>
          </w:p>
        </w:tc>
        <w:tc>
          <w:tcPr>
            <w:tcW w:w="200" w:type="dxa"/>
            <w:vAlign w:val="bottom"/>
            <w:tcBorders>
              <w:bottom w:val="single" w:sz="8" w:color="CFF0FC"/>
            </w:tcBorders>
            <w:gridSpan w:val="2"/>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2"/>
          </w:tcPr>
          <w:p>
            <w:pPr>
              <w:jc w:val="center"/>
              <w:ind w:right="3"/>
              <w:spacing w:after="0"/>
              <w:rPr>
                <w:sz w:val="20"/>
                <w:szCs w:val="20"/>
                <w:color w:val="auto"/>
              </w:rPr>
            </w:pPr>
            <w:r>
              <w:rPr>
                <w:rFonts w:ascii="Arial" w:cs="Arial" w:eastAsia="Arial" w:hAnsi="Arial"/>
                <w:sz w:val="11"/>
                <w:szCs w:val="11"/>
                <w:b w:val="1"/>
                <w:bCs w:val="1"/>
                <w:color w:val="auto"/>
                <w:w w:val="86"/>
              </w:rPr>
              <w:t>Reported</w:t>
            </w:r>
          </w:p>
        </w:tc>
        <w:tc>
          <w:tcPr>
            <w:tcW w:w="220" w:type="dxa"/>
            <w:vAlign w:val="bottom"/>
            <w:tcBorders>
              <w:bottom w:val="single" w:sz="8" w:color="CFF0FC"/>
            </w:tcBorders>
            <w:gridSpan w:val="2"/>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2"/>
          </w:tcPr>
          <w:p>
            <w:pPr>
              <w:jc w:val="center"/>
              <w:ind w:right="22"/>
              <w:spacing w:after="0"/>
              <w:rPr>
                <w:sz w:val="20"/>
                <w:szCs w:val="20"/>
                <w:color w:val="auto"/>
              </w:rPr>
            </w:pPr>
            <w:r>
              <w:rPr>
                <w:rFonts w:ascii="Arial" w:cs="Arial" w:eastAsia="Arial" w:hAnsi="Arial"/>
                <w:sz w:val="11"/>
                <w:szCs w:val="11"/>
                <w:b w:val="1"/>
                <w:bCs w:val="1"/>
                <w:color w:val="auto"/>
                <w:w w:val="91"/>
              </w:rPr>
              <w:t>of error</w:t>
            </w:r>
          </w:p>
        </w:tc>
        <w:tc>
          <w:tcPr>
            <w:tcW w:w="220" w:type="dxa"/>
            <w:vAlign w:val="bottom"/>
            <w:tcBorders>
              <w:bottom w:val="single" w:sz="8" w:color="CFF0FC"/>
            </w:tcBorders>
            <w:gridSpan w:val="2"/>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1"/>
                <w:szCs w:val="11"/>
                <w:b w:val="1"/>
                <w:bCs w:val="1"/>
                <w:color w:val="auto"/>
                <w:w w:val="86"/>
              </w:rPr>
              <w:t>Restated</w:t>
            </w:r>
          </w:p>
        </w:tc>
        <w:tc>
          <w:tcPr>
            <w:tcW w:w="160" w:type="dxa"/>
            <w:vAlign w:val="bottom"/>
            <w:tcBorders>
              <w:bottom w:val="single" w:sz="8" w:color="CFF0FC"/>
            </w:tcBorders>
            <w:gridSpan w:val="2"/>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2"/>
          </w:tcPr>
          <w:p>
            <w:pPr>
              <w:jc w:val="center"/>
              <w:ind w:right="23"/>
              <w:spacing w:after="0"/>
              <w:rPr>
                <w:sz w:val="20"/>
                <w:szCs w:val="20"/>
                <w:color w:val="auto"/>
              </w:rPr>
            </w:pPr>
            <w:r>
              <w:rPr>
                <w:rFonts w:ascii="Arial" w:cs="Arial" w:eastAsia="Arial" w:hAnsi="Arial"/>
                <w:sz w:val="11"/>
                <w:szCs w:val="11"/>
                <w:b w:val="1"/>
                <w:bCs w:val="1"/>
                <w:color w:val="auto"/>
                <w:w w:val="91"/>
              </w:rPr>
              <w:t>Reported</w:t>
            </w:r>
          </w:p>
        </w:tc>
        <w:tc>
          <w:tcPr>
            <w:tcW w:w="160" w:type="dxa"/>
            <w:vAlign w:val="bottom"/>
            <w:tcBorders>
              <w:bottom w:val="single" w:sz="8" w:color="CFF0FC"/>
            </w:tcBorders>
            <w:gridSpan w:val="2"/>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jc w:val="center"/>
              <w:ind w:right="2"/>
              <w:spacing w:after="0"/>
              <w:rPr>
                <w:sz w:val="20"/>
                <w:szCs w:val="20"/>
                <w:color w:val="auto"/>
              </w:rPr>
            </w:pPr>
            <w:r>
              <w:rPr>
                <w:rFonts w:ascii="Arial" w:cs="Arial" w:eastAsia="Arial" w:hAnsi="Arial"/>
                <w:sz w:val="11"/>
                <w:szCs w:val="11"/>
                <w:b w:val="1"/>
                <w:bCs w:val="1"/>
                <w:color w:val="auto"/>
                <w:w w:val="91"/>
              </w:rPr>
              <w:t>of error</w:t>
            </w:r>
          </w:p>
        </w:tc>
        <w:tc>
          <w:tcPr>
            <w:tcW w:w="180" w:type="dxa"/>
            <w:vAlign w:val="bottom"/>
            <w:tcBorders>
              <w:bottom w:val="single" w:sz="8" w:color="CFF0FC"/>
            </w:tcBorders>
            <w:gridSpan w:val="2"/>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1"/>
                <w:szCs w:val="11"/>
                <w:b w:val="1"/>
                <w:bCs w:val="1"/>
                <w:color w:val="auto"/>
                <w:w w:val="86"/>
              </w:rPr>
              <w:t>Restated</w:t>
            </w:r>
          </w:p>
        </w:tc>
        <w:tc>
          <w:tcPr>
            <w:tcW w:w="60" w:type="dxa"/>
            <w:vAlign w:val="bottom"/>
            <w:tcBorders>
              <w:bottom w:val="single" w:sz="8" w:color="CFF0FC"/>
            </w:tcBorders>
          </w:tcPr>
          <w:p>
            <w:pPr>
              <w:spacing w:after="0"/>
              <w:rPr>
                <w:sz w:val="11"/>
                <w:szCs w:val="11"/>
                <w:color w:val="auto"/>
              </w:rPr>
            </w:pPr>
          </w:p>
        </w:tc>
      </w:tr>
      <w:tr>
        <w:trPr>
          <w:trHeight w:val="142"/>
        </w:trPr>
        <w:tc>
          <w:tcPr>
            <w:tcW w:w="1540" w:type="dxa"/>
            <w:vAlign w:val="bottom"/>
            <w:shd w:val="clear" w:color="auto" w:fill="CFF0FC"/>
          </w:tcPr>
          <w:p>
            <w:pPr>
              <w:spacing w:after="0"/>
              <w:rPr>
                <w:sz w:val="20"/>
                <w:szCs w:val="20"/>
                <w:color w:val="auto"/>
              </w:rPr>
            </w:pPr>
            <w:r>
              <w:rPr>
                <w:rFonts w:ascii="Arial" w:cs="Arial" w:eastAsia="Arial" w:hAnsi="Arial"/>
                <w:sz w:val="12"/>
                <w:szCs w:val="12"/>
                <w:color w:val="auto"/>
              </w:rPr>
              <w:t>Series A Warrant liability</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352</w:t>
            </w:r>
          </w:p>
        </w:tc>
        <w:tc>
          <w:tcPr>
            <w:tcW w:w="14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(282)</w:t>
            </w: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w:t>
            </w: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291</w:t>
            </w:r>
          </w:p>
        </w:tc>
        <w:tc>
          <w:tcPr>
            <w:tcW w:w="220" w:type="dxa"/>
            <w:vAlign w:val="bottom"/>
            <w:shd w:val="clear" w:color="auto" w:fill="CFF0FC"/>
          </w:tcPr>
          <w:p>
            <w:pPr>
              <w:spacing w:after="0"/>
              <w:rPr>
                <w:sz w:val="12"/>
                <w:szCs w:val="12"/>
                <w:color w:val="auto"/>
              </w:rPr>
            </w:pP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(233)</w:t>
            </w:r>
          </w:p>
        </w:tc>
        <w:tc>
          <w:tcPr>
            <w:tcW w:w="180" w:type="dxa"/>
            <w:vAlign w:val="bottom"/>
            <w:shd w:val="clear" w:color="auto" w:fill="CFF0FC"/>
          </w:tcPr>
          <w:p>
            <w:pPr>
              <w:spacing w:after="0"/>
              <w:rPr>
                <w:sz w:val="12"/>
                <w:szCs w:val="12"/>
                <w:color w:val="auto"/>
              </w:rPr>
            </w:pPr>
          </w:p>
        </w:tc>
        <w:tc>
          <w:tcPr>
            <w:tcW w:w="120" w:type="dxa"/>
            <w:vAlign w:val="bottom"/>
            <w:gridSpan w:val="2"/>
            <w:shd w:val="clear" w:color="auto" w:fill="CFF0FC"/>
          </w:tcPr>
          <w:p>
            <w:pPr>
              <w:jc w:val="right"/>
              <w:ind w:right="26"/>
              <w:spacing w:after="0"/>
              <w:rPr>
                <w:sz w:val="20"/>
                <w:szCs w:val="20"/>
                <w:color w:val="auto"/>
              </w:rPr>
            </w:pPr>
            <w:r>
              <w:rPr>
                <w:rFonts w:ascii="Arial" w:cs="Arial" w:eastAsia="Arial" w:hAnsi="Arial"/>
                <w:sz w:val="5"/>
                <w:szCs w:val="5"/>
                <w:color w:val="auto"/>
                <w:w w:val="70"/>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w:t>
            </w: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gridSpan w:val="2"/>
            <w:shd w:val="clear" w:color="auto" w:fill="CFF0FC"/>
          </w:tcPr>
          <w:p>
            <w:pPr>
              <w:jc w:val="right"/>
              <w:ind w:right="6"/>
              <w:spacing w:after="0"/>
              <w:rPr>
                <w:sz w:val="20"/>
                <w:szCs w:val="20"/>
                <w:color w:val="auto"/>
              </w:rPr>
            </w:pPr>
            <w:r>
              <w:rPr>
                <w:rFonts w:ascii="Arial" w:cs="Arial" w:eastAsia="Arial" w:hAnsi="Arial"/>
                <w:sz w:val="9"/>
                <w:szCs w:val="9"/>
                <w:color w:val="auto"/>
                <w:w w:val="78"/>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1,015</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gridSpan w:val="2"/>
            <w:shd w:val="clear" w:color="auto" w:fill="CFF0FC"/>
          </w:tcPr>
          <w:p>
            <w:pPr>
              <w:jc w:val="right"/>
              <w:ind w:right="26"/>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(812)</w:t>
            </w:r>
          </w:p>
        </w:tc>
        <w:tc>
          <w:tcPr>
            <w:tcW w:w="160" w:type="dxa"/>
            <w:vAlign w:val="bottom"/>
            <w:shd w:val="clear" w:color="auto" w:fill="CFF0FC"/>
          </w:tcPr>
          <w:p>
            <w:pPr>
              <w:spacing w:after="0"/>
              <w:rPr>
                <w:sz w:val="12"/>
                <w:szCs w:val="12"/>
                <w:color w:val="auto"/>
              </w:rPr>
            </w:pPr>
          </w:p>
        </w:tc>
        <w:tc>
          <w:tcPr>
            <w:tcW w:w="120" w:type="dxa"/>
            <w:vAlign w:val="bottom"/>
            <w:gridSpan w:val="2"/>
            <w:shd w:val="clear" w:color="auto" w:fill="CFF0FC"/>
          </w:tcPr>
          <w:p>
            <w:pPr>
              <w:jc w:val="right"/>
              <w:ind w:right="6"/>
              <w:spacing w:after="0"/>
              <w:rPr>
                <w:sz w:val="20"/>
                <w:szCs w:val="20"/>
                <w:color w:val="auto"/>
              </w:rPr>
            </w:pPr>
            <w:r>
              <w:rPr>
                <w:rFonts w:ascii="Arial" w:cs="Arial" w:eastAsia="Arial" w:hAnsi="Arial"/>
                <w:sz w:val="9"/>
                <w:szCs w:val="9"/>
                <w:color w:val="auto"/>
                <w:w w:val="78"/>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203</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gridSpan w:val="3"/>
            <w:shd w:val="clear" w:color="auto" w:fill="CFF0FC"/>
          </w:tcPr>
          <w:p>
            <w:pPr>
              <w:jc w:val="right"/>
              <w:ind w:right="6"/>
              <w:spacing w:after="0"/>
              <w:rPr>
                <w:sz w:val="20"/>
                <w:szCs w:val="20"/>
                <w:color w:val="auto"/>
              </w:rPr>
            </w:pPr>
            <w:r>
              <w:rPr>
                <w:rFonts w:ascii="Arial" w:cs="Arial" w:eastAsia="Arial" w:hAnsi="Arial"/>
                <w:sz w:val="12"/>
                <w:szCs w:val="12"/>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1,015</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gridSpan w:val="3"/>
            <w:shd w:val="clear" w:color="auto" w:fill="CFF0FC"/>
          </w:tcPr>
          <w:p>
            <w:pPr>
              <w:jc w:val="right"/>
              <w:ind w:right="26"/>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(812)</w:t>
            </w:r>
          </w:p>
        </w:tc>
        <w:tc>
          <w:tcPr>
            <w:tcW w:w="120" w:type="dxa"/>
            <w:vAlign w:val="bottom"/>
            <w:shd w:val="clear" w:color="auto" w:fill="CFF0FC"/>
          </w:tcPr>
          <w:p>
            <w:pPr>
              <w:spacing w:after="0"/>
              <w:rPr>
                <w:sz w:val="12"/>
                <w:szCs w:val="12"/>
                <w:color w:val="auto"/>
              </w:rPr>
            </w:pPr>
          </w:p>
        </w:tc>
        <w:tc>
          <w:tcPr>
            <w:tcW w:w="14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203</w:t>
            </w:r>
          </w:p>
        </w:tc>
        <w:tc>
          <w:tcPr>
            <w:tcW w:w="60" w:type="dxa"/>
            <w:vAlign w:val="bottom"/>
            <w:shd w:val="clear" w:color="auto" w:fill="CFF0FC"/>
          </w:tcPr>
          <w:p>
            <w:pPr>
              <w:spacing w:after="0"/>
              <w:rPr>
                <w:sz w:val="12"/>
                <w:szCs w:val="12"/>
                <w:color w:val="auto"/>
              </w:rPr>
            </w:pPr>
          </w:p>
        </w:tc>
      </w:tr>
      <w:tr>
        <w:trPr>
          <w:trHeight w:val="149"/>
        </w:trPr>
        <w:tc>
          <w:tcPr>
            <w:tcW w:w="1540" w:type="dxa"/>
            <w:vAlign w:val="bottom"/>
          </w:tcPr>
          <w:p>
            <w:pPr>
              <w:spacing w:after="0"/>
              <w:rPr>
                <w:sz w:val="20"/>
                <w:szCs w:val="20"/>
                <w:color w:val="auto"/>
              </w:rPr>
            </w:pPr>
            <w:r>
              <w:rPr>
                <w:rFonts w:ascii="Arial" w:cs="Arial" w:eastAsia="Arial" w:hAnsi="Arial"/>
                <w:sz w:val="12"/>
                <w:szCs w:val="12"/>
                <w:color w:val="auto"/>
              </w:rPr>
              <w:t>Total liabilities</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12,487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(282)</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12,205</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13,312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(233)</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13,079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17,507</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(812)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16,695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17,507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(812)</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16,695</w:t>
            </w:r>
          </w:p>
        </w:tc>
        <w:tc>
          <w:tcPr>
            <w:tcW w:w="60" w:type="dxa"/>
            <w:vAlign w:val="bottom"/>
          </w:tcPr>
          <w:p>
            <w:pPr>
              <w:spacing w:after="0"/>
              <w:rPr>
                <w:sz w:val="12"/>
                <w:szCs w:val="12"/>
                <w:color w:val="auto"/>
              </w:rPr>
            </w:pPr>
          </w:p>
        </w:tc>
      </w:tr>
      <w:tr>
        <w:trPr>
          <w:trHeight w:val="149"/>
        </w:trPr>
        <w:tc>
          <w:tcPr>
            <w:tcW w:w="1540" w:type="dxa"/>
            <w:vAlign w:val="bottom"/>
            <w:shd w:val="clear" w:color="auto" w:fill="CFF0FC"/>
          </w:tcPr>
          <w:p>
            <w:pPr>
              <w:spacing w:after="0"/>
              <w:rPr>
                <w:sz w:val="20"/>
                <w:szCs w:val="20"/>
                <w:color w:val="auto"/>
              </w:rPr>
            </w:pPr>
            <w:r>
              <w:rPr>
                <w:rFonts w:ascii="Arial" w:cs="Arial" w:eastAsia="Arial" w:hAnsi="Arial"/>
                <w:sz w:val="12"/>
                <w:szCs w:val="12"/>
                <w:color w:val="auto"/>
              </w:rPr>
              <w:t>Accumulated deficit</w:t>
            </w:r>
          </w:p>
        </w:tc>
        <w:tc>
          <w:tcPr>
            <w:tcW w:w="3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(113,979)</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(113,697)</w:t>
            </w:r>
          </w:p>
        </w:tc>
        <w:tc>
          <w:tcPr>
            <w:tcW w:w="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(117,734)</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233</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w w:val="93"/>
              </w:rPr>
              <w:t>(117,501)</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w w:val="93"/>
              </w:rPr>
              <w:t>(125,371)</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812</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w w:val="93"/>
              </w:rPr>
              <w:t>(124,559)</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w w:val="93"/>
              </w:rPr>
              <w:t>(125,371)</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812</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w w:val="89"/>
              </w:rPr>
              <w:t>(124,559)</w:t>
            </w:r>
          </w:p>
        </w:tc>
      </w:tr>
      <w:tr>
        <w:trPr>
          <w:trHeight w:val="473"/>
        </w:trPr>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00" w:type="dxa"/>
            <w:vAlign w:val="bottom"/>
            <w:gridSpan w:val="9"/>
          </w:tcPr>
          <w:p>
            <w:pPr>
              <w:jc w:val="center"/>
              <w:ind w:right="340"/>
              <w:spacing w:after="0"/>
              <w:rPr>
                <w:sz w:val="20"/>
                <w:szCs w:val="20"/>
                <w:color w:val="auto"/>
              </w:rPr>
            </w:pPr>
            <w:r>
              <w:rPr>
                <w:rFonts w:ascii="Arial" w:cs="Arial" w:eastAsia="Arial" w:hAnsi="Arial"/>
                <w:sz w:val="11"/>
                <w:szCs w:val="11"/>
                <w:b w:val="1"/>
                <w:bCs w:val="1"/>
                <w:color w:val="auto"/>
                <w:w w:val="88"/>
              </w:rPr>
              <w:t>Year Ended December 31, 2017</w:t>
            </w:r>
          </w:p>
        </w:tc>
        <w:tc>
          <w:tcPr>
            <w:tcW w:w="60" w:type="dxa"/>
            <w:vAlign w:val="bottom"/>
          </w:tcPr>
          <w:p>
            <w:pPr>
              <w:spacing w:after="0"/>
              <w:rPr>
                <w:sz w:val="24"/>
                <w:szCs w:val="24"/>
                <w:color w:val="auto"/>
              </w:rPr>
            </w:pPr>
          </w:p>
        </w:tc>
        <w:tc>
          <w:tcPr>
            <w:tcW w:w="2340" w:type="dxa"/>
            <w:vAlign w:val="bottom"/>
            <w:gridSpan w:val="12"/>
          </w:tcPr>
          <w:p>
            <w:pPr>
              <w:jc w:val="right"/>
              <w:ind w:right="560"/>
              <w:spacing w:after="0"/>
              <w:rPr>
                <w:sz w:val="20"/>
                <w:szCs w:val="20"/>
                <w:color w:val="auto"/>
              </w:rPr>
            </w:pPr>
            <w:r>
              <w:rPr>
                <w:rFonts w:ascii="Arial" w:cs="Arial" w:eastAsia="Arial" w:hAnsi="Arial"/>
                <w:sz w:val="11"/>
                <w:szCs w:val="11"/>
                <w:b w:val="1"/>
                <w:bCs w:val="1"/>
                <w:color w:val="auto"/>
              </w:rPr>
              <w:t>Quarter Ended March 31, 2018</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gridSpan w:val="13"/>
          </w:tcPr>
          <w:p>
            <w:pPr>
              <w:jc w:val="center"/>
              <w:ind w:right="180"/>
              <w:spacing w:after="0"/>
              <w:rPr>
                <w:sz w:val="20"/>
                <w:szCs w:val="20"/>
                <w:color w:val="auto"/>
              </w:rPr>
            </w:pPr>
            <w:r>
              <w:rPr>
                <w:rFonts w:ascii="Arial" w:cs="Arial" w:eastAsia="Arial" w:hAnsi="Arial"/>
                <w:sz w:val="11"/>
                <w:szCs w:val="11"/>
                <w:b w:val="1"/>
                <w:bCs w:val="1"/>
                <w:color w:val="auto"/>
                <w:w w:val="90"/>
              </w:rPr>
              <w:t>Quarter Ended June 30, 2018</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14"/>
          </w:tcPr>
          <w:p>
            <w:pPr>
              <w:jc w:val="center"/>
              <w:ind w:right="140"/>
              <w:spacing w:after="0"/>
              <w:rPr>
                <w:sz w:val="20"/>
                <w:szCs w:val="20"/>
                <w:color w:val="auto"/>
              </w:rPr>
            </w:pPr>
            <w:r>
              <w:rPr>
                <w:rFonts w:ascii="Arial" w:cs="Arial" w:eastAsia="Arial" w:hAnsi="Arial"/>
                <w:sz w:val="11"/>
                <w:szCs w:val="11"/>
                <w:b w:val="1"/>
                <w:bCs w:val="1"/>
                <w:color w:val="auto"/>
                <w:w w:val="88"/>
              </w:rPr>
              <w:t>Six Months Ended June 30, 2018</w:t>
            </w:r>
          </w:p>
        </w:tc>
      </w:tr>
      <w:tr>
        <w:trPr>
          <w:trHeight w:val="115"/>
        </w:trPr>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gridSpan w:val="2"/>
          </w:tcPr>
          <w:p>
            <w:pPr>
              <w:jc w:val="center"/>
              <w:ind w:right="200"/>
              <w:spacing w:after="0" w:line="115" w:lineRule="exact"/>
              <w:rPr>
                <w:sz w:val="20"/>
                <w:szCs w:val="20"/>
                <w:color w:val="auto"/>
              </w:rPr>
            </w:pPr>
            <w:r>
              <w:rPr>
                <w:rFonts w:ascii="Arial" w:cs="Arial" w:eastAsia="Arial" w:hAnsi="Arial"/>
                <w:sz w:val="11"/>
                <w:szCs w:val="11"/>
                <w:b w:val="1"/>
                <w:bCs w:val="1"/>
                <w:color w:val="auto"/>
                <w:w w:val="85"/>
              </w:rPr>
              <w:t>As</w:t>
            </w: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gridSpan w:val="2"/>
          </w:tcPr>
          <w:p>
            <w:pPr>
              <w:jc w:val="center"/>
              <w:ind w:right="320"/>
              <w:spacing w:after="0" w:line="115" w:lineRule="exact"/>
              <w:rPr>
                <w:sz w:val="20"/>
                <w:szCs w:val="20"/>
                <w:color w:val="auto"/>
              </w:rPr>
            </w:pPr>
            <w:r>
              <w:rPr>
                <w:rFonts w:ascii="Arial" w:cs="Arial" w:eastAsia="Arial" w:hAnsi="Arial"/>
                <w:sz w:val="11"/>
                <w:szCs w:val="11"/>
                <w:b w:val="1"/>
                <w:bCs w:val="1"/>
                <w:color w:val="auto"/>
                <w:w w:val="85"/>
              </w:rPr>
              <w:t>As</w:t>
            </w:r>
          </w:p>
        </w:tc>
        <w:tc>
          <w:tcPr>
            <w:tcW w:w="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gridSpan w:val="3"/>
          </w:tcPr>
          <w:p>
            <w:pPr>
              <w:jc w:val="center"/>
              <w:ind w:right="186"/>
              <w:spacing w:after="0" w:line="115" w:lineRule="exact"/>
              <w:rPr>
                <w:sz w:val="20"/>
                <w:szCs w:val="20"/>
                <w:color w:val="auto"/>
              </w:rPr>
            </w:pPr>
            <w:r>
              <w:rPr>
                <w:rFonts w:ascii="Arial" w:cs="Arial" w:eastAsia="Arial" w:hAnsi="Arial"/>
                <w:sz w:val="11"/>
                <w:szCs w:val="11"/>
                <w:b w:val="1"/>
                <w:bCs w:val="1"/>
                <w:color w:val="auto"/>
                <w:w w:val="85"/>
              </w:rPr>
              <w:t>As</w:t>
            </w: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gridSpan w:val="3"/>
          </w:tcPr>
          <w:p>
            <w:pPr>
              <w:jc w:val="center"/>
              <w:ind w:right="180"/>
              <w:spacing w:after="0" w:line="115" w:lineRule="exact"/>
              <w:rPr>
                <w:sz w:val="20"/>
                <w:szCs w:val="20"/>
                <w:color w:val="auto"/>
              </w:rPr>
            </w:pPr>
            <w:r>
              <w:rPr>
                <w:rFonts w:ascii="Arial" w:cs="Arial" w:eastAsia="Arial" w:hAnsi="Arial"/>
                <w:sz w:val="11"/>
                <w:szCs w:val="11"/>
                <w:b w:val="1"/>
                <w:bCs w:val="1"/>
                <w:color w:val="auto"/>
                <w:w w:val="85"/>
              </w:rPr>
              <w:t>As</w:t>
            </w:r>
          </w:p>
        </w:tc>
        <w:tc>
          <w:tcPr>
            <w:tcW w:w="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22"/>
        </w:trPr>
        <w:tc>
          <w:tcPr>
            <w:tcW w:w="1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3"/>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Previously</w:t>
            </w:r>
          </w:p>
        </w:tc>
        <w:tc>
          <w:tcPr>
            <w:tcW w:w="100" w:type="dxa"/>
            <w:vAlign w:val="bottom"/>
          </w:tcPr>
          <w:p>
            <w:pPr>
              <w:spacing w:after="0"/>
              <w:rPr>
                <w:sz w:val="10"/>
                <w:szCs w:val="10"/>
                <w:color w:val="auto"/>
              </w:rPr>
            </w:pPr>
          </w:p>
        </w:tc>
        <w:tc>
          <w:tcPr>
            <w:tcW w:w="860" w:type="dxa"/>
            <w:vAlign w:val="bottom"/>
            <w:gridSpan w:val="3"/>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Correction</w:t>
            </w:r>
          </w:p>
        </w:tc>
        <w:tc>
          <w:tcPr>
            <w:tcW w:w="80" w:type="dxa"/>
            <w:vAlign w:val="bottom"/>
          </w:tcPr>
          <w:p>
            <w:pPr>
              <w:spacing w:after="0"/>
              <w:rPr>
                <w:sz w:val="10"/>
                <w:szCs w:val="10"/>
                <w:color w:val="auto"/>
              </w:rPr>
            </w:pPr>
          </w:p>
        </w:tc>
        <w:tc>
          <w:tcPr>
            <w:tcW w:w="780" w:type="dxa"/>
            <w:vAlign w:val="bottom"/>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w w:val="85"/>
              </w:rPr>
              <w:t>As</w:t>
            </w:r>
          </w:p>
        </w:tc>
        <w:tc>
          <w:tcPr>
            <w:tcW w:w="820" w:type="dxa"/>
            <w:vAlign w:val="bottom"/>
            <w:gridSpan w:val="3"/>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Previously</w:t>
            </w:r>
          </w:p>
        </w:tc>
        <w:tc>
          <w:tcPr>
            <w:tcW w:w="20" w:type="dxa"/>
            <w:vAlign w:val="bottom"/>
          </w:tcPr>
          <w:p>
            <w:pPr>
              <w:spacing w:after="0"/>
              <w:rPr>
                <w:sz w:val="10"/>
                <w:szCs w:val="10"/>
                <w:color w:val="auto"/>
              </w:rPr>
            </w:pPr>
          </w:p>
        </w:tc>
        <w:tc>
          <w:tcPr>
            <w:tcW w:w="780" w:type="dxa"/>
            <w:vAlign w:val="bottom"/>
            <w:gridSpan w:val="4"/>
          </w:tcPr>
          <w:p>
            <w:pPr>
              <w:jc w:val="right"/>
              <w:ind w:right="240"/>
              <w:spacing w:after="0" w:line="122" w:lineRule="exact"/>
              <w:rPr>
                <w:sz w:val="20"/>
                <w:szCs w:val="20"/>
                <w:color w:val="auto"/>
              </w:rPr>
            </w:pPr>
            <w:r>
              <w:rPr>
                <w:rFonts w:ascii="Arial" w:cs="Arial" w:eastAsia="Arial" w:hAnsi="Arial"/>
                <w:sz w:val="11"/>
                <w:szCs w:val="11"/>
                <w:b w:val="1"/>
                <w:bCs w:val="1"/>
                <w:color w:val="auto"/>
                <w:w w:val="93"/>
              </w:rPr>
              <w:t>Correction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jc w:val="right"/>
              <w:ind w:right="400"/>
              <w:spacing w:after="0" w:line="122" w:lineRule="exact"/>
              <w:rPr>
                <w:sz w:val="20"/>
                <w:szCs w:val="20"/>
                <w:color w:val="auto"/>
              </w:rPr>
            </w:pPr>
            <w:r>
              <w:rPr>
                <w:rFonts w:ascii="Arial" w:cs="Arial" w:eastAsia="Arial" w:hAnsi="Arial"/>
                <w:sz w:val="11"/>
                <w:szCs w:val="11"/>
                <w:b w:val="1"/>
                <w:bCs w:val="1"/>
                <w:color w:val="auto"/>
              </w:rPr>
              <w:t>As</w:t>
            </w:r>
          </w:p>
        </w:tc>
        <w:tc>
          <w:tcPr>
            <w:tcW w:w="60" w:type="dxa"/>
            <w:vAlign w:val="bottom"/>
          </w:tcPr>
          <w:p>
            <w:pPr>
              <w:spacing w:after="0"/>
              <w:rPr>
                <w:sz w:val="10"/>
                <w:szCs w:val="10"/>
                <w:color w:val="auto"/>
              </w:rPr>
            </w:pPr>
          </w:p>
        </w:tc>
        <w:tc>
          <w:tcPr>
            <w:tcW w:w="740" w:type="dxa"/>
            <w:vAlign w:val="bottom"/>
            <w:gridSpan w:val="4"/>
          </w:tcPr>
          <w:p>
            <w:pPr>
              <w:jc w:val="center"/>
              <w:ind w:right="126"/>
              <w:spacing w:after="0" w:line="122" w:lineRule="exact"/>
              <w:rPr>
                <w:sz w:val="20"/>
                <w:szCs w:val="20"/>
                <w:color w:val="auto"/>
              </w:rPr>
            </w:pPr>
            <w:r>
              <w:rPr>
                <w:rFonts w:ascii="Arial" w:cs="Arial" w:eastAsia="Arial" w:hAnsi="Arial"/>
                <w:sz w:val="11"/>
                <w:szCs w:val="11"/>
                <w:b w:val="1"/>
                <w:bCs w:val="1"/>
                <w:color w:val="auto"/>
                <w:w w:val="86"/>
              </w:rPr>
              <w:t>Previously</w:t>
            </w:r>
          </w:p>
        </w:tc>
        <w:tc>
          <w:tcPr>
            <w:tcW w:w="60" w:type="dxa"/>
            <w:vAlign w:val="bottom"/>
          </w:tcPr>
          <w:p>
            <w:pPr>
              <w:spacing w:after="0"/>
              <w:rPr>
                <w:sz w:val="10"/>
                <w:szCs w:val="10"/>
                <w:color w:val="auto"/>
              </w:rPr>
            </w:pPr>
          </w:p>
        </w:tc>
        <w:tc>
          <w:tcPr>
            <w:tcW w:w="740" w:type="dxa"/>
            <w:vAlign w:val="bottom"/>
            <w:gridSpan w:val="4"/>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Correction</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3"/>
          </w:tcPr>
          <w:p>
            <w:pPr>
              <w:jc w:val="right"/>
              <w:ind w:right="340"/>
              <w:spacing w:after="0" w:line="122" w:lineRule="exact"/>
              <w:rPr>
                <w:sz w:val="20"/>
                <w:szCs w:val="20"/>
                <w:color w:val="auto"/>
              </w:rPr>
            </w:pPr>
            <w:r>
              <w:rPr>
                <w:rFonts w:ascii="Arial" w:cs="Arial" w:eastAsia="Arial" w:hAnsi="Arial"/>
                <w:sz w:val="11"/>
                <w:szCs w:val="11"/>
                <w:b w:val="1"/>
                <w:bCs w:val="1"/>
                <w:color w:val="auto"/>
              </w:rPr>
              <w:t>As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Previously</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4"/>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Correction</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ind w:right="260"/>
              <w:spacing w:after="0" w:line="122" w:lineRule="exact"/>
              <w:rPr>
                <w:sz w:val="20"/>
                <w:szCs w:val="20"/>
                <w:color w:val="auto"/>
              </w:rPr>
            </w:pPr>
            <w:r>
              <w:rPr>
                <w:rFonts w:ascii="Arial" w:cs="Arial" w:eastAsia="Arial" w:hAnsi="Arial"/>
                <w:sz w:val="11"/>
                <w:szCs w:val="11"/>
                <w:b w:val="1"/>
                <w:bCs w:val="1"/>
                <w:color w:val="auto"/>
              </w:rPr>
              <w:t>As</w:t>
            </w:r>
          </w:p>
        </w:tc>
      </w:tr>
      <w:tr>
        <w:trPr>
          <w:trHeight w:val="135"/>
        </w:trPr>
        <w:tc>
          <w:tcPr>
            <w:tcW w:w="1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Reported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1"/>
              </w:rPr>
              <w:t>of error</w:t>
            </w:r>
          </w:p>
        </w:tc>
        <w:tc>
          <w:tcPr>
            <w:tcW w:w="80" w:type="dxa"/>
            <w:vAlign w:val="bottom"/>
          </w:tcPr>
          <w:p>
            <w:pPr>
              <w:spacing w:after="0"/>
              <w:rPr>
                <w:sz w:val="11"/>
                <w:szCs w:val="11"/>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6"/>
              </w:rPr>
              <w:t>Restated</w:t>
            </w:r>
          </w:p>
        </w:tc>
        <w:tc>
          <w:tcPr>
            <w:tcW w:w="60" w:type="dxa"/>
            <w:vAlign w:val="bottom"/>
          </w:tcPr>
          <w:p>
            <w:pPr>
              <w:spacing w:after="0"/>
              <w:rPr>
                <w:sz w:val="11"/>
                <w:szCs w:val="11"/>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6"/>
              </w:rPr>
              <w:t>Reported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1"/>
                <w:szCs w:val="11"/>
                <w:b w:val="1"/>
                <w:bCs w:val="1"/>
                <w:color w:val="auto"/>
              </w:rPr>
              <w:t>of error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1"/>
                <w:szCs w:val="11"/>
                <w:b w:val="1"/>
                <w:bCs w:val="1"/>
                <w:color w:val="auto"/>
                <w:w w:val="86"/>
              </w:rPr>
              <w:t>Restated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jc w:val="center"/>
              <w:ind w:right="186"/>
              <w:spacing w:after="0"/>
              <w:rPr>
                <w:sz w:val="20"/>
                <w:szCs w:val="20"/>
                <w:color w:val="auto"/>
              </w:rPr>
            </w:pPr>
            <w:r>
              <w:rPr>
                <w:rFonts w:ascii="Arial" w:cs="Arial" w:eastAsia="Arial" w:hAnsi="Arial"/>
                <w:sz w:val="11"/>
                <w:szCs w:val="11"/>
                <w:b w:val="1"/>
                <w:bCs w:val="1"/>
                <w:color w:val="auto"/>
                <w:w w:val="91"/>
              </w:rPr>
              <w:t>Reported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w w:val="91"/>
              </w:rPr>
              <w:t>of error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w w:val="86"/>
              </w:rPr>
              <w:t>Restated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91"/>
              </w:rPr>
              <w:t>Reported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1"/>
              </w:rPr>
              <w:t>of error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w w:val="94"/>
              </w:rPr>
              <w:t>Restated</w:t>
            </w:r>
          </w:p>
        </w:tc>
      </w:tr>
      <w:tr>
        <w:trPr>
          <w:trHeight w:val="136"/>
        </w:trPr>
        <w:tc>
          <w:tcPr>
            <w:tcW w:w="1860" w:type="dxa"/>
            <w:vAlign w:val="bottom"/>
            <w:tcBorders>
              <w:top w:val="single" w:sz="8" w:color="CFF0FC"/>
            </w:tcBorders>
            <w:gridSpan w:val="2"/>
            <w:shd w:val="clear" w:color="auto" w:fill="CFF0FC"/>
          </w:tcPr>
          <w:p>
            <w:pPr>
              <w:spacing w:after="0" w:line="136" w:lineRule="exact"/>
              <w:rPr>
                <w:sz w:val="20"/>
                <w:szCs w:val="20"/>
                <w:color w:val="auto"/>
              </w:rPr>
            </w:pPr>
            <w:r>
              <w:rPr>
                <w:rFonts w:ascii="Arial" w:cs="Arial" w:eastAsia="Arial" w:hAnsi="Arial"/>
                <w:sz w:val="12"/>
                <w:szCs w:val="12"/>
                <w:color w:val="auto"/>
              </w:rPr>
              <w:t>Change in fair value of</w:t>
            </w:r>
          </w:p>
        </w:tc>
        <w:tc>
          <w:tcPr>
            <w:tcW w:w="600" w:type="dxa"/>
            <w:vAlign w:val="bottom"/>
            <w:tcBorders>
              <w:top w:val="single" w:sz="8" w:color="auto"/>
            </w:tcBorders>
            <w:gridSpan w:val="2"/>
            <w:shd w:val="clear" w:color="auto" w:fill="CFF0FC"/>
          </w:tcPr>
          <w:p>
            <w:pPr>
              <w:spacing w:after="0"/>
              <w:rPr>
                <w:sz w:val="11"/>
                <w:szCs w:val="11"/>
                <w:color w:val="auto"/>
              </w:rPr>
            </w:pPr>
          </w:p>
        </w:tc>
        <w:tc>
          <w:tcPr>
            <w:tcW w:w="240" w:type="dxa"/>
            <w:vAlign w:val="bottom"/>
            <w:tcBorders>
              <w:top w:val="single" w:sz="8" w:color="CFF0FC"/>
            </w:tcBorders>
            <w:gridSpan w:val="2"/>
            <w:shd w:val="clear" w:color="auto" w:fill="CFF0FC"/>
          </w:tcPr>
          <w:p>
            <w:pPr>
              <w:spacing w:after="0"/>
              <w:rPr>
                <w:sz w:val="11"/>
                <w:szCs w:val="11"/>
                <w:color w:val="auto"/>
              </w:rPr>
            </w:pPr>
          </w:p>
        </w:tc>
        <w:tc>
          <w:tcPr>
            <w:tcW w:w="620" w:type="dxa"/>
            <w:vAlign w:val="bottom"/>
            <w:tcBorders>
              <w:top w:val="single" w:sz="8" w:color="auto"/>
            </w:tcBorders>
            <w:gridSpan w:val="2"/>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00" w:type="dxa"/>
            <w:vAlign w:val="bottom"/>
            <w:tcBorders>
              <w:top w:val="single" w:sz="8" w:color="auto"/>
            </w:tcBorders>
            <w:gridSpan w:val="2"/>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600" w:type="dxa"/>
            <w:vAlign w:val="bottom"/>
            <w:tcBorders>
              <w:top w:val="single" w:sz="8" w:color="auto"/>
            </w:tcBorders>
            <w:gridSpan w:val="2"/>
            <w:shd w:val="clear" w:color="auto" w:fill="CFF0FC"/>
          </w:tcPr>
          <w:p>
            <w:pPr>
              <w:spacing w:after="0"/>
              <w:rPr>
                <w:sz w:val="11"/>
                <w:szCs w:val="11"/>
                <w:color w:val="auto"/>
              </w:rPr>
            </w:pPr>
          </w:p>
        </w:tc>
        <w:tc>
          <w:tcPr>
            <w:tcW w:w="240" w:type="dxa"/>
            <w:vAlign w:val="bottom"/>
            <w:tcBorders>
              <w:top w:val="single" w:sz="8" w:color="CFF0FC"/>
            </w:tcBorders>
            <w:gridSpan w:val="2"/>
            <w:shd w:val="clear" w:color="auto" w:fill="CFF0FC"/>
          </w:tcPr>
          <w:p>
            <w:pPr>
              <w:spacing w:after="0"/>
              <w:rPr>
                <w:sz w:val="11"/>
                <w:szCs w:val="11"/>
                <w:color w:val="auto"/>
              </w:rPr>
            </w:pPr>
          </w:p>
        </w:tc>
        <w:tc>
          <w:tcPr>
            <w:tcW w:w="600" w:type="dxa"/>
            <w:vAlign w:val="bottom"/>
            <w:tcBorders>
              <w:top w:val="single" w:sz="8" w:color="auto"/>
            </w:tcBorders>
            <w:gridSpan w:val="3"/>
            <w:shd w:val="clear" w:color="auto" w:fill="CFF0FC"/>
          </w:tcPr>
          <w:p>
            <w:pPr>
              <w:spacing w:after="0"/>
              <w:rPr>
                <w:sz w:val="11"/>
                <w:szCs w:val="11"/>
                <w:color w:val="auto"/>
              </w:rPr>
            </w:pPr>
          </w:p>
        </w:tc>
        <w:tc>
          <w:tcPr>
            <w:tcW w:w="220" w:type="dxa"/>
            <w:vAlign w:val="bottom"/>
            <w:tcBorders>
              <w:top w:val="single" w:sz="8" w:color="CFF0FC"/>
            </w:tcBorders>
            <w:gridSpan w:val="2"/>
            <w:shd w:val="clear" w:color="auto" w:fill="CFF0FC"/>
          </w:tcPr>
          <w:p>
            <w:pPr>
              <w:spacing w:after="0"/>
              <w:rPr>
                <w:sz w:val="11"/>
                <w:szCs w:val="11"/>
                <w:color w:val="auto"/>
              </w:rPr>
            </w:pPr>
          </w:p>
        </w:tc>
        <w:tc>
          <w:tcPr>
            <w:tcW w:w="580" w:type="dxa"/>
            <w:vAlign w:val="bottom"/>
            <w:tcBorders>
              <w:top w:val="single" w:sz="8" w:color="auto"/>
            </w:tcBorders>
            <w:gridSpan w:val="3"/>
            <w:shd w:val="clear" w:color="auto" w:fill="CFF0FC"/>
          </w:tcPr>
          <w:p>
            <w:pPr>
              <w:spacing w:after="0"/>
              <w:rPr>
                <w:sz w:val="11"/>
                <w:szCs w:val="11"/>
                <w:color w:val="auto"/>
              </w:rPr>
            </w:pPr>
          </w:p>
        </w:tc>
        <w:tc>
          <w:tcPr>
            <w:tcW w:w="220" w:type="dxa"/>
            <w:vAlign w:val="bottom"/>
            <w:tcBorders>
              <w:top w:val="single" w:sz="8" w:color="CFF0FC"/>
            </w:tcBorders>
            <w:gridSpan w:val="2"/>
            <w:shd w:val="clear" w:color="auto" w:fill="CFF0FC"/>
          </w:tcPr>
          <w:p>
            <w:pPr>
              <w:spacing w:after="0"/>
              <w:rPr>
                <w:sz w:val="11"/>
                <w:szCs w:val="11"/>
                <w:color w:val="auto"/>
              </w:rPr>
            </w:pPr>
          </w:p>
        </w:tc>
        <w:tc>
          <w:tcPr>
            <w:tcW w:w="580" w:type="dxa"/>
            <w:vAlign w:val="bottom"/>
            <w:tcBorders>
              <w:top w:val="single" w:sz="8" w:color="auto"/>
            </w:tcBorders>
            <w:gridSpan w:val="3"/>
            <w:shd w:val="clear" w:color="auto" w:fill="CFF0FC"/>
          </w:tcPr>
          <w:p>
            <w:pPr>
              <w:spacing w:after="0"/>
              <w:rPr>
                <w:sz w:val="11"/>
                <w:szCs w:val="11"/>
                <w:color w:val="auto"/>
              </w:rPr>
            </w:pPr>
          </w:p>
        </w:tc>
        <w:tc>
          <w:tcPr>
            <w:tcW w:w="220" w:type="dxa"/>
            <w:vAlign w:val="bottom"/>
            <w:tcBorders>
              <w:top w:val="single" w:sz="8" w:color="CFF0FC"/>
            </w:tcBorders>
            <w:gridSpan w:val="2"/>
            <w:shd w:val="clear" w:color="auto" w:fill="CFF0FC"/>
          </w:tcPr>
          <w:p>
            <w:pPr>
              <w:spacing w:after="0"/>
              <w:rPr>
                <w:sz w:val="11"/>
                <w:szCs w:val="11"/>
                <w:color w:val="auto"/>
              </w:rPr>
            </w:pPr>
          </w:p>
        </w:tc>
        <w:tc>
          <w:tcPr>
            <w:tcW w:w="580" w:type="dxa"/>
            <w:vAlign w:val="bottom"/>
            <w:tcBorders>
              <w:top w:val="single" w:sz="8" w:color="auto"/>
            </w:tcBorders>
            <w:gridSpan w:val="3"/>
            <w:shd w:val="clear" w:color="auto" w:fill="CFF0FC"/>
          </w:tcPr>
          <w:p>
            <w:pPr>
              <w:spacing w:after="0"/>
              <w:rPr>
                <w:sz w:val="11"/>
                <w:szCs w:val="11"/>
                <w:color w:val="auto"/>
              </w:rPr>
            </w:pPr>
          </w:p>
        </w:tc>
        <w:tc>
          <w:tcPr>
            <w:tcW w:w="220" w:type="dxa"/>
            <w:vAlign w:val="bottom"/>
            <w:tcBorders>
              <w:top w:val="single" w:sz="8" w:color="CFF0FC"/>
            </w:tcBorders>
            <w:gridSpan w:val="2"/>
            <w:shd w:val="clear" w:color="auto" w:fill="CFF0FC"/>
          </w:tcPr>
          <w:p>
            <w:pPr>
              <w:spacing w:after="0"/>
              <w:rPr>
                <w:sz w:val="11"/>
                <w:szCs w:val="11"/>
                <w:color w:val="auto"/>
              </w:rPr>
            </w:pPr>
          </w:p>
        </w:tc>
        <w:tc>
          <w:tcPr>
            <w:tcW w:w="580" w:type="dxa"/>
            <w:vAlign w:val="bottom"/>
            <w:tcBorders>
              <w:top w:val="single" w:sz="8" w:color="auto"/>
            </w:tcBorders>
            <w:gridSpan w:val="3"/>
            <w:shd w:val="clear" w:color="auto" w:fill="CFF0FC"/>
          </w:tcPr>
          <w:p>
            <w:pPr>
              <w:spacing w:after="0"/>
              <w:rPr>
                <w:sz w:val="11"/>
                <w:szCs w:val="11"/>
                <w:color w:val="auto"/>
              </w:rPr>
            </w:pPr>
          </w:p>
        </w:tc>
        <w:tc>
          <w:tcPr>
            <w:tcW w:w="220" w:type="dxa"/>
            <w:vAlign w:val="bottom"/>
            <w:tcBorders>
              <w:top w:val="single" w:sz="8" w:color="CFF0FC"/>
            </w:tcBorders>
            <w:gridSpan w:val="3"/>
            <w:shd w:val="clear" w:color="auto" w:fill="CFF0FC"/>
          </w:tcPr>
          <w:p>
            <w:pPr>
              <w:spacing w:after="0"/>
              <w:rPr>
                <w:sz w:val="11"/>
                <w:szCs w:val="11"/>
                <w:color w:val="auto"/>
              </w:rPr>
            </w:pPr>
          </w:p>
        </w:tc>
        <w:tc>
          <w:tcPr>
            <w:tcW w:w="580" w:type="dxa"/>
            <w:vAlign w:val="bottom"/>
            <w:tcBorders>
              <w:top w:val="single" w:sz="8" w:color="auto"/>
            </w:tcBorders>
            <w:gridSpan w:val="3"/>
            <w:shd w:val="clear" w:color="auto" w:fill="CFF0FC"/>
          </w:tcPr>
          <w:p>
            <w:pPr>
              <w:spacing w:after="0"/>
              <w:rPr>
                <w:sz w:val="11"/>
                <w:szCs w:val="11"/>
                <w:color w:val="auto"/>
              </w:rPr>
            </w:pPr>
          </w:p>
        </w:tc>
        <w:tc>
          <w:tcPr>
            <w:tcW w:w="200" w:type="dxa"/>
            <w:vAlign w:val="bottom"/>
            <w:tcBorders>
              <w:top w:val="single" w:sz="8" w:color="CFF0FC"/>
            </w:tcBorders>
            <w:gridSpan w:val="3"/>
            <w:shd w:val="clear" w:color="auto" w:fill="CFF0FC"/>
          </w:tcPr>
          <w:p>
            <w:pPr>
              <w:spacing w:after="0"/>
              <w:rPr>
                <w:sz w:val="11"/>
                <w:szCs w:val="11"/>
                <w:color w:val="auto"/>
              </w:rPr>
            </w:pPr>
          </w:p>
        </w:tc>
        <w:tc>
          <w:tcPr>
            <w:tcW w:w="600" w:type="dxa"/>
            <w:vAlign w:val="bottom"/>
            <w:tcBorders>
              <w:top w:val="single" w:sz="8" w:color="auto"/>
            </w:tcBorders>
            <w:gridSpan w:val="3"/>
            <w:shd w:val="clear" w:color="auto" w:fill="CFF0FC"/>
          </w:tcPr>
          <w:p>
            <w:pPr>
              <w:spacing w:after="0"/>
              <w:rPr>
                <w:sz w:val="11"/>
                <w:szCs w:val="11"/>
                <w:color w:val="auto"/>
              </w:rPr>
            </w:pPr>
          </w:p>
        </w:tc>
        <w:tc>
          <w:tcPr>
            <w:tcW w:w="200" w:type="dxa"/>
            <w:vAlign w:val="bottom"/>
            <w:tcBorders>
              <w:top w:val="single" w:sz="8" w:color="CFF0FC"/>
            </w:tcBorders>
            <w:gridSpan w:val="3"/>
            <w:shd w:val="clear" w:color="auto" w:fill="CFF0FC"/>
          </w:tcPr>
          <w:p>
            <w:pPr>
              <w:spacing w:after="0"/>
              <w:rPr>
                <w:sz w:val="11"/>
                <w:szCs w:val="11"/>
                <w:color w:val="auto"/>
              </w:rPr>
            </w:pPr>
          </w:p>
        </w:tc>
        <w:tc>
          <w:tcPr>
            <w:tcW w:w="500" w:type="dxa"/>
            <w:vAlign w:val="bottom"/>
            <w:tcBorders>
              <w:top w:val="single" w:sz="8" w:color="auto"/>
            </w:tcBorders>
            <w:gridSpan w:val="2"/>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r>
      <w:tr>
        <w:trPr>
          <w:trHeight w:val="141"/>
        </w:trPr>
        <w:tc>
          <w:tcPr>
            <w:tcW w:w="1540" w:type="dxa"/>
            <w:vAlign w:val="bottom"/>
            <w:shd w:val="clear" w:color="auto" w:fill="CFF0FC"/>
          </w:tcPr>
          <w:p>
            <w:pPr>
              <w:ind w:left="100"/>
              <w:spacing w:after="0"/>
              <w:rPr>
                <w:sz w:val="20"/>
                <w:szCs w:val="20"/>
                <w:color w:val="auto"/>
              </w:rPr>
            </w:pPr>
            <w:r>
              <w:rPr>
                <w:rFonts w:ascii="Arial" w:cs="Arial" w:eastAsia="Arial" w:hAnsi="Arial"/>
                <w:sz w:val="12"/>
                <w:szCs w:val="12"/>
                <w:color w:val="auto"/>
              </w:rPr>
              <w:t>warrant liabilities</w:t>
            </w:r>
          </w:p>
        </w:tc>
        <w:tc>
          <w:tcPr>
            <w:tcW w:w="3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(967)</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(685)</w:t>
            </w: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212</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gridSpan w:val="3"/>
            <w:shd w:val="clear" w:color="auto" w:fill="CFF0FC"/>
          </w:tcPr>
          <w:p>
            <w:pPr>
              <w:jc w:val="right"/>
              <w:ind w:right="140"/>
              <w:spacing w:after="0"/>
              <w:rPr>
                <w:sz w:val="20"/>
                <w:szCs w:val="20"/>
                <w:color w:val="auto"/>
              </w:rPr>
            </w:pPr>
            <w:r>
              <w:rPr>
                <w:rFonts w:ascii="Arial" w:cs="Arial" w:eastAsia="Arial" w:hAnsi="Arial"/>
                <w:sz w:val="12"/>
                <w:szCs w:val="12"/>
                <w:color w:val="auto"/>
              </w:rPr>
              <w:t>(49)</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163</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gridSpan w:val="3"/>
            <w:shd w:val="clear" w:color="auto" w:fill="CFF0FC"/>
          </w:tcPr>
          <w:p>
            <w:pPr>
              <w:jc w:val="right"/>
              <w:ind w:right="66"/>
              <w:spacing w:after="0"/>
              <w:rPr>
                <w:sz w:val="20"/>
                <w:szCs w:val="20"/>
                <w:color w:val="auto"/>
              </w:rPr>
            </w:pPr>
            <w:r>
              <w:rPr>
                <w:rFonts w:ascii="Arial" w:cs="Arial" w:eastAsia="Arial" w:hAnsi="Arial"/>
                <w:sz w:val="12"/>
                <w:szCs w:val="12"/>
                <w:color w:val="auto"/>
              </w:rPr>
              <w:t>(3,834)</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579</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gridSpan w:val="3"/>
            <w:shd w:val="clear" w:color="auto" w:fill="CFF0FC"/>
          </w:tcPr>
          <w:p>
            <w:pPr>
              <w:jc w:val="right"/>
              <w:ind w:right="60"/>
              <w:spacing w:after="0"/>
              <w:rPr>
                <w:sz w:val="20"/>
                <w:szCs w:val="20"/>
                <w:color w:val="auto"/>
              </w:rPr>
            </w:pPr>
            <w:r>
              <w:rPr>
                <w:rFonts w:ascii="Arial" w:cs="Arial" w:eastAsia="Arial" w:hAnsi="Arial"/>
                <w:sz w:val="12"/>
                <w:szCs w:val="12"/>
                <w:color w:val="auto"/>
              </w:rPr>
              <w:t>(3,255)</w:t>
            </w: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gridSpan w:val="3"/>
            <w:shd w:val="clear" w:color="auto" w:fill="CFF0FC"/>
          </w:tcPr>
          <w:p>
            <w:pPr>
              <w:jc w:val="right"/>
              <w:ind w:right="60"/>
              <w:spacing w:after="0"/>
              <w:rPr>
                <w:sz w:val="20"/>
                <w:szCs w:val="20"/>
                <w:color w:val="auto"/>
              </w:rPr>
            </w:pPr>
            <w:r>
              <w:rPr>
                <w:rFonts w:ascii="Arial" w:cs="Arial" w:eastAsia="Arial" w:hAnsi="Arial"/>
                <w:sz w:val="12"/>
                <w:szCs w:val="12"/>
                <w:color w:val="auto"/>
              </w:rPr>
              <w:t>(3,622)</w:t>
            </w: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530</w:t>
            </w: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(3,092)</w:t>
            </w:r>
          </w:p>
        </w:tc>
      </w:tr>
      <w:tr>
        <w:trPr>
          <w:trHeight w:val="142"/>
        </w:trPr>
        <w:tc>
          <w:tcPr>
            <w:tcW w:w="11420" w:type="dxa"/>
            <w:vAlign w:val="bottom"/>
            <w:gridSpan w:val="57"/>
          </w:tcPr>
          <w:p>
            <w:pPr>
              <w:spacing w:after="0"/>
              <w:rPr>
                <w:sz w:val="20"/>
                <w:szCs w:val="20"/>
                <w:color w:val="auto"/>
              </w:rPr>
            </w:pPr>
            <w:r>
              <w:rPr>
                <w:rFonts w:ascii="Arial" w:cs="Arial" w:eastAsia="Arial" w:hAnsi="Arial"/>
                <w:sz w:val="12"/>
                <w:szCs w:val="12"/>
                <w:color w:val="auto"/>
              </w:rPr>
              <w:t>Total other income</w:t>
            </w:r>
          </w:p>
        </w:tc>
      </w:tr>
      <w:tr>
        <w:trPr>
          <w:trHeight w:val="141"/>
        </w:trPr>
        <w:tc>
          <w:tcPr>
            <w:tcW w:w="1540" w:type="dxa"/>
            <w:vAlign w:val="bottom"/>
          </w:tcPr>
          <w:p>
            <w:pPr>
              <w:ind w:left="100"/>
              <w:spacing w:after="0"/>
              <w:rPr>
                <w:sz w:val="20"/>
                <w:szCs w:val="20"/>
                <w:color w:val="auto"/>
              </w:rPr>
            </w:pPr>
            <w:r>
              <w:rPr>
                <w:rFonts w:ascii="Arial" w:cs="Arial" w:eastAsia="Arial" w:hAnsi="Arial"/>
                <w:sz w:val="12"/>
                <w:szCs w:val="12"/>
                <w:color w:val="auto"/>
              </w:rPr>
              <w:t>(expense)</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(1,553)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282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(1,271)</w:t>
            </w: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234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(49)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185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right"/>
              <w:ind w:right="66"/>
              <w:spacing w:after="0"/>
              <w:rPr>
                <w:sz w:val="20"/>
                <w:szCs w:val="20"/>
                <w:color w:val="auto"/>
              </w:rPr>
            </w:pPr>
            <w:r>
              <w:rPr>
                <w:rFonts w:ascii="Arial" w:cs="Arial" w:eastAsia="Arial" w:hAnsi="Arial"/>
                <w:sz w:val="12"/>
                <w:szCs w:val="12"/>
                <w:color w:val="auto"/>
              </w:rPr>
              <w:t>(3,801)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579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2"/>
                <w:szCs w:val="12"/>
                <w:color w:val="auto"/>
              </w:rPr>
              <w:t>(3,222)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2"/>
                <w:szCs w:val="12"/>
                <w:color w:val="auto"/>
              </w:rPr>
              <w:t>(3,567)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530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(3,037)</w:t>
            </w:r>
          </w:p>
        </w:tc>
      </w:tr>
      <w:tr>
        <w:trPr>
          <w:trHeight w:val="142"/>
        </w:trPr>
        <w:tc>
          <w:tcPr>
            <w:tcW w:w="11420" w:type="dxa"/>
            <w:vAlign w:val="bottom"/>
            <w:gridSpan w:val="57"/>
            <w:shd w:val="clear" w:color="auto" w:fill="CFF0FC"/>
          </w:tcPr>
          <w:p>
            <w:pPr>
              <w:spacing w:after="0"/>
              <w:rPr>
                <w:sz w:val="20"/>
                <w:szCs w:val="20"/>
                <w:color w:val="auto"/>
              </w:rPr>
            </w:pPr>
            <w:r>
              <w:rPr>
                <w:rFonts w:ascii="Arial" w:cs="Arial" w:eastAsia="Arial" w:hAnsi="Arial"/>
                <w:sz w:val="12"/>
                <w:szCs w:val="12"/>
                <w:color w:val="auto"/>
              </w:rPr>
              <w:t>Pro Forma net loss per</w:t>
            </w:r>
          </w:p>
        </w:tc>
      </w:tr>
      <w:tr>
        <w:trPr>
          <w:trHeight w:val="141"/>
        </w:trPr>
        <w:tc>
          <w:tcPr>
            <w:tcW w:w="1540" w:type="dxa"/>
            <w:vAlign w:val="bottom"/>
            <w:shd w:val="clear" w:color="auto" w:fill="CFF0FC"/>
          </w:tcPr>
          <w:p>
            <w:pPr>
              <w:ind w:left="100"/>
              <w:spacing w:after="0"/>
              <w:rPr>
                <w:sz w:val="20"/>
                <w:szCs w:val="20"/>
                <w:color w:val="auto"/>
              </w:rPr>
            </w:pPr>
            <w:r>
              <w:rPr>
                <w:rFonts w:ascii="Arial" w:cs="Arial" w:eastAsia="Arial" w:hAnsi="Arial"/>
                <w:sz w:val="12"/>
                <w:szCs w:val="12"/>
                <w:color w:val="auto"/>
              </w:rPr>
              <w:t>common share</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(1.75)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(0.04)</w:t>
            </w: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(1.71)</w:t>
            </w: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(0.19)</w:t>
            </w: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gridSpan w:val="3"/>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60" w:type="dxa"/>
            <w:vAlign w:val="bottom"/>
            <w:gridSpan w:val="3"/>
            <w:shd w:val="clear" w:color="auto" w:fill="CFF0FC"/>
          </w:tcPr>
          <w:p>
            <w:pPr>
              <w:jc w:val="right"/>
              <w:ind w:right="120"/>
              <w:spacing w:after="0"/>
              <w:rPr>
                <w:sz w:val="20"/>
                <w:szCs w:val="20"/>
                <w:color w:val="auto"/>
              </w:rPr>
            </w:pPr>
            <w:r>
              <w:rPr>
                <w:rFonts w:ascii="Arial" w:cs="Arial" w:eastAsia="Arial" w:hAnsi="Arial"/>
                <w:sz w:val="12"/>
                <w:szCs w:val="12"/>
                <w:color w:val="auto"/>
              </w:rPr>
              <w:t>(0.19)</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80" w:type="dxa"/>
            <w:vAlign w:val="bottom"/>
            <w:gridSpan w:val="3"/>
            <w:shd w:val="clear" w:color="auto" w:fill="CFF0FC"/>
          </w:tcPr>
          <w:p>
            <w:pPr>
              <w:jc w:val="right"/>
              <w:ind w:right="66"/>
              <w:spacing w:after="0"/>
              <w:rPr>
                <w:sz w:val="20"/>
                <w:szCs w:val="20"/>
                <w:color w:val="auto"/>
              </w:rPr>
            </w:pPr>
            <w:r>
              <w:rPr>
                <w:rFonts w:ascii="Arial" w:cs="Arial" w:eastAsia="Arial" w:hAnsi="Arial"/>
                <w:sz w:val="12"/>
                <w:szCs w:val="12"/>
                <w:color w:val="auto"/>
              </w:rPr>
              <w:t>(0.38)</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0.03</w:t>
            </w:r>
          </w:p>
        </w:tc>
        <w:tc>
          <w:tcPr>
            <w:tcW w:w="160" w:type="dxa"/>
            <w:vAlign w:val="bottom"/>
            <w:shd w:val="clear" w:color="auto" w:fill="CFF0FC"/>
          </w:tcPr>
          <w:p>
            <w:pPr>
              <w:spacing w:after="0"/>
              <w:rPr>
                <w:sz w:val="12"/>
                <w:szCs w:val="12"/>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shd w:val="clear" w:color="auto" w:fill="CFF0FC"/>
          </w:tcPr>
          <w:p>
            <w:pPr>
              <w:jc w:val="right"/>
              <w:ind w:right="60"/>
              <w:spacing w:after="0"/>
              <w:rPr>
                <w:sz w:val="20"/>
                <w:szCs w:val="20"/>
                <w:color w:val="auto"/>
              </w:rPr>
            </w:pPr>
            <w:r>
              <w:rPr>
                <w:rFonts w:ascii="Arial" w:cs="Arial" w:eastAsia="Arial" w:hAnsi="Arial"/>
                <w:sz w:val="12"/>
                <w:szCs w:val="12"/>
                <w:color w:val="auto"/>
              </w:rPr>
              <w:t>(0.35)</w:t>
            </w: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shd w:val="clear" w:color="auto" w:fill="CFF0FC"/>
          </w:tcPr>
          <w:p>
            <w:pPr>
              <w:jc w:val="right"/>
              <w:ind w:right="60"/>
              <w:spacing w:after="0"/>
              <w:rPr>
                <w:sz w:val="20"/>
                <w:szCs w:val="20"/>
                <w:color w:val="auto"/>
              </w:rPr>
            </w:pPr>
            <w:r>
              <w:rPr>
                <w:rFonts w:ascii="Arial" w:cs="Arial" w:eastAsia="Arial" w:hAnsi="Arial"/>
                <w:sz w:val="12"/>
                <w:szCs w:val="12"/>
                <w:color w:val="auto"/>
              </w:rPr>
              <w:t>(0.57)</w:t>
            </w: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0.03</w:t>
            </w:r>
          </w:p>
        </w:tc>
        <w:tc>
          <w:tcPr>
            <w:tcW w:w="120" w:type="dxa"/>
            <w:vAlign w:val="bottom"/>
            <w:shd w:val="clear" w:color="auto" w:fill="CFF0FC"/>
          </w:tcPr>
          <w:p>
            <w:pPr>
              <w:spacing w:after="0"/>
              <w:rPr>
                <w:sz w:val="12"/>
                <w:szCs w:val="12"/>
                <w:color w:val="auto"/>
              </w:rPr>
            </w:pPr>
          </w:p>
        </w:tc>
        <w:tc>
          <w:tcPr>
            <w:tcW w:w="14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(0.54)</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Going Concern and Management’s Plans</w:t>
      </w:r>
    </w:p>
    <w:p>
      <w:pPr>
        <w:spacing w:after="0" w:line="121" w:lineRule="exact"/>
        <w:rPr>
          <w:sz w:val="20"/>
          <w:szCs w:val="20"/>
          <w:color w:val="auto"/>
        </w:rPr>
      </w:pPr>
    </w:p>
    <w:p>
      <w:pPr>
        <w:jc w:val="both"/>
        <w:ind w:right="380" w:firstLine="598"/>
        <w:spacing w:after="0" w:line="286" w:lineRule="auto"/>
        <w:rPr>
          <w:sz w:val="20"/>
          <w:szCs w:val="20"/>
          <w:color w:val="auto"/>
        </w:rPr>
      </w:pPr>
      <w:r>
        <w:rPr>
          <w:rFonts w:ascii="Arial" w:cs="Arial" w:eastAsia="Arial" w:hAnsi="Arial"/>
          <w:sz w:val="17"/>
          <w:szCs w:val="17"/>
          <w:color w:val="auto"/>
        </w:rPr>
        <w:t>The Company had a net loss of $13.3 million during 2018 and has an accumulated deficit of $127.0 million at December 31, 2018 resulting from having incurred losses since its inception. The Company had $22.8 million of working capital at December 31, 2018 and used $11.7 million of cash in its operating activities during 2018. The Company has financed its operations principally through issuances of equity securities.</w:t>
      </w:r>
    </w:p>
    <w:p>
      <w:pPr>
        <w:spacing w:after="0" w:line="166" w:lineRule="exact"/>
        <w:rPr>
          <w:sz w:val="20"/>
          <w:szCs w:val="20"/>
          <w:color w:val="auto"/>
        </w:rPr>
      </w:pPr>
    </w:p>
    <w:p>
      <w:pPr>
        <w:jc w:val="both"/>
        <w:ind w:right="380" w:firstLine="598"/>
        <w:spacing w:after="0" w:line="308" w:lineRule="auto"/>
        <w:rPr>
          <w:sz w:val="20"/>
          <w:szCs w:val="20"/>
          <w:color w:val="auto"/>
        </w:rPr>
      </w:pPr>
      <w:r>
        <w:rPr>
          <w:rFonts w:ascii="Arial" w:cs="Arial" w:eastAsia="Arial" w:hAnsi="Arial"/>
          <w:sz w:val="17"/>
          <w:szCs w:val="17"/>
          <w:color w:val="auto"/>
        </w:rPr>
        <w:t>The Company has continued to focus on expense control, including reducing its workforce, reducing outside consultants, reducing legal fees and implementing a policy providing for Board members to receive common stock in lieu of cash payments for Board service compensation.</w:t>
      </w:r>
    </w:p>
    <w:p>
      <w:pPr>
        <w:spacing w:after="0" w:line="14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On December 19, 2018, the Company entered into a Securities Purchase Agreement with certain purchasers, pursuant to which the Company sold and issued 10,272,375 units at a price per unit of $1.61, for aggregate gross proceeds of $16.5 million. Each unit consisted of one share of common stock and a warrant to purchase 0.05 shares of common stock at an exercise price of $2.00 per share, for an aggregate of 10,272,375 shares of common stock and corresponding warrants to purchase an aggregate of 513,617 shares of common stock, together with the shares of common stock are referred to as the 2018 Resale Shares.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6" w:name="page77"/>
    <w:bookmarkEnd w:id="76"/>
    <w:p>
      <w:pPr>
        <w:ind w:right="120" w:firstLine="598"/>
        <w:spacing w:after="0" w:line="279" w:lineRule="auto"/>
        <w:rPr>
          <w:sz w:val="20"/>
          <w:szCs w:val="20"/>
          <w:color w:val="auto"/>
        </w:rPr>
      </w:pPr>
      <w:r>
        <w:rPr>
          <w:rFonts w:ascii="Arial" w:cs="Arial" w:eastAsia="Arial" w:hAnsi="Arial"/>
          <w:sz w:val="17"/>
          <w:szCs w:val="17"/>
          <w:color w:val="auto"/>
        </w:rPr>
        <w:t>The accompanying consolidated financial statements have been prepared under the assumption the Company will continue to operate as a going concern, which contemplates the realization of assets and the settlement of liabilities in the normal course of business. The consolidated financial statements do not include any adjustments to reflect the possible future effects on the recoverability and classification of assets or the amounts of liabilities that may result from uncertainty related to the Company’s ability to continue as a going concern.</w:t>
      </w:r>
    </w:p>
    <w:p>
      <w:pPr>
        <w:spacing w:after="0" w:line="171"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The Company expects to continue incurring losses for the foreseeable future and may be required to raise additional capital to complete its clinical trials, pursue product development initiatives and penetrate markets for the sale of its products. Management believes that the Company will continue to have access to capital resources through possible public or private equity offerings, debt financings, corporate collaborations or other means, but the Company’s access to such capital resources is uncertain and is not assured. If the Company is unable to secure additional capital, it may be required to curtail its clinical trials and development of new products and take additional measures to reduce expenses in order to conserve its cash in amounts sufficient to sustain operations and meet its obligations. These measures could cause significant delays in the Company’s efforts to complete its clinical trials and commercialize its products, which is critical to the realization of its business plan and the future operations of the Company. The consolidated financial statements do not include any adjustments relating to the recoverability and classification of asset amounts or the classification of liabilities that might be necessary should it be unable to continue as a going concern.</w:t>
      </w:r>
    </w:p>
    <w:p>
      <w:pPr>
        <w:spacing w:after="0" w:line="182"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Management believes that the Company does not have sufficient capital resources to sustain operations through at least the next twelve months from the date of this filing. Additionally, in view of the Company’s expectation to incur significant losses for the foreseeable future it will be required to raise additional capital resources in order to fund its operations, although the availability of, and the Company’s access to such resources is not assured. Accordingly, management believes that there is substantial doubt regarding the Company’s ability to continue operating as a going concern within one year from the date of filing these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60" w:firstLine="598"/>
        <w:spacing w:after="0" w:line="308" w:lineRule="auto"/>
        <w:rPr>
          <w:sz w:val="20"/>
          <w:szCs w:val="20"/>
          <w:color w:val="auto"/>
        </w:rPr>
      </w:pPr>
      <w:r>
        <w:rPr>
          <w:rFonts w:ascii="Arial" w:cs="Arial" w:eastAsia="Arial" w:hAnsi="Arial"/>
          <w:sz w:val="17"/>
          <w:szCs w:val="17"/>
          <w:color w:val="auto"/>
        </w:rPr>
        <w:t>The accompanying consolidated financial statements have been prepared in accordance with accounting principles generally accepted in the United States of America, or GAAP, and the applicable rules and regulations of the Securities and Exchange Commission, or SEC.</w:t>
      </w:r>
    </w:p>
    <w:p>
      <w:pPr>
        <w:spacing w:after="0" w:line="147"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170"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Certain amounts from prior periods have been reclassified to conform to the current period presentation, consisting of certain line items within the Consolidated Statements of Cash Flows.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 estimates. Key estimates included in the financial statements include the valuation of deferred income tax assets, the valuation of financial instruments, stock-based compensation, value and life of acquired intangibles, and the valuation of contingent liabilities for the purchase price of assets obtained through acquisition.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of cash and cash equivalents at one U.S. commercial bank that management believes is of high credit quality. Cash and cash equivalents deposited with these commercial banks exceeded the Federal Deposit Insurance Corporation insurable limit at December 31, 2018 and 2017. The Company expects the maintenance of balances in excess of insurable limits will continue.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right="40" w:firstLine="598"/>
        <w:spacing w:after="0" w:line="308" w:lineRule="auto"/>
        <w:rPr>
          <w:sz w:val="20"/>
          <w:szCs w:val="20"/>
          <w:color w:val="auto"/>
        </w:rPr>
      </w:pPr>
      <w:r>
        <w:rPr>
          <w:rFonts w:ascii="Arial" w:cs="Arial" w:eastAsia="Arial" w:hAnsi="Arial"/>
          <w:sz w:val="17"/>
          <w:szCs w:val="17"/>
          <w:color w:val="auto"/>
        </w:rPr>
        <w:t>The Company operates in one segment. Management uses one measurement of profitability and does not segregate its business for internal reporting, making operating decisions, and assessing financial performance. All long-lived assets are maintained in the United States of America.</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60" w:firstLine="598"/>
        <w:spacing w:after="0" w:line="286" w:lineRule="auto"/>
        <w:rPr>
          <w:sz w:val="20"/>
          <w:szCs w:val="20"/>
          <w:color w:val="auto"/>
        </w:rPr>
      </w:pPr>
      <w:r>
        <w:rPr>
          <w:rFonts w:ascii="Arial" w:cs="Arial" w:eastAsia="Arial" w:hAnsi="Arial"/>
          <w:sz w:val="17"/>
          <w:szCs w:val="17"/>
          <w:color w:val="auto"/>
        </w:rPr>
        <w:t>The Company considers all highly liquid investments, including its money market fund, purchased with an original maturity of three months or less to be cash equivalents. The Company’s cash and cash equivalents are held in institutions in the U.S. and the U.K. and include deposits in a money market fund which was unrestricted as to withdrawal or use. Restricted cash was security of the Company credit card.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Accounts receivable as of December 31, 2017 consist of balances due from customers in the normal course of business and are classified as Assets Held for Sale (See Note 9). The Company did not record an allowance for doubtful accounts as this balance was deemed fully collectible. There were no accounts receivable as of December 31,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Prepaid expenses and other current assets consist of payments primarily related to insurance and short-term deposits. Prepaid expenses are initially recorded upon payment and are expensed as goods or services are received.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Inventory consists of raw materials to be used in the assembly of the Company’s products, work-in-progress and finished goods. Inventory is stated at the lower of cost or net realizable value under the first-in, first-out (FIFO) method. As of December 31, 2017, the Company’s inventory included approximately $213,000 of raw materials, approximately $30,000 of work-in-progress, and approximately $177,000 of finished goods and was classified as Assets Held for Sale (See Note 9). There was no inventory balance as of December 31, 2018.</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w:t>
      </w:r>
    </w:p>
    <w:p>
      <w:pPr>
        <w:spacing w:after="0" w:line="117"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On May 11, 2010, the Company entered into an Asset Purchase Agreement with BioMedical Drug Development, Inc., or BDDI, pursuant to which BDDI agreed to sell certain technology to us and BDDI received and was entitled to receive, among other consideration, certain royalty payments related to the technology. In June 2015, the Company and BDDI amended the BDDI Asset Purchase Agreement, pursuant to which the Company committed to pay aggregate cash payments of $450,000 and issued 8,000 shares of common stock to an affiliate of BDDI. Under the original Asset Purchase Agreement dated June 11, 2010, the Company purchased a patent for Breath End Tidal Gas Monitor. The patent was issued on June 19, 2003 and expires on August 1, 2027. The Company capitalized the fair value of the patent purchased as an intangible asset on its consolidated balance sheet and amortized the fair value over the remaining useful life of the patent.</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BDDI patent is reported as an Intangible Asset and classified as Assets Held for Sale as of December 31, 2017. (See Note 9.)</w:t>
      </w:r>
    </w:p>
    <w:p>
      <w:pPr>
        <w:spacing w:after="0" w:line="225" w:lineRule="exact"/>
        <w:rPr>
          <w:sz w:val="20"/>
          <w:szCs w:val="20"/>
          <w:color w:val="auto"/>
        </w:rPr>
      </w:pPr>
    </w:p>
    <w:p>
      <w:pPr>
        <w:ind w:right="320" w:firstLine="598"/>
        <w:spacing w:after="0" w:line="279" w:lineRule="auto"/>
        <w:rPr>
          <w:sz w:val="20"/>
          <w:szCs w:val="20"/>
          <w:color w:val="auto"/>
        </w:rPr>
      </w:pPr>
      <w:r>
        <w:rPr>
          <w:rFonts w:ascii="Arial" w:cs="Arial" w:eastAsia="Arial" w:hAnsi="Arial"/>
          <w:sz w:val="17"/>
          <w:szCs w:val="17"/>
          <w:color w:val="auto"/>
        </w:rPr>
        <w:t>In March 2017, the Company completed the acquisition of Essentialis, Inc., a Delaware corporation, or Essentialis in accordance with the Merger Agreement by and between Soleno Therapeutics and Essentialis dated December 22, 2016. The merger transaction has been accounted for as an asset acquisition under the acquisition method of accounting and accordingly, the value of asset acquired in the amount of $22.0 million was assigned to the identifiable intangible asset relating to the patent for DCCR, which patent expires in June 2028.</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 xml:space="preserve">For business combinations the Company utilizes the acquisition method of accounting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These standards require that the total cost of an acquisition be allocated to the tangible and intangible assets acquired and liabilities assumed based on their respective fair values at the date of acquisition. The allocation of the purchase price is dependent upon certain valuations and other studies. Acquisition costs are expensed as incurred.</w:t>
      </w:r>
    </w:p>
    <w:p>
      <w:pPr>
        <w:spacing w:after="0" w:line="187"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The Company recognizes separately from goodwill the fair value of assets acquired and the liabilities assumed. Goodwill as of the acquisition date is measured as the excess of consideration transferred and the acquisition date fair values of the assets acquired, and liabilities assumed. While the Company uses its best estimates and assumptions as a part of the purchase price allocation process to accurately value assets acquired and liabilities assumed at the acquisition date, the Company’s estimates are subject to refinement. As a result, during the measurement period, which may be up to one year from the acquisition date, the Company may retroactively record adjustments to the fair value of the assets acquired and liabilities assumed, with the corresponding offset to goodwill.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right="140" w:firstLine="598"/>
        <w:spacing w:after="0" w:line="257" w:lineRule="auto"/>
        <w:rPr>
          <w:sz w:val="20"/>
          <w:szCs w:val="20"/>
          <w:color w:val="auto"/>
        </w:rPr>
      </w:pPr>
      <w:r>
        <w:rPr>
          <w:rFonts w:ascii="Arial" w:cs="Arial" w:eastAsia="Arial" w:hAnsi="Arial"/>
          <w:sz w:val="18"/>
          <w:szCs w:val="18"/>
          <w:color w:val="auto"/>
        </w:rPr>
        <w:t>Property and equipment are stated at cost net of accumulated depreciation and amortization calculated using the straight-line method over the estimated useful lives of the assets, generally between three and five years. Leasehold improvements are amortized on a straight-line basis over the lesser of their useful life or the remaining term of the lease. Maintenance and repairs are charged to expense as incurred, and improvements are capitalized. When assets are retired or otherwise disposed of, the cost and accumulated depreciation are removed from the balance sheet and any resulting gain or loss is reflected in operations in the period realized.</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Certain property and equipment were classified as Assets Held for Sale as of December 31, 2017. (See Note 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w:t>
      </w:r>
    </w:p>
    <w:p>
      <w:pPr>
        <w:spacing w:after="0" w:line="117"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Equity method investments are equity securities in investees not controlled by the Company, but over which the Company has the ability to exercise significant influence. The Company’s equity method investment is measured at fair value minus impairment, if any, plus or minus the Company’s share of equity method investee income or loss.</w:t>
      </w:r>
    </w:p>
    <w:p>
      <w:pPr>
        <w:spacing w:after="0" w:line="181" w:lineRule="exact"/>
        <w:rPr>
          <w:sz w:val="20"/>
          <w:szCs w:val="20"/>
          <w:color w:val="auto"/>
        </w:rPr>
      </w:pPr>
    </w:p>
    <w:p>
      <w:pPr>
        <w:ind w:right="280" w:firstLine="598"/>
        <w:spacing w:after="0" w:line="264" w:lineRule="auto"/>
        <w:rPr>
          <w:sz w:val="20"/>
          <w:szCs w:val="20"/>
          <w:color w:val="auto"/>
        </w:rPr>
      </w:pPr>
      <w:r>
        <w:rPr>
          <w:rFonts w:ascii="Arial" w:cs="Arial" w:eastAsia="Arial" w:hAnsi="Arial"/>
          <w:sz w:val="18"/>
          <w:szCs w:val="18"/>
          <w:color w:val="auto"/>
        </w:rPr>
        <w:t>The Company’s equity method investment in Capnia, Inc. is classified as Minority interest investment in former subsidiary in the consolidated balance sheet as of December 31, 2018 and was initially measured at fair value. (See Note 9.) The Company expects to divest of its investment within one year of the balance sheet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right="180" w:firstLine="598"/>
        <w:spacing w:after="0" w:line="279" w:lineRule="auto"/>
        <w:rPr>
          <w:sz w:val="20"/>
          <w:szCs w:val="20"/>
          <w:color w:val="auto"/>
        </w:rPr>
      </w:pPr>
      <w:r>
        <w:rPr>
          <w:rFonts w:ascii="Arial" w:cs="Arial" w:eastAsia="Arial" w:hAnsi="Arial"/>
          <w:sz w:val="17"/>
          <w:szCs w:val="17"/>
          <w:color w:val="auto"/>
        </w:rPr>
        <w:t>The Company reviews its long-lived assets for impairment annually and whenever events or changes in circumstances indicate that the carrying amount of the assets may not be fully recoverable. The Company evaluates assets for potential impairment by comparing estimated future undiscounted net cash flows to the carrying amount of the asset. If the carrying amount of the assets exceeds the estimated future undiscounted cash flows, impairment is measured based on the difference between the carrying amount and the fair value of the assets.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160" w:firstLine="598"/>
        <w:spacing w:after="0" w:line="308" w:lineRule="auto"/>
        <w:rPr>
          <w:sz w:val="20"/>
          <w:szCs w:val="20"/>
          <w:color w:val="auto"/>
        </w:rPr>
      </w:pPr>
      <w:r>
        <w:rPr>
          <w:rFonts w:ascii="Arial" w:cs="Arial" w:eastAsia="Arial" w:hAnsi="Arial"/>
          <w:sz w:val="17"/>
          <w:szCs w:val="17"/>
          <w:color w:val="auto"/>
        </w:rPr>
        <w:t>Intangible assets with finite lives are amortized on a straight-line basis over their estimated useful lives of 11 years. The useful life of the intangible asset is evaluated each reporting period to determine whether events and circumstances warrant a revision to the remaining useful life.</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79" w:name="page80"/>
    <w:bookmarkEnd w:id="79"/>
    <w:p>
      <w:pPr>
        <w:ind w:right="160" w:firstLine="598"/>
        <w:spacing w:after="0" w:line="277" w:lineRule="auto"/>
        <w:rPr>
          <w:sz w:val="20"/>
          <w:szCs w:val="20"/>
          <w:color w:val="auto"/>
        </w:rPr>
      </w:pPr>
      <w:r>
        <w:rPr>
          <w:rFonts w:ascii="Arial" w:cs="Arial" w:eastAsia="Arial" w:hAnsi="Arial"/>
          <w:sz w:val="18"/>
          <w:szCs w:val="18"/>
          <w:color w:val="auto"/>
        </w:rPr>
        <w:t>Intangible Assets in the amount of approximately $447,000 consisting of the patent acquired in the BDDI acquisition were classified as Assets Held for Sale as of December 31, 2017. (See Note 9.)</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Intangible assets consist of the following at December 31, 2018 (in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4"/>
                <w:szCs w:val="14"/>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Useful</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Lives</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(years)</w:t>
            </w: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Patents and merger costs</w:t>
            </w:r>
          </w:p>
        </w:tc>
        <w:tc>
          <w:tcPr>
            <w:tcW w:w="10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22,003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(3,534)</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18,469</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22,003</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(3,534)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18,469</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920" w:type="dxa"/>
            <w:vAlign w:val="bottom"/>
            <w:gridSpan w:val="15"/>
          </w:tcPr>
          <w:p>
            <w:pPr>
              <w:ind w:left="20"/>
              <w:spacing w:after="0"/>
              <w:rPr>
                <w:sz w:val="20"/>
                <w:szCs w:val="20"/>
                <w:color w:val="auto"/>
              </w:rPr>
            </w:pPr>
            <w:r>
              <w:rPr>
                <w:rFonts w:ascii="Arial" w:cs="Arial" w:eastAsia="Arial" w:hAnsi="Arial"/>
                <w:sz w:val="18"/>
                <w:szCs w:val="18"/>
                <w:color w:val="auto"/>
              </w:rPr>
              <w:t>Future amortization expense for intangible assets over their remaining useful lives is as follows (in thousands).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320" w:type="dxa"/>
            <w:vAlign w:val="bottom"/>
            <w:gridSpan w:val="2"/>
            <w:vMerge w:val="restart"/>
          </w:tcPr>
          <w:p>
            <w:pPr>
              <w:ind w:left="1720"/>
              <w:spacing w:after="0"/>
              <w:rPr>
                <w:sz w:val="20"/>
                <w:szCs w:val="20"/>
                <w:color w:val="auto"/>
              </w:rPr>
            </w:pPr>
            <w:r>
              <w:rPr>
                <w:rFonts w:ascii="Arial" w:cs="Arial" w:eastAsia="Arial" w:hAnsi="Arial"/>
                <w:sz w:val="14"/>
                <w:szCs w:val="14"/>
                <w:b w:val="1"/>
                <w:bCs w:val="1"/>
                <w:color w:val="auto"/>
              </w:rPr>
              <w:t>Year ending December 31</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3"/>
              </w:rPr>
              <w:t>Patents and</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32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5"/>
              </w:rPr>
              <w:t>trademarks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10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1,944</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2020</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1,944</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1,944</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2022</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1,944</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1,944</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2024 and thereafter</w:t>
            </w:r>
          </w:p>
        </w:tc>
        <w:tc>
          <w:tcPr>
            <w:tcW w:w="10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8,749</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0"/>
              </w:rPr>
              <w:t>18,469</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Amortization expense for the years ended December 31, 2018 and 2017, was $1.9 million and $1.7 million,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40" w:firstLine="598"/>
        <w:spacing w:after="0" w:line="308" w:lineRule="auto"/>
        <w:rPr>
          <w:sz w:val="20"/>
          <w:szCs w:val="20"/>
          <w:color w:val="auto"/>
        </w:rPr>
      </w:pPr>
      <w:r>
        <w:rPr>
          <w:rFonts w:ascii="Arial" w:cs="Arial" w:eastAsia="Arial" w:hAnsi="Arial"/>
          <w:sz w:val="17"/>
          <w:szCs w:val="17"/>
          <w:color w:val="auto"/>
        </w:rPr>
        <w:t>Research and development costs are charged to operations as incurred. Research and development costs consist primarily of salaries and benefits, consultant fees, prototype expenses, certain facility costs and other costs associated with clinical trials, net of reimbursed amounts.</w:t>
      </w:r>
    </w:p>
    <w:p>
      <w:pPr>
        <w:spacing w:after="0" w:line="147" w:lineRule="exact"/>
        <w:rPr>
          <w:sz w:val="20"/>
          <w:szCs w:val="20"/>
          <w:color w:val="auto"/>
        </w:rPr>
      </w:pPr>
    </w:p>
    <w:p>
      <w:pPr>
        <w:ind w:right="260" w:firstLine="598"/>
        <w:spacing w:after="0" w:line="258" w:lineRule="auto"/>
        <w:rPr>
          <w:sz w:val="20"/>
          <w:szCs w:val="20"/>
          <w:color w:val="auto"/>
        </w:rPr>
      </w:pPr>
      <w:r>
        <w:rPr>
          <w:rFonts w:ascii="Arial" w:cs="Arial" w:eastAsia="Arial" w:hAnsi="Arial"/>
          <w:sz w:val="18"/>
          <w:szCs w:val="18"/>
          <w:color w:val="auto"/>
        </w:rPr>
        <w:t>Costs to acquire technologies to be used in research and development that have not reached technological feasibility and have no alternative future use are expensed to research and development costs when incurred.</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Certain Research and Development expenses are reported as Discontinued Operations. (See Note 9.)</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11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The Company recorded the value of contingent future consideration to be paid for the acquisition of Essentialis as a liability in March 2017 at the date of the acquisition. The changes in value of the liability for the contingent consideration since the acquisition date are recorded as operating expense in the consolidated statements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Under this method, deferred income tax assets and liabilities are recorded based on the estimated future tax effects of differences between the amounts at which assets and liabilities are recorded for financial reporting purposes and the amounts recorded for income tax purposes. A valuation allowance is provided against the Company’s deferred income tax assets when their realization is not reasonably assured.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0" w:name="page81"/>
    <w:bookmarkEnd w:id="80"/>
    <w:p>
      <w:pPr>
        <w:ind w:right="100" w:firstLine="598"/>
        <w:spacing w:after="0" w:line="293" w:lineRule="auto"/>
        <w:rPr>
          <w:sz w:val="20"/>
          <w:szCs w:val="20"/>
          <w:color w:val="auto"/>
        </w:rPr>
      </w:pPr>
      <w:r>
        <w:rPr>
          <w:rFonts w:ascii="Arial" w:cs="Arial" w:eastAsia="Arial" w:hAnsi="Arial"/>
          <w:sz w:val="16"/>
          <w:szCs w:val="16"/>
          <w:color w:val="auto"/>
        </w:rPr>
        <w:t>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loss from discontinued operations is reported net of the related effect for income taxes in the statements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 and other Hybrid Instruments</w:t>
      </w:r>
    </w:p>
    <w:p>
      <w:pPr>
        <w:spacing w:after="0" w:line="117" w:lineRule="exact"/>
        <w:rPr>
          <w:sz w:val="20"/>
          <w:szCs w:val="20"/>
          <w:color w:val="auto"/>
        </w:rPr>
      </w:pPr>
    </w:p>
    <w:p>
      <w:pPr>
        <w:ind w:right="360" w:firstLine="598"/>
        <w:spacing w:after="0" w:line="264" w:lineRule="auto"/>
        <w:rPr>
          <w:sz w:val="20"/>
          <w:szCs w:val="20"/>
          <w:color w:val="auto"/>
        </w:rPr>
      </w:pPr>
      <w:r>
        <w:rPr>
          <w:rFonts w:ascii="Arial" w:cs="Arial" w:eastAsia="Arial" w:hAnsi="Arial"/>
          <w:sz w:val="18"/>
          <w:szCs w:val="18"/>
          <w:color w:val="auto"/>
        </w:rPr>
        <w:t>The Company’s convertible preferred stock was classified as permanent equity on its consolidated balance sheet in accordance with authoritative guidance for the classification and measurement of hybrid securities and distinguishing liability from equity instruments. The preferred stock is not redeemable at the option of the holder.</w:t>
      </w:r>
    </w:p>
    <w:p>
      <w:pPr>
        <w:spacing w:after="0" w:line="181"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 xml:space="preserve">Further, the Company evaluated its Series A and Series B Convertible Preferred Stock and determined that it is considered an equity host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In making this determination, the Company’s analysis followed the whole instrument approach which compares an individual feature against the entire preferred stock instrument which includes that feature. The Company’s analysis was based on a consideration of the economic characteristics and risks of each series of preferred stock. More specifically, the Company evaluated all of the stated and implied substantive terms and features, including (i) whether the preferred stock included redemption features, (ii) how and when any redemption features could be exercised, (iii) whether the holders of preferred stock were entitled to dividends, (iv) the voting rights of the preferred stock and (v) the existence and nature of any conversion rights. As a result of the Company’s conclusion that the preferred stock represents an equity host, the conversion feature of all series of preferred stock is considered to be clearly and closely related to the associated preferred stock host instrument. Accordingly, the conversion feature in the preferred stock is not considered an embedded derivative that requires bifurcation.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Purchase Warrants and Other Derivative Financial Instruments</w:t>
      </w:r>
    </w:p>
    <w:p>
      <w:pPr>
        <w:spacing w:after="0" w:line="117"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The Company classifies common stock purchase warrants and other free standing derivative financial instruments as equity if the contracts (i) require physical settlement or net-share settlement or (ii) give the Company a choice of net-cash settlement or settlement in its own shares (physical settlement or net-share settlement). The Company classifies any contracts that (i) require net-cash settlement (including a requirement to net cash settle the contract if an event occurs and if that event is outside the control of the Company), (ii) give the counterparty a choice of net-cash settlement or settlement in shares (physical settlement or net-share settlement), or (iii) contain reset provisions as either an asset or a liability. The Company assesses classification of its freestanding derivatives at each reporting date to determine whether a change in classification between equity and liabilities is required. The Company determined that certain freestanding derivatives, which principally consist of Series A, Series C, the 2017 PIPE Warrants and 2018 PIPE Warrants, do not satisfy the criteria for classification as equity instruments due to the existence of certain cash settlement features that are not within the sole control of the Company or variable settlement provision that cause them to not be indexed to the Company’s own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Stock-based compensation costs related to stock options granted to employees and directors are measured at the date of grant based on the estimated fair value of the award. We estimate the grant date fair value, and the resulting stock-based compensation expense, using the Black-Scholes option-pricing model. The grant date fair value of stock-based awards is recognized on a straight-line basis over the requisite service period, which is generally the vesting period of the award. Stock options we grant to employees generally vest over four years.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1" w:name="page82"/>
    <w:bookmarkEnd w:id="81"/>
    <w:p>
      <w:pPr>
        <w:jc w:val="both"/>
        <w:ind w:right="60" w:firstLine="598"/>
        <w:spacing w:after="0" w:line="264" w:lineRule="auto"/>
        <w:rPr>
          <w:sz w:val="20"/>
          <w:szCs w:val="20"/>
          <w:color w:val="auto"/>
        </w:rPr>
      </w:pPr>
      <w:r>
        <w:rPr>
          <w:rFonts w:ascii="Arial" w:cs="Arial" w:eastAsia="Arial" w:hAnsi="Arial"/>
          <w:sz w:val="18"/>
          <w:szCs w:val="18"/>
          <w:color w:val="auto"/>
        </w:rPr>
        <w:t>The Black-Scholes option-pricing model requires the use of highly subjective assumptions to estimate the fair value of stock-based awards. If we had made different assumptions, our stock-based compensation expense, net loss and net loss per share of common stock could have been significantly different. These assumptions include:</w:t>
      </w:r>
    </w:p>
    <w:p>
      <w:pPr>
        <w:spacing w:after="0" w:line="73" w:lineRule="exact"/>
        <w:rPr>
          <w:sz w:val="20"/>
          <w:szCs w:val="20"/>
          <w:color w:val="auto"/>
        </w:rPr>
      </w:pPr>
    </w:p>
    <w:p>
      <w:pPr>
        <w:ind w:left="1040" w:right="20" w:hanging="438"/>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Company calculates the estimated volatility rate based on the volatilities of common stock of comparable companies in</w:t>
      </w:r>
      <w:r>
        <w:rPr>
          <w:rFonts w:ascii="Arial" w:cs="Arial" w:eastAsia="Arial" w:hAnsi="Arial"/>
          <w:sz w:val="18"/>
          <w:szCs w:val="18"/>
          <w:i w:val="1"/>
          <w:iCs w:val="1"/>
          <w:color w:val="auto"/>
        </w:rPr>
        <w:t xml:space="preserve"> </w:t>
      </w:r>
      <w:r>
        <w:rPr>
          <w:rFonts w:ascii="Arial" w:cs="Arial" w:eastAsia="Arial" w:hAnsi="Arial"/>
          <w:sz w:val="18"/>
          <w:szCs w:val="18"/>
          <w:color w:val="auto"/>
        </w:rPr>
        <w:t>its industry.</w:t>
      </w:r>
    </w:p>
    <w:p>
      <w:pPr>
        <w:spacing w:after="0" w:line="62" w:lineRule="exact"/>
        <w:rPr>
          <w:rFonts w:ascii="Arial" w:cs="Arial" w:eastAsia="Arial" w:hAnsi="Arial"/>
          <w:sz w:val="18"/>
          <w:szCs w:val="18"/>
          <w:color w:val="auto"/>
        </w:rPr>
      </w:pPr>
    </w:p>
    <w:p>
      <w:pPr>
        <w:ind w:left="1040" w:right="160" w:hanging="438"/>
        <w:spacing w:after="0" w:line="264"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Company does not believe it is able to rely on its historical exercise and post-vesting termination activity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accurate data for estimating the expected term for use in estimating the fair value-based measurement of our options. Therefore, the Company has opted to use the “simplified method” for estimating the expected term of options.</w:t>
      </w:r>
    </w:p>
    <w:p>
      <w:pPr>
        <w:spacing w:after="0" w:line="73" w:lineRule="exact"/>
        <w:rPr>
          <w:rFonts w:ascii="Arial" w:cs="Arial" w:eastAsia="Arial" w:hAnsi="Arial"/>
          <w:sz w:val="18"/>
          <w:szCs w:val="18"/>
          <w:color w:val="auto"/>
        </w:rPr>
      </w:pPr>
    </w:p>
    <w:p>
      <w:pPr>
        <w:ind w:left="1040" w:right="560" w:hanging="438"/>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The risk-free interest rate is based on the yields of U.S. Treasury securities with maturities similar to the expected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w:t>
      </w:r>
    </w:p>
    <w:p>
      <w:pPr>
        <w:spacing w:after="0" w:line="62" w:lineRule="exact"/>
        <w:rPr>
          <w:rFonts w:ascii="Arial" w:cs="Arial" w:eastAsia="Arial" w:hAnsi="Arial"/>
          <w:sz w:val="18"/>
          <w:szCs w:val="18"/>
          <w:color w:val="auto"/>
        </w:rPr>
      </w:pPr>
    </w:p>
    <w:p>
      <w:pPr>
        <w:ind w:left="1040" w:right="360" w:hanging="438"/>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divided yield: </w:t>
      </w:r>
      <w:r>
        <w:rPr>
          <w:rFonts w:ascii="Arial" w:cs="Arial" w:eastAsia="Arial" w:hAnsi="Arial"/>
          <w:sz w:val="18"/>
          <w:szCs w:val="18"/>
          <w:color w:val="auto"/>
        </w:rPr>
        <w:t>The Company has never declared or paid any cash dividends and do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Consequently, it used an expected dividend yield of zero.</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accounts for forfeitures as they occur.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21"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In November 2016, the Financial Accounting Standards Board, or FASB, issued Accounting Standards Update, or the ASU 2016-18, “</w:t>
      </w:r>
      <w:r>
        <w:rPr>
          <w:rFonts w:ascii="Arial" w:cs="Arial" w:eastAsia="Arial" w:hAnsi="Arial"/>
          <w:sz w:val="18"/>
          <w:szCs w:val="18"/>
          <w:i w:val="1"/>
          <w:iCs w:val="1"/>
          <w:color w:val="auto"/>
        </w:rPr>
        <w:t>Statement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Cash Flows: Restricted Cash</w:t>
      </w:r>
      <w:r>
        <w:rPr>
          <w:rFonts w:ascii="Arial" w:cs="Arial" w:eastAsia="Arial" w:hAnsi="Arial"/>
          <w:sz w:val="18"/>
          <w:szCs w:val="18"/>
          <w:color w:val="auto"/>
        </w:rPr>
        <w:t>”, which requires that a statement of cash flows explain the change during the period in the total of cash, cash equivalents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generally described as restricted cash or restricted cash equivalents. These standards are effective for financial statements issued for fiscal years beginning after December 15, 2017, including interim periods within those fiscal years. The Company adopted these standards in the first quarter of 2018 utilizing the retrospective transition method. There was no material impact on the Company’s consolidated financial statements resulting from the adoption of this guidance.</w:t>
      </w:r>
    </w:p>
    <w:p>
      <w:pPr>
        <w:spacing w:after="0" w:line="234"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In May 2017, the FASB issued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which clarifies which changes to the terms or conditions of a share-based payment award require an entity to apply modification accounting. The standard is effective beginning after December 15, 2017 and early adoption is permitted. The Company adopted the standard in the first quarter of 2018. The adoption did not have a material impact on the Company’s consolidated financial position and results of operations.</w:t>
      </w:r>
    </w:p>
    <w:p>
      <w:pPr>
        <w:spacing w:after="0" w:line="187" w:lineRule="exact"/>
        <w:rPr>
          <w:sz w:val="20"/>
          <w:szCs w:val="20"/>
          <w:color w:val="auto"/>
        </w:rPr>
      </w:pPr>
    </w:p>
    <w:p>
      <w:pPr>
        <w:ind w:right="160" w:firstLine="598"/>
        <w:spacing w:after="0" w:line="257" w:lineRule="auto"/>
        <w:rPr>
          <w:sz w:val="20"/>
          <w:szCs w:val="20"/>
          <w:color w:val="auto"/>
        </w:rPr>
      </w:pPr>
      <w:r>
        <w:rPr>
          <w:rFonts w:ascii="Arial" w:cs="Arial" w:eastAsia="Arial" w:hAnsi="Arial"/>
          <w:sz w:val="18"/>
          <w:szCs w:val="18"/>
          <w:color w:val="auto"/>
        </w:rPr>
        <w:t xml:space="preserve">In March 2018, the FASB issued ASU 2018-05, </w:t>
      </w:r>
      <w:r>
        <w:rPr>
          <w:rFonts w:ascii="Arial" w:cs="Arial" w:eastAsia="Arial" w:hAnsi="Arial"/>
          <w:sz w:val="18"/>
          <w:szCs w:val="18"/>
          <w:i w:val="1"/>
          <w:iCs w:val="1"/>
          <w:color w:val="auto"/>
        </w:rPr>
        <w:t>“Amendments to SEC Paragraphs Pursuant to SEC Staff Accounting Bulletin No. 118”</w:t>
      </w:r>
      <w:r>
        <w:rPr>
          <w:rFonts w:ascii="Arial" w:cs="Arial" w:eastAsia="Arial" w:hAnsi="Arial"/>
          <w:sz w:val="18"/>
          <w:szCs w:val="18"/>
          <w:color w:val="auto"/>
        </w:rPr>
        <w:t>, to add various SEC paragraphs pursuant to the issuance of SEC Staff Accounting Bulletin No. 118, or SAB 118, to ASC 740 “Income Taxes”. SAB 118 was issued by the SEC in December 2017 to provide immediate guidance for accounting implications of U.S. tax reform under the “</w:t>
      </w:r>
      <w:r>
        <w:rPr>
          <w:rFonts w:ascii="Arial" w:cs="Arial" w:eastAsia="Arial" w:hAnsi="Arial"/>
          <w:sz w:val="18"/>
          <w:szCs w:val="18"/>
          <w:i w:val="1"/>
          <w:iCs w:val="1"/>
          <w:color w:val="auto"/>
        </w:rPr>
        <w:t>Tax Cuts and Jobs Act</w:t>
      </w:r>
      <w:r>
        <w:rPr>
          <w:rFonts w:ascii="Arial" w:cs="Arial" w:eastAsia="Arial" w:hAnsi="Arial"/>
          <w:sz w:val="18"/>
          <w:szCs w:val="18"/>
          <w:color w:val="auto"/>
        </w:rPr>
        <w:t>”, or the Tax Act, which became effective for the Company on January 1, 2018. The Company has adopted ASU 2018-09, and adoption of this ASU has no significant impact on its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7" w:lineRule="exact"/>
        <w:rPr>
          <w:sz w:val="20"/>
          <w:szCs w:val="20"/>
          <w:color w:val="auto"/>
        </w:rPr>
      </w:pPr>
    </w:p>
    <w:p>
      <w:pPr>
        <w:ind w:right="120" w:firstLine="598"/>
        <w:spacing w:after="0" w:line="268" w:lineRule="auto"/>
        <w:rPr>
          <w:sz w:val="20"/>
          <w:szCs w:val="20"/>
          <w:color w:val="auto"/>
        </w:rPr>
      </w:pPr>
      <w:r>
        <w:rPr>
          <w:rFonts w:ascii="Arial" w:cs="Arial" w:eastAsia="Arial" w:hAnsi="Arial"/>
          <w:sz w:val="17"/>
          <w:szCs w:val="17"/>
          <w:color w:val="auto"/>
        </w:rPr>
        <w:t>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ASU 2016-02 provides new comprehensive lease accounting guidance that supersedes existing lease guidance. Upon adoption of ASU 2016-02, the Company will be required to recognize most leases on its balance sheet at the beginning of the earliest comparative period presented with a corresponding adjustment to stockholders’ equity. ASU 2016-02 requires the Company to capitalize most current operating lease obligations as right-of-use assets with a corresponding liability based on the present value of future operating lease obligations. Criteria for distinguishing leases between finance and operating are substantially similar to criteria for distinguishing between capital leases and operating leases in existing lease guidance. Lease agreements that are 12 months or less are permitted to be excluded from the balance sheet. Topic 842 includes a number of optional practical expedients that the Company may elect to apply. Expanded disclosures with additional qualitative and quantitative information will also be required. The adoption will include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2" w:name="page83"/>
    <w:bookmarkEnd w:id="82"/>
    <w:p>
      <w:pPr>
        <w:ind w:right="20"/>
        <w:spacing w:after="0" w:line="271" w:lineRule="auto"/>
        <w:rPr>
          <w:sz w:val="20"/>
          <w:szCs w:val="20"/>
          <w:color w:val="auto"/>
        </w:rPr>
      </w:pPr>
      <w:r>
        <w:rPr>
          <w:rFonts w:ascii="Arial" w:cs="Arial" w:eastAsia="Arial" w:hAnsi="Arial"/>
          <w:sz w:val="17"/>
          <w:szCs w:val="17"/>
          <w:color w:val="auto"/>
        </w:rPr>
        <w:t>updates as provided under ASU 2018-01, Leases (Topic 842): Land Easement Practical Expedient for Transition to Topic 842, ASU 2018-10, Codification Improvements to Topic 842, Leases and ASU 2018-20, Leases (Topic 842): Narrow-Scope Improvements for Lessors. Topic 842 is effective for public entities with fiscal years beginning after December 15, 2018 and for all other entities for fiscal years beginning after December 15, 2019, and interim periods within fiscal years beginning after December 15, 2020. As the Company is an emerging growth company and elected to use the extended transition period for complying with any new or revised financial accounting standards provided pursuant to Section 13(a) of the Exchange Act, Topic 842 will be effective for the Company beginning in fiscal 2020, although early adoption is permitted. The Company is currently evaluating the potential impact of adoption of this standard on its consolidated financial statements and the additional transition method under ASU 2018-11, which allows the Company to recognize Topic 842’s cumulative effect within retained earnings in the period of adoption.</w:t>
      </w:r>
    </w:p>
    <w:p>
      <w:pPr>
        <w:spacing w:after="0" w:line="179" w:lineRule="exact"/>
        <w:rPr>
          <w:sz w:val="20"/>
          <w:szCs w:val="20"/>
          <w:color w:val="auto"/>
        </w:rPr>
      </w:pPr>
    </w:p>
    <w:p>
      <w:pPr>
        <w:ind w:right="100" w:firstLine="598"/>
        <w:spacing w:after="0" w:line="283" w:lineRule="auto"/>
        <w:rPr>
          <w:sz w:val="20"/>
          <w:szCs w:val="20"/>
          <w:color w:val="auto"/>
        </w:rPr>
      </w:pPr>
      <w:r>
        <w:rPr>
          <w:rFonts w:ascii="Arial" w:cs="Arial" w:eastAsia="Arial" w:hAnsi="Arial"/>
          <w:sz w:val="16"/>
          <w:szCs w:val="16"/>
          <w:color w:val="auto"/>
        </w:rPr>
        <w:t>In July 2017, the FASB issued ASU 2017-11, “</w:t>
      </w:r>
      <w:r>
        <w:rPr>
          <w:rFonts w:ascii="Arial" w:cs="Arial" w:eastAsia="Arial" w:hAnsi="Arial"/>
          <w:sz w:val="16"/>
          <w:szCs w:val="16"/>
          <w:i w:val="1"/>
          <w:iCs w:val="1"/>
          <w:color w:val="auto"/>
        </w:rPr>
        <w:t>Earnings Per Share (Topic 260), Distinguishing Liabilities from Equity (Topic 480);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6"/>
          <w:szCs w:val="16"/>
          <w:color w:val="auto"/>
        </w:rPr>
        <w:t>”, (ASU 2017-11). Part I of this update addresses the complexity of accounting for certain financial instruments with down round features. Down</w:t>
      </w:r>
      <w:r>
        <w:rPr>
          <w:rFonts w:ascii="Arial" w:cs="Arial" w:eastAsia="Arial" w:hAnsi="Arial"/>
          <w:sz w:val="16"/>
          <w:szCs w:val="16"/>
          <w:i w:val="1"/>
          <w:iCs w:val="1"/>
          <w:color w:val="auto"/>
        </w:rPr>
        <w:t xml:space="preserve"> </w:t>
      </w:r>
      <w:r>
        <w:rPr>
          <w:rFonts w:ascii="Arial" w:cs="Arial" w:eastAsia="Arial" w:hAnsi="Arial"/>
          <w:sz w:val="16"/>
          <w:szCs w:val="16"/>
          <w:color w:val="auto"/>
        </w:rPr>
        <w:t>round features are features of certain 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Part II of this update addresses the difficulty of navigating Topic 480, Distinguishing Liabilities from Equity, because of the existence of extensive pending content in the FASB Accounting Standards Codification. This pending content is the result of the indefinite deferral of accounting requirements about mandatorily redeemable financial instruments of certain nonpublic entities and certain mandatorily redeemable noncontrolling interests. The amendments in Part II of this update do not have an accounting effect. The amendments in Part I of ASU 2017-11 are effective for fiscal years, and interim periods within those fiscal years, beginning after December 15, 2018. For all other entities, the amendments in Part I are effective for fiscal years beginning after December 15, 2019, and interim periods within fiscal years beginning after December 15, 2020. As the Company is an emerging growth company and elected to use the extended transition period for complying with any new or revised financial accounting standards provided pursuant to Section 13(a) of the Exchange Act, this</w:t>
      </w:r>
    </w:p>
    <w:p>
      <w:pPr>
        <w:spacing w:after="0" w:line="2"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ASU 2017-11 will be effective for the Company beginning in fiscal 2020, although early adoption is permitted. The Company is currently assessing the potential impact of adopting ASU 2017-11 on its consolidated financial statements and related disclosures.</w:t>
      </w:r>
    </w:p>
    <w:p>
      <w:pPr>
        <w:spacing w:after="0" w:line="184"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“Income Statement—Reporting Comprehensive Income (Topic 220): Reclassification of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Tax Effects from Accumulated Other Comprehensive Income”</w:t>
      </w:r>
      <w:r>
        <w:rPr>
          <w:rFonts w:ascii="Arial" w:cs="Arial" w:eastAsia="Arial" w:hAnsi="Arial"/>
          <w:sz w:val="18"/>
          <w:szCs w:val="18"/>
          <w:color w:val="auto"/>
        </w:rPr>
        <w:t>, or ASU 2018-02, which allows a reclassification from accumulated other comprehensive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to retained earnings for stranded tax effects resulting from the Tax Act and requires certain disclosures about stranded tax effects. ASU 2018-02 is effective for the Company beginning in 2019, with early adoption permitted, and shall be applied either in the period of adoption or retrospectively to each period (or periods) in which the effect of the change in the corporate income tax rate in the Tax Act is recognized. The adoption of this ASU is not expected to have a material impact on the Company’s consolidated financial statements.</w:t>
      </w:r>
    </w:p>
    <w:p>
      <w:pPr>
        <w:spacing w:after="0" w:line="193" w:lineRule="exact"/>
        <w:rPr>
          <w:sz w:val="20"/>
          <w:szCs w:val="20"/>
          <w:color w:val="auto"/>
        </w:rPr>
      </w:pPr>
    </w:p>
    <w:p>
      <w:pPr>
        <w:ind w:right="40" w:firstLine="598"/>
        <w:spacing w:after="0" w:line="284" w:lineRule="auto"/>
        <w:rPr>
          <w:sz w:val="20"/>
          <w:szCs w:val="20"/>
          <w:color w:val="auto"/>
        </w:rPr>
      </w:pPr>
      <w:r>
        <w:rPr>
          <w:rFonts w:ascii="Arial" w:cs="Arial" w:eastAsia="Arial" w:hAnsi="Arial"/>
          <w:sz w:val="16"/>
          <w:szCs w:val="16"/>
          <w:color w:val="auto"/>
        </w:rPr>
        <w:t>In June 2018, the FASB issued ASU 2018-07, “</w:t>
      </w:r>
      <w:r>
        <w:rPr>
          <w:rFonts w:ascii="Arial" w:cs="Arial" w:eastAsia="Arial" w:hAnsi="Arial"/>
          <w:sz w:val="16"/>
          <w:szCs w:val="16"/>
          <w:i w:val="1"/>
          <w:iCs w:val="1"/>
          <w:color w:val="auto"/>
        </w:rPr>
        <w:t>Compensation – Stock Compensation (Topic 718): Improvements to Nonemployee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Accounting”</w:t>
      </w:r>
      <w:r>
        <w:rPr>
          <w:rFonts w:ascii="Arial" w:cs="Arial" w:eastAsia="Arial" w:hAnsi="Arial"/>
          <w:sz w:val="16"/>
          <w:szCs w:val="16"/>
          <w:color w:val="auto"/>
        </w:rPr>
        <w:t>, to simplify the accounting for share-based payments to nonemployees by aligning it with the accounting for share-based payments to</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with certain exceptions. Under the guidance, the measurement of equity-classified nonemployee awards will be fixed at the grant date, which may lower their cost and reduce volatility in the income statement. This ASU is effective for public business entities for fiscal years beginning after December 15, 2018, including interim periods within that fiscal year. For all other entities, the amendments are effective for fiscal years beginning after December 15, 2019, and interim periods within fiscal years beginning after December 15, 2020. As the Company is an emerging growth company and elected to use the extended transition period for complying with any new or revised financial accounting standards provided pursuant to Section 13(a) of the Exchange Act, this</w:t>
      </w:r>
    </w:p>
    <w:p>
      <w:pPr>
        <w:spacing w:after="0" w:line="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ASU 2018-07 will be effective for the Company beginning in fiscal 2020. Early adoption is permitted, including in an interim period. The adoption of this ASU is not expected to have a material impact on the Company’s consolidated financial statements.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3" w:name="page84"/>
    <w:bookmarkEnd w:id="83"/>
    <w:p>
      <w:pPr>
        <w:ind w:right="60" w:firstLine="598"/>
        <w:spacing w:after="0" w:line="276" w:lineRule="auto"/>
        <w:rPr>
          <w:sz w:val="20"/>
          <w:szCs w:val="20"/>
          <w:color w:val="auto"/>
        </w:rPr>
      </w:pPr>
      <w:r>
        <w:rPr>
          <w:rFonts w:ascii="Arial" w:cs="Arial" w:eastAsia="Arial" w:hAnsi="Arial"/>
          <w:sz w:val="17"/>
          <w:szCs w:val="17"/>
          <w:color w:val="auto"/>
        </w:rPr>
        <w:t>In August 2018, the FASB issued ASU 2018-13, “</w:t>
      </w:r>
      <w:r>
        <w:rPr>
          <w:rFonts w:ascii="Arial" w:cs="Arial" w:eastAsia="Arial" w:hAnsi="Arial"/>
          <w:sz w:val="17"/>
          <w:szCs w:val="17"/>
          <w:i w:val="1"/>
          <w:iCs w:val="1"/>
          <w:color w:val="auto"/>
        </w:rPr>
        <w:t>Fair Value Measurement (Topic 820): Disclosure Framework—Changes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Requirements for Fair Value Measurement”. </w:t>
      </w:r>
      <w:r>
        <w:rPr>
          <w:rFonts w:ascii="Arial" w:cs="Arial" w:eastAsia="Arial" w:hAnsi="Arial"/>
          <w:sz w:val="17"/>
          <w:szCs w:val="17"/>
          <w:color w:val="auto"/>
        </w:rPr>
        <w:t>The ASU modifies the disclosure requirements for fair value measurements by removing, modifying, or adding</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disclosures. This ASU is effective for the Company beginning in 2020. Early adoption is permitted. An entity is permitted to early adopt any removed or modified disclosures upon issuance of ASU No. 2018-13 and delay adoption of the additional disclosures until their effective date. The Company has not yet evaluated the impact of adoption of this ASU on its consolidated financial statements disclosures.</w:t>
      </w:r>
    </w:p>
    <w:p>
      <w:pPr>
        <w:spacing w:after="0" w:line="173"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 xml:space="preserve">In August 2018, SEC adopted the final rule under SEC Release No. 33-10532, </w:t>
      </w:r>
      <w:r>
        <w:rPr>
          <w:rFonts w:ascii="Arial" w:cs="Arial" w:eastAsia="Arial" w:hAnsi="Arial"/>
          <w:sz w:val="17"/>
          <w:szCs w:val="17"/>
          <w:i w:val="1"/>
          <w:iCs w:val="1"/>
          <w:color w:val="auto"/>
        </w:rPr>
        <w:t>“Disclosure Update and Simplification</w:t>
      </w:r>
      <w:r>
        <w:rPr>
          <w:rFonts w:ascii="Arial" w:cs="Arial" w:eastAsia="Arial" w:hAnsi="Arial"/>
          <w:sz w:val="17"/>
          <w:szCs w:val="17"/>
          <w:color w:val="auto"/>
        </w:rPr>
        <w:t>”,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This final rule is effective on November 5, 2018. The Company plans to apply the new guidance to its consolidated financial statements during the first quarter of 2019.</w:t>
      </w:r>
    </w:p>
    <w:p>
      <w:pPr>
        <w:spacing w:after="0" w:line="178"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 xml:space="preserve">In October 2018, the FASB issued ASU 2018-17, </w:t>
      </w:r>
      <w:r>
        <w:rPr>
          <w:rFonts w:ascii="Arial" w:cs="Arial" w:eastAsia="Arial" w:hAnsi="Arial"/>
          <w:sz w:val="18"/>
          <w:szCs w:val="18"/>
          <w:i w:val="1"/>
          <w:iCs w:val="1"/>
          <w:color w:val="auto"/>
        </w:rPr>
        <w:t>"Consolidation: Targeted Improvements to Related Party Guidance for Variable Interest Entities</w:t>
      </w:r>
      <w:r>
        <w:rPr>
          <w:rFonts w:ascii="Arial" w:cs="Arial" w:eastAsia="Arial" w:hAnsi="Arial"/>
          <w:sz w:val="18"/>
          <w:szCs w:val="18"/>
          <w:color w:val="auto"/>
        </w:rPr>
        <w:t>”, which modifies the guidance related to indirect interests held through related parties under common control for determining whether fees paid to decision makers and service providers are variable interest. This ASU is effective for public business entities for fiscal years beginning after December 15, 2019, including interim periods within that fiscal year. Early adoption is permitted. The adoption of this ASU is not expected to have a material impact on the Company’s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12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carrying value of the Company’s cash, restricted cash, cash equivalents and accounts payable, approximate fair value due to the short-term nature of these items.</w:t>
      </w:r>
    </w:p>
    <w:p>
      <w:pPr>
        <w:spacing w:after="0" w:line="170" w:lineRule="exact"/>
        <w:rPr>
          <w:sz w:val="20"/>
          <w:szCs w:val="20"/>
          <w:color w:val="auto"/>
        </w:rPr>
      </w:pPr>
    </w:p>
    <w:p>
      <w:pPr>
        <w:ind w:right="280" w:firstLine="598"/>
        <w:spacing w:after="0" w:line="286" w:lineRule="auto"/>
        <w:rPr>
          <w:sz w:val="20"/>
          <w:szCs w:val="20"/>
          <w:color w:val="auto"/>
        </w:rPr>
      </w:pPr>
      <w:r>
        <w:rPr>
          <w:rFonts w:ascii="Arial" w:cs="Arial" w:eastAsia="Arial" w:hAnsi="Arial"/>
          <w:sz w:val="17"/>
          <w:szCs w:val="17"/>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117" w:lineRule="exact"/>
        <w:rPr>
          <w:sz w:val="20"/>
          <w:szCs w:val="20"/>
          <w:color w:val="auto"/>
        </w:rPr>
      </w:pPr>
    </w:p>
    <w:p>
      <w:pPr>
        <w:ind w:left="1220" w:hanging="591"/>
        <w:spacing w:after="0"/>
        <w:tabs>
          <w:tab w:leader="none" w:pos="1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I — Unadjusted quoted prices in active markets for identical assets or liabilities;</w:t>
      </w:r>
    </w:p>
    <w:p>
      <w:pPr>
        <w:spacing w:after="0" w:line="117" w:lineRule="exact"/>
        <w:rPr>
          <w:rFonts w:ascii="Arial" w:cs="Arial" w:eastAsia="Arial" w:hAnsi="Arial"/>
          <w:sz w:val="18"/>
          <w:szCs w:val="18"/>
          <w:color w:val="auto"/>
        </w:rPr>
      </w:pPr>
    </w:p>
    <w:p>
      <w:pPr>
        <w:ind w:left="1220" w:hanging="591"/>
        <w:spacing w:after="0" w:line="264" w:lineRule="auto"/>
        <w:tabs>
          <w:tab w:leader="none" w:pos="1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II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73" w:lineRule="exact"/>
        <w:rPr>
          <w:rFonts w:ascii="Arial" w:cs="Arial" w:eastAsia="Arial" w:hAnsi="Arial"/>
          <w:sz w:val="18"/>
          <w:szCs w:val="18"/>
          <w:color w:val="auto"/>
        </w:rPr>
      </w:pPr>
    </w:p>
    <w:p>
      <w:pPr>
        <w:ind w:left="1220" w:hanging="591"/>
        <w:spacing w:after="0"/>
        <w:tabs>
          <w:tab w:leader="none" w:pos="1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III — Unobservable inputs that are supported by little or no market activity for the related assets or liabilities.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4" w:name="page85"/>
    <w:bookmarkEnd w:id="84"/>
    <w:p>
      <w:pPr>
        <w:ind w:right="180" w:firstLine="598"/>
        <w:spacing w:after="0" w:line="277"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70"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by level within the fair value hierarchy (in thousands).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gridSpan w:val="12"/>
          </w:tcPr>
          <w:p>
            <w:pPr>
              <w:jc w:val="right"/>
              <w:ind w:right="25"/>
              <w:spacing w:after="0"/>
              <w:rPr>
                <w:sz w:val="20"/>
                <w:szCs w:val="20"/>
                <w:color w:val="auto"/>
              </w:rPr>
            </w:pPr>
            <w:r>
              <w:rPr>
                <w:rFonts w:ascii="Arial" w:cs="Arial" w:eastAsia="Arial" w:hAnsi="Arial"/>
                <w:sz w:val="14"/>
                <w:szCs w:val="14"/>
                <w:b w:val="1"/>
                <w:bCs w:val="1"/>
                <w:color w:val="auto"/>
              </w:rPr>
              <w:t>Fair Value Measurements at December 31, 2018</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8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Series A warrant liability</w:t>
            </w:r>
          </w:p>
        </w:tc>
        <w:tc>
          <w:tcPr>
            <w:tcW w:w="11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c>
          <w:tcPr>
            <w:tcW w:w="40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40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Series C warrant liability</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2017 PIPE warrant liability</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2018 PIPE warrant liability</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Essentialis purchase price contingency liability</w:t>
            </w:r>
          </w:p>
        </w:tc>
        <w:tc>
          <w:tcPr>
            <w:tcW w:w="9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5,649</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common stock warrant and contingent</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consideration liability</w:t>
            </w:r>
          </w:p>
        </w:tc>
        <w:tc>
          <w:tcPr>
            <w:tcW w:w="11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10,861</w:t>
            </w:r>
          </w:p>
        </w:tc>
        <w:tc>
          <w:tcPr>
            <w:tcW w:w="400" w:type="dxa"/>
            <w:vAlign w:val="bottom"/>
            <w:gridSpan w:val="3"/>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400" w:type="dxa"/>
            <w:vAlign w:val="bottom"/>
            <w:gridSpan w:val="3"/>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12"/>
          </w:tcPr>
          <w:p>
            <w:pPr>
              <w:jc w:val="right"/>
              <w:ind w:right="25"/>
              <w:spacing w:after="0"/>
              <w:rPr>
                <w:sz w:val="20"/>
                <w:szCs w:val="20"/>
                <w:color w:val="auto"/>
              </w:rPr>
            </w:pPr>
            <w:r>
              <w:rPr>
                <w:rFonts w:ascii="Arial" w:cs="Arial" w:eastAsia="Arial" w:hAnsi="Arial"/>
                <w:sz w:val="14"/>
                <w:szCs w:val="14"/>
                <w:b w:val="1"/>
                <w:bCs w:val="1"/>
                <w:color w:val="auto"/>
              </w:rPr>
              <w:t>Fair Value Measurements at December 31, 2017</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8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Series A warrant liability</w:t>
            </w:r>
          </w:p>
        </w:tc>
        <w:tc>
          <w:tcPr>
            <w:tcW w:w="960" w:type="dxa"/>
            <w:vAlign w:val="bottom"/>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40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Series C warrant liability</w:t>
            </w:r>
          </w:p>
        </w:tc>
        <w:tc>
          <w:tcPr>
            <w:tcW w:w="960" w:type="dxa"/>
            <w:vAlign w:val="bottom"/>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2017 PIPE warrant liability</w:t>
            </w:r>
          </w:p>
        </w:tc>
        <w:tc>
          <w:tcPr>
            <w:tcW w:w="960" w:type="dxa"/>
            <w:vAlign w:val="bottom"/>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5,076</w:t>
            </w: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Essentialis purchase price contingency liability</w:t>
            </w:r>
          </w:p>
        </w:tc>
        <w:tc>
          <w:tcPr>
            <w:tcW w:w="960" w:type="dxa"/>
            <w:vAlign w:val="bottom"/>
            <w:shd w:val="clear" w:color="auto" w:fill="CFF0FC"/>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5,082</w:t>
            </w:r>
          </w:p>
        </w:tc>
        <w:tc>
          <w:tcPr>
            <w:tcW w:w="100" w:type="dxa"/>
            <w:vAlign w:val="bottom"/>
            <w:tcBorders>
              <w:bottom w:val="single" w:sz="8" w:color="CFF0FC"/>
            </w:tcBorders>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80" w:type="dxa"/>
            <w:vAlign w:val="bottom"/>
          </w:tcPr>
          <w:p>
            <w:pPr>
              <w:ind w:left="240"/>
              <w:spacing w:after="0"/>
              <w:rPr>
                <w:sz w:val="20"/>
                <w:szCs w:val="20"/>
                <w:color w:val="auto"/>
              </w:rPr>
            </w:pPr>
            <w:r>
              <w:rPr>
                <w:rFonts w:ascii="Arial" w:cs="Arial" w:eastAsia="Arial" w:hAnsi="Arial"/>
                <w:sz w:val="18"/>
                <w:szCs w:val="18"/>
                <w:color w:val="auto"/>
              </w:rPr>
              <w:t>Total common stock warrant and contingent</w:t>
            </w:r>
          </w:p>
        </w:tc>
        <w:tc>
          <w:tcPr>
            <w:tcW w:w="960" w:type="dxa"/>
            <w:vAlign w:val="bottom"/>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380"/>
              <w:spacing w:after="0"/>
              <w:rPr>
                <w:sz w:val="20"/>
                <w:szCs w:val="20"/>
                <w:color w:val="auto"/>
              </w:rPr>
            </w:pPr>
            <w:r>
              <w:rPr>
                <w:rFonts w:ascii="Arial" w:cs="Arial" w:eastAsia="Arial" w:hAnsi="Arial"/>
                <w:sz w:val="18"/>
                <w:szCs w:val="18"/>
                <w:color w:val="auto"/>
              </w:rPr>
              <w:t>consideration liability</w:t>
            </w:r>
          </w:p>
        </w:tc>
        <w:tc>
          <w:tcPr>
            <w:tcW w:w="960" w:type="dxa"/>
            <w:vAlign w:val="bottom"/>
          </w:tcPr>
          <w:p>
            <w:pPr>
              <w:spacing w:after="0"/>
              <w:rPr>
                <w:sz w:val="20"/>
                <w:szCs w:val="20"/>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10,234</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The Series A Warrant is a registered security that trades on the open market and the fair value of the Series A Warrant liability is based on the publicly quoted trading price of the warrants which is listed on and obtained from NASDAQ. Accordingly, the fair value of Series A Warrants is a Level 1 measurement. The fair value measurement of the Series C Warrants is based on significant inputs that are unobservable and thus represent Level 3 measurements. The Company’s estimated fair value of the Series C Warrant liability is calculated using the Black-Scholes valuation model, which is equivalent to fair value computed using the Binomial Lattice Option Model. Key assumptions include the volatility of the Company’s stock, the expected warrant term, expected dividend yield and risk-free interest rates. The Company’s estimated fair value of the 2017 PIPE Warrants and the 2018 PIPE Warrants was calculated using a Monte Carlo simulation of a geometric Brownian motion model. The Monte Carlo simulation pricing model requires the input of highly subjective assumptions including the expected stock price volatility, the expected term, the expected dividend yield and the risk-free interest rate. The fair value of the Essentialis purchase price contingent liability is estimated using scenario-based methods based upon the Company’s analysis of the likelihood of obtaining specified approvals from the Federal Drug Administration as well as reaching cumulative revenue milestones (see Note 8). The Level 3 estimates are based, in part, on subjective assumptions.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5" w:name="page86"/>
    <w:bookmarkEnd w:id="85"/>
    <w:p>
      <w:pPr>
        <w:ind w:right="160" w:firstLine="598"/>
        <w:spacing w:after="0" w:line="264" w:lineRule="auto"/>
        <w:rPr>
          <w:sz w:val="20"/>
          <w:szCs w:val="20"/>
          <w:color w:val="auto"/>
        </w:rPr>
      </w:pPr>
      <w:r>
        <w:rPr>
          <w:rFonts w:ascii="Arial" w:cs="Arial" w:eastAsia="Arial" w:hAnsi="Arial"/>
          <w:sz w:val="18"/>
          <w:szCs w:val="18"/>
          <w:color w:val="auto"/>
        </w:rPr>
        <w:t>During the periods presented, the Company has not changed the manner in which it values liabilities that are measured at fair value using Level 3 inputs. The Company recognizes transfers between levels of the fair value hierarchy as of the end of the reporting period. There were no transfers within the hierarchy during the periods presented.</w:t>
      </w:r>
    </w:p>
    <w:p>
      <w:pPr>
        <w:spacing w:after="0" w:line="181" w:lineRule="exact"/>
        <w:rPr>
          <w:sz w:val="20"/>
          <w:szCs w:val="20"/>
          <w:color w:val="auto"/>
        </w:rPr>
      </w:pPr>
    </w:p>
    <w:p>
      <w:pPr>
        <w:ind w:right="580" w:firstLine="598"/>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Company’s Level 1 and Level 3 warrants, which are treated as liabilities (dollars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Series A Warrant</w:t>
            </w:r>
          </w:p>
        </w:tc>
        <w:tc>
          <w:tcPr>
            <w:tcW w:w="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Series C Warrant</w:t>
            </w: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2017 PIPE Warrants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4"/>
                <w:szCs w:val="14"/>
                <w:b w:val="1"/>
                <w:bCs w:val="1"/>
                <w:color w:val="auto"/>
              </w:rPr>
              <w:t>2018 PIPE Warrants</w:t>
            </w:r>
          </w:p>
        </w:tc>
        <w:tc>
          <w:tcPr>
            <w:tcW w:w="2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6"/>
              </w:rPr>
              <w:t>Purchase Price</w:t>
            </w:r>
          </w:p>
        </w:tc>
        <w:tc>
          <w:tcPr>
            <w:tcW w:w="0" w:type="dxa"/>
            <w:vAlign w:val="bottom"/>
          </w:tcPr>
          <w:p>
            <w:pPr>
              <w:spacing w:after="0"/>
              <w:rPr>
                <w:sz w:val="1"/>
                <w:szCs w:val="1"/>
                <w:color w:val="auto"/>
              </w:rPr>
            </w:pPr>
          </w:p>
        </w:tc>
      </w:tr>
      <w:tr>
        <w:trPr>
          <w:trHeight w:val="133"/>
        </w:trPr>
        <w:tc>
          <w:tcPr>
            <w:tcW w:w="17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4"/>
              </w:rPr>
              <w:t>Number of</w:t>
            </w:r>
          </w:p>
        </w:tc>
        <w:tc>
          <w:tcPr>
            <w:tcW w:w="88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Liability</w:t>
            </w:r>
          </w:p>
        </w:tc>
        <w:tc>
          <w:tcPr>
            <w:tcW w:w="9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Number of</w:t>
            </w:r>
          </w:p>
        </w:tc>
        <w:tc>
          <w:tcPr>
            <w:tcW w:w="88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Liability</w:t>
            </w:r>
          </w:p>
        </w:tc>
        <w:tc>
          <w:tcPr>
            <w:tcW w:w="840" w:type="dxa"/>
            <w:vAlign w:val="bottom"/>
            <w:gridSpan w:val="2"/>
          </w:tcPr>
          <w:p>
            <w:pPr>
              <w:jc w:val="right"/>
              <w:ind w:right="15"/>
              <w:spacing w:after="0" w:line="133" w:lineRule="exact"/>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1"/>
                <w:szCs w:val="11"/>
                <w:color w:val="auto"/>
              </w:rPr>
            </w:pPr>
          </w:p>
        </w:tc>
        <w:tc>
          <w:tcPr>
            <w:tcW w:w="72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rPr>
              <w:t>Liability</w:t>
            </w:r>
          </w:p>
        </w:tc>
        <w:tc>
          <w:tcPr>
            <w:tcW w:w="14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1"/>
                <w:szCs w:val="11"/>
                <w:color w:val="auto"/>
              </w:rPr>
            </w:pPr>
          </w:p>
        </w:tc>
        <w:tc>
          <w:tcPr>
            <w:tcW w:w="8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Liability</w:t>
            </w:r>
          </w:p>
        </w:tc>
        <w:tc>
          <w:tcPr>
            <w:tcW w:w="100" w:type="dxa"/>
            <w:vAlign w:val="bottom"/>
          </w:tcPr>
          <w:p>
            <w:pPr>
              <w:spacing w:after="0"/>
              <w:rPr>
                <w:sz w:val="11"/>
                <w:szCs w:val="11"/>
                <w:color w:val="auto"/>
              </w:rPr>
            </w:pPr>
          </w:p>
        </w:tc>
        <w:tc>
          <w:tcPr>
            <w:tcW w:w="90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91"/>
              </w:rPr>
              <w:t>Contingent</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Warrants</w:t>
            </w:r>
          </w:p>
        </w:tc>
        <w:tc>
          <w:tcPr>
            <w:tcW w:w="880" w:type="dxa"/>
            <w:vAlign w:val="bottom"/>
            <w:gridSpan w:val="3"/>
            <w:vMerge w:val="continue"/>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Warrants</w:t>
            </w:r>
          </w:p>
        </w:tc>
        <w:tc>
          <w:tcPr>
            <w:tcW w:w="880" w:type="dxa"/>
            <w:vAlign w:val="bottom"/>
            <w:gridSpan w:val="3"/>
            <w:vMerge w:val="continue"/>
          </w:tcPr>
          <w:p>
            <w:pPr>
              <w:spacing w:after="0"/>
              <w:rPr>
                <w:sz w:val="14"/>
                <w:szCs w:val="14"/>
                <w:color w:val="auto"/>
              </w:rPr>
            </w:pPr>
          </w:p>
        </w:tc>
        <w:tc>
          <w:tcPr>
            <w:tcW w:w="840" w:type="dxa"/>
            <w:vAlign w:val="bottom"/>
            <w:gridSpan w:val="2"/>
          </w:tcPr>
          <w:p>
            <w:pPr>
              <w:jc w:val="right"/>
              <w:ind w:right="55"/>
              <w:spacing w:after="0"/>
              <w:rPr>
                <w:sz w:val="20"/>
                <w:szCs w:val="20"/>
                <w:color w:val="auto"/>
              </w:rPr>
            </w:pPr>
            <w:r>
              <w:rPr>
                <w:rFonts w:ascii="Arial" w:cs="Arial" w:eastAsia="Arial" w:hAnsi="Arial"/>
                <w:sz w:val="14"/>
                <w:szCs w:val="14"/>
                <w:b w:val="1"/>
                <w:bCs w:val="1"/>
                <w:color w:val="auto"/>
              </w:rPr>
              <w:t>Warrants</w:t>
            </w:r>
          </w:p>
        </w:tc>
        <w:tc>
          <w:tcPr>
            <w:tcW w:w="220" w:type="dxa"/>
            <w:vAlign w:val="bottom"/>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Warrants</w:t>
            </w:r>
          </w:p>
        </w:tc>
        <w:tc>
          <w:tcPr>
            <w:tcW w:w="22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31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January 1, 2018</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485,121</w:t>
            </w:r>
          </w:p>
        </w:tc>
        <w:tc>
          <w:tcPr>
            <w:tcW w:w="2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118,083</w:t>
            </w:r>
          </w:p>
        </w:tc>
        <w:tc>
          <w:tcPr>
            <w:tcW w:w="2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56"/>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6,024,425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5,076</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5,082</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Change in value of Series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140"/>
              <w:spacing w:after="0"/>
              <w:rPr>
                <w:sz w:val="20"/>
                <w:szCs w:val="20"/>
                <w:color w:val="auto"/>
              </w:rPr>
            </w:pPr>
            <w:r>
              <w:rPr>
                <w:rFonts w:ascii="Arial" w:cs="Arial" w:eastAsia="Arial" w:hAnsi="Arial"/>
                <w:sz w:val="18"/>
                <w:szCs w:val="18"/>
                <w:color w:val="auto"/>
              </w:rPr>
              <w:t>A Warrants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value of Series</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 Warrants</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46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Change in value of 2017</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140"/>
              <w:spacing w:after="0"/>
              <w:rPr>
                <w:sz w:val="20"/>
                <w:szCs w:val="20"/>
                <w:color w:val="auto"/>
              </w:rPr>
            </w:pPr>
            <w:r>
              <w:rPr>
                <w:rFonts w:ascii="Arial" w:cs="Arial" w:eastAsia="Arial" w:hAnsi="Arial"/>
                <w:sz w:val="18"/>
                <w:szCs w:val="18"/>
                <w:color w:val="auto"/>
              </w:rPr>
              <w:t>PIPE Warrants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(513)</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Issuance of 2018 PIPE</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Warrants</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513,617</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Change in value of 2018</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140"/>
              <w:spacing w:after="0"/>
              <w:rPr>
                <w:sz w:val="20"/>
                <w:szCs w:val="20"/>
                <w:color w:val="auto"/>
              </w:rPr>
            </w:pPr>
            <w:r>
              <w:rPr>
                <w:rFonts w:ascii="Arial" w:cs="Arial" w:eastAsia="Arial" w:hAnsi="Arial"/>
                <w:sz w:val="18"/>
                <w:szCs w:val="18"/>
                <w:color w:val="auto"/>
              </w:rPr>
              <w:t>PIPE Warrants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value of</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contingent liability</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20" w:type="dxa"/>
            <w:vAlign w:val="bottom"/>
            <w:gridSpan w:val="2"/>
          </w:tcPr>
          <w:p>
            <w:pPr>
              <w:spacing w:after="0"/>
              <w:rPr>
                <w:sz w:val="20"/>
                <w:szCs w:val="20"/>
                <w:color w:val="auto"/>
              </w:rPr>
            </w:pPr>
            <w:r>
              <w:rPr>
                <w:rFonts w:ascii="Arial" w:cs="Arial" w:eastAsia="Arial" w:hAnsi="Arial"/>
                <w:sz w:val="18"/>
                <w:szCs w:val="18"/>
                <w:color w:val="auto"/>
              </w:rPr>
              <w:t>Balance at December 31,</w:t>
            </w: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140"/>
              <w:spacing w:after="0"/>
              <w:rPr>
                <w:sz w:val="20"/>
                <w:szCs w:val="20"/>
                <w:color w:val="auto"/>
              </w:rPr>
            </w:pPr>
            <w:r>
              <w:rPr>
                <w:rFonts w:ascii="Arial" w:cs="Arial" w:eastAsia="Arial" w:hAnsi="Arial"/>
                <w:sz w:val="18"/>
                <w:szCs w:val="18"/>
                <w:color w:val="auto"/>
              </w:rPr>
              <w:t>2018</w:t>
            </w:r>
          </w:p>
        </w:tc>
        <w:tc>
          <w:tcPr>
            <w:tcW w:w="1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485,121</w:t>
            </w:r>
          </w:p>
        </w:tc>
        <w:tc>
          <w:tcPr>
            <w:tcW w:w="200" w:type="dxa"/>
            <w:vAlign w:val="bottom"/>
          </w:tcPr>
          <w:p>
            <w:pPr>
              <w:spacing w:after="0"/>
              <w:rPr>
                <w:sz w:val="20"/>
                <w:szCs w:val="20"/>
                <w:color w:val="auto"/>
              </w:rPr>
            </w:pPr>
          </w:p>
        </w:tc>
        <w:tc>
          <w:tcPr>
            <w:tcW w:w="400" w:type="dxa"/>
            <w:vAlign w:val="bottom"/>
          </w:tcPr>
          <w:p>
            <w:pPr>
              <w:jc w:val="right"/>
              <w:ind w:right="216"/>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118,083</w:t>
            </w:r>
          </w:p>
        </w:tc>
        <w:tc>
          <w:tcPr>
            <w:tcW w:w="200" w:type="dxa"/>
            <w:vAlign w:val="bottom"/>
          </w:tcPr>
          <w:p>
            <w:pPr>
              <w:spacing w:after="0"/>
              <w:rPr>
                <w:sz w:val="20"/>
                <w:szCs w:val="20"/>
                <w:color w:val="auto"/>
              </w:rPr>
            </w:pP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6,024,425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4,563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513,617</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Note 5. Property and Equipment, Net</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12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60" w:type="dxa"/>
            <w:vAlign w:val="bottom"/>
            <w:gridSpan w:val="10"/>
          </w:tcPr>
          <w:p>
            <w:pPr>
              <w:jc w:val="right"/>
              <w:spacing w:after="0"/>
              <w:rPr>
                <w:sz w:val="20"/>
                <w:szCs w:val="20"/>
                <w:color w:val="auto"/>
              </w:rPr>
            </w:pPr>
            <w:r>
              <w:rPr>
                <w:rFonts w:ascii="Arial" w:cs="Arial" w:eastAsia="Arial" w:hAnsi="Arial"/>
                <w:sz w:val="18"/>
                <w:szCs w:val="18"/>
                <w:color w:val="auto"/>
              </w:rPr>
              <w:t>Property and equipment are summarized in the following table (in thousands).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24"/>
                <w:szCs w:val="24"/>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1400" w:type="dxa"/>
            <w:vAlign w:val="bottom"/>
            <w:tcBorders>
              <w:bottom w:val="single" w:sz="8" w:color="CFF0FC"/>
            </w:tcBorders>
          </w:tcPr>
          <w:p>
            <w:pPr>
              <w:spacing w:after="0"/>
              <w:rPr>
                <w:sz w:val="14"/>
                <w:szCs w:val="14"/>
                <w:color w:val="auto"/>
              </w:rPr>
            </w:pPr>
          </w:p>
        </w:tc>
        <w:tc>
          <w:tcPr>
            <w:tcW w:w="72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40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44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46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2018</w:t>
            </w: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Computer hardware</w:t>
            </w: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15"/>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w w:val="90"/>
              </w:rPr>
              <w:t>Computer software</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3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Leasehold improvements</w:t>
            </w:r>
          </w:p>
        </w:tc>
        <w:tc>
          <w:tcPr>
            <w:tcW w:w="4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FF0FC"/>
            </w:tcBorders>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100" w:type="dxa"/>
            <w:vAlign w:val="bottom"/>
            <w:gridSpan w:val="8"/>
          </w:tcPr>
          <w:p>
            <w:pPr>
              <w:spacing w:after="0"/>
              <w:rPr>
                <w:sz w:val="20"/>
                <w:szCs w:val="20"/>
                <w:color w:val="auto"/>
              </w:rPr>
            </w:pPr>
            <w:r>
              <w:rPr>
                <w:rFonts w:ascii="Arial" w:cs="Arial" w:eastAsia="Arial" w:hAnsi="Arial"/>
                <w:sz w:val="18"/>
                <w:szCs w:val="18"/>
                <w:color w:val="auto"/>
              </w:rPr>
              <w:t>Less accumulated depreciation and amortization</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(74)</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1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15"/>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Depreciation expense was approximately $19,000 and $44,000 for the years ended December 31, 2018 and December 31, 2017, respectively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Warrant Liabilities</w:t>
      </w:r>
    </w:p>
    <w:p>
      <w:pPr>
        <w:spacing w:after="0" w:line="121" w:lineRule="exact"/>
        <w:rPr>
          <w:sz w:val="20"/>
          <w:szCs w:val="20"/>
          <w:color w:val="auto"/>
        </w:rPr>
      </w:pPr>
    </w:p>
    <w:p>
      <w:pPr>
        <w:ind w:right="380" w:firstLine="598"/>
        <w:spacing w:after="0" w:line="308" w:lineRule="auto"/>
        <w:rPr>
          <w:sz w:val="20"/>
          <w:szCs w:val="20"/>
          <w:color w:val="auto"/>
        </w:rPr>
      </w:pPr>
      <w:r>
        <w:rPr>
          <w:rFonts w:ascii="Arial" w:cs="Arial" w:eastAsia="Arial" w:hAnsi="Arial"/>
          <w:sz w:val="17"/>
          <w:szCs w:val="17"/>
          <w:color w:val="auto"/>
        </w:rPr>
        <w:t xml:space="preserve">The Company has issued multiple warrant series, of which the Series A Warrants, Series C Warrants, the 2017 PIPE Warrants and the 2018 PIPE Warrants (the “Warrants”) are considered liabilities pursuant to the guidance established by </w:t>
      </w:r>
      <w:r>
        <w:rPr>
          <w:rFonts w:ascii="Arial" w:cs="Arial" w:eastAsia="Arial" w:hAnsi="Arial"/>
          <w:sz w:val="17"/>
          <w:szCs w:val="17"/>
          <w:i w:val="1"/>
          <w:iCs w:val="1"/>
          <w:color w:val="auto"/>
        </w:rPr>
        <w:t>ASC 815 Derivatives and Hedging.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17"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 xml:space="preserve">The Company accounts for the Warrants in accordance with the guidance in </w:t>
      </w:r>
      <w:r>
        <w:rPr>
          <w:rFonts w:ascii="Arial" w:cs="Arial" w:eastAsia="Arial" w:hAnsi="Arial"/>
          <w:sz w:val="18"/>
          <w:szCs w:val="18"/>
          <w:i w:val="1"/>
          <w:iCs w:val="1"/>
          <w:color w:val="auto"/>
        </w:rPr>
        <w:t>ASC 815</w:t>
      </w:r>
      <w:r>
        <w:rPr>
          <w:rFonts w:ascii="Arial" w:cs="Arial" w:eastAsia="Arial" w:hAnsi="Arial"/>
          <w:sz w:val="18"/>
          <w:szCs w:val="18"/>
          <w:color w:val="auto"/>
        </w:rPr>
        <w:t>. As indicated above, the Company may be obligated to settle Warrants in cash in the case of a Fundamental Transaction.</w:t>
      </w:r>
    </w:p>
    <w:p>
      <w:pPr>
        <w:spacing w:after="0" w:line="170"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The Company classified the Warrants, with a term greater than one year, as long-term liabilities at their fair value and will re-measure the warrants at each balance sheet date until they are exercised or expire. Any change in the fair value is recognized as other income (expense) in the Company’s consolidated statements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Warrants</w:t>
      </w:r>
    </w:p>
    <w:p>
      <w:pPr>
        <w:spacing w:after="0" w:line="117"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The Company has issued 489,921 Series A Warrants to purchase shares of its common stock at an exercise price of $32.50 per share in connection with the unit offering offered in the Company’s initial public offering, or the IPO, in November 2014. The Series A Warrants are exercisable at any time prior to the expiration of the five-year term on November 12, 2019.</w:t>
      </w:r>
    </w:p>
    <w:p>
      <w:pPr>
        <w:spacing w:after="0" w:line="181" w:lineRule="exact"/>
        <w:rPr>
          <w:sz w:val="20"/>
          <w:szCs w:val="20"/>
          <w:color w:val="auto"/>
        </w:rPr>
      </w:pPr>
    </w:p>
    <w:p>
      <w:pPr>
        <w:ind w:right="40" w:firstLine="598"/>
        <w:spacing w:after="0" w:line="287" w:lineRule="auto"/>
        <w:rPr>
          <w:sz w:val="20"/>
          <w:szCs w:val="20"/>
          <w:color w:val="auto"/>
        </w:rPr>
      </w:pPr>
      <w:r>
        <w:rPr>
          <w:rFonts w:ascii="Arial" w:cs="Arial" w:eastAsia="Arial" w:hAnsi="Arial"/>
          <w:sz w:val="16"/>
          <w:szCs w:val="16"/>
          <w:color w:val="auto"/>
        </w:rPr>
        <w:t>Upon the completion of the IPO, the Series A Warrants started trading on the NASDAQ under the symbol SLNOW. As the Series A Warrants are publicly traded, the Company uses the closing price on the measurement date to determine the fair value of the Series A Warrants. The Series A Warrants contract further provide for the payment of liquidated damages at an amount per month equal to 1% of the aggregate volume weighted average price, or VWAP, of the shares into which each Warrant is convertible into in the event that the Company is unable to maintain the effectiveness of a registration statement as described herein. The Company evaluated the registration payment arrangement stipulated in the terms of these securities and determined that it is probable that the Company will maintain an effective registration statement and has therefore not allocated any portion of the proceeds related to the warrant financings to the registration payment arrangement. The Warrants also contain a fundamental transactions provision that permits their settlement in cash at fair value at the option of the holder upon the occurrence of a change in control. Such change in control events include tender offers or hostile takeovers, which are not within the sole control of the Company as the issuer of these warrants. Accordingly, the Warrants are considered to have a cash settlement feature that precludes their classification as equity instruments. Settlement at fair value upon the occurrence of a fundamental transaction would be computed using the Black Scholes Option Pricing Model, which approximates the binomial lattice model.</w:t>
      </w:r>
    </w:p>
    <w:p>
      <w:pPr>
        <w:spacing w:after="0" w:line="173" w:lineRule="exact"/>
        <w:rPr>
          <w:sz w:val="20"/>
          <w:szCs w:val="20"/>
          <w:color w:val="auto"/>
        </w:rPr>
      </w:pPr>
    </w:p>
    <w:p>
      <w:pPr>
        <w:ind w:right="380" w:firstLine="598"/>
        <w:spacing w:after="0" w:line="264" w:lineRule="auto"/>
        <w:rPr>
          <w:sz w:val="20"/>
          <w:szCs w:val="20"/>
          <w:color w:val="auto"/>
        </w:rPr>
      </w:pPr>
      <w:r>
        <w:rPr>
          <w:rFonts w:ascii="Arial" w:cs="Arial" w:eastAsia="Arial" w:hAnsi="Arial"/>
          <w:sz w:val="18"/>
          <w:szCs w:val="18"/>
          <w:color w:val="auto"/>
        </w:rPr>
        <w:t>Since their issuance, a total of 4,800 Series A Warrants have been exercised. As of December 31, 2018, the fair value of the 485,121 outstanding Series A Warrants was approximately $49,000, and the decrease of approximately $21,000 in fair value during the year ended December 31, 2018 was recorded as other income (expense) in the consolidated statements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Warrants</w:t>
      </w:r>
    </w:p>
    <w:p>
      <w:pPr>
        <w:spacing w:after="0" w:line="117" w:lineRule="exact"/>
        <w:rPr>
          <w:sz w:val="20"/>
          <w:szCs w:val="20"/>
          <w:color w:val="auto"/>
        </w:rPr>
      </w:pPr>
    </w:p>
    <w:p>
      <w:pPr>
        <w:ind w:firstLine="598"/>
        <w:spacing w:after="0" w:line="268" w:lineRule="auto"/>
        <w:rPr>
          <w:sz w:val="20"/>
          <w:szCs w:val="20"/>
          <w:color w:val="auto"/>
        </w:rPr>
      </w:pPr>
      <w:r>
        <w:rPr>
          <w:rFonts w:ascii="Arial" w:cs="Arial" w:eastAsia="Arial" w:hAnsi="Arial"/>
          <w:sz w:val="17"/>
          <w:szCs w:val="17"/>
          <w:color w:val="auto"/>
        </w:rPr>
        <w:t>On March 5, 2015, the Company entered into separate agreements with certain Series B Warrant holders, who agreed to exercise their Series B Warrants to purchase an aggregate of 117,902 shares of the Company’s common stock at an exercise price of $32.50 per share, resulting in the de-recognition of $6.7 million of the previously issued Series B Warrant liability and gross proceeds to the Company of $3.8 million based on the exercise price of the Series B Warrants. In connection with this exercise of the Series B Warrants, the Company issued to each investor who exercised Series B Warrants, new Series C Warrants for the number of shares of the Company’s common stock underlying the Series B Warrants that were exercised. Each Series C Warrant is exercisable at $31.25 per share and will expire on March 5, 2020. The Series C Warrants contract further provide for the payment of liquidated damages at an amount per month equal to 1% of the aggregate volume weighted average price, or VWAP, of the shares into which each Warrant is convertible into in the event that the Company is unable to maintain the effectiveness of a registration statement as described herein. The Company evaluated the registration payment arrangement stipulated in the terms of these securities and determined that it is probable that the Company will maintain an effective registration statement and has therefore not allocated any portion of the proceeds related to the warrant financings to the registration payment arrangement. The Warrants also contain a fundamental transactions provision that permits their settlement in cash at fair value at the option of the holder upon the occurrence of a change in control. Such change in control events include tender offers or hostile takeovers, which are not within the sole control of the Company as the issuer of these warrants. Accordingly, the Warrants are considered to have a cash settlement feature that precludes their classification as equity instruments. Settlement at fair value upon the occurrence of 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fundamental transaction would be computed using the Black Scholes Option Pricing Model, which approximates the binomial lattice model.</w:t>
      </w:r>
    </w:p>
    <w:p>
      <w:pPr>
        <w:spacing w:after="0" w:line="225"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In April 2015, the Company issued a tender offer to the remaining holders of Series B Warrants to induce the holders to cash exercise the outstanding Series B Warrants in exchange for new Series C Warrants with an exercise price of $31.25 per share that expire on March 5, 2020. The tender offer was extended to Series B Warrant holders under a registration statement filed with the SEC on Form S-4, which was declared effective on June 25, 2015 and expired on July 24, 2015. During July 2015, certain Series B Warrant holder(s) tendered their Series B Warrants under the tender offer, which resulted in the issuance of 181 shares of the Company’s common stock, the issuance of 181 Series C Warrants and proceeds to the Company of approximately $6,000.</w:t>
      </w:r>
    </w:p>
    <w:p>
      <w:pPr>
        <w:spacing w:after="0" w:line="158"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The Series C Warrants are exercisable into 118,083 shares of the Company’s common stock. As of December 31, 2018, the fair value of the Series C Warrants was determined to be zero. The decline in the fair value of the liability for the Series C Warrants of approximately $6,000 during the year ended December 31, 2018 was recorded as other income (expense) in the consolidated statements of operations.</w:t>
      </w:r>
    </w:p>
    <w:p>
      <w:pPr>
        <w:spacing w:after="0" w:line="181" w:lineRule="exact"/>
        <w:rPr>
          <w:sz w:val="20"/>
          <w:szCs w:val="20"/>
          <w:color w:val="auto"/>
        </w:rPr>
      </w:pPr>
    </w:p>
    <w:p>
      <w:pPr>
        <w:ind w:right="60" w:firstLine="598"/>
        <w:spacing w:after="0" w:line="308" w:lineRule="auto"/>
        <w:rPr>
          <w:sz w:val="20"/>
          <w:szCs w:val="20"/>
          <w:color w:val="auto"/>
        </w:rPr>
      </w:pPr>
      <w:r>
        <w:rPr>
          <w:rFonts w:ascii="Arial" w:cs="Arial" w:eastAsia="Arial" w:hAnsi="Arial"/>
          <w:sz w:val="17"/>
          <w:szCs w:val="17"/>
          <w:color w:val="auto"/>
        </w:rPr>
        <w:t>The Company has calculated the fair value of the Series C Warrants using a Black-Scholes pricing model. The Black-Scholes pricing model requires the input of highly subjective assumptions including the expected stock price volatility. The Company used the following inputs.</w:t>
      </w:r>
    </w:p>
    <w:p>
      <w:pPr>
        <w:spacing w:after="0" w:line="13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2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90%</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100" w:type="dxa"/>
            <w:vAlign w:val="bottom"/>
          </w:tcPr>
          <w:p>
            <w:pPr>
              <w:jc w:val="right"/>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w:t>
            </w:r>
          </w:p>
        </w:tc>
        <w:tc>
          <w:tcPr>
            <w:tcW w:w="18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Risk-free rate</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2.60%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as Part of the Units in the 2017 PIPE Offering</w:t>
      </w:r>
    </w:p>
    <w:p>
      <w:pPr>
        <w:spacing w:after="0" w:line="117" w:lineRule="exact"/>
        <w:rPr>
          <w:sz w:val="20"/>
          <w:szCs w:val="20"/>
          <w:color w:val="auto"/>
        </w:rPr>
      </w:pPr>
    </w:p>
    <w:p>
      <w:pPr>
        <w:jc w:val="both"/>
        <w:ind w:right="20" w:firstLine="598"/>
        <w:spacing w:after="0" w:line="259" w:lineRule="auto"/>
        <w:rPr>
          <w:sz w:val="20"/>
          <w:szCs w:val="20"/>
          <w:color w:val="auto"/>
        </w:rPr>
      </w:pPr>
      <w:r>
        <w:rPr>
          <w:rFonts w:ascii="Arial" w:cs="Arial" w:eastAsia="Arial" w:hAnsi="Arial"/>
          <w:sz w:val="18"/>
          <w:szCs w:val="18"/>
          <w:color w:val="auto"/>
        </w:rPr>
        <w:t>The 2017 PIPE Warrants were issued on December 15, 2017 in the 2017 PIPE Offering, pursuant to a Warrant Agreement with each of the investors in the 2017 PIPE Offering, and entitle the holder to purchase one share of the Company’s common stock at an exercise price equal to $2.00 per share, subject to adjustment as discussed below, at any time commencing upon issuance of the 2017 PIPE Warrants and terminating at the earlier of December 15, 2020 or 30 days following positive Phase III results for the DCCR tablet in PWS.</w:t>
      </w:r>
    </w:p>
    <w:p>
      <w:pPr>
        <w:spacing w:after="0" w:line="187" w:lineRule="exact"/>
        <w:rPr>
          <w:sz w:val="20"/>
          <w:szCs w:val="20"/>
          <w:color w:val="auto"/>
        </w:rPr>
      </w:pPr>
    </w:p>
    <w:p>
      <w:pPr>
        <w:ind w:right="320" w:firstLine="598"/>
        <w:spacing w:after="0" w:line="264" w:lineRule="auto"/>
        <w:rPr>
          <w:sz w:val="20"/>
          <w:szCs w:val="20"/>
          <w:color w:val="auto"/>
        </w:rPr>
      </w:pPr>
      <w:r>
        <w:rPr>
          <w:rFonts w:ascii="Arial" w:cs="Arial" w:eastAsia="Arial" w:hAnsi="Arial"/>
          <w:sz w:val="18"/>
          <w:szCs w:val="18"/>
          <w:color w:val="auto"/>
        </w:rPr>
        <w:t>The exercise price and number of shares of common stock issuable upon exercise of the 2017 PIPE Warrants may be adjusted in certain circumstances, including in the event of a stock split, stock dividend, extraordinary dividend, or recapitalization, reorganization, merger or consolidation. However, the exercise price of the 2017 PIPE Warrants will not be reduced below $1.72.</w:t>
      </w:r>
    </w:p>
    <w:p>
      <w:pPr>
        <w:spacing w:after="0" w:line="181" w:lineRule="exact"/>
        <w:rPr>
          <w:sz w:val="20"/>
          <w:szCs w:val="20"/>
          <w:color w:val="auto"/>
        </w:rPr>
      </w:pPr>
    </w:p>
    <w:p>
      <w:pPr>
        <w:ind w:right="160" w:firstLine="598"/>
        <w:spacing w:after="0" w:line="342" w:lineRule="auto"/>
        <w:rPr>
          <w:sz w:val="20"/>
          <w:szCs w:val="20"/>
          <w:color w:val="auto"/>
        </w:rPr>
      </w:pPr>
      <w:r>
        <w:rPr>
          <w:rFonts w:ascii="Arial" w:cs="Arial" w:eastAsia="Arial" w:hAnsi="Arial"/>
          <w:sz w:val="16"/>
          <w:szCs w:val="16"/>
          <w:color w:val="auto"/>
        </w:rPr>
        <w:t>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w:t>
      </w:r>
    </w:p>
    <w:p>
      <w:pPr>
        <w:spacing w:after="0" w:line="124" w:lineRule="exact"/>
        <w:rPr>
          <w:sz w:val="20"/>
          <w:szCs w:val="20"/>
          <w:color w:val="auto"/>
        </w:rPr>
      </w:pPr>
    </w:p>
    <w:p>
      <w:pPr>
        <w:jc w:val="both"/>
        <w:ind w:right="200" w:firstLine="598"/>
        <w:spacing w:after="0" w:line="264" w:lineRule="auto"/>
        <w:rPr>
          <w:sz w:val="20"/>
          <w:szCs w:val="20"/>
          <w:color w:val="auto"/>
        </w:rPr>
      </w:pPr>
      <w:r>
        <w:rPr>
          <w:rFonts w:ascii="Arial" w:cs="Arial" w:eastAsia="Arial" w:hAnsi="Arial"/>
          <w:sz w:val="18"/>
          <w:szCs w:val="18"/>
          <w:color w:val="auto"/>
        </w:rPr>
        <w:t>As of December 31, 2018, the fair value of the 2017 PIPE Warrants was estimated at $4.6 million. The decrease in the fair value of the liability for the 2017 PIPE Warrants of approximately $513,000 during the year ended December 31, 2018 was recorded as other income (expense) in the consolidated statements of operations.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88" w:name="page89"/>
    <w:bookmarkEnd w:id="88"/>
    <w:p>
      <w:pPr>
        <w:ind w:right="40" w:firstLine="598"/>
        <w:spacing w:after="0" w:line="264" w:lineRule="auto"/>
        <w:rPr>
          <w:sz w:val="20"/>
          <w:szCs w:val="20"/>
          <w:color w:val="auto"/>
        </w:rPr>
      </w:pPr>
      <w:r>
        <w:rPr>
          <w:rFonts w:ascii="Arial" w:cs="Arial" w:eastAsia="Arial" w:hAnsi="Arial"/>
          <w:sz w:val="18"/>
          <w:szCs w:val="18"/>
          <w:color w:val="auto"/>
        </w:rPr>
        <w:t>The Company has calculated the fair value of the 2017 PIPE Warrants using a Monte Carlo simulation of a geometric Brownian motion model. The Monte Carlo simulation pricing model requires the input of highly subjective assumptions including the expected stock price volatility. The following summarizes certain key assumptions used in estimating the fair values.</w:t>
      </w:r>
    </w:p>
    <w:p>
      <w:pPr>
        <w:spacing w:after="0" w:line="17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2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75%</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Risk-free rate</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2.51%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1.76%</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as Part of the Units in the 2018 PIPE Offering</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The 2018 PIPE Warrants were issued on December 19, 2018 in the 2018 PIPE Offering, pursuant to a Warrant Agreement with each of the investors in the 2018 PIPE Offering, and entitle the holders of each of the 10,272,375 units to purchase 0.05 shares of the Company’s common stock at an exercise price equal to $2.00 per share, subject to adjustment as discussed below, at any time commencing upon issuance of the 2018 PIPE Warrants and terminating on December 21, 2023.</w:t>
      </w:r>
    </w:p>
    <w:p>
      <w:pPr>
        <w:spacing w:after="0" w:line="187" w:lineRule="exact"/>
        <w:rPr>
          <w:sz w:val="20"/>
          <w:szCs w:val="20"/>
          <w:color w:val="auto"/>
        </w:rPr>
      </w:pPr>
    </w:p>
    <w:p>
      <w:pPr>
        <w:ind w:right="240" w:firstLine="598"/>
        <w:spacing w:after="0" w:line="264" w:lineRule="auto"/>
        <w:rPr>
          <w:sz w:val="20"/>
          <w:szCs w:val="20"/>
          <w:color w:val="auto"/>
        </w:rPr>
      </w:pPr>
      <w:r>
        <w:rPr>
          <w:rFonts w:ascii="Arial" w:cs="Arial" w:eastAsia="Arial" w:hAnsi="Arial"/>
          <w:sz w:val="18"/>
          <w:szCs w:val="18"/>
          <w:color w:val="auto"/>
        </w:rPr>
        <w:t>The exercise price and number of shares of common stock issuable upon exercise of the 2018 PIPE Warrants may be adjusted in certain circumstances, including in the event of a stock split, stock dividend, extraordinary dividend, or recapitalization, reorganization, merger or consolidation. However, the exercise price of the 2018 PIPE Warrants will not be reduced below $2.00.</w:t>
      </w:r>
    </w:p>
    <w:p>
      <w:pPr>
        <w:spacing w:after="0" w:line="181" w:lineRule="exact"/>
        <w:rPr>
          <w:sz w:val="20"/>
          <w:szCs w:val="20"/>
          <w:color w:val="auto"/>
        </w:rPr>
      </w:pPr>
    </w:p>
    <w:p>
      <w:pPr>
        <w:ind w:right="80" w:firstLine="598"/>
        <w:spacing w:after="0" w:line="342" w:lineRule="auto"/>
        <w:rPr>
          <w:sz w:val="20"/>
          <w:szCs w:val="20"/>
          <w:color w:val="auto"/>
        </w:rPr>
      </w:pPr>
      <w:r>
        <w:rPr>
          <w:rFonts w:ascii="Arial" w:cs="Arial" w:eastAsia="Arial" w:hAnsi="Arial"/>
          <w:sz w:val="16"/>
          <w:szCs w:val="16"/>
          <w:color w:val="auto"/>
        </w:rPr>
        <w:t>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w:t>
      </w:r>
    </w:p>
    <w:p>
      <w:pPr>
        <w:spacing w:after="0" w:line="124"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As of December 31, 2018, the fair value of the 2018 PIPE Warrants was estimated at approximately $600,000. The approximate $18,000 increase in the fair value of the liability for the 2018 PIPE Warrants since they were issued was recorded as other income (expense) in the consolidated statements of operations.</w:t>
      </w:r>
    </w:p>
    <w:p>
      <w:pPr>
        <w:spacing w:after="0" w:line="181" w:lineRule="exact"/>
        <w:rPr>
          <w:sz w:val="20"/>
          <w:szCs w:val="20"/>
          <w:color w:val="auto"/>
        </w:rPr>
      </w:pPr>
    </w:p>
    <w:p>
      <w:pPr>
        <w:ind w:right="40" w:firstLine="598"/>
        <w:spacing w:after="0" w:line="308" w:lineRule="auto"/>
        <w:rPr>
          <w:sz w:val="20"/>
          <w:szCs w:val="20"/>
          <w:color w:val="auto"/>
        </w:rPr>
      </w:pPr>
      <w:r>
        <w:rPr>
          <w:rFonts w:ascii="Arial" w:cs="Arial" w:eastAsia="Arial" w:hAnsi="Arial"/>
          <w:sz w:val="17"/>
          <w:szCs w:val="17"/>
          <w:color w:val="auto"/>
        </w:rPr>
        <w:t>The Company has calculated the fair value of the 2018 PIPE Warrants using a Monte Carlo simulation of a geometric Brownian motion model. The Monte Carlo simulation pricing model requires the input of highly subjective assumptions including the expected stock price volatility.</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summarizes certain key assumptions used in estimating the fair values.</w:t>
      </w:r>
    </w:p>
    <w:p>
      <w:pPr>
        <w:spacing w:after="0" w:line="218"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3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December 19,</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6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(date of issue)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75%</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Risk-free rate</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2.51%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The Monte Carlo simulation of a geometric Brownian motion model requires the use of highly subjective assumptions to estimate the fair value of stock-based awards. These assumptions include the following estimates.</w:t>
      </w:r>
    </w:p>
    <w:p>
      <w:pPr>
        <w:spacing w:after="0" w:line="62" w:lineRule="exact"/>
        <w:rPr>
          <w:sz w:val="20"/>
          <w:szCs w:val="20"/>
          <w:color w:val="auto"/>
        </w:rPr>
      </w:pPr>
    </w:p>
    <w:p>
      <w:pPr>
        <w:ind w:left="1040" w:right="340" w:hanging="438"/>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The Company calculates the estimated volatility rate based on the volatilities of common stock of comparable companies in its</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Contractual term: </w:t>
      </w:r>
      <w:r>
        <w:rPr>
          <w:rFonts w:ascii="Arial" w:cs="Arial" w:eastAsia="Arial" w:hAnsi="Arial"/>
          <w:sz w:val="18"/>
          <w:szCs w:val="18"/>
          <w:color w:val="auto"/>
        </w:rPr>
        <w:t>The expected life of the warrants, which is based on the contractual term of the warrants.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557" w:right="379" w:bottom="1440" w:gutter="0" w:footer="0" w:header="0"/>
        </w:sectPr>
      </w:pPr>
    </w:p>
    <w:bookmarkStart w:id="89" w:name="page90"/>
    <w:bookmarkEnd w:id="89"/>
    <w:p>
      <w:pPr>
        <w:ind w:left="1040" w:right="100" w:hanging="438"/>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has never declared or paid any cash dividends and does not currently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Consequently, the Company used an expected dividend yield of zero.</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The risk-free interest rate is based on the U.S. Treasury rate for similar periods as those of expected volatility.</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Leases</w:t>
      </w:r>
    </w:p>
    <w:p>
      <w:pPr>
        <w:spacing w:after="0" w:line="117" w:lineRule="exact"/>
        <w:rPr>
          <w:sz w:val="20"/>
          <w:szCs w:val="20"/>
          <w:color w:val="auto"/>
        </w:rPr>
      </w:pPr>
    </w:p>
    <w:p>
      <w:pPr>
        <w:ind w:right="20" w:firstLine="598"/>
        <w:spacing w:after="0" w:line="302" w:lineRule="auto"/>
        <w:rPr>
          <w:sz w:val="20"/>
          <w:szCs w:val="20"/>
          <w:color w:val="auto"/>
        </w:rPr>
      </w:pPr>
      <w:r>
        <w:rPr>
          <w:rFonts w:ascii="Arial" w:cs="Arial" w:eastAsia="Arial" w:hAnsi="Arial"/>
          <w:sz w:val="16"/>
          <w:szCs w:val="16"/>
          <w:color w:val="auto"/>
        </w:rPr>
        <w:t>On July 1, 2015 the Company executed a new four-year non-cancelable operating lease agreement for 8,171 square feet of office space for its headquarters facility. The lease agreement provides for monthly lease payments of approximately $23,000 beginning in September 2015, with increases in the following three years. An additional 5,265 square feet of office space became part of the new lease agreement on March 1, 2016, and in December 2017 the Company subleased this additional space to a third party through the end of the lease term. The lease and the sublease both expire in August 2019.</w:t>
      </w:r>
    </w:p>
    <w:p>
      <w:pPr>
        <w:spacing w:after="0" w:line="154" w:lineRule="exact"/>
        <w:rPr>
          <w:sz w:val="20"/>
          <w:szCs w:val="20"/>
          <w:color w:val="auto"/>
        </w:rPr>
      </w:pPr>
    </w:p>
    <w:p>
      <w:pPr>
        <w:jc w:val="both"/>
        <w:ind w:right="180" w:firstLine="598"/>
        <w:spacing w:after="0" w:line="312" w:lineRule="auto"/>
        <w:rPr>
          <w:sz w:val="20"/>
          <w:szCs w:val="20"/>
          <w:color w:val="auto"/>
        </w:rPr>
      </w:pPr>
      <w:r>
        <w:rPr>
          <w:rFonts w:ascii="Arial" w:cs="Arial" w:eastAsia="Arial" w:hAnsi="Arial"/>
          <w:sz w:val="16"/>
          <w:szCs w:val="16"/>
          <w:color w:val="auto"/>
        </w:rPr>
        <w:t>The Company also leased office space under a non-cancelable operating lease agreement that was set to expire in May 2015, and in February 2015 the Company signed an amendment to its lease agreement, extending the lease through June 2018. The amendment provided for monthly lease payments of approximately $22,000 beginning in June 2015, with increases in the following two years. The Company subleased this facility in January 2016.</w:t>
      </w:r>
    </w:p>
    <w:p>
      <w:pPr>
        <w:spacing w:after="0" w:line="147" w:lineRule="exact"/>
        <w:rPr>
          <w:sz w:val="20"/>
          <w:szCs w:val="20"/>
          <w:color w:val="auto"/>
        </w:rPr>
      </w:pPr>
    </w:p>
    <w:p>
      <w:pPr>
        <w:ind w:right="60" w:firstLine="598"/>
        <w:spacing w:after="0" w:line="342" w:lineRule="auto"/>
        <w:rPr>
          <w:sz w:val="20"/>
          <w:szCs w:val="20"/>
          <w:color w:val="auto"/>
        </w:rPr>
      </w:pPr>
      <w:r>
        <w:rPr>
          <w:rFonts w:ascii="Arial" w:cs="Arial" w:eastAsia="Arial" w:hAnsi="Arial"/>
          <w:sz w:val="16"/>
          <w:szCs w:val="16"/>
          <w:color w:val="auto"/>
        </w:rPr>
        <w:t>Minimum rental commitments under all noncancelable leases with an initial term in excess of one year as of December 31, 2018 were approximately $344,000 during 2019 and none thereafter, not including the impact of sublease payments the Company will receive under its existing sublease.</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Rent expense was approximately $323,000 and $514,000 during the years ended December 31, 2018 and 2017,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Acquisition of Essentialis Inc.</w:t>
      </w:r>
    </w:p>
    <w:p>
      <w:pPr>
        <w:spacing w:after="0" w:line="12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On March 7, 2017, the Company acquired Essentialis through the merger of the Company’s wholly-owned subsidiary Company E Merger Sub, Inc., a Delaware corporation (“Merger Sub”), whereby Merger Sub merged into Essentialis, with Essentialis surviving the merger as a wholly owned subsidiary of the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90" w:name="page91"/>
    <w:bookmarkEnd w:id="90"/>
    <w:p>
      <w:pPr>
        <w:ind w:right="80" w:firstLine="598"/>
        <w:spacing w:after="0" w:line="312" w:lineRule="auto"/>
        <w:rPr>
          <w:sz w:val="20"/>
          <w:szCs w:val="20"/>
          <w:color w:val="auto"/>
        </w:rPr>
      </w:pPr>
      <w:r>
        <w:rPr>
          <w:rFonts w:ascii="Arial" w:cs="Arial" w:eastAsia="Arial" w:hAnsi="Arial"/>
          <w:sz w:val="16"/>
          <w:szCs w:val="16"/>
          <w:color w:val="auto"/>
        </w:rPr>
        <w:t>The transaction was accounted for as an asset acquisition under the acquisition method of accounting. The amendments in ASU 2017-01 provide a screen to determine when a set of assets and activities is not a business. The screen requires that when substantially all of the fair value of the gross assets acquired (or disposed of) is concentrated in a single identifiable asset or a group of similar identifiable assets, the set of assets and activities is not a business.</w:t>
      </w:r>
    </w:p>
    <w:p>
      <w:pPr>
        <w:spacing w:after="0" w:line="147"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In consideration, the Company issued 3,783,388 shares of common stock to stockholders of Essentialis on March 7, 2017. Pursuant to the terms of the Merger Agreement, the Company held back shares of common stock as partial recourse to satisfy indemnification claims. Effective March 7, 2018, on the one-year anniversary of the closing of the merger, the Company issued 180,667 shares for the previously held back amount. In the second quarter of 2018 there were 903,367 additional shares of common stock issued upon the achievement of a development milestone. In total, 4,867,422 shares of common stock were issued to Essentialis stockholders. Additionally, upon the achievement of certain commercial milestones associated with the sale of Essentialis’ product in accordance with the terms of the Merger Agreement, the Company is obligated to make cash earnout payments of up to a maximum of $30.0 million to Essentialis stockholders. The merger consideration described above will be reduced by any such shares of common stock issuable, or cash earnout payments payable, to Essentialis’ management carve-out plan participants and other service providers of Essentialis, in each case, in accordance with the terms of the Merger Agreement.</w:t>
      </w:r>
    </w:p>
    <w:p>
      <w:pPr>
        <w:spacing w:after="0" w:line="182"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Since the acquisition was determined to be an asset acquisition, the total value of the purchase consideration was allocated to the asset acquired. The fair value of the shares issued on the completion of the merger and of the contingent shares to be issued in the future was based on the stock price of the Company on the date of completion of the merger. In addition, the trading history of the Company was reviewed to assess the reliability of the implied consideration value. The Company trades on the NASDAQ, a major U.S. stock exchange, and has significant average daily trading volume with tight intraday bid-ask spreads. These characteristics indicate Soleno’s shares are actively traded and provide a reliable indication of value. On March 7, 2017, the date of the transaction close, the Company’s stock was trading at $3.85 per common share. Additionally, the average closing price of the stock in the 30 calendar days leading up to the close was also approximately $3.85. Accordingly, the fair value of the shares issued on March 7, 2017 and the estimated fair value of the contingent shares to be issued in the future are based on this stock price.</w:t>
      </w:r>
    </w:p>
    <w:p>
      <w:pPr>
        <w:spacing w:after="0" w:line="179"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The agreement to pay cash upon the achievement of the commercial milestones results in the recognition of a contingent consideration. The fair value of the contingent cash consideration is based on the Company’s analysis of the likelihood of the drug indication moving from Phase II through approval in the Federal Drug Administration approval process and then reaching the cumulative revenue milestones. In determining the likelihood of this occurring, the analysis relied on 2016 research published by BIO, Biomedtraker, &amp; Amplion titles “Clinical Development Success Rates 2006-2015.” Based on management’s assessment, a 56% probability of achieving each milestone was determined to be reasonable. Additionally, the Company anticipated at the time of the merger that it could reach the commercial milestones of $100.0 million and $200.0 million in applicable revenue in 2023 and 2025, respectively.</w:t>
      </w:r>
    </w:p>
    <w:p>
      <w:pPr>
        <w:spacing w:after="0" w:line="165"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The Company recorded the acquisition pursuant to the guidance in ASC 805, which provides that not all of the relevant information needed to complete acquisition-date measurements may be obtainable or known at the time of closing the acquisition and in time for issuance of interim or annual financial statements. Therefore, ASC 805 provides for a “measurement period” during which adjustments to the provisional valuation amounts initially recorded can be made in order to reflect information, existing at the acquisition date, but of which management subsequently obtains or becomes aware. ASC 805 provides that the measurement period can extend for up to, but not exceed, one year.</w:t>
      </w:r>
    </w:p>
    <w:p>
      <w:pPr>
        <w:spacing w:after="0" w:line="188" w:lineRule="exact"/>
        <w:rPr>
          <w:sz w:val="20"/>
          <w:szCs w:val="20"/>
          <w:color w:val="auto"/>
        </w:rPr>
      </w:pPr>
    </w:p>
    <w:p>
      <w:pPr>
        <w:ind w:right="80" w:firstLine="598"/>
        <w:spacing w:after="0" w:line="272" w:lineRule="auto"/>
        <w:rPr>
          <w:sz w:val="20"/>
          <w:szCs w:val="20"/>
          <w:color w:val="auto"/>
        </w:rPr>
      </w:pPr>
      <w:r>
        <w:rPr>
          <w:rFonts w:ascii="Arial" w:cs="Arial" w:eastAsia="Arial" w:hAnsi="Arial"/>
          <w:sz w:val="17"/>
          <w:szCs w:val="17"/>
          <w:color w:val="auto"/>
        </w:rPr>
        <w:t>Management engaged independent professional assistance and advice in order to assess the fair value of the contingent stock and cash consideration as of March 7 and December 31, 2017. During the process of determining the fair value of the contingent consideration at December 31, 2017, the Company became aware that certain of the subjective assumptions made at the time of the initial valuation should be modified based upon management’s increased understanding of the commercial capabilities of the DCCR drug of which it became aware subsequent to the acquisition. Accordingly, the Company determined that it was appropriate to adjust the provisional valuation amounts recorded for the contingent stock and cash consideration made at the inception in March 2017. As a result, the value of the contingent cash consideration to be paid upon completing successive sales milestones increased and the value of the contingent stock consideration payable upon timing milestones was reduced; the resulting combined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1" w:name="page92"/>
    <w:bookmarkEnd w:id="91"/>
    <w:p>
      <w:pPr>
        <w:jc w:val="both"/>
        <w:spacing w:after="0" w:line="276" w:lineRule="auto"/>
        <w:rPr>
          <w:sz w:val="20"/>
          <w:szCs w:val="20"/>
          <w:color w:val="auto"/>
        </w:rPr>
      </w:pPr>
      <w:r>
        <w:rPr>
          <w:rFonts w:ascii="Arial" w:cs="Arial" w:eastAsia="Arial" w:hAnsi="Arial"/>
          <w:sz w:val="17"/>
          <w:szCs w:val="17"/>
          <w:color w:val="auto"/>
        </w:rPr>
        <w:t>change to the total contingent consideration was not material. The initial valuation of the contingent consideration determined the fair value of the contingent stock consideration to be $4.2 million and the fair value of the contingent cash consideration to be $1.1 million, for the combined value of $5.3 million for the total of the stock and cash contingent consideration. The revision of the initial valuation of the contingent consideration, made within the measurement period, determined the fair value of the contingent stock consideration to be $2.7 million and the fair value of the contingent cash consideration to be $2.6 million, for the combined value of $5.3 million for the total of the contingent stock and cash consideration.</w:t>
      </w:r>
    </w:p>
    <w:p>
      <w:pPr>
        <w:spacing w:after="0" w:line="173" w:lineRule="exact"/>
        <w:rPr>
          <w:sz w:val="20"/>
          <w:szCs w:val="20"/>
          <w:color w:val="auto"/>
        </w:rPr>
      </w:pPr>
    </w:p>
    <w:p>
      <w:pPr>
        <w:ind w:right="60" w:firstLine="598"/>
        <w:spacing w:after="0" w:line="272" w:lineRule="auto"/>
        <w:rPr>
          <w:sz w:val="20"/>
          <w:szCs w:val="20"/>
          <w:color w:val="auto"/>
        </w:rPr>
      </w:pPr>
      <w:r>
        <w:rPr>
          <w:rFonts w:ascii="Arial" w:cs="Arial" w:eastAsia="Arial" w:hAnsi="Arial"/>
          <w:sz w:val="17"/>
          <w:szCs w:val="17"/>
          <w:color w:val="auto"/>
        </w:rPr>
        <w:t>Also subsequent to March 7, 2017 and prior to reporting the balance sheet and results of operations as of December 31, 2017, and for the year then ended, the Company completed its assessment of the tax effect on the net assets acquired by obtaining the independent study and report regarding the change in control in the previously outstanding stock of Essentialis. As a result of completing the study, the Company determined that, pursuant to Section 382 of the Internal Revenue Code, the utilization of Essentialis’s federal and state operating loss carryforwards were limited, which required the Company to record a net deferred tax liability in the amount of $1.7 million, deferred to future periods, as an element of the assets acquired. As a consequence of recording the net deferred tax liability, the Company’s valuation allowance was reduced by $1.7 million, which resulted in the provision for income tax benefit and an increase in the value of the intangible asset acquired.</w:t>
      </w:r>
    </w:p>
    <w:p>
      <w:pPr>
        <w:spacing w:after="0" w:line="178" w:lineRule="exact"/>
        <w:rPr>
          <w:sz w:val="20"/>
          <w:szCs w:val="20"/>
          <w:color w:val="auto"/>
        </w:rPr>
      </w:pPr>
    </w:p>
    <w:p>
      <w:pPr>
        <w:ind w:right="460" w:firstLine="598"/>
        <w:spacing w:after="0" w:line="342" w:lineRule="auto"/>
        <w:rPr>
          <w:sz w:val="20"/>
          <w:szCs w:val="20"/>
          <w:color w:val="auto"/>
        </w:rPr>
      </w:pPr>
      <w:r>
        <w:rPr>
          <w:rFonts w:ascii="Arial" w:cs="Arial" w:eastAsia="Arial" w:hAnsi="Arial"/>
          <w:sz w:val="16"/>
          <w:szCs w:val="16"/>
          <w:color w:val="auto"/>
        </w:rPr>
        <w:t>The probability weighted milestone payments were discounted to determine the present value of future cash payments. The analysis utilized the weighted average cost of capital (WACC) discount rate. The WACC used for the first and second milestones were 30% and 21%, respectively.</w:t>
      </w:r>
    </w:p>
    <w:p>
      <w:pPr>
        <w:spacing w:after="0" w:line="124"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The aggregate purchase price consideration was as follows (in thousands).</w:t>
            </w: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0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vMerge w:val="continue"/>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Fair value of stock consideration</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Fair value of contingent consideration</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5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purchase price consideration</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19,836</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The fair value of the asset acquired is as follows (in thousands).</w:t>
            </w: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8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0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vMerge w:val="continue"/>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Patents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19,836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gridSpan w:val="2"/>
          </w:tcPr>
          <w:p>
            <w:pPr>
              <w:ind w:left="1700"/>
              <w:spacing w:after="0"/>
              <w:rPr>
                <w:sz w:val="20"/>
                <w:szCs w:val="20"/>
                <w:color w:val="auto"/>
              </w:rPr>
            </w:pPr>
            <w:r>
              <w:rPr>
                <w:rFonts w:ascii="Arial" w:cs="Arial" w:eastAsia="Arial" w:hAnsi="Arial"/>
                <w:sz w:val="18"/>
                <w:szCs w:val="18"/>
                <w:color w:val="auto"/>
              </w:rPr>
              <w:t>Net assets acquired</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As an asset acquisition, the Company also capitalized approximately $573,000 of total costs incurred to complete the acquisition consisting of legal fees of approximately $469,000, printing fees of approximately $75,000 and accounting and other fees of approximately $29,000. Additionally, the Company recorded as part of the purchase price consideration the value equivalent to the deferred tax liability that resulted from acquiring the assets in the amount of $1.7 million. The total intangible asset of $22.0 million was recorded on the balance sheet and is being amortized ratably over the life of the patents through June 30, 2028.</w:t>
      </w:r>
    </w:p>
    <w:p>
      <w:pPr>
        <w:spacing w:after="0" w:line="188" w:lineRule="exact"/>
        <w:rPr>
          <w:sz w:val="20"/>
          <w:szCs w:val="20"/>
          <w:color w:val="auto"/>
        </w:rPr>
      </w:pPr>
    </w:p>
    <w:p>
      <w:pPr>
        <w:ind w:right="20" w:firstLine="598"/>
        <w:spacing w:after="0" w:line="287" w:lineRule="auto"/>
        <w:rPr>
          <w:sz w:val="20"/>
          <w:szCs w:val="20"/>
          <w:color w:val="auto"/>
        </w:rPr>
      </w:pPr>
      <w:r>
        <w:rPr>
          <w:rFonts w:ascii="Arial" w:cs="Arial" w:eastAsia="Arial" w:hAnsi="Arial"/>
          <w:sz w:val="16"/>
          <w:szCs w:val="16"/>
          <w:color w:val="auto"/>
        </w:rPr>
        <w:t>The acquisition of Essentialis assets was completed in March 2017 and the purchase price was established at the date of closing based upon consideration paid at closing and an estimate of the future contingent consideration to be paid. Subsequent to the acquisition date and prior to reporting the balance sheet and results of operations as of December 31, 2017, and for the year then ended, the Company completed and finalized its assessments of the fair value of consideration paid and of the tax effect on the net assets acquired resulting from the change in control in the previously outstanding stock of Essentialis. As a result of completing the study of the fair value of the consideration paid, the Company revised the initial estimate of the fair value paid at closing and of the future contingent consideration to be paid; accordingly, the initial purchase cost of the asset acquired was adjusted as of March 2017 and the change in amortization of the related intangible asset was recorded in the fourth quarter of 2017. As a result of completing the study of the tax effect, the Company determined that, pursuant to Section 382 of the Internal Revenue Code, the utilization of Essentialis’s operating loss carryforwards were limited, which required the Company to record a tax liability in the amount of $1.6 million, deferred to future periods, for the assets acquired for which the cost was recorded as an element of the of assets required. Accordingly, the initial purchase cost of the asset acquired was adjusted as of March 2017 and the increase in amortization of the related intangible asset was recorded in the fourth quarter of 2017.</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2" w:name="page93"/>
    <w:bookmarkEnd w:id="92"/>
    <w:p>
      <w:pPr>
        <w:ind w:right="60" w:firstLine="598"/>
        <w:spacing w:after="0" w:line="297" w:lineRule="auto"/>
        <w:rPr>
          <w:sz w:val="20"/>
          <w:szCs w:val="20"/>
          <w:color w:val="auto"/>
        </w:rPr>
      </w:pPr>
      <w:r>
        <w:rPr>
          <w:rFonts w:ascii="Arial" w:cs="Arial" w:eastAsia="Arial" w:hAnsi="Arial"/>
          <w:sz w:val="16"/>
          <w:szCs w:val="16"/>
          <w:color w:val="auto"/>
        </w:rPr>
        <w:t>The fair value of the liability for the contingent consideration payable by the Company achieving the commercial sales milestones of $100.0 million and $200.0 million was initially established as $2.6 million at the time of the merger. The fair value of the contingent consideration payable increased to $5.1 million at December 31, 2017 and to $5.6 million at December 31, 2018, based on the Company’s assessment that it could reach the commercial sales milestones of in 2024 and 2026, respectively. The changes in fair value of the contingent consideration payable after the time of the merger are recognized as income or expense in the line titled Change in fair value of contingent consideration in the Company’s consolidated statements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Discontinued Operations and Assets Held for Sale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Assets held for sale and discontinued operations</w:t>
      </w:r>
    </w:p>
    <w:p>
      <w:pPr>
        <w:spacing w:after="0" w:line="117"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Subsequent to the merger with Essentialis described above, the Company explored opportunities divest, sell or dispose of the CoSense, Neo Force, Inc. and Serenz businesses.</w:t>
      </w:r>
    </w:p>
    <w:p>
      <w:pPr>
        <w:spacing w:after="0" w:line="170" w:lineRule="exact"/>
        <w:rPr>
          <w:sz w:val="20"/>
          <w:szCs w:val="20"/>
          <w:color w:val="auto"/>
        </w:rPr>
      </w:pPr>
    </w:p>
    <w:p>
      <w:pPr>
        <w:ind w:right="120" w:firstLine="598"/>
        <w:spacing w:after="0" w:line="302" w:lineRule="auto"/>
        <w:rPr>
          <w:sz w:val="20"/>
          <w:szCs w:val="20"/>
          <w:color w:val="auto"/>
        </w:rPr>
      </w:pPr>
      <w:r>
        <w:rPr>
          <w:rFonts w:ascii="Arial" w:cs="Arial" w:eastAsia="Arial" w:hAnsi="Arial"/>
          <w:sz w:val="16"/>
          <w:szCs w:val="16"/>
          <w:color w:val="auto"/>
        </w:rPr>
        <w:t>Under ASC 205-20-45-10, during the period in which a component meets the assets held for sale and discontinued operations criteria, an entity must present the assets and liabilities of the discontinued operation separately in the asset and liability sections of the balance sheet for the comparative reporting periods. The prior period balance sheet should be reclassified for the held for sale items. For income statements, the current and prior periods should report the results of operations of the component in discontinued operations when comparative income statements are presented.</w:t>
      </w:r>
    </w:p>
    <w:p>
      <w:pPr>
        <w:spacing w:after="0" w:line="154"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The components of the Consolidated Balance Sheet accounts presented as assets and liabilities held for sale as of December 31, 2017 follow (in thousands). There were no assets or liabilities held for sale as of December 31, 2018 after the deconsolidation of Capnia.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233"/>
              <w:spacing w:after="0"/>
              <w:rPr>
                <w:sz w:val="20"/>
                <w:szCs w:val="20"/>
                <w:color w:val="auto"/>
              </w:rPr>
            </w:pPr>
            <w:r>
              <w:rPr>
                <w:rFonts w:ascii="Arial" w:cs="Arial" w:eastAsia="Arial" w:hAnsi="Arial"/>
                <w:sz w:val="14"/>
                <w:szCs w:val="14"/>
                <w:b w:val="1"/>
                <w:bCs w:val="1"/>
                <w:color w:val="auto"/>
                <w:w w:val="98"/>
              </w:rPr>
              <w:t>December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900" w:type="dxa"/>
            <w:vAlign w:val="bottom"/>
            <w:tcBorders>
              <w:bottom w:val="single" w:sz="8" w:color="CFF0FC"/>
            </w:tcBorders>
          </w:tcPr>
          <w:p>
            <w:pPr>
              <w:spacing w:after="0"/>
              <w:rPr>
                <w:sz w:val="14"/>
                <w:szCs w:val="14"/>
                <w:color w:val="auto"/>
              </w:rPr>
            </w:pPr>
          </w:p>
        </w:tc>
        <w:tc>
          <w:tcPr>
            <w:tcW w:w="26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2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90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Inventory</w:t>
            </w:r>
          </w:p>
        </w:tc>
        <w:tc>
          <w:tcPr>
            <w:tcW w:w="2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6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9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assets held for sale</w:t>
            </w:r>
          </w:p>
        </w:tc>
        <w:tc>
          <w:tcPr>
            <w:tcW w:w="26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1720"/>
              <w:spacing w:after="0"/>
              <w:rPr>
                <w:sz w:val="20"/>
                <w:szCs w:val="20"/>
                <w:color w:val="auto"/>
              </w:rPr>
            </w:pPr>
            <w:r>
              <w:rPr>
                <w:rFonts w:ascii="Arial" w:cs="Arial" w:eastAsia="Arial" w:hAnsi="Arial"/>
                <w:sz w:val="18"/>
                <w:szCs w:val="18"/>
                <w:color w:val="auto"/>
              </w:rPr>
              <w:t>Long-term assets</w:t>
            </w:r>
          </w:p>
        </w:tc>
        <w:tc>
          <w:tcPr>
            <w:tcW w:w="2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and equipment, net</w:t>
            </w:r>
          </w:p>
        </w:tc>
        <w:tc>
          <w:tcPr>
            <w:tcW w:w="2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intangible assets</w:t>
            </w:r>
          </w:p>
        </w:tc>
        <w:tc>
          <w:tcPr>
            <w:tcW w:w="26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9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long-term assets held for sale</w:t>
            </w:r>
          </w:p>
        </w:tc>
        <w:tc>
          <w:tcPr>
            <w:tcW w:w="26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1720"/>
              <w:spacing w:after="0"/>
              <w:rPr>
                <w:sz w:val="20"/>
                <w:szCs w:val="20"/>
                <w:color w:val="auto"/>
              </w:rPr>
            </w:pPr>
            <w:r>
              <w:rPr>
                <w:rFonts w:ascii="Arial" w:cs="Arial" w:eastAsia="Arial" w:hAnsi="Arial"/>
                <w:sz w:val="18"/>
                <w:szCs w:val="18"/>
                <w:color w:val="auto"/>
              </w:rPr>
              <w:t>Current liabilities</w:t>
            </w:r>
          </w:p>
        </w:tc>
        <w:tc>
          <w:tcPr>
            <w:tcW w:w="2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2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w w:val="91"/>
              </w:rPr>
              <w:t>Accrued compensation and other current liabilities</w:t>
            </w:r>
          </w:p>
        </w:tc>
        <w:tc>
          <w:tcPr>
            <w:tcW w:w="26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9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 for sale</w:t>
            </w:r>
          </w:p>
        </w:tc>
        <w:tc>
          <w:tcPr>
            <w:tcW w:w="26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1720"/>
              <w:spacing w:after="0"/>
              <w:rPr>
                <w:sz w:val="20"/>
                <w:szCs w:val="20"/>
                <w:color w:val="auto"/>
              </w:rPr>
            </w:pPr>
            <w:r>
              <w:rPr>
                <w:rFonts w:ascii="Arial" w:cs="Arial" w:eastAsia="Arial" w:hAnsi="Arial"/>
                <w:sz w:val="18"/>
                <w:szCs w:val="18"/>
                <w:color w:val="auto"/>
              </w:rPr>
              <w:t>Long-term liabilities</w:t>
            </w:r>
          </w:p>
        </w:tc>
        <w:tc>
          <w:tcPr>
            <w:tcW w:w="2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long-term liabilities</w:t>
            </w:r>
          </w:p>
        </w:tc>
        <w:tc>
          <w:tcPr>
            <w:tcW w:w="2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900" w:type="dxa"/>
            <w:vAlign w:val="bottom"/>
          </w:tcPr>
          <w:p>
            <w:pPr>
              <w:ind w:left="500"/>
              <w:spacing w:after="0"/>
              <w:rPr>
                <w:sz w:val="20"/>
                <w:szCs w:val="20"/>
                <w:color w:val="auto"/>
              </w:rPr>
            </w:pPr>
            <w:r>
              <w:rPr>
                <w:rFonts w:ascii="Arial" w:cs="Arial" w:eastAsia="Arial" w:hAnsi="Arial"/>
                <w:sz w:val="18"/>
                <w:szCs w:val="18"/>
                <w:color w:val="auto"/>
              </w:rPr>
              <w:t>Total long-term liabilities held for sale</w:t>
            </w:r>
          </w:p>
        </w:tc>
        <w:tc>
          <w:tcPr>
            <w:tcW w:w="26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80" w:type="dxa"/>
            <w:vAlign w:val="bottom"/>
            <w:vMerge w:val="restart"/>
          </w:tcPr>
          <w:p>
            <w:pPr>
              <w:jc w:val="right"/>
              <w:ind w:right="2410"/>
              <w:spacing w:after="0"/>
              <w:rPr>
                <w:sz w:val="20"/>
                <w:szCs w:val="20"/>
                <w:color w:val="auto"/>
              </w:rPr>
            </w:pPr>
            <w:r>
              <w:rPr>
                <w:rFonts w:ascii="Arial" w:cs="Arial" w:eastAsia="Arial" w:hAnsi="Arial"/>
                <w:sz w:val="18"/>
                <w:szCs w:val="18"/>
                <w:color w:val="auto"/>
                <w:w w:val="79"/>
              </w:rPr>
              <w:t>91</w:t>
            </w: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93" w:name="page94"/>
    <w:bookmarkEnd w:id="93"/>
    <w:p>
      <w:pPr>
        <w:ind w:left="600"/>
        <w:spacing w:after="0"/>
        <w:rPr>
          <w:sz w:val="20"/>
          <w:szCs w:val="20"/>
          <w:color w:val="auto"/>
        </w:rPr>
      </w:pPr>
      <w:r>
        <w:rPr>
          <w:rFonts w:ascii="Arial" w:cs="Arial" w:eastAsia="Arial" w:hAnsi="Arial"/>
          <w:sz w:val="18"/>
          <w:szCs w:val="18"/>
          <w:color w:val="auto"/>
        </w:rPr>
        <w:t>The components of the Consolidated Statements of Operations presented as discontinued operations follow (in thousands).</w:t>
      </w:r>
    </w:p>
    <w:p>
      <w:pPr>
        <w:spacing w:after="0" w:line="32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54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product revenue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profit (loss)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2,427</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(3,399)</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on sale of assets</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(186)</w:t>
            </w: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23"/>
        </w:trPr>
        <w:tc>
          <w:tcPr>
            <w:tcW w:w="54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other expense</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Net loss from discontinued operations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920" w:firstLine="598"/>
        <w:spacing w:after="0" w:line="277" w:lineRule="auto"/>
        <w:rPr>
          <w:sz w:val="20"/>
          <w:szCs w:val="20"/>
          <w:color w:val="auto"/>
        </w:rPr>
      </w:pPr>
      <w:r>
        <w:rPr>
          <w:rFonts w:ascii="Arial" w:cs="Arial" w:eastAsia="Arial" w:hAnsi="Arial"/>
          <w:sz w:val="18"/>
          <w:szCs w:val="18"/>
          <w:color w:val="auto"/>
        </w:rPr>
        <w:t>Stock-based compensation expense of approximately $76,000 and $120,000 was classified in discontinued operations for the years ended December 31, 2018 and 2017,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(ii) NFI Sale</w:t>
      </w:r>
    </w:p>
    <w:p>
      <w:pPr>
        <w:spacing w:after="0" w:line="117"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On September 2, 2015, the Company established NeoForce, Inc. (“NFI”), a wholly owned subsidiary of the Company and through NFI, acquired substantially all of the assets of an unrelated privately held company NeoForce Group, Inc.(“NeoForce”).</w:t>
      </w:r>
    </w:p>
    <w:p>
      <w:pPr>
        <w:spacing w:after="0" w:line="170" w:lineRule="exact"/>
        <w:rPr>
          <w:sz w:val="20"/>
          <w:szCs w:val="20"/>
          <w:color w:val="auto"/>
        </w:rPr>
      </w:pPr>
    </w:p>
    <w:p>
      <w:pPr>
        <w:ind w:right="80" w:firstLine="598"/>
        <w:spacing w:after="0" w:line="268" w:lineRule="auto"/>
        <w:rPr>
          <w:sz w:val="20"/>
          <w:szCs w:val="20"/>
          <w:color w:val="auto"/>
        </w:rPr>
      </w:pPr>
      <w:r>
        <w:rPr>
          <w:rFonts w:ascii="Arial" w:cs="Arial" w:eastAsia="Arial" w:hAnsi="Arial"/>
          <w:sz w:val="17"/>
          <w:szCs w:val="17"/>
          <w:color w:val="auto"/>
        </w:rPr>
        <w:t>On July 18, 2017, the Company completed the sale of stock of its 100% wholly-owned subsidiary, NFI, primarily related to the Company’s portfolio of neonatology resuscitation business pursuant to a Stock Purchase Agreement (the “Purchase Agreement”), dated as of July 18, 2017, with NeoForce Holdings, Inc. (“Holdings”), a 100% owned subsidiary of Flexicare Medical Limited, a privately held United Kingdom company, for $720,000 and adjustments for inventory and the current cash balances held at NFI. The Company also received the total outstanding accounts receivable and inventory held by NFI at the date of sale, as it was collected or sold, respectively. The transactions contemplated by the Purchase Agreement are a continuation of a process previously disclosed by the Company of evaluating strategic alternatives and focusing on the Company’s rare disease therapeutic business. The Purchase Agreement includes customary terms and conditions, including an adjustment to the purchase price based on inventory and accounts receivables, and provisions that require the Company to indemnify Holdings, to the maximum of $250,000, for certain losses that it incurs as a result of a breach by the Company of its representations and warranties in the Purchase Agreement and certain other matters, which indemnification obligation terminates once the statute of limitations expires. Proceeds from the sale are payable to the Company as follows: (1) a $720,000 payment to the Company in cash on July 18, 2017, (2) the value of outstanding accounts receivable as it is collected by NFI following July 18, 2017, payable on a monthly basis, and (3) the value of inventory as it is sold following July 18, 2017, payable on a monthly basis. The Purchase Agreement contains customary representations and warranties of each of the parties.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(iii) CoSense Joint Venture Agreement</w:t>
      </w:r>
    </w:p>
    <w:p>
      <w:pPr>
        <w:spacing w:after="0" w:line="117"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In December 2017, the Company entered into a joint venture with OAHL with respect to its CoSense product by agreeing to sell shares of Capnia, its wholly-owned subsidiary, to OAHL. CoSense was Soleno’s first Sensalyze Technology Platform product to receive 510(k) clearances from the FDA and CE Mark certification. CoSense measures CO, which can be elevated due to endogenous causes such as excessive breakdown of red blood cells, or hemolysis, or exogenous causes such as CO poisoning and smoke inhalation. The first target market for CoSense is for the use of ETCO measurements to aid in detection of hemolysis in neonates, a disorder in which CO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4" w:name="page95"/>
    <w:bookmarkEnd w:id="94"/>
    <w:p>
      <w:pPr>
        <w:ind w:right="100"/>
        <w:spacing w:after="0" w:line="255" w:lineRule="auto"/>
        <w:rPr>
          <w:sz w:val="20"/>
          <w:szCs w:val="20"/>
          <w:color w:val="auto"/>
        </w:rPr>
      </w:pPr>
      <w:r>
        <w:rPr>
          <w:rFonts w:ascii="Arial" w:cs="Arial" w:eastAsia="Arial" w:hAnsi="Arial"/>
          <w:sz w:val="18"/>
          <w:szCs w:val="18"/>
          <w:color w:val="auto"/>
        </w:rPr>
        <w:t>bilirubin are produced in excess as byproducts of the breakdown of red blood cells. The Company’s entry into the joint venture results from a comprehensive review of strategic alternatives for its legacy products and product candidates following its transition to a primarily therapeutic drug product company. The terms of the Joint Venture Agreement provide that OAHL will invest up to a total of $2.2 million in Capnia’s common shares on an incremental quarterly basis commencing in December 2017. Going forward, OAHL will be responsible for funding a portion of the Capnia operations. The Joint Venture Agreement provided that Capnia would issue shares of common shares to OAHL based on a negotiated price of $1.00 per share when the cumulative investment made by OAHL equaled or exceeded $1.2 million. For financial reporting purposes, Capnia’s assets, liabilities and results of operations have historically been consolidated with those of the Company.</w:t>
      </w:r>
    </w:p>
    <w:p>
      <w:pPr>
        <w:spacing w:after="0" w:line="189" w:lineRule="exact"/>
        <w:rPr>
          <w:sz w:val="20"/>
          <w:szCs w:val="20"/>
          <w:color w:val="auto"/>
        </w:rPr>
      </w:pPr>
    </w:p>
    <w:p>
      <w:pPr>
        <w:ind w:right="20" w:firstLine="598"/>
        <w:spacing w:after="0" w:line="290" w:lineRule="auto"/>
        <w:rPr>
          <w:sz w:val="20"/>
          <w:szCs w:val="20"/>
          <w:color w:val="auto"/>
        </w:rPr>
      </w:pPr>
      <w:r>
        <w:rPr>
          <w:rFonts w:ascii="Arial" w:cs="Arial" w:eastAsia="Arial" w:hAnsi="Arial"/>
          <w:sz w:val="16"/>
          <w:szCs w:val="16"/>
          <w:color w:val="auto"/>
        </w:rPr>
        <w:t>During October 2018, the Company and OAHL determined and agreed that the cumulative investment made by OAHL exceeded $1.2 million during the quarter ended September 30, 2018. Accordingly, on October 16, 2018, Capnia issued 1,690,322 shares of its common stock to OAHL, representing 53% of its outstanding shares. After the share issuance the Company no longer holds a controlling interest in Capnia and resulted in the deconsolidation of Capnia’s financial statements with those of the Company and a $2.0 million gain was recognized in the fourth quarter of 2018 as a result of the deconsolidation. Of this amount, $1.2 million relates to the remeasurement of the Company's retained interest in the joint venture to fair value which was measured based on the negotiated price of $1.00 per share for Soleno’s remaining ownership of 1,480,000 shares less a 23% discount for lack of control over Capnia. The total gain is included in other income from continuing operations on the Company's consolidated statements of operations. The remaining 47% investment in Capnia is classified as an equity method investment and presented as a Minority interest investment in former subsidiary in the consolidated balance sheet.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is authorized to issue 10,000,000 shares of Preferred Stock.</w:t>
      </w:r>
    </w:p>
    <w:p>
      <w:pPr>
        <w:spacing w:after="0" w:line="117"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The Company had issued a total of 13,780 shares of Series B Convertible Preferred Stock pursuant to the Securities Purchase Agreement entered into on June 29, 2016 with Sabby Management, LLC. As of December 31, 2018, there were no shares of Series B Convertible Preferred Stock outstanding as all such previously issued shares had been converted to common shares.</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On December 22, 2016, the Company entered into the Merger Agreement with Essentialis. Consummation of the Merger was subject to various closing conditions, including the Company’s consummation of a financing of at least $8.0 million at, or substantially contemporaneous with, the closing of the Merger, which occurred on March 7, 2017 and the receipt of stockholder approval of the Merger at a special meeting of stockholders, which the Company received on March 6, 2017.</w:t>
      </w:r>
    </w:p>
    <w:p>
      <w:pPr>
        <w:spacing w:after="0" w:line="187"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On March 7, 2017, the Company completed the Merger with Essentialis and issued 3,783,388 shares of common stock to shareholders of Essentialis. Pursuant to the terms of the Merger Agreement, the Company held back shares of common stock as partial recourse to satisfy indemnification claims. Effective March 7, 2018, on the one-year anniversary of the closing of the merger, the Company issued 180,667 shares for the previously held back amount. In the second quarter of 2018 there were 903,367 additional shares of common stock issued upon the achievement of a development milestone. In total, 4,867,422 shares of common stock were issued to Essentialis stockholders. Additionally, upon the achievement of certain commercial milestones associated with the sale of Essentialis’ product in accordance with the terms of the Merger Agreement, the Company is obligated to make cash earnout payments of up to a maximum of $30.0 million to Essentialis stockholders. The merger consideration described above will be reduced by any such shares of common stock issuable, or cash earnout payments payable, to Essentialis’ management carve-out plan participants and other service providers of Essentialis, in each case, in accordance with the terms of the Merger Agreement.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5" w:name="page96"/>
    <w:bookmarkEnd w:id="95"/>
    <w:p>
      <w:pPr>
        <w:jc w:val="both"/>
        <w:ind w:right="120" w:firstLine="598"/>
        <w:spacing w:after="0" w:line="257" w:lineRule="auto"/>
        <w:rPr>
          <w:sz w:val="20"/>
          <w:szCs w:val="20"/>
          <w:color w:val="auto"/>
        </w:rPr>
      </w:pPr>
      <w:r>
        <w:rPr>
          <w:rFonts w:ascii="Arial" w:cs="Arial" w:eastAsia="Arial" w:hAnsi="Arial"/>
          <w:sz w:val="18"/>
          <w:szCs w:val="18"/>
          <w:color w:val="auto"/>
        </w:rPr>
        <w:t>On January 27, 2017, the Company entered into the 2017 Aspire Purchase Agreement with Aspire Capital, which provided that, upon the terms and subject to the conditions and limitations set forth therein, Aspire Capital was committed to purchase up to an aggregate of $17.0 million in value of shares of the Company’s common stock over the 30-month term of the purchase agreement. Additionally, on the date of the closing of the financing, as defined in the Merger Agreement, the Company issued to Aspire Capital, and Aspire Capital purchased from the Company an aggregate of $2.0 million of the Company’s common stock.</w:t>
      </w:r>
    </w:p>
    <w:p>
      <w:pPr>
        <w:spacing w:after="0" w:line="188"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On December 11, 2017, the Company entered into a Securities Purchase Agreement with certain purchasers, pursuant to which the Company sold and issued 8,141,116 immediately separable units at a price per unit of $1.84 for aggregate gross proceeds of $15.0 million. Each unit consisted of one share of the Company’s common stock and a warrant to purchase 0.74 shares of the Company’s common stock at an exercise price of $2.00 per share, for an aggregate of 8,141,116 shares of common stock and corresponding warrants to purchase an aggregate of 6,024,425 shares of common stock, together the shares of common stock are referred to as the 2017 Resale Shares. The Company also granted certain registration rights to these stockholders, pursuant to which, among other things, the Company prepared and filed a registration statement with the SEC to register for resale the 2017 Resale Shares. The registration statement was declared effective in February 2018.</w:t>
      </w:r>
    </w:p>
    <w:p>
      <w:pPr>
        <w:spacing w:after="0" w:line="178"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On December 19, 2018, the Company entered into a Securities Purchase Agreement with certain purchasers, pursuant to which the Company sold and issued 10,272,375 units at a price per unit of $1.61, for aggregate gross proceeds of $16.5 million. Each unit consisted of one share of the Company’s common stock and a warrant to purchase 0.05 shares of the Company’s common stock at an exercise price of $2.00 per share, for an aggregate of 10,272,375 shares of common stock and corresponding warrants to purchase an aggregate of 513,617 shares of common stock, together with the shares of common stock are referred to as the 2018 Resale Shares. The Company also granted certain registration rights to these stockholders, pursuant to which, among other things, the Company will prepare and file with the SEC a registration statement to register for resale the 2018 Resale Shares prior to March 31, 2019.</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right="120" w:firstLine="598"/>
        <w:spacing w:after="0" w:line="276" w:lineRule="auto"/>
        <w:rPr>
          <w:sz w:val="20"/>
          <w:szCs w:val="20"/>
          <w:color w:val="auto"/>
        </w:rPr>
      </w:pPr>
      <w:r>
        <w:rPr>
          <w:rFonts w:ascii="Arial" w:cs="Arial" w:eastAsia="Arial" w:hAnsi="Arial"/>
          <w:sz w:val="17"/>
          <w:szCs w:val="17"/>
          <w:color w:val="auto"/>
        </w:rPr>
        <w:t>The Company has adopted the 1999 Incentive Stock Plan, the 2010 Equity Incentive Plan, and the 2014 Equity Incentive Plan, or the 2014 Plan, and together, the Plans. The 1999 Incentive Stock Plan expired in 2009, and the 2010 Equity Incentive Plan has been closed to new issuances.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w:t>
      </w:r>
    </w:p>
    <w:p>
      <w:pPr>
        <w:spacing w:after="0" w:line="173"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The Board of Directors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The vesting period is normally monthly over a period of 4 years from the vesting date. The contractual term of an option is no longer than five years for ISOs for which the grantee owns greater than 10% of the voting power of all classes of stock and no longer than ten years for all other options. The terms and conditions governing restricted stock units is at the sole discretion of the Board. As of December 31, 2018, a total of 1,150,961 shares are available for future grant under the 2014 Plan.</w:t>
      </w:r>
    </w:p>
    <w:p>
      <w:pPr>
        <w:spacing w:after="0" w:line="178" w:lineRule="exact"/>
        <w:rPr>
          <w:sz w:val="20"/>
          <w:szCs w:val="20"/>
          <w:color w:val="auto"/>
        </w:rPr>
      </w:pPr>
    </w:p>
    <w:p>
      <w:pPr>
        <w:ind w:right="100" w:firstLine="598"/>
        <w:spacing w:after="0" w:line="276" w:lineRule="auto"/>
        <w:rPr>
          <w:sz w:val="20"/>
          <w:szCs w:val="20"/>
          <w:color w:val="auto"/>
        </w:rPr>
      </w:pPr>
      <w:r>
        <w:rPr>
          <w:rFonts w:ascii="Arial" w:cs="Arial" w:eastAsia="Arial" w:hAnsi="Arial"/>
          <w:sz w:val="17"/>
          <w:szCs w:val="17"/>
          <w:color w:val="auto"/>
        </w:rPr>
        <w:t>The Company recognized stock-based compensation expense related to options and restricted stock units granted to employees, directors and consultants for the years ended December 31, 2018 and 2017 of approximately $988,000 and $1.0 million, respectively, of which approximately $76,000 and $120,000 and was recorded in discontinued operations in 2018 and 2017, respectively. The compensation expense is allocated on a departmental basis, based on the classification of the option holder. No income tax benefits have been recognized in the statements of operations for stock-based compensation arrangements during the year ended December 31, 2018 and December 31, 2017.</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6" w:name="page97"/>
    <w:bookmarkEnd w:id="96"/>
    <w:p>
      <w:pPr>
        <w:ind w:left="600"/>
        <w:spacing w:after="0"/>
        <w:rPr>
          <w:sz w:val="20"/>
          <w:szCs w:val="20"/>
          <w:color w:val="auto"/>
        </w:rPr>
      </w:pPr>
      <w:r>
        <w:rPr>
          <w:rFonts w:ascii="Arial" w:cs="Arial" w:eastAsia="Arial" w:hAnsi="Arial"/>
          <w:sz w:val="18"/>
          <w:szCs w:val="18"/>
          <w:color w:val="auto"/>
        </w:rPr>
        <w:t>Stock compensation expense was allocated between departments in continuing operations as follows (in thousands).</w:t>
      </w:r>
    </w:p>
    <w:p>
      <w:pPr>
        <w:spacing w:after="0" w:line="32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5"/>
          </w:tcPr>
          <w:p>
            <w:pPr>
              <w:ind w:left="760"/>
              <w:spacing w:after="0"/>
              <w:rPr>
                <w:sz w:val="20"/>
                <w:szCs w:val="20"/>
                <w:color w:val="auto"/>
              </w:rPr>
            </w:pPr>
            <w:r>
              <w:rPr>
                <w:rFonts w:ascii="Arial" w:cs="Arial" w:eastAsia="Arial" w:hAnsi="Arial"/>
                <w:sz w:val="14"/>
                <w:szCs w:val="14"/>
                <w:b w:val="1"/>
                <w:bCs w:val="1"/>
                <w:color w:val="auto"/>
              </w:rPr>
              <w:t>Year ended</w:t>
            </w:r>
          </w:p>
        </w:tc>
      </w:tr>
      <w:tr>
        <w:trPr>
          <w:trHeight w:val="133"/>
        </w:trPr>
        <w:tc>
          <w:tcPr>
            <w:tcW w:w="54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79"/>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77"/>
              <w:spacing w:after="0" w:line="133"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1"/>
                <w:szCs w:val="11"/>
                <w:color w:val="auto"/>
              </w:rPr>
            </w:pPr>
          </w:p>
        </w:tc>
      </w:tr>
      <w:tr>
        <w:trPr>
          <w:trHeight w:val="171"/>
        </w:trPr>
        <w:tc>
          <w:tcPr>
            <w:tcW w:w="54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140" w:firstLine="598"/>
        <w:spacing w:after="0" w:line="308" w:lineRule="auto"/>
        <w:rPr>
          <w:sz w:val="20"/>
          <w:szCs w:val="20"/>
          <w:color w:val="auto"/>
        </w:rPr>
      </w:pPr>
      <w:r>
        <w:rPr>
          <w:rFonts w:ascii="Arial" w:cs="Arial" w:eastAsia="Arial" w:hAnsi="Arial"/>
          <w:sz w:val="17"/>
          <w:szCs w:val="17"/>
          <w:color w:val="auto"/>
        </w:rPr>
        <w:t>The Company granted options to purchase 756,086 and 622,755 of the Company’s common stock in 2018 and 2017, respectively. The fair value of each award granted was estimated on the date of grant using the Black-Scholes option pricing model with the following assumptions.</w:t>
      </w:r>
    </w:p>
    <w:p>
      <w:pPr>
        <w:spacing w:after="0" w:line="24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50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Year Ended</w:t>
            </w:r>
          </w:p>
        </w:tc>
      </w:tr>
      <w:tr>
        <w:trPr>
          <w:trHeight w:val="133"/>
        </w:trPr>
        <w:tc>
          <w:tcPr>
            <w:tcW w:w="5480" w:type="dxa"/>
            <w:vAlign w:val="bottom"/>
          </w:tcPr>
          <w:p>
            <w:pPr>
              <w:spacing w:after="0"/>
              <w:rPr>
                <w:sz w:val="11"/>
                <w:szCs w:val="11"/>
                <w:color w:val="auto"/>
              </w:rPr>
            </w:pPr>
          </w:p>
        </w:tc>
        <w:tc>
          <w:tcPr>
            <w:tcW w:w="1300" w:type="dxa"/>
            <w:vAlign w:val="bottom"/>
            <w:gridSpan w:val="2"/>
          </w:tcPr>
          <w:p>
            <w:pPr>
              <w:ind w:left="160"/>
              <w:spacing w:after="0" w:line="133" w:lineRule="exact"/>
              <w:rPr>
                <w:sz w:val="20"/>
                <w:szCs w:val="20"/>
                <w:color w:val="auto"/>
              </w:rPr>
            </w:pPr>
            <w:r>
              <w:rPr>
                <w:rFonts w:ascii="Arial" w:cs="Arial" w:eastAsia="Arial" w:hAnsi="Arial"/>
                <w:sz w:val="14"/>
                <w:szCs w:val="14"/>
                <w:b w:val="1"/>
                <w:bCs w:val="1"/>
                <w:color w:val="auto"/>
              </w:rPr>
              <w:t>December 31,</w:t>
            </w:r>
          </w:p>
        </w:tc>
        <w:tc>
          <w:tcPr>
            <w:tcW w:w="1200" w:type="dxa"/>
            <w:vAlign w:val="bottom"/>
          </w:tcPr>
          <w:p>
            <w:pPr>
              <w:ind w:left="180"/>
              <w:spacing w:after="0" w:line="133"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48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Expected life (years)</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5.5-6.0</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5.5-6.1</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2.7%-2.8%</w:t>
            </w: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1.9%-2.2%</w:t>
            </w: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70%-71%</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61%-69%</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Dividend rate</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rPr>
              <w:t>— %</w:t>
            </w:r>
          </w:p>
        </w:tc>
        <w:tc>
          <w:tcPr>
            <w:tcW w:w="1200" w:type="dxa"/>
            <w:vAlign w:val="bottom"/>
          </w:tcPr>
          <w:p>
            <w:pPr>
              <w:jc w:val="center"/>
              <w:spacing w:after="0"/>
              <w:rPr>
                <w:sz w:val="20"/>
                <w:szCs w:val="20"/>
                <w:color w:val="auto"/>
              </w:rPr>
            </w:pPr>
            <w:r>
              <w:rPr>
                <w:rFonts w:ascii="Arial" w:cs="Arial" w:eastAsia="Arial" w:hAnsi="Arial"/>
                <w:sz w:val="18"/>
                <w:szCs w:val="18"/>
                <w:color w:val="auto"/>
              </w:rPr>
              <w:t>— %</w:t>
            </w:r>
          </w:p>
        </w:tc>
      </w:tr>
    </w:tbl>
    <w:p>
      <w:pPr>
        <w:spacing w:after="0" w:line="201"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The Black-Scholes option-pricing model requires the use of highly subjective assumptions to estimate the fair value of stock-based awards. These assumptions include the following estimates:</w:t>
      </w:r>
    </w:p>
    <w:p>
      <w:pPr>
        <w:spacing w:after="0" w:line="62" w:lineRule="exact"/>
        <w:rPr>
          <w:sz w:val="20"/>
          <w:szCs w:val="20"/>
          <w:color w:val="auto"/>
        </w:rPr>
      </w:pPr>
    </w:p>
    <w:p>
      <w:pPr>
        <w:ind w:left="1040" w:hanging="438"/>
        <w:spacing w:after="0" w:line="279" w:lineRule="auto"/>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Expected life: </w:t>
      </w:r>
      <w:r>
        <w:rPr>
          <w:rFonts w:ascii="Arial" w:cs="Arial" w:eastAsia="Arial" w:hAnsi="Arial"/>
          <w:sz w:val="17"/>
          <w:szCs w:val="17"/>
          <w:color w:val="auto"/>
        </w:rPr>
        <w:t>The expected life of stock options represents the average of the contractual term of the options and the weighted-average vesting</w:t>
      </w:r>
      <w:r>
        <w:rPr>
          <w:rFonts w:ascii="Arial" w:cs="Arial" w:eastAsia="Arial" w:hAnsi="Arial"/>
          <w:sz w:val="17"/>
          <w:szCs w:val="17"/>
          <w:i w:val="1"/>
          <w:iCs w:val="1"/>
          <w:color w:val="auto"/>
        </w:rPr>
        <w:t xml:space="preserve"> </w:t>
      </w:r>
      <w:r>
        <w:rPr>
          <w:rFonts w:ascii="Arial" w:cs="Arial" w:eastAsia="Arial" w:hAnsi="Arial"/>
          <w:sz w:val="17"/>
          <w:szCs w:val="17"/>
          <w:color w:val="auto"/>
        </w:rPr>
        <w:t>period, as permitted under the simplified method. The Company does not believe it is able to rely on historical exercise and post-vesting termination activity to provide accurate data for estimating the expected term for use in estimating the fair value-based measurement of stock options. Therefore, it has opted to use the “simplified method” for estimating the expected term of options.</w:t>
      </w:r>
    </w:p>
    <w:p>
      <w:pPr>
        <w:spacing w:after="0" w:line="63" w:lineRule="exact"/>
        <w:rPr>
          <w:rFonts w:ascii="Arial" w:cs="Arial" w:eastAsia="Arial" w:hAnsi="Arial"/>
          <w:sz w:val="17"/>
          <w:szCs w:val="17"/>
          <w:color w:val="auto"/>
        </w:rPr>
      </w:pPr>
    </w:p>
    <w:p>
      <w:pPr>
        <w:ind w:left="1040" w:right="80" w:hanging="438"/>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yields of U.S. Treasury securities with maturities similar to the expected time</w:t>
      </w:r>
      <w:r>
        <w:rPr>
          <w:rFonts w:ascii="Arial" w:cs="Arial" w:eastAsia="Arial" w:hAnsi="Arial"/>
          <w:sz w:val="18"/>
          <w:szCs w:val="18"/>
          <w:i w:val="1"/>
          <w:iCs w:val="1"/>
          <w:color w:val="auto"/>
        </w:rPr>
        <w:t xml:space="preserve"> </w:t>
      </w:r>
      <w:r>
        <w:rPr>
          <w:rFonts w:ascii="Arial" w:cs="Arial" w:eastAsia="Arial" w:hAnsi="Arial"/>
          <w:sz w:val="18"/>
          <w:szCs w:val="18"/>
          <w:color w:val="auto"/>
        </w:rPr>
        <w:t>to liquidity.</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Volatility: </w:t>
      </w:r>
      <w:r>
        <w:rPr>
          <w:rFonts w:ascii="Arial" w:cs="Arial" w:eastAsia="Arial" w:hAnsi="Arial"/>
          <w:sz w:val="17"/>
          <w:szCs w:val="17"/>
          <w:color w:val="auto"/>
        </w:rPr>
        <w:t>The estimated volatility rate based on the volatilities of common stock of comparable companies in the Company’s industry.</w:t>
      </w:r>
    </w:p>
    <w:p>
      <w:pPr>
        <w:spacing w:after="0" w:line="128" w:lineRule="exact"/>
        <w:rPr>
          <w:rFonts w:ascii="Arial" w:cs="Arial" w:eastAsia="Arial" w:hAnsi="Arial"/>
          <w:sz w:val="17"/>
          <w:szCs w:val="17"/>
          <w:color w:val="auto"/>
        </w:rPr>
      </w:pPr>
    </w:p>
    <w:p>
      <w:pPr>
        <w:ind w:left="1040" w:right="760" w:hanging="438"/>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Dividend rate: </w:t>
      </w:r>
      <w:r>
        <w:rPr>
          <w:rFonts w:ascii="Arial" w:cs="Arial" w:eastAsia="Arial" w:hAnsi="Arial"/>
          <w:sz w:val="18"/>
          <w:szCs w:val="18"/>
          <w:color w:val="auto"/>
        </w:rPr>
        <w:t>The Company has never declared or paid any cash dividends and does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Consequently, the Company used an expected dividend yield of zero.</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97" w:name="page98"/>
    <w:bookmarkEnd w:id="97"/>
    <w:p>
      <w:pPr>
        <w:ind w:left="600"/>
        <w:spacing w:after="0"/>
        <w:rPr>
          <w:sz w:val="20"/>
          <w:szCs w:val="20"/>
          <w:color w:val="auto"/>
        </w:rPr>
      </w:pPr>
      <w:r>
        <w:rPr>
          <w:rFonts w:ascii="Arial" w:cs="Arial" w:eastAsia="Arial" w:hAnsi="Arial"/>
          <w:sz w:val="18"/>
          <w:szCs w:val="18"/>
          <w:color w:val="auto"/>
        </w:rPr>
        <w:t>The following table summarizes stock option transactions for the years ended December 31, 2018 and 2017 as issued under the Plans.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5"/>
              </w:rPr>
              <w:t>Shares</w:t>
            </w:r>
          </w:p>
        </w:tc>
        <w:tc>
          <w:tcPr>
            <w:tcW w:w="1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Exercise</w:t>
            </w: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Available</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Price per</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for Grant</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Outstanding</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Share</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2017</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191,770</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581,687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17.10</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Additional shares authorized</w:t>
            </w:r>
          </w:p>
        </w:tc>
        <w:tc>
          <w:tcPr>
            <w:tcW w:w="1020" w:type="dxa"/>
            <w:vAlign w:val="bottom"/>
          </w:tcPr>
          <w:p>
            <w:pPr>
              <w:jc w:val="right"/>
              <w:spacing w:after="0"/>
              <w:rPr>
                <w:sz w:val="20"/>
                <w:szCs w:val="20"/>
                <w:color w:val="auto"/>
              </w:rPr>
            </w:pPr>
            <w:r>
              <w:rPr>
                <w:rFonts w:ascii="Arial" w:cs="Arial" w:eastAsia="Arial" w:hAnsi="Arial"/>
                <w:sz w:val="18"/>
                <w:szCs w:val="18"/>
                <w:color w:val="auto"/>
              </w:rPr>
              <w:t>134,295</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Amendment to plan to authorize additional shares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1,785,837</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(622,755)</w:t>
            </w:r>
          </w:p>
        </w:tc>
        <w:tc>
          <w:tcPr>
            <w:tcW w:w="1040" w:type="dxa"/>
            <w:vAlign w:val="bottom"/>
          </w:tcPr>
          <w:p>
            <w:pPr>
              <w:jc w:val="right"/>
              <w:spacing w:after="0"/>
              <w:rPr>
                <w:sz w:val="20"/>
                <w:szCs w:val="20"/>
                <w:color w:val="auto"/>
              </w:rPr>
            </w:pPr>
            <w:r>
              <w:rPr>
                <w:rFonts w:ascii="Arial" w:cs="Arial" w:eastAsia="Arial" w:hAnsi="Arial"/>
                <w:sz w:val="18"/>
                <w:szCs w:val="18"/>
                <w:color w:val="auto"/>
              </w:rPr>
              <w:t>622,755</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Options canceled/forfeited</w:t>
            </w:r>
          </w:p>
        </w:tc>
        <w:tc>
          <w:tcPr>
            <w:tcW w:w="1020" w:type="dxa"/>
            <w:vAlign w:val="bottom"/>
          </w:tcPr>
          <w:p>
            <w:pPr>
              <w:jc w:val="right"/>
              <w:spacing w:after="0"/>
              <w:rPr>
                <w:sz w:val="20"/>
                <w:szCs w:val="20"/>
                <w:color w:val="auto"/>
              </w:rPr>
            </w:pPr>
            <w:r>
              <w:rPr>
                <w:rFonts w:ascii="Arial" w:cs="Arial" w:eastAsia="Arial" w:hAnsi="Arial"/>
                <w:sz w:val="18"/>
                <w:szCs w:val="18"/>
                <w:color w:val="auto"/>
              </w:rPr>
              <w:t>177,455</w:t>
            </w:r>
          </w:p>
        </w:tc>
        <w:tc>
          <w:tcPr>
            <w:tcW w:w="2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(177,455)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8.84</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1,666,602</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1,026,987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Additional shares authorized</w:t>
            </w:r>
          </w:p>
        </w:tc>
        <w:tc>
          <w:tcPr>
            <w:tcW w:w="1020" w:type="dxa"/>
            <w:vAlign w:val="bottom"/>
          </w:tcPr>
          <w:p>
            <w:pPr>
              <w:jc w:val="right"/>
              <w:spacing w:after="0"/>
              <w:rPr>
                <w:sz w:val="20"/>
                <w:szCs w:val="20"/>
                <w:color w:val="auto"/>
              </w:rPr>
            </w:pPr>
            <w:r>
              <w:rPr>
                <w:rFonts w:ascii="Arial" w:cs="Arial" w:eastAsia="Arial" w:hAnsi="Arial"/>
                <w:sz w:val="18"/>
                <w:szCs w:val="18"/>
                <w:color w:val="auto"/>
              </w:rPr>
              <w:t>223,742</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Shares allocated to grants of restricted stock units</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(99,217)</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(756,086)</w:t>
            </w:r>
          </w:p>
        </w:tc>
        <w:tc>
          <w:tcPr>
            <w:tcW w:w="1040" w:type="dxa"/>
            <w:vAlign w:val="bottom"/>
          </w:tcPr>
          <w:p>
            <w:pPr>
              <w:jc w:val="right"/>
              <w:spacing w:after="0"/>
              <w:rPr>
                <w:sz w:val="20"/>
                <w:szCs w:val="20"/>
                <w:color w:val="auto"/>
              </w:rPr>
            </w:pPr>
            <w:r>
              <w:rPr>
                <w:rFonts w:ascii="Arial" w:cs="Arial" w:eastAsia="Arial" w:hAnsi="Arial"/>
                <w:sz w:val="18"/>
                <w:szCs w:val="18"/>
                <w:color w:val="auto"/>
              </w:rPr>
              <w:t>756,086</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Options canceled/forfeited</w:t>
            </w:r>
          </w:p>
        </w:tc>
        <w:tc>
          <w:tcPr>
            <w:tcW w:w="1020" w:type="dxa"/>
            <w:vAlign w:val="bottom"/>
          </w:tcPr>
          <w:p>
            <w:pPr>
              <w:jc w:val="right"/>
              <w:spacing w:after="0"/>
              <w:rPr>
                <w:sz w:val="20"/>
                <w:szCs w:val="20"/>
                <w:color w:val="auto"/>
              </w:rPr>
            </w:pPr>
            <w:r>
              <w:rPr>
                <w:rFonts w:ascii="Arial" w:cs="Arial" w:eastAsia="Arial" w:hAnsi="Arial"/>
                <w:sz w:val="18"/>
                <w:szCs w:val="18"/>
                <w:color w:val="auto"/>
              </w:rPr>
              <w:t>115,920</w:t>
            </w:r>
          </w:p>
        </w:tc>
        <w:tc>
          <w:tcPr>
            <w:tcW w:w="2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(115,920)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12.72</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1,150,961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1,667,153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Options vested at December 31, 2018</w:t>
            </w: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vMerge w:val="continue"/>
          </w:tcPr>
          <w:p>
            <w:pPr>
              <w:spacing w:after="0"/>
              <w:rPr>
                <w:sz w:val="21"/>
                <w:szCs w:val="21"/>
                <w:color w:val="auto"/>
              </w:rPr>
            </w:pPr>
          </w:p>
        </w:tc>
        <w:tc>
          <w:tcPr>
            <w:tcW w:w="1020" w:type="dxa"/>
            <w:vAlign w:val="bottom"/>
            <w:tcBorders>
              <w:top w:val="single" w:sz="8" w:color="auto"/>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820,422</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220" w:type="dxa"/>
            <w:vAlign w:val="bottom"/>
            <w:tcBorders>
              <w:bottom w:val="single" w:sz="8" w:color="CFF0FC"/>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3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Options vested and expected to vest at</w:t>
            </w: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2018</w:t>
            </w: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1,667,153</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The weighted-average grant date fair value of employee options granted was $1.08 and $1.88 per share for the year ended December 31, 2018 and December 31, 2017, respectively. At December 31, 2018 total unrecognized employee stock-based compensation was $1.2 million, which is expected to be recognized over the weighted-average remaining vesting period of 2.5 years. As of December 31, 2018, the outstanding stock options had an intrinsic value of approximately $71,000.</w:t>
      </w:r>
    </w:p>
    <w:p>
      <w:pPr>
        <w:spacing w:after="0" w:line="187" w:lineRule="exact"/>
        <w:rPr>
          <w:sz w:val="20"/>
          <w:szCs w:val="20"/>
          <w:color w:val="auto"/>
        </w:rPr>
      </w:pPr>
    </w:p>
    <w:p>
      <w:pPr>
        <w:jc w:val="both"/>
        <w:ind w:right="140" w:firstLine="598"/>
        <w:spacing w:after="0" w:line="264" w:lineRule="auto"/>
        <w:rPr>
          <w:sz w:val="20"/>
          <w:szCs w:val="20"/>
          <w:color w:val="auto"/>
        </w:rPr>
      </w:pPr>
      <w:r>
        <w:rPr>
          <w:rFonts w:ascii="Arial" w:cs="Arial" w:eastAsia="Arial" w:hAnsi="Arial"/>
          <w:sz w:val="18"/>
          <w:szCs w:val="18"/>
          <w:color w:val="auto"/>
        </w:rPr>
        <w:t>The fair value of an equity award granted to a nonemployee generally is determined in the same manner as an equity award granted to an employee. In most cases, the fair value of the equity securities granted is more reliably determinable than the fair value of the goods or services received. Stock-based compensation related to its grant of options to non-employees has not been material to 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There were 99,217 restricted stock units granted by the Company during the year ended December 31, 2018 to employees and nonemployees. The shares were 100% vested on the grant date and were valued based on the Company’s common stock price on the grant date, with approximately $159,000 of the related stock-based compensation expense recognized at that time.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17"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The Company’s board of directors and stockholders have adopted the 2014 Employee Stock Purchase Plan, or the ESPP. The ESPP has become effective, and the board of directors will implement commencement of offers thereunder in its discretion. A total of 27,967 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of directors authorizes commencement, equal to the least of:</w:t>
      </w:r>
    </w:p>
    <w:p>
      <w:pPr>
        <w:spacing w:after="0" w:line="80" w:lineRule="exact"/>
        <w:rPr>
          <w:sz w:val="20"/>
          <w:szCs w:val="20"/>
          <w:color w:val="auto"/>
        </w:rPr>
      </w:pPr>
    </w:p>
    <w:p>
      <w:pPr>
        <w:ind w:left="1040" w:hanging="438"/>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1.0% of the outstanding shares of the Company’s common stock on the first day of such year;</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55,936 shares; or</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such amount as determined by the board of directors.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December 31, 2018, there were no purchases by employees under this plan.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 Warrants</w:t>
      </w:r>
    </w:p>
    <w:p>
      <w:pPr>
        <w:spacing w:after="0" w:line="117"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The Company issued 256,064 Series D Warrants in October 2015, which are exercisable into 586,182 shares of the Company’s common stock, with an exercise price of $12.30 and a term of five years expiring on October 15, 2020. The Company’s Series D Warrants contain standard anti-dilution provisions for stock dividends, stock splits, subdivisions, combinations and similar types of recapitalization events. They also contain a cashless exercise feature that provides for their net share settlement at the option of the holder in the event that there is no effective registration statement covering the continuous offer and sale of the warrants and underlying shares. The Company is required to comply with certain requirements to cause or maintain the effectiveness of a registration statement for the offer and sale of these securities. The Series D Warrant agreement further provides for the payment of liquidated damages at an amount per month equal to 1% of the aggregate VWAP of the shares into which each Series D Warrant is convertible into in the event that the Company is unable to maintain the effectiveness of a registration statement as described herein. The Company evaluated the registration payment arrangement stipulated in the terms of this securities agreement and determined that it is probable that the Company will maintain an effective registration statement and has therefore not allocated any portion of the proceeds to the registration payment arrangement. The Series D Warrant agreement specifically provides that under no circumstances will the Company be required to settle any Series D Warrant exercise for cash, whether by net settlement or otherwise.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17" w:lineRule="exact"/>
        <w:rPr>
          <w:sz w:val="20"/>
          <w:szCs w:val="20"/>
          <w:color w:val="auto"/>
        </w:rPr>
      </w:pPr>
    </w:p>
    <w:p>
      <w:pPr>
        <w:jc w:val="both"/>
        <w:ind w:right="360" w:firstLine="598"/>
        <w:spacing w:after="0" w:line="264" w:lineRule="auto"/>
        <w:rPr>
          <w:sz w:val="20"/>
          <w:szCs w:val="20"/>
          <w:color w:val="auto"/>
        </w:rPr>
      </w:pPr>
      <w:r>
        <w:rPr>
          <w:rFonts w:ascii="Arial" w:cs="Arial" w:eastAsia="Arial" w:hAnsi="Arial"/>
          <w:sz w:val="18"/>
          <w:szCs w:val="18"/>
          <w:color w:val="auto"/>
        </w:rPr>
        <w:t xml:space="preserve">The Company accounts for the Series D Warrants in accordance with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 indicated above, the Company is not required under any circumstance to settle any Series D Warrant exercise for cash. The Company has therefore classified the value of the Series D Warrants as permanent equity.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Common Stock Warrants</w:t>
      </w:r>
    </w:p>
    <w:p>
      <w:pPr>
        <w:spacing w:after="0" w:line="117"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As of December 31, 2018, the Company had 102,070 common stock warrants outstanding from the 2010/2012 convertible notes, with an exercise price of $24.35 and a term of 10 years expiring in November 2024. The Company also had outstanding 1,851 common stock warrants issued in 2009, with an exercise price of $108.00 and a term of 10 years, which expired in January 2019 and 16,500 common stock warrants issued to the underwriter in the Company’s IPO, with an exercise price of $35.70 and a term of 10 years, expiring in November 2024.</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Note 11. Income Taxes</w:t>
      </w:r>
    </w:p>
    <w:p>
      <w:pPr>
        <w:spacing w:after="0" w:line="121"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7880" w:type="dxa"/>
            <w:vAlign w:val="bottom"/>
            <w:gridSpan w:val="7"/>
          </w:tcPr>
          <w:p>
            <w:pPr>
              <w:spacing w:after="0"/>
              <w:rPr>
                <w:sz w:val="20"/>
                <w:szCs w:val="20"/>
                <w:color w:val="auto"/>
              </w:rPr>
            </w:pPr>
            <w:r>
              <w:rPr>
                <w:rFonts w:ascii="Arial" w:cs="Arial" w:eastAsia="Arial" w:hAnsi="Arial"/>
                <w:sz w:val="18"/>
                <w:szCs w:val="18"/>
                <w:color w:val="auto"/>
              </w:rPr>
              <w:t>The geographical distribution of loss before income taxes are summarized below (in thousands).</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1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544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w w:val="89"/>
              </w:rPr>
              <w:t>2017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(11,830)</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(11,841)</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ind w:left="1120"/>
              <w:spacing w:after="0"/>
              <w:rPr>
                <w:sz w:val="20"/>
                <w:szCs w:val="20"/>
                <w:color w:val="auto"/>
              </w:rPr>
            </w:pPr>
            <w:r>
              <w:rPr>
                <w:rFonts w:ascii="Arial" w:cs="Arial" w:eastAsia="Arial" w:hAnsi="Arial"/>
                <w:sz w:val="18"/>
                <w:szCs w:val="18"/>
                <w:color w:val="auto"/>
              </w:rPr>
              <w:t>Income (loss) resulting from discontinued operations</w:t>
            </w: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gridSpan w:val="2"/>
            <w:vMerge w:val="continue"/>
          </w:tcPr>
          <w:p>
            <w:pPr>
              <w:spacing w:after="0"/>
              <w:rPr>
                <w:sz w:val="21"/>
                <w:szCs w:val="21"/>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Taxes allocated to discontinued operations</w:t>
            </w: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The components of the provision for income tax benefit follows (in thousands).</w:t>
            </w: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5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4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Federal</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54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54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provision for income taxes benefit</w:t>
            </w: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The provision for income tax benefit differs from the amount estimated by applying the statutory federal income tax rate to the operating loss from continuing operations due to the following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860" w:type="dxa"/>
            <w:vAlign w:val="bottom"/>
            <w:tcBorders>
              <w:bottom w:val="single" w:sz="8" w:color="CFF0FC"/>
            </w:tcBorders>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w w:val="89"/>
              </w:rPr>
              <w:t>Tax on the loss before income tax expense computed</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 the federal statutory rate</w:t>
            </w:r>
          </w:p>
        </w:tc>
        <w:tc>
          <w:tcPr>
            <w:tcW w:w="18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(2,486)</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(4,666)</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w w:val="99"/>
              </w:rPr>
              <w:t>State tax (benefit) at statutory rate, net of federal</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860" w:type="dxa"/>
            <w:vAlign w:val="bottom"/>
          </w:tcPr>
          <w:p>
            <w:pPr>
              <w:ind w:left="140"/>
              <w:spacing w:after="0"/>
              <w:rPr>
                <w:sz w:val="20"/>
                <w:szCs w:val="20"/>
                <w:color w:val="auto"/>
              </w:rPr>
            </w:pPr>
            <w:r>
              <w:rPr>
                <w:rFonts w:ascii="Arial" w:cs="Arial" w:eastAsia="Arial" w:hAnsi="Arial"/>
                <w:sz w:val="18"/>
                <w:szCs w:val="18"/>
                <w:color w:val="auto"/>
              </w:rPr>
              <w:t>benefit</w:t>
            </w: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(187)</w:t>
            </w:r>
          </w:p>
        </w:tc>
        <w:tc>
          <w:tcPr>
            <w:tcW w:w="3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Tax reform</w:t>
            </w: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10,613</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4,143</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(8,485)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Change in research and development credits</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compensation—ISOs</w:t>
            </w: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Change in fair value of warrants</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contingent consideration</w:t>
            </w: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Gain on deconsolidation</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Disallowance of loss on discontinued operations</w:t>
            </w: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(426)</w:t>
            </w: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Acquisition costs</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Change in NOL true up</w:t>
            </w: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(590)</w:t>
            </w: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Change in temporary difference true up</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(456)</w:t>
            </w:r>
          </w:p>
        </w:tc>
        <w:tc>
          <w:tcPr>
            <w:tcW w:w="3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Loss on sale of NFI</w:t>
            </w: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909</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 benefit</w:t>
            </w:r>
          </w:p>
        </w:tc>
        <w:tc>
          <w:tcPr>
            <w:tcW w:w="15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580" w:type="dxa"/>
            <w:vAlign w:val="bottom"/>
            <w:vMerge w:val="restart"/>
          </w:tcPr>
          <w:p>
            <w:pPr>
              <w:jc w:val="right"/>
              <w:ind w:right="1270"/>
              <w:spacing w:after="0"/>
              <w:rPr>
                <w:sz w:val="20"/>
                <w:szCs w:val="20"/>
                <w:color w:val="auto"/>
              </w:rPr>
            </w:pPr>
            <w:r>
              <w:rPr>
                <w:rFonts w:ascii="Arial" w:cs="Arial" w:eastAsia="Arial" w:hAnsi="Arial"/>
                <w:sz w:val="18"/>
                <w:szCs w:val="18"/>
                <w:color w:val="auto"/>
                <w:w w:val="99"/>
              </w:rPr>
              <w:t>98</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100" w:name="page101"/>
    <w:bookmarkEnd w:id="100"/>
    <w:p>
      <w:pPr>
        <w:ind w:right="20" w:firstLine="598"/>
        <w:spacing w:after="0" w:line="26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 at December 31, 2018 and 2017 (in thousands).</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Non-Current Deferred Tax Assets: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Federal and state net operating loss carryforwards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28,532</w:t>
            </w:r>
          </w:p>
        </w:tc>
        <w:tc>
          <w:tcPr>
            <w:tcW w:w="2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25,486</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other credits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2,037</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Reserves and accruals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Assets held for sale</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Fixed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loss carryover</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Stock based compensation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deferred tax assets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Pr>
          <w:p>
            <w:pPr>
              <w:ind w:left="500"/>
              <w:spacing w:after="0"/>
              <w:rPr>
                <w:sz w:val="20"/>
                <w:szCs w:val="20"/>
                <w:color w:val="auto"/>
              </w:rPr>
            </w:pPr>
            <w:r>
              <w:rPr>
                <w:rFonts w:ascii="Arial" w:cs="Arial" w:eastAsia="Arial" w:hAnsi="Arial"/>
                <w:sz w:val="18"/>
                <w:szCs w:val="18"/>
                <w:color w:val="auto"/>
              </w:rPr>
              <w:t>Gross non-current deferred tax assets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31,740</w:t>
            </w:r>
          </w:p>
        </w:tc>
        <w:tc>
          <w:tcPr>
            <w:tcW w:w="2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27,950</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 Assets</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(4,062)</w:t>
            </w: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(4,414)</w:t>
            </w: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Fixed Assets</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23"/>
        </w:trPr>
        <w:tc>
          <w:tcPr>
            <w:tcW w:w="54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non-current deferred tax liabilities</w:t>
            </w: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(4,062)</w:t>
            </w:r>
          </w:p>
        </w:tc>
        <w:tc>
          <w:tcPr>
            <w:tcW w:w="2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deferred tax assets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27,678</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23,533</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(27,678)</w:t>
            </w: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(23,533)</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firstLine="598"/>
        <w:spacing w:after="0" w:line="264" w:lineRule="auto"/>
        <w:rPr>
          <w:sz w:val="20"/>
          <w:szCs w:val="20"/>
          <w:color w:val="auto"/>
        </w:rPr>
      </w:pPr>
      <w:r>
        <w:rPr>
          <w:rFonts w:ascii="Arial" w:cs="Arial" w:eastAsia="Arial" w:hAnsi="Arial"/>
          <w:sz w:val="18"/>
          <w:szCs w:val="18"/>
          <w:color w:val="auto"/>
        </w:rPr>
        <w:t>The Company has recorded a full valuation allowance against its net deferred tax assets due to the uncertainty as to whether such assets will be realized. The valuation allowance increased by $4.1 million from December 31, 2017 to December 31, 2018 primarily due to the generation of current year net operating losses and research and development credits claimed.</w:t>
      </w:r>
    </w:p>
    <w:p>
      <w:pPr>
        <w:spacing w:after="0" w:line="181" w:lineRule="exact"/>
        <w:rPr>
          <w:sz w:val="20"/>
          <w:szCs w:val="20"/>
          <w:color w:val="auto"/>
        </w:rPr>
      </w:pPr>
    </w:p>
    <w:p>
      <w:pPr>
        <w:ind w:right="160" w:firstLine="598"/>
        <w:spacing w:after="0" w:line="255" w:lineRule="auto"/>
        <w:rPr>
          <w:sz w:val="20"/>
          <w:szCs w:val="20"/>
          <w:color w:val="auto"/>
        </w:rPr>
      </w:pPr>
      <w:r>
        <w:rPr>
          <w:rFonts w:ascii="Arial" w:cs="Arial" w:eastAsia="Arial" w:hAnsi="Arial"/>
          <w:sz w:val="18"/>
          <w:szCs w:val="18"/>
          <w:color w:val="auto"/>
        </w:rPr>
        <w:t>As of December 31, 2018, the Company had $129.8 million of federal, $51.4 million of state and approximately $264,000 of foreign net operating losses available to offset future taxable income. The federal net operating loss carryforwards begins to expire in 2019, the state net operating loss carryforwards will begin to expire in 2028 and the foreign net operating loss carryforward can be carried forward indefinitely, if not utilized. As of December 31, 2018, the Company also had $1.2 million of federal and approximately $798,000 of state research and development credit carryforwards. The federal research and development credit carryforward begin to expire in 2024 and the state research and development credit can be carried forward indefinitely.</w:t>
      </w:r>
    </w:p>
    <w:p>
      <w:pPr>
        <w:spacing w:after="0" w:line="193"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Utilization of the net operating loss and tax credit carry forwards are subject to an annual limitation due to the ownership percentage change limitations provided by the Internal Revenue Code of 1986 and similar state provisions. The annual limitation may result in the expiration of the net operating loss before utilization. The Company completed Section 382 analysis through December 2016 and determined that an ownership change, as defined under Section 382 of the Internal Revenue Code, occurred in June 2016. The Company’s tax attributes are subject to an annual limitation of $0.5 million per year for federal purposes. For years ended after December 31, 2016, the utilization of net operating losses and tax credit carryforwards are subject to further limitation in the event an additional ownership change were to occur for tax purposes. The Company is in process of completing an analysis of whether there was an ownership change, as defined under Section 382 of the Internal Revenue Code, resulting from the issuance of new shares during 2018 and, as such, is not able at this time to determine the impact on the NOL carryforwards, if any, as of the date of these consolidated financial statements as result of the 2018 share issuances. Once the analysis is completed, the Company will make any appropriate adjustments to the balances of NOLs to be carried forward and thus adjust the NOL deferred tax asset accordingly, if required.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01" w:name="page102"/>
    <w:bookmarkEnd w:id="101"/>
    <w:p>
      <w:pPr>
        <w:ind w:right="180" w:firstLine="598"/>
        <w:spacing w:after="0" w:line="277" w:lineRule="auto"/>
        <w:rPr>
          <w:sz w:val="20"/>
          <w:szCs w:val="20"/>
          <w:color w:val="auto"/>
        </w:rPr>
      </w:pPr>
      <w:r>
        <w:rPr>
          <w:rFonts w:ascii="Arial" w:cs="Arial" w:eastAsia="Arial" w:hAnsi="Arial"/>
          <w:sz w:val="18"/>
          <w:szCs w:val="18"/>
          <w:color w:val="auto"/>
        </w:rPr>
        <w:t>United States taxes and foreign withholding taxes have not been provided on undistributed earnings for certain non-United States subsidiaries as of December 31, 2018, as the earnings, if any, are intended to be indefinitely reinvested.</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tables summarize the activities of gross unrecognized tax benefits (in thousands).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32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80" w:type="dxa"/>
            <w:vAlign w:val="bottom"/>
            <w:shd w:val="clear" w:color="auto" w:fill="CFF0FC"/>
          </w:tcPr>
          <w:p>
            <w:pPr>
              <w:spacing w:after="0"/>
              <w:rPr>
                <w:sz w:val="19"/>
                <w:szCs w:val="19"/>
                <w:color w:val="auto"/>
              </w:rPr>
            </w:pPr>
          </w:p>
        </w:tc>
      </w:tr>
      <w:tr>
        <w:trPr>
          <w:trHeight w:val="215"/>
        </w:trPr>
        <w:tc>
          <w:tcPr>
            <w:tcW w:w="4320" w:type="dxa"/>
            <w:vAlign w:val="bottom"/>
          </w:tcPr>
          <w:p>
            <w:pPr>
              <w:spacing w:after="0"/>
              <w:rPr>
                <w:sz w:val="20"/>
                <w:szCs w:val="20"/>
                <w:color w:val="auto"/>
              </w:rPr>
            </w:pPr>
            <w:r>
              <w:rPr>
                <w:rFonts w:ascii="Arial" w:cs="Arial" w:eastAsia="Arial" w:hAnsi="Arial"/>
                <w:sz w:val="18"/>
                <w:szCs w:val="18"/>
                <w:color w:val="auto"/>
              </w:rPr>
              <w:t>Increases (decreases) related to prior year</w:t>
            </w: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tax positions</w:t>
            </w: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Increase related to current year tax positions</w:t>
            </w:r>
          </w:p>
        </w:tc>
        <w:tc>
          <w:tcPr>
            <w:tcW w:w="11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9"/>
                <w:szCs w:val="19"/>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Ending Balance</w:t>
            </w:r>
          </w:p>
        </w:tc>
        <w:tc>
          <w:tcPr>
            <w:tcW w:w="1120" w:type="dxa"/>
            <w:vAlign w:val="bottom"/>
          </w:tcPr>
          <w:p>
            <w:pPr>
              <w:spacing w:after="0"/>
              <w:rPr>
                <w:sz w:val="19"/>
                <w:szCs w:val="19"/>
                <w:color w:val="auto"/>
              </w:rPr>
            </w:pPr>
          </w:p>
        </w:tc>
        <w:tc>
          <w:tcPr>
            <w:tcW w:w="760" w:type="dxa"/>
            <w:vAlign w:val="bottom"/>
            <w:tcBorders>
              <w:bottom w:val="single" w:sz="8" w:color="auto"/>
            </w:tcBorders>
          </w:tcPr>
          <w:p>
            <w:pPr>
              <w:jc w:val="right"/>
              <w:ind w:right="57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1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8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80" w:firstLine="598"/>
        <w:spacing w:after="0" w:line="308" w:lineRule="auto"/>
        <w:rPr>
          <w:sz w:val="20"/>
          <w:szCs w:val="20"/>
          <w:color w:val="auto"/>
        </w:rPr>
      </w:pPr>
      <w:r>
        <w:rPr>
          <w:rFonts w:ascii="Arial" w:cs="Arial" w:eastAsia="Arial" w:hAnsi="Arial"/>
          <w:sz w:val="17"/>
          <w:szCs w:val="17"/>
          <w:color w:val="auto"/>
        </w:rPr>
        <w:t>There were no unrecognized tax benefits that would impact the effective tax rate as of December 31, 2018 and December 31, 2017. As of December 31, 2018, unrecognized tax benefits of approximately $964,000 would be offset by a change in valuation allowance.</w:t>
      </w:r>
    </w:p>
    <w:p>
      <w:pPr>
        <w:spacing w:after="0" w:line="147" w:lineRule="exact"/>
        <w:rPr>
          <w:sz w:val="20"/>
          <w:szCs w:val="20"/>
          <w:color w:val="auto"/>
        </w:rPr>
      </w:pPr>
    </w:p>
    <w:p>
      <w:pPr>
        <w:ind w:right="140" w:firstLine="598"/>
        <w:spacing w:after="0" w:line="302" w:lineRule="auto"/>
        <w:rPr>
          <w:sz w:val="20"/>
          <w:szCs w:val="20"/>
          <w:color w:val="auto"/>
        </w:rPr>
      </w:pPr>
      <w:r>
        <w:rPr>
          <w:rFonts w:ascii="Arial" w:cs="Arial" w:eastAsia="Arial" w:hAnsi="Arial"/>
          <w:sz w:val="16"/>
          <w:szCs w:val="16"/>
          <w:color w:val="auto"/>
        </w:rPr>
        <w:t>The Company files income tax returns in the U.S. federal jurisdiction, certain state jurisdictions and United Kingdom. In the normal course of business, the Company is subject to examination by federal, state, local and foreign jurisdictions, where applicable. In the U.S federal jurisdiction, tax years 1999 forward remain open to examination, in the state tax jurisdiction, years 2008 forward remain open to examination and in the foreign jurisdiction, years 2015 forward remain open to examination. The Company is currently not under audit by any federal, state, local or foreign jurisdiction.</w:t>
      </w:r>
    </w:p>
    <w:p>
      <w:pPr>
        <w:spacing w:after="0" w:line="46"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In December 2017, the SEC staff issued Staff Accounting Bulletin No. 118 (“SAB 118”), Income Tax Accounting Implications of the Tax Cuts and Jobs Act (SAB 118), which allowed us to record provisional amounts during a measurement period not to extend beyond one year of the enactment date. As a result, we previously provided provisional estimates of the effect of the Tax Act in our financial statements. In the fourth quarter of 2018, we completed our analysis to determine the effect of the Tax Act and determined that no further adjustments were needed.</w:t>
      </w:r>
    </w:p>
    <w:p>
      <w:pPr>
        <w:spacing w:after="0" w:line="63"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The Jobs Act also establishes global intangible low-taxed income, or “GILTI,” provisions that impose a tax on foreign income in excess of a deemed return on intangible assets of foreign corporations. The Company’s accounting policy for the income tax effects of GILTI will be to recognize those taxes as expenses in the period incurred. In 2018, the Company’s foreign subsidiary realized a tested loss for the period and therefore, the Company did not have a GILTI inclusion for the year.</w:t>
      </w:r>
    </w:p>
    <w:p>
      <w:pPr>
        <w:spacing w:after="0" w:line="18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The Company uses the “more likely than not” criterion for recognizing the tax benefit of uncertain tax positions and to establish measurement criteria for income tax benefits. The Company has determined it has no material unrecognized assets or liabilities related to uncertain tax positions as of December 31, 2018. The Company does not anticipate any significant changes in such uncertainties and judgments during the next 12 months. In the event the Company should need to recognize interest and penalties related to unrecognized tax liabilities, this amount will be recorded as a component of other expense.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Net loss per share</w:t>
      </w:r>
    </w:p>
    <w:p>
      <w:pPr>
        <w:spacing w:after="0" w:line="121" w:lineRule="exact"/>
        <w:rPr>
          <w:sz w:val="20"/>
          <w:szCs w:val="20"/>
          <w:color w:val="auto"/>
        </w:rPr>
      </w:pPr>
    </w:p>
    <w:p>
      <w:pPr>
        <w:ind w:right="140" w:firstLine="598"/>
        <w:spacing w:after="0" w:line="257" w:lineRule="auto"/>
        <w:rPr>
          <w:sz w:val="20"/>
          <w:szCs w:val="20"/>
          <w:color w:val="auto"/>
        </w:rPr>
      </w:pPr>
      <w:r>
        <w:rPr>
          <w:rFonts w:ascii="Arial" w:cs="Arial" w:eastAsia="Arial" w:hAnsi="Arial"/>
          <w:sz w:val="18"/>
          <w:szCs w:val="18"/>
          <w:color w:val="auto"/>
        </w:rPr>
        <w:t>Basic net loss per share is computed by dividing net loss by the weighted-average number of common stock actually outstanding during the period. Diluted net loss per share is computed by dividing net loss by the weighted-average number of common stock outstanding and dilutive potential common stock that would be issued upon the exercise of common stock warrants and options. For the years ended December 31, 2018 and 2017, the effect of issuing the potential common stock is anti-dilutive due to the net losses in those periods and the number of shares used to compute basic and diluted earnings per share are the same in each of those periods.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02" w:name="page103"/>
    <w:bookmarkEnd w:id="102"/>
    <w:p>
      <w:pPr>
        <w:ind w:right="160" w:firstLine="598"/>
        <w:spacing w:after="0" w:line="277" w:lineRule="auto"/>
        <w:rPr>
          <w:sz w:val="20"/>
          <w:szCs w:val="20"/>
          <w:color w:val="auto"/>
        </w:rPr>
      </w:pPr>
      <w:r>
        <w:rPr>
          <w:rFonts w:ascii="Arial" w:cs="Arial" w:eastAsia="Arial" w:hAnsi="Arial"/>
          <w:sz w:val="18"/>
          <w:szCs w:val="18"/>
          <w:color w:val="auto"/>
        </w:rPr>
        <w:t>The following potentially dilutive securities outstanding have been excluded from the computations of diluted weighted-average shares outstanding because such securities have an antidilutive impact due to losses reported (in common stock equivalent shares).</w:t>
      </w:r>
    </w:p>
    <w:p>
      <w:pPr>
        <w:spacing w:after="0" w:line="27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2460" w:type="dxa"/>
            <w:vAlign w:val="bottom"/>
            <w:gridSpan w:val="4"/>
          </w:tcPr>
          <w:p>
            <w:pPr>
              <w:ind w:left="580"/>
              <w:spacing w:after="0"/>
              <w:rPr>
                <w:sz w:val="20"/>
                <w:szCs w:val="20"/>
                <w:color w:val="auto"/>
              </w:rPr>
            </w:pPr>
            <w:r>
              <w:rPr>
                <w:rFonts w:ascii="Arial" w:cs="Arial" w:eastAsia="Arial" w:hAnsi="Arial"/>
                <w:sz w:val="14"/>
                <w:szCs w:val="14"/>
                <w:b w:val="1"/>
                <w:bCs w:val="1"/>
                <w:color w:val="auto"/>
              </w:rPr>
              <w:t>As of December 31,</w:t>
            </w:r>
          </w:p>
        </w:tc>
      </w:tr>
      <w:tr>
        <w:trPr>
          <w:trHeight w:val="156"/>
        </w:trPr>
        <w:tc>
          <w:tcPr>
            <w:tcW w:w="552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914,200</w:t>
            </w:r>
          </w:p>
        </w:tc>
        <w:tc>
          <w:tcPr>
            <w:tcW w:w="80" w:type="dxa"/>
            <w:vAlign w:val="bottom"/>
            <w:shd w:val="clear" w:color="auto" w:fill="CFF0FC"/>
          </w:tcPr>
          <w:p>
            <w:pPr>
              <w:spacing w:after="0"/>
              <w:rPr>
                <w:sz w:val="19"/>
                <w:szCs w:val="19"/>
                <w:color w:val="auto"/>
              </w:rPr>
            </w:pPr>
          </w:p>
        </w:tc>
      </w:tr>
      <w:tr>
        <w:trPr>
          <w:trHeight w:val="215"/>
        </w:trPr>
        <w:tc>
          <w:tcPr>
            <w:tcW w:w="5520" w:type="dxa"/>
            <w:vAlign w:val="bottom"/>
          </w:tcPr>
          <w:p>
            <w:pPr>
              <w:spacing w:after="0"/>
              <w:rPr>
                <w:sz w:val="20"/>
                <w:szCs w:val="20"/>
                <w:color w:val="auto"/>
              </w:rPr>
            </w:pPr>
            <w:r>
              <w:rPr>
                <w:rFonts w:ascii="Arial" w:cs="Arial" w:eastAsia="Arial" w:hAnsi="Arial"/>
                <w:sz w:val="18"/>
                <w:szCs w:val="18"/>
                <w:color w:val="auto"/>
              </w:rPr>
              <w:t>Warrants issued to 2010/2012 convertible note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520" w:type="dxa"/>
            <w:vAlign w:val="bottom"/>
          </w:tcPr>
          <w:p>
            <w:pPr>
              <w:ind w:left="140"/>
              <w:spacing w:after="0"/>
              <w:rPr>
                <w:sz w:val="20"/>
                <w:szCs w:val="20"/>
                <w:color w:val="auto"/>
              </w:rPr>
            </w:pPr>
            <w:r>
              <w:rPr>
                <w:rFonts w:ascii="Arial" w:cs="Arial" w:eastAsia="Arial" w:hAnsi="Arial"/>
                <w:sz w:val="18"/>
                <w:szCs w:val="18"/>
                <w:color w:val="auto"/>
              </w:rPr>
              <w:t>holders to purchase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102,070</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102,070</w:t>
            </w:r>
          </w:p>
        </w:tc>
        <w:tc>
          <w:tcPr>
            <w:tcW w:w="80" w:type="dxa"/>
            <w:vAlign w:val="bottom"/>
          </w:tcPr>
          <w:p>
            <w:pPr>
              <w:spacing w:after="0"/>
              <w:rPr>
                <w:sz w:val="20"/>
                <w:szCs w:val="20"/>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1,667,153</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1,026,987</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Warrants issued in 2009 to purchase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1,851</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1,851</w:t>
            </w:r>
          </w:p>
        </w:tc>
        <w:tc>
          <w:tcPr>
            <w:tcW w:w="80" w:type="dxa"/>
            <w:vAlign w:val="bottom"/>
          </w:tcPr>
          <w:p>
            <w:pPr>
              <w:spacing w:after="0"/>
              <w:rPr>
                <w:sz w:val="19"/>
                <w:szCs w:val="19"/>
                <w:color w:val="auto"/>
              </w:rPr>
            </w:pPr>
          </w:p>
        </w:tc>
      </w:tr>
      <w:tr>
        <w:trPr>
          <w:trHeight w:val="215"/>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Warrants issued to underwriter to purchase common</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16,500</w:t>
            </w:r>
          </w:p>
        </w:tc>
        <w:tc>
          <w:tcPr>
            <w:tcW w:w="2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16,500</w:t>
            </w:r>
          </w:p>
        </w:tc>
        <w:tc>
          <w:tcPr>
            <w:tcW w:w="80" w:type="dxa"/>
            <w:vAlign w:val="bottom"/>
            <w:shd w:val="clear" w:color="auto" w:fill="CFF0FC"/>
          </w:tcPr>
          <w:p>
            <w:pPr>
              <w:spacing w:after="0"/>
              <w:rPr>
                <w:sz w:val="20"/>
                <w:szCs w:val="20"/>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Series A warrants to purchase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485,121</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485,121</w:t>
            </w:r>
          </w:p>
        </w:tc>
        <w:tc>
          <w:tcPr>
            <w:tcW w:w="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Series C warrants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118,083</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118,083</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Series D warrants to purchase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586,162</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586,162</w:t>
            </w:r>
          </w:p>
        </w:tc>
        <w:tc>
          <w:tcPr>
            <w:tcW w:w="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2017 PIPE warrants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6,024,425</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6,024,425</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2018 PIPE warrants</w:t>
            </w:r>
          </w:p>
        </w:tc>
        <w:tc>
          <w:tcPr>
            <w:tcW w:w="1080" w:type="dxa"/>
            <w:vAlign w:val="bottom"/>
          </w:tcPr>
          <w:p>
            <w:pPr>
              <w:jc w:val="right"/>
              <w:spacing w:after="0"/>
              <w:rPr>
                <w:sz w:val="20"/>
                <w:szCs w:val="20"/>
                <w:color w:val="auto"/>
              </w:rPr>
            </w:pPr>
            <w:r>
              <w:rPr>
                <w:rFonts w:ascii="Arial" w:cs="Arial" w:eastAsia="Arial" w:hAnsi="Arial"/>
                <w:sz w:val="18"/>
                <w:szCs w:val="18"/>
                <w:color w:val="auto"/>
              </w:rPr>
              <w:t>513,617</w:t>
            </w: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5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9,514,982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9,275,399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Compensation Plan for Board Members</w:t>
      </w:r>
    </w:p>
    <w:p>
      <w:pPr>
        <w:spacing w:after="0" w:line="121" w:lineRule="exact"/>
        <w:rPr>
          <w:sz w:val="20"/>
          <w:szCs w:val="20"/>
          <w:color w:val="auto"/>
        </w:rPr>
      </w:pPr>
    </w:p>
    <w:p>
      <w:pPr>
        <w:ind w:right="200" w:firstLine="598"/>
        <w:spacing w:after="0" w:line="259" w:lineRule="auto"/>
        <w:rPr>
          <w:sz w:val="20"/>
          <w:szCs w:val="20"/>
          <w:color w:val="auto"/>
        </w:rPr>
      </w:pPr>
      <w:r>
        <w:rPr>
          <w:rFonts w:ascii="Arial" w:cs="Arial" w:eastAsia="Arial" w:hAnsi="Arial"/>
          <w:sz w:val="18"/>
          <w:szCs w:val="18"/>
          <w:color w:val="auto"/>
        </w:rPr>
        <w:t>In 2017, the Compensation Committee of the Board of Directors recommended, and the Board approved a revised compensation plan pursuant to which all board fees are paid in common stock of the Company. Payment to the Board of Directors in shares of the Company’s common stock is made after the close of the quarter in which the compensation is earned. During 2018 and 2017, the Company issued 146,371 and 90,306 shares, respectively, of common stock to its Board members for fees earned.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Defined Contribution Plan</w:t>
      </w:r>
    </w:p>
    <w:p>
      <w:pPr>
        <w:spacing w:after="0" w:line="12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The Company sponsors a 401(k) Plan, which stipulates that eligible employees can elect to contribute to the 401(k) Plan, subject to certain limitations of eligible compensation. The Company may match employee contributions in amounts to be determined at the Company’s sole discretion. To date, the Company has not made any matching contributions.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 February 4, 2019 the Company formed a new wholly owned subsidiary in Ireland named Soleno Therapeutics Europe Limited.</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3" w:name="page104"/>
    <w:bookmarkEnd w:id="103"/>
    <w:p>
      <w:pPr>
        <w:ind w:left="600" w:right="540" w:hanging="42"/>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DISCLOSURES </w:t>
      </w:r>
      <w:r>
        <w:rPr>
          <w:rFonts w:ascii="Arial" w:cs="Arial" w:eastAsia="Arial" w:hAnsi="Arial"/>
          <w:sz w:val="18"/>
          <w:szCs w:val="18"/>
          <w:color w:val="auto"/>
        </w:rPr>
        <w:t>None.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reports filed under the Securities Exchange Act of 1934, as amended, or the Exchange Act, is recorded, processed, summarized and reported within the time periods specified in U.S. Securities and Exchange Commission, or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w:t>
      </w:r>
    </w:p>
    <w:p>
      <w:pPr>
        <w:spacing w:after="0" w:line="158"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Our Principal Executive Officer and Principal Financial Officer, after evaluating the effectiveness of our disclosure controls and procedures (as defined in Exchange Act Rules 13a-15(e) and 15d-15(e)) as of the end of the period covered by this Annual Report on Form 10-K, have concluded that, based on such evaluation, our disclosure controls and procedures were effective to ensure that information required to be disclosed by us in the reports that we file or submit under the Exchange Act is recorded, processed, summarized and reported, with the time periods specified in the SEC’s rules and forms, and is accumulated and communicated to our management, including our Principal Executive Officer and Principal Financial Officer as appropriate to allow timely decisions regarding required disclosure.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17" w:lineRule="exact"/>
        <w:rPr>
          <w:sz w:val="20"/>
          <w:szCs w:val="20"/>
          <w:color w:val="auto"/>
        </w:rPr>
      </w:pPr>
    </w:p>
    <w:p>
      <w:pPr>
        <w:ind w:right="20" w:firstLine="598"/>
        <w:spacing w:after="0" w:line="28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Internal control over financial reporting is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GAAP, including those policies and procedures that:</w:t>
      </w:r>
    </w:p>
    <w:p>
      <w:pPr>
        <w:spacing w:after="0" w:line="2" w:lineRule="exact"/>
        <w:rPr>
          <w:sz w:val="20"/>
          <w:szCs w:val="20"/>
          <w:color w:val="auto"/>
        </w:rPr>
      </w:pPr>
    </w:p>
    <w:p>
      <w:pPr>
        <w:ind w:right="20" w:firstLine="8"/>
        <w:spacing w:after="0" w:line="253" w:lineRule="auto"/>
        <w:tabs>
          <w:tab w:leader="none" w:pos="2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the disposition of our assets, (ii) provide reasonable assurance that transactions are recorded as necessary to permit preparation of consolidated financial statements in accordance with GAAP and that receipts and expenditures are being made only in accordance with authorizations of our management and board of directors, and (iii) provide reasonable assurance regarding prevention or timely detection of unauthorized acquisition, use, or disposition of our assets that could have a material effect on the consolidated financial statements.</w:t>
      </w:r>
    </w:p>
    <w:p>
      <w:pPr>
        <w:spacing w:after="0" w:line="191"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18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 xml:space="preserve">Management conducted an evaluation of the effectiveness of our control over financial reporting based on the 2013 framework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Committee of Sponsoring Organizations of the Treadway Commission. Based on this evaluation, management concluded</w:t>
      </w:r>
      <w:r>
        <w:rPr>
          <w:rFonts w:ascii="Arial" w:cs="Arial" w:eastAsia="Arial" w:hAnsi="Arial"/>
          <w:sz w:val="18"/>
          <w:szCs w:val="18"/>
          <w:i w:val="1"/>
          <w:iCs w:val="1"/>
          <w:color w:val="auto"/>
        </w:rPr>
        <w:t xml:space="preserve"> </w:t>
      </w:r>
      <w:r>
        <w:rPr>
          <w:rFonts w:ascii="Arial" w:cs="Arial" w:eastAsia="Arial" w:hAnsi="Arial"/>
          <w:sz w:val="18"/>
          <w:szCs w:val="18"/>
          <w:color w:val="auto"/>
        </w:rPr>
        <w:t>that our internal control over financial reporting was effective as of December 31,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Controls</w:t>
      </w:r>
    </w:p>
    <w:p>
      <w:pPr>
        <w:spacing w:after="0" w:line="117"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There have been no changes to our internal control over financial reporting that occurred during our last fiscal quarter ended December 31, 2018 that have materially affected, or are reasonably likely to materially affect, our internal control over financial reporting.</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04" w:name="page105"/>
    <w:bookmarkEnd w:id="104"/>
    <w:p>
      <w:pPr>
        <w:jc w:val="center"/>
        <w:ind w:right="-1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2019 Annual Meeting of Stockholders. The Definitive Proxy Statement will be filed with the Securities and Exchange Commission within 120 days after the end of the fiscal year covered by this Annual Report on Form 10-K.</w:t>
      </w:r>
    </w:p>
    <w:p>
      <w:pPr>
        <w:spacing w:after="0" w:line="2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2019 Annual Meeting of Stockholders. The Definitive Proxy Statement will be filed with the Securities and Exchange Commission within 120 days after the end of the fiscal year covered by this Annual Report on Form 10-K.</w:t>
      </w:r>
    </w:p>
    <w:p>
      <w:pPr>
        <w:spacing w:after="0" w:line="285" w:lineRule="exact"/>
        <w:rPr>
          <w:sz w:val="20"/>
          <w:szCs w:val="20"/>
          <w:color w:val="auto"/>
        </w:rPr>
      </w:pPr>
    </w:p>
    <w:p>
      <w:pPr>
        <w:jc w:val="center"/>
        <w:ind w:left="420" w:right="20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2019 Annual Meeting of Stockholders. The Definitive Proxy Statement will be filed with the Securities and Exchange Commission within 120 days after the end of the fiscal year covered by this Annual Report on Form 10-K.</w:t>
      </w:r>
    </w:p>
    <w:p>
      <w:pPr>
        <w:spacing w:after="0" w:line="28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ITEM 13. CERTAIN RELATIONSHIPS AND RELATED TRANSACTIONS,AND DIRECTOR INDEPENDENCE</w:t>
      </w:r>
    </w:p>
    <w:p>
      <w:pPr>
        <w:spacing w:after="0" w:line="12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2019 Annual Meeting of Stockholders. The Definitive Proxy Statement will be filed with the Securities and Exchange Commission within 120 days after the end of the fiscal year covered by this Annual Report on Form 10-K.</w:t>
      </w:r>
    </w:p>
    <w:p>
      <w:pPr>
        <w:spacing w:after="0" w:line="2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2019 Annual Meeting of Stockholders. The Definitive Proxy Statement will be filed with the Securities and Exchange Commission within 120 days after the end of the fiscal year covered by this Annual Report on Form 10-K.</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37" w:right="399" w:bottom="1440" w:gutter="0" w:footer="0" w:header="0"/>
        </w:sectPr>
      </w:pPr>
    </w:p>
    <w:bookmarkStart w:id="105" w:name="page106"/>
    <w:bookmarkEnd w:id="105"/>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Financial Statements: See “Index to Financial Statements” in Part II, Item 8 of this Annual Report on Form 10-K</w:t>
      </w:r>
    </w:p>
    <w:p>
      <w:pPr>
        <w:spacing w:after="0" w:line="117"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Financial Schedules: All schedules have been omitted because the information called for is not required or is shown either in the financial statements or in the notes thereto.</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Exhibits: The exhibits listed in the accompanying index to exhibits are filed or incorporated by reference as part of this Annual Report on Form 10-K.</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420"/>
          </w:cols>
          <w:pgMar w:left="240" w:top="337" w:right="239" w:bottom="1440" w:gutter="0" w:footer="0" w:header="0"/>
        </w:sect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40" w:type="dxa"/>
            <w:vAlign w:val="bottom"/>
            <w:gridSpan w:val="20"/>
            <w:vMerge w:val="restart"/>
          </w:tcPr>
          <w:p>
            <w:pPr>
              <w:ind w:left="8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2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60" w:type="dxa"/>
            <w:vAlign w:val="bottom"/>
          </w:tcPr>
          <w:p>
            <w:pPr>
              <w:spacing w:after="0"/>
              <w:rPr>
                <w:sz w:val="24"/>
                <w:szCs w:val="24"/>
                <w:color w:val="auto"/>
              </w:rPr>
            </w:pPr>
          </w:p>
        </w:tc>
        <w:tc>
          <w:tcPr>
            <w:tcW w:w="4880" w:type="dxa"/>
            <w:vAlign w:val="bottom"/>
            <w:tcBorders>
              <w:bottom w:val="single" w:sz="8" w:color="0000EE"/>
            </w:tcBorders>
            <w:gridSpan w:val="16"/>
          </w:tcPr>
          <w:p>
            <w:pPr>
              <w:spacing w:after="0"/>
              <w:rPr>
                <w:rFonts w:ascii="Arial" w:cs="Arial" w:eastAsia="Arial" w:hAnsi="Arial"/>
                <w:sz w:val="18"/>
                <w:szCs w:val="18"/>
                <w:color w:val="0000EE"/>
                <w:w w:val="89"/>
              </w:rPr>
            </w:pPr>
            <w:hyperlink r:id="rId127">
              <w:r>
                <w:rPr>
                  <w:rFonts w:ascii="Arial" w:cs="Arial" w:eastAsia="Arial" w:hAnsi="Arial"/>
                  <w:sz w:val="18"/>
                  <w:szCs w:val="18"/>
                  <w:color w:val="0000EE"/>
                  <w:w w:val="89"/>
                </w:rPr>
                <w:t>Stock Purchase Agreement, dated as of July 18, 2017, and between</w:t>
              </w:r>
            </w:hyperlink>
          </w:p>
        </w:tc>
        <w:tc>
          <w:tcPr>
            <w:tcW w:w="4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7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127">
              <w:r>
                <w:rPr>
                  <w:rFonts w:ascii="Arial" w:cs="Arial" w:eastAsia="Arial" w:hAnsi="Arial"/>
                  <w:sz w:val="18"/>
                  <w:szCs w:val="18"/>
                  <w:color w:val="0000EE"/>
                  <w:w w:val="89"/>
                </w:rPr>
                <w:t>Soleno Therapeutics, Inc., a Delaware corporation, and NeoForce</w:t>
              </w:r>
            </w:hyperlink>
          </w:p>
        </w:tc>
        <w:tc>
          <w:tcPr>
            <w:tcW w:w="6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7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Holdings, Inc. a Delaware corporation</w:t>
              </w:r>
            </w:hyperlink>
          </w:p>
        </w:tc>
        <w:tc>
          <w:tcPr>
            <w:tcW w:w="25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60" w:type="dxa"/>
            <w:vAlign w:val="bottom"/>
          </w:tcPr>
          <w:p>
            <w:pPr>
              <w:spacing w:after="0"/>
              <w:rPr>
                <w:sz w:val="24"/>
                <w:szCs w:val="24"/>
                <w:color w:val="auto"/>
              </w:rPr>
            </w:pPr>
          </w:p>
        </w:tc>
        <w:tc>
          <w:tcPr>
            <w:tcW w:w="5320" w:type="dxa"/>
            <w:vAlign w:val="bottom"/>
            <w:gridSpan w:val="23"/>
          </w:tcPr>
          <w:p>
            <w:pPr>
              <w:spacing w:after="0"/>
              <w:rPr>
                <w:rFonts w:ascii="Arial" w:cs="Arial" w:eastAsia="Arial" w:hAnsi="Arial"/>
                <w:sz w:val="18"/>
                <w:szCs w:val="18"/>
                <w:color w:val="0000EE"/>
                <w:w w:val="92"/>
              </w:rPr>
            </w:pPr>
            <w:hyperlink r:id="rId128">
              <w:r>
                <w:rPr>
                  <w:rFonts w:ascii="Arial" w:cs="Arial" w:eastAsia="Arial" w:hAnsi="Arial"/>
                  <w:sz w:val="18"/>
                  <w:szCs w:val="18"/>
                  <w:color w:val="0000EE"/>
                  <w:w w:val="92"/>
                </w:rPr>
                <w:t>Joint Venture Agreement, dated as of December 4, 2017, by and among</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4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28">
              <w:r>
                <w:rPr>
                  <w:rFonts w:ascii="Arial" w:cs="Arial" w:eastAsia="Arial" w:hAnsi="Arial"/>
                  <w:sz w:val="18"/>
                  <w:szCs w:val="18"/>
                  <w:color w:val="0000EE"/>
                  <w:w w:val="90"/>
                </w:rPr>
                <w:t>Soleno Therapeutics, Inc., Capnia, Inc., and OptAsia Healthcare Limited</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60" w:type="dxa"/>
            <w:vAlign w:val="bottom"/>
          </w:tcPr>
          <w:p>
            <w:pPr>
              <w:spacing w:after="0"/>
              <w:rPr>
                <w:sz w:val="24"/>
                <w:szCs w:val="24"/>
                <w:color w:val="auto"/>
              </w:rPr>
            </w:pPr>
          </w:p>
        </w:tc>
        <w:tc>
          <w:tcPr>
            <w:tcW w:w="4900" w:type="dxa"/>
            <w:vAlign w:val="bottom"/>
            <w:tcBorders>
              <w:bottom w:val="single" w:sz="8" w:color="0000EE"/>
            </w:tcBorders>
            <w:gridSpan w:val="17"/>
          </w:tcPr>
          <w:p>
            <w:pPr>
              <w:spacing w:after="0"/>
              <w:rPr>
                <w:rFonts w:ascii="Arial" w:cs="Arial" w:eastAsia="Arial" w:hAnsi="Arial"/>
                <w:sz w:val="18"/>
                <w:szCs w:val="18"/>
                <w:color w:val="0000EE"/>
                <w:w w:val="88"/>
              </w:rPr>
            </w:pPr>
            <w:hyperlink r:id="rId129">
              <w:r>
                <w:rPr>
                  <w:rFonts w:ascii="Arial" w:cs="Arial" w:eastAsia="Arial" w:hAnsi="Arial"/>
                  <w:sz w:val="18"/>
                  <w:szCs w:val="18"/>
                  <w:color w:val="0000EE"/>
                  <w:w w:val="88"/>
                </w:rPr>
                <w:t>PRC IP Purchase Agreement, dated as of December 4, 2017, by and</w:t>
              </w:r>
            </w:hyperlink>
          </w:p>
        </w:tc>
        <w:tc>
          <w:tcPr>
            <w:tcW w:w="4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20" w:type="dxa"/>
            <w:vAlign w:val="bottom"/>
            <w:gridSpan w:val="23"/>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between OptAsia Healthcare Limited and Capnia, Inc.</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60" w:type="dxa"/>
            <w:vAlign w:val="bottom"/>
          </w:tcPr>
          <w:p>
            <w:pPr>
              <w:spacing w:after="0"/>
              <w:rPr>
                <w:sz w:val="24"/>
                <w:szCs w:val="24"/>
                <w:color w:val="auto"/>
              </w:rPr>
            </w:pPr>
          </w:p>
        </w:tc>
        <w:tc>
          <w:tcPr>
            <w:tcW w:w="5320" w:type="dxa"/>
            <w:vAlign w:val="bottom"/>
            <w:gridSpan w:val="23"/>
          </w:tcPr>
          <w:p>
            <w:pPr>
              <w:spacing w:after="0"/>
              <w:rPr>
                <w:rFonts w:ascii="Arial" w:cs="Arial" w:eastAsia="Arial" w:hAnsi="Arial"/>
                <w:sz w:val="18"/>
                <w:szCs w:val="18"/>
                <w:color w:val="0000EE"/>
                <w:w w:val="94"/>
              </w:rPr>
            </w:pPr>
            <w:hyperlink r:id="rId130">
              <w:r>
                <w:rPr>
                  <w:rFonts w:ascii="Arial" w:cs="Arial" w:eastAsia="Arial" w:hAnsi="Arial"/>
                  <w:sz w:val="18"/>
                  <w:szCs w:val="18"/>
                  <w:color w:val="0000EE"/>
                  <w:w w:val="94"/>
                </w:rPr>
                <w:t>Transition Services Agreement, dated as of December 4, 2017, by and</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among Soleno Therapeutics, Inc., a Delaware corporation, Capnia, Inc.</w:t>
              </w:r>
            </w:hyperlink>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and OptAsia Healthcare, Ltd., a Hong Kong company</w:t>
              </w:r>
            </w:hyperlink>
          </w:p>
        </w:tc>
        <w:tc>
          <w:tcPr>
            <w:tcW w:w="14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60" w:type="dxa"/>
            <w:vAlign w:val="bottom"/>
          </w:tcPr>
          <w:p>
            <w:pPr>
              <w:spacing w:after="0"/>
              <w:rPr>
                <w:sz w:val="24"/>
                <w:szCs w:val="24"/>
                <w:color w:val="auto"/>
              </w:rPr>
            </w:pPr>
          </w:p>
        </w:tc>
        <w:tc>
          <w:tcPr>
            <w:tcW w:w="5320" w:type="dxa"/>
            <w:vAlign w:val="bottom"/>
            <w:gridSpan w:val="23"/>
          </w:tcPr>
          <w:p>
            <w:pPr>
              <w:spacing w:after="0"/>
              <w:rPr>
                <w:rFonts w:ascii="Arial" w:cs="Arial" w:eastAsia="Arial" w:hAnsi="Arial"/>
                <w:sz w:val="18"/>
                <w:szCs w:val="18"/>
                <w:color w:val="0000EE"/>
              </w:rPr>
            </w:pPr>
            <w:hyperlink r:id="rId131">
              <w:r>
                <w:rPr>
                  <w:rFonts w:ascii="Arial" w:cs="Arial" w:eastAsia="Arial" w:hAnsi="Arial"/>
                  <w:sz w:val="18"/>
                  <w:szCs w:val="18"/>
                  <w:color w:val="0000EE"/>
                </w:rPr>
                <w:t>Amended and Restated Certificate of Incorporation of Soleno</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Therapeutics, Inc.</w:t>
              </w:r>
            </w:hyperlink>
          </w:p>
        </w:tc>
        <w:tc>
          <w:tcPr>
            <w:tcW w:w="9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60" w:type="dxa"/>
            <w:vAlign w:val="bottom"/>
          </w:tcPr>
          <w:p>
            <w:pPr>
              <w:spacing w:after="0"/>
              <w:rPr>
                <w:sz w:val="24"/>
                <w:szCs w:val="24"/>
                <w:color w:val="auto"/>
              </w:rPr>
            </w:pPr>
          </w:p>
        </w:tc>
        <w:tc>
          <w:tcPr>
            <w:tcW w:w="5320" w:type="dxa"/>
            <w:vAlign w:val="bottom"/>
            <w:gridSpan w:val="23"/>
          </w:tcPr>
          <w:p>
            <w:pPr>
              <w:spacing w:after="0"/>
              <w:rPr>
                <w:rFonts w:ascii="Arial" w:cs="Arial" w:eastAsia="Arial" w:hAnsi="Arial"/>
                <w:sz w:val="18"/>
                <w:szCs w:val="18"/>
                <w:color w:val="0000EE"/>
              </w:rPr>
            </w:pPr>
            <w:hyperlink r:id="rId132">
              <w:r>
                <w:rPr>
                  <w:rFonts w:ascii="Arial" w:cs="Arial" w:eastAsia="Arial" w:hAnsi="Arial"/>
                  <w:sz w:val="18"/>
                  <w:szCs w:val="18"/>
                  <w:color w:val="0000EE"/>
                </w:rPr>
                <w:t>Amended and Restated Bylaws of Soleno Therapeutics, Inc.</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60" w:type="dxa"/>
            <w:vAlign w:val="bottom"/>
          </w:tcPr>
          <w:p>
            <w:pPr>
              <w:spacing w:after="0"/>
              <w:rPr>
                <w:sz w:val="24"/>
                <w:szCs w:val="24"/>
                <w:color w:val="auto"/>
              </w:rPr>
            </w:pPr>
          </w:p>
        </w:tc>
        <w:tc>
          <w:tcPr>
            <w:tcW w:w="4880" w:type="dxa"/>
            <w:vAlign w:val="bottom"/>
            <w:tcBorders>
              <w:bottom w:val="single" w:sz="8" w:color="0000EE"/>
            </w:tcBorders>
            <w:gridSpan w:val="16"/>
          </w:tcPr>
          <w:p>
            <w:pPr>
              <w:spacing w:after="0"/>
              <w:rPr>
                <w:rFonts w:ascii="Arial" w:cs="Arial" w:eastAsia="Arial" w:hAnsi="Arial"/>
                <w:sz w:val="18"/>
                <w:szCs w:val="18"/>
                <w:color w:val="0000EE"/>
                <w:w w:val="91"/>
              </w:rPr>
            </w:pPr>
            <w:hyperlink r:id="rId133">
              <w:r>
                <w:rPr>
                  <w:rFonts w:ascii="Arial" w:cs="Arial" w:eastAsia="Arial" w:hAnsi="Arial"/>
                  <w:sz w:val="18"/>
                  <w:szCs w:val="18"/>
                  <w:color w:val="0000EE"/>
                  <w:w w:val="91"/>
                </w:rPr>
                <w:t>Certificate of Designation of Preferences, Rights and Limitations of</w:t>
              </w:r>
            </w:hyperlink>
          </w:p>
        </w:tc>
        <w:tc>
          <w:tcPr>
            <w:tcW w:w="4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20" w:type="dxa"/>
            <w:vAlign w:val="bottom"/>
            <w:gridSpan w:val="23"/>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Series A Convertible Preferred Stock.</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60" w:type="dxa"/>
            <w:vAlign w:val="bottom"/>
          </w:tcPr>
          <w:p>
            <w:pPr>
              <w:spacing w:after="0"/>
              <w:rPr>
                <w:sz w:val="24"/>
                <w:szCs w:val="24"/>
                <w:color w:val="auto"/>
              </w:rPr>
            </w:pPr>
          </w:p>
        </w:tc>
        <w:tc>
          <w:tcPr>
            <w:tcW w:w="4880" w:type="dxa"/>
            <w:vAlign w:val="bottom"/>
            <w:tcBorders>
              <w:bottom w:val="single" w:sz="8" w:color="0000EE"/>
            </w:tcBorders>
            <w:gridSpan w:val="16"/>
          </w:tcPr>
          <w:p>
            <w:pPr>
              <w:spacing w:after="0"/>
              <w:rPr>
                <w:rFonts w:ascii="Arial" w:cs="Arial" w:eastAsia="Arial" w:hAnsi="Arial"/>
                <w:sz w:val="18"/>
                <w:szCs w:val="18"/>
                <w:color w:val="0000EE"/>
                <w:w w:val="91"/>
              </w:rPr>
            </w:pPr>
            <w:hyperlink r:id="rId134">
              <w:r>
                <w:rPr>
                  <w:rFonts w:ascii="Arial" w:cs="Arial" w:eastAsia="Arial" w:hAnsi="Arial"/>
                  <w:sz w:val="18"/>
                  <w:szCs w:val="18"/>
                  <w:color w:val="0000EE"/>
                  <w:w w:val="91"/>
                </w:rPr>
                <w:t>Certificate of Designation of Preferences, Rights and Limitations of</w:t>
              </w:r>
            </w:hyperlink>
          </w:p>
        </w:tc>
        <w:tc>
          <w:tcPr>
            <w:tcW w:w="4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20" w:type="dxa"/>
            <w:vAlign w:val="bottom"/>
            <w:gridSpan w:val="23"/>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Series B Convertible Preferred Stock</w:t>
              </w:r>
            </w:hyperlink>
          </w:p>
        </w:tc>
        <w:tc>
          <w:tcPr>
            <w:tcW w:w="0" w:type="dxa"/>
            <w:vAlign w:val="bottom"/>
          </w:tcPr>
          <w:p>
            <w:pPr>
              <w:spacing w:after="0"/>
              <w:rPr>
                <w:sz w:val="1"/>
                <w:szCs w:val="1"/>
                <w:color w:val="auto"/>
              </w:rPr>
            </w:pPr>
          </w:p>
        </w:tc>
      </w:tr>
      <w:tr>
        <w:trPr>
          <w:trHeight w:val="412"/>
        </w:trPr>
        <w:tc>
          <w:tcPr>
            <w:tcW w:w="86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60" w:type="dxa"/>
            <w:vAlign w:val="bottom"/>
          </w:tcPr>
          <w:p>
            <w:pPr>
              <w:spacing w:after="0"/>
              <w:rPr>
                <w:sz w:val="24"/>
                <w:szCs w:val="24"/>
                <w:color w:val="auto"/>
              </w:rPr>
            </w:pPr>
          </w:p>
        </w:tc>
        <w:tc>
          <w:tcPr>
            <w:tcW w:w="2700" w:type="dxa"/>
            <w:vAlign w:val="bottom"/>
            <w:tcBorders>
              <w:top w:val="single" w:sz="8" w:color="0000EE"/>
            </w:tcBorders>
            <w:gridSpan w:val="4"/>
          </w:tcPr>
          <w:p>
            <w:pPr>
              <w:spacing w:after="0"/>
              <w:rPr>
                <w:rFonts w:ascii="Arial" w:cs="Arial" w:eastAsia="Arial" w:hAnsi="Arial"/>
                <w:sz w:val="18"/>
                <w:szCs w:val="18"/>
                <w:color w:val="0000EE"/>
              </w:rPr>
            </w:pPr>
            <w:hyperlink r:id="rId135">
              <w:r>
                <w:rPr>
                  <w:rFonts w:ascii="Arial" w:cs="Arial" w:eastAsia="Arial" w:hAnsi="Arial"/>
                  <w:sz w:val="18"/>
                  <w:szCs w:val="18"/>
                  <w:color w:val="0000EE"/>
                </w:rPr>
                <w:t>Certificate of Amendment</w:t>
              </w:r>
            </w:hyperlink>
          </w:p>
        </w:tc>
        <w:tc>
          <w:tcPr>
            <w:tcW w:w="262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60" w:type="dxa"/>
            <w:vAlign w:val="bottom"/>
          </w:tcPr>
          <w:p>
            <w:pPr>
              <w:spacing w:after="0"/>
              <w:rPr>
                <w:sz w:val="24"/>
                <w:szCs w:val="24"/>
                <w:color w:val="auto"/>
              </w:rPr>
            </w:pPr>
          </w:p>
        </w:tc>
        <w:tc>
          <w:tcPr>
            <w:tcW w:w="4360" w:type="dxa"/>
            <w:vAlign w:val="bottom"/>
            <w:tcBorders>
              <w:bottom w:val="single" w:sz="8" w:color="0000EE"/>
            </w:tcBorders>
            <w:gridSpan w:val="12"/>
          </w:tcPr>
          <w:p>
            <w:pPr>
              <w:spacing w:after="0"/>
              <w:rPr>
                <w:rFonts w:ascii="Arial" w:cs="Arial" w:eastAsia="Arial" w:hAnsi="Arial"/>
                <w:sz w:val="18"/>
                <w:szCs w:val="18"/>
                <w:color w:val="0000EE"/>
                <w:w w:val="92"/>
              </w:rPr>
            </w:pPr>
            <w:hyperlink r:id="rId136">
              <w:r>
                <w:rPr>
                  <w:rFonts w:ascii="Arial" w:cs="Arial" w:eastAsia="Arial" w:hAnsi="Arial"/>
                  <w:sz w:val="18"/>
                  <w:szCs w:val="18"/>
                  <w:color w:val="0000EE"/>
                  <w:w w:val="92"/>
                </w:rPr>
                <w:t>Certificate of Amendment to the Certificate of Incorporation</w:t>
              </w:r>
            </w:hyperlink>
          </w:p>
        </w:tc>
        <w:tc>
          <w:tcPr>
            <w:tcW w:w="9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60" w:type="dxa"/>
            <w:vAlign w:val="bottom"/>
          </w:tcPr>
          <w:p>
            <w:pPr>
              <w:spacing w:after="0"/>
              <w:rPr>
                <w:sz w:val="24"/>
                <w:szCs w:val="24"/>
                <w:color w:val="auto"/>
              </w:rPr>
            </w:pPr>
          </w:p>
        </w:tc>
        <w:tc>
          <w:tcPr>
            <w:tcW w:w="2760" w:type="dxa"/>
            <w:vAlign w:val="bottom"/>
            <w:tcBorders>
              <w:bottom w:val="single" w:sz="8" w:color="0000EE"/>
            </w:tcBorders>
            <w:gridSpan w:val="6"/>
          </w:tcPr>
          <w:p>
            <w:pPr>
              <w:spacing w:after="0"/>
              <w:rPr>
                <w:rFonts w:ascii="Arial" w:cs="Arial" w:eastAsia="Arial" w:hAnsi="Arial"/>
                <w:sz w:val="18"/>
                <w:szCs w:val="18"/>
                <w:color w:val="0000EE"/>
                <w:w w:val="91"/>
              </w:rPr>
            </w:pPr>
            <w:hyperlink r:id="rId137">
              <w:r>
                <w:rPr>
                  <w:rFonts w:ascii="Arial" w:cs="Arial" w:eastAsia="Arial" w:hAnsi="Arial"/>
                  <w:sz w:val="18"/>
                  <w:szCs w:val="18"/>
                  <w:color w:val="0000EE"/>
                  <w:w w:val="91"/>
                </w:rPr>
                <w:t>Form of the common stock certificate.</w:t>
              </w:r>
            </w:hyperlink>
          </w:p>
        </w:tc>
        <w:tc>
          <w:tcPr>
            <w:tcW w:w="256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60" w:type="dxa"/>
            <w:vAlign w:val="bottom"/>
          </w:tcPr>
          <w:p>
            <w:pPr>
              <w:spacing w:after="0"/>
              <w:rPr>
                <w:sz w:val="24"/>
                <w:szCs w:val="24"/>
                <w:color w:val="auto"/>
              </w:rPr>
            </w:pPr>
          </w:p>
        </w:tc>
        <w:tc>
          <w:tcPr>
            <w:tcW w:w="5320" w:type="dxa"/>
            <w:vAlign w:val="bottom"/>
            <w:gridSpan w:val="23"/>
          </w:tcPr>
          <w:p>
            <w:pPr>
              <w:spacing w:after="0"/>
              <w:rPr>
                <w:rFonts w:ascii="Arial" w:cs="Arial" w:eastAsia="Arial" w:hAnsi="Arial"/>
                <w:sz w:val="18"/>
                <w:szCs w:val="18"/>
                <w:color w:val="0000EE"/>
                <w:w w:val="94"/>
              </w:rPr>
            </w:pPr>
            <w:hyperlink r:id="rId138">
              <w:r>
                <w:rPr>
                  <w:rFonts w:ascii="Arial" w:cs="Arial" w:eastAsia="Arial" w:hAnsi="Arial"/>
                  <w:sz w:val="18"/>
                  <w:szCs w:val="18"/>
                  <w:color w:val="0000EE"/>
                  <w:w w:val="94"/>
                </w:rPr>
                <w:t>Amended And Restated Investors’ Rights Agreement, dated March 20,</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4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20" w:type="dxa"/>
            <w:vAlign w:val="bottom"/>
            <w:gridSpan w:val="23"/>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2008, by and among Soleno Therapeutics, Inc. and certain holders of the</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r:id="rId138">
              <w:r>
                <w:rPr>
                  <w:rFonts w:ascii="Arial" w:cs="Arial" w:eastAsia="Arial" w:hAnsi="Arial"/>
                  <w:sz w:val="18"/>
                  <w:szCs w:val="18"/>
                  <w:color w:val="0000EE"/>
                  <w:w w:val="89"/>
                </w:rPr>
                <w:t>Soleno Therapeutics, Inc.’s capital stock named therein.</w:t>
              </w:r>
            </w:hyperlink>
          </w:p>
        </w:tc>
        <w:tc>
          <w:tcPr>
            <w:tcW w:w="1200" w:type="dxa"/>
            <w:vAlign w:val="bottom"/>
            <w:tcBorders>
              <w:top w:val="single" w:sz="8" w:color="0000EE"/>
            </w:tcBorders>
            <w:gridSpan w:val="11"/>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60" w:type="dxa"/>
            <w:vAlign w:val="bottom"/>
          </w:tcPr>
          <w:p>
            <w:pPr>
              <w:spacing w:after="0"/>
              <w:rPr>
                <w:sz w:val="24"/>
                <w:szCs w:val="24"/>
                <w:color w:val="auto"/>
              </w:rPr>
            </w:pPr>
          </w:p>
        </w:tc>
        <w:tc>
          <w:tcPr>
            <w:tcW w:w="5320" w:type="dxa"/>
            <w:vAlign w:val="bottom"/>
            <w:gridSpan w:val="23"/>
          </w:tcPr>
          <w:p>
            <w:pPr>
              <w:spacing w:after="0"/>
              <w:rPr>
                <w:rFonts w:ascii="Arial" w:cs="Arial" w:eastAsia="Arial" w:hAnsi="Arial"/>
                <w:sz w:val="18"/>
                <w:szCs w:val="18"/>
                <w:color w:val="0000EE"/>
              </w:rPr>
            </w:pPr>
            <w:hyperlink r:id="rId139">
              <w:r>
                <w:rPr>
                  <w:rFonts w:ascii="Arial" w:cs="Arial" w:eastAsia="Arial" w:hAnsi="Arial"/>
                  <w:sz w:val="18"/>
                  <w:szCs w:val="18"/>
                  <w:color w:val="0000EE"/>
                </w:rPr>
                <w:t>Form of Series A Warrant Agreement.</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40" w:type="dxa"/>
            <w:vAlign w:val="bottom"/>
            <w:gridSpan w:val="5"/>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60" w:type="dxa"/>
            <w:vAlign w:val="bottom"/>
          </w:tcPr>
          <w:p>
            <w:pPr>
              <w:spacing w:after="0"/>
              <w:rPr>
                <w:sz w:val="24"/>
                <w:szCs w:val="24"/>
                <w:color w:val="auto"/>
              </w:rPr>
            </w:pPr>
          </w:p>
        </w:tc>
        <w:tc>
          <w:tcPr>
            <w:tcW w:w="2940" w:type="dxa"/>
            <w:vAlign w:val="bottom"/>
            <w:tcBorders>
              <w:bottom w:val="single" w:sz="8" w:color="0000EE"/>
            </w:tcBorders>
            <w:gridSpan w:val="7"/>
          </w:tcPr>
          <w:p>
            <w:pPr>
              <w:spacing w:after="0"/>
              <w:rPr>
                <w:rFonts w:ascii="Arial" w:cs="Arial" w:eastAsia="Arial" w:hAnsi="Arial"/>
                <w:sz w:val="18"/>
                <w:szCs w:val="18"/>
                <w:color w:val="0000EE"/>
                <w:w w:val="90"/>
              </w:rPr>
            </w:pPr>
            <w:hyperlink r:id="rId140">
              <w:r>
                <w:rPr>
                  <w:rFonts w:ascii="Arial" w:cs="Arial" w:eastAsia="Arial" w:hAnsi="Arial"/>
                  <w:sz w:val="18"/>
                  <w:szCs w:val="18"/>
                  <w:color w:val="0000EE"/>
                  <w:w w:val="90"/>
                </w:rPr>
                <w:t>Form of the Series A Warrant certificate.</w:t>
              </w:r>
            </w:hyperlink>
          </w:p>
        </w:tc>
        <w:tc>
          <w:tcPr>
            <w:tcW w:w="23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6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60" w:type="dxa"/>
            <w:vAlign w:val="bottom"/>
          </w:tcPr>
          <w:p>
            <w:pPr>
              <w:spacing w:after="0"/>
              <w:rPr>
                <w:sz w:val="24"/>
                <w:szCs w:val="24"/>
                <w:color w:val="auto"/>
              </w:rPr>
            </w:pPr>
          </w:p>
        </w:tc>
        <w:tc>
          <w:tcPr>
            <w:tcW w:w="5320" w:type="dxa"/>
            <w:vAlign w:val="bottom"/>
            <w:gridSpan w:val="23"/>
          </w:tcPr>
          <w:p>
            <w:pPr>
              <w:spacing w:after="0"/>
              <w:rPr>
                <w:rFonts w:ascii="Arial" w:cs="Arial" w:eastAsia="Arial" w:hAnsi="Arial"/>
                <w:sz w:val="18"/>
                <w:szCs w:val="18"/>
                <w:color w:val="0000EE"/>
              </w:rPr>
            </w:pPr>
            <w:hyperlink r:id="rId141">
              <w:r>
                <w:rPr>
                  <w:rFonts w:ascii="Arial" w:cs="Arial" w:eastAsia="Arial" w:hAnsi="Arial"/>
                  <w:sz w:val="18"/>
                  <w:szCs w:val="18"/>
                  <w:color w:val="0000EE"/>
                </w:rPr>
                <w:t>Form of Underwriters’ Compensation Warrant.</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80" w:type="dxa"/>
            <w:vAlign w:val="bottom"/>
            <w:gridSpan w:val="8"/>
            <w:shd w:val="clear" w:color="auto" w:fill="0000EE"/>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60" w:type="dxa"/>
            <w:vAlign w:val="bottom"/>
          </w:tcPr>
          <w:p>
            <w:pPr>
              <w:spacing w:after="0"/>
              <w:rPr>
                <w:sz w:val="24"/>
                <w:szCs w:val="24"/>
                <w:color w:val="auto"/>
              </w:rPr>
            </w:pPr>
          </w:p>
        </w:tc>
        <w:tc>
          <w:tcPr>
            <w:tcW w:w="4820" w:type="dxa"/>
            <w:vAlign w:val="bottom"/>
            <w:tcBorders>
              <w:bottom w:val="single" w:sz="8" w:color="0000EE"/>
            </w:tcBorders>
            <w:gridSpan w:val="15"/>
          </w:tcPr>
          <w:p>
            <w:pPr>
              <w:spacing w:after="0"/>
              <w:rPr>
                <w:rFonts w:ascii="Arial" w:cs="Arial" w:eastAsia="Arial" w:hAnsi="Arial"/>
                <w:sz w:val="18"/>
                <w:szCs w:val="18"/>
                <w:color w:val="0000EE"/>
                <w:w w:val="90"/>
              </w:rPr>
            </w:pPr>
            <w:hyperlink r:id="rId142">
              <w:r>
                <w:rPr>
                  <w:rFonts w:ascii="Arial" w:cs="Arial" w:eastAsia="Arial" w:hAnsi="Arial"/>
                  <w:sz w:val="18"/>
                  <w:szCs w:val="18"/>
                  <w:color w:val="0000EE"/>
                  <w:w w:val="90"/>
                </w:rPr>
                <w:t>Form of Convertible Promissory Note issued in February 2010 and</w:t>
              </w:r>
            </w:hyperlink>
          </w:p>
        </w:tc>
        <w:tc>
          <w:tcPr>
            <w:tcW w:w="5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20" w:type="dxa"/>
            <w:vAlign w:val="bottom"/>
            <w:gridSpan w:val="23"/>
          </w:tcPr>
          <w:p>
            <w:pPr>
              <w:spacing w:after="0" w:line="196" w:lineRule="exact"/>
              <w:rPr>
                <w:rFonts w:ascii="Arial" w:cs="Arial" w:eastAsia="Arial" w:hAnsi="Arial"/>
                <w:sz w:val="18"/>
                <w:szCs w:val="18"/>
                <w:color w:val="0000EE"/>
                <w:w w:val="99"/>
              </w:rPr>
            </w:pPr>
            <w:hyperlink r:id="rId142">
              <w:r>
                <w:rPr>
                  <w:rFonts w:ascii="Arial" w:cs="Arial" w:eastAsia="Arial" w:hAnsi="Arial"/>
                  <w:sz w:val="18"/>
                  <w:szCs w:val="18"/>
                  <w:color w:val="0000EE"/>
                  <w:w w:val="99"/>
                </w:rPr>
                <w:t>March 2010 in connection with the 2010 convertible note financing.</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880" w:type="dxa"/>
            <w:vAlign w:val="bottom"/>
            <w:gridSpan w:val="1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5060" w:type="dxa"/>
            <w:vAlign w:val="bottom"/>
            <w:gridSpan w:val="17"/>
          </w:tcPr>
          <w:p>
            <w:pPr>
              <w:jc w:val="right"/>
              <w:ind w:right="160"/>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Incorporated by Reference from</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3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Registrant’s</w:t>
            </w:r>
          </w:p>
        </w:tc>
        <w:tc>
          <w:tcPr>
            <w:tcW w:w="2160" w:type="dxa"/>
            <w:vAlign w:val="bottom"/>
            <w:tcBorders>
              <w:top w:val="single" w:sz="8" w:color="auto"/>
            </w:tcBorders>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Date Filed</w:t>
            </w:r>
          </w:p>
        </w:tc>
        <w:tc>
          <w:tcPr>
            <w:tcW w:w="780" w:type="dxa"/>
            <w:vAlign w:val="bottom"/>
            <w:tcBorders>
              <w:top w:val="single" w:sz="8" w:color="auto"/>
            </w:tcBorders>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Exhibit</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Filed</w:t>
            </w:r>
          </w:p>
        </w:tc>
      </w:tr>
      <w:tr>
        <w:trPr>
          <w:trHeight w:val="171"/>
        </w:trPr>
        <w:tc>
          <w:tcPr>
            <w:tcW w:w="1300" w:type="dxa"/>
            <w:vAlign w:val="bottom"/>
            <w:tcBorders>
              <w:bottom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7"/>
              </w:rPr>
              <w:t>Form</w:t>
            </w:r>
          </w:p>
        </w:tc>
        <w:tc>
          <w:tcPr>
            <w:tcW w:w="60" w:type="dxa"/>
            <w:vAlign w:val="bottom"/>
          </w:tcPr>
          <w:p>
            <w:pPr>
              <w:spacing w:after="0"/>
              <w:rPr>
                <w:sz w:val="14"/>
                <w:szCs w:val="14"/>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with the SEC</w:t>
            </w:r>
          </w:p>
        </w:tc>
        <w:tc>
          <w:tcPr>
            <w:tcW w:w="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r>
    </w:tbl>
    <w:p>
      <w:pPr>
        <w:spacing w:after="0" w:line="200" w:lineRule="exact"/>
        <w:rPr>
          <w:sz w:val="20"/>
          <w:szCs w:val="20"/>
          <w:color w:val="auto"/>
        </w:rPr>
      </w:pPr>
    </w:p>
    <w:p>
      <w:pPr>
        <w:spacing w:after="0" w:line="33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8-K</w:t>
            </w:r>
          </w:p>
        </w:tc>
        <w:tc>
          <w:tcPr>
            <w:tcW w:w="2300" w:type="dxa"/>
            <w:vAlign w:val="bottom"/>
          </w:tcPr>
          <w:p>
            <w:pPr>
              <w:ind w:left="440"/>
              <w:spacing w:after="0"/>
              <w:rPr>
                <w:sz w:val="20"/>
                <w:szCs w:val="20"/>
                <w:color w:val="auto"/>
              </w:rPr>
            </w:pPr>
            <w:r>
              <w:rPr>
                <w:rFonts w:ascii="Arial" w:cs="Arial" w:eastAsia="Arial" w:hAnsi="Arial"/>
                <w:sz w:val="18"/>
                <w:szCs w:val="18"/>
                <w:color w:val="auto"/>
              </w:rPr>
              <w:t>July 24, 2017</w:t>
            </w: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648"/>
        </w:trPr>
        <w:tc>
          <w:tcPr>
            <w:tcW w:w="860" w:type="dxa"/>
            <w:vAlign w:val="bottom"/>
          </w:tcPr>
          <w:p>
            <w:pPr>
              <w:spacing w:after="0"/>
              <w:rPr>
                <w:sz w:val="20"/>
                <w:szCs w:val="20"/>
                <w:color w:val="auto"/>
              </w:rPr>
            </w:pPr>
            <w:r>
              <w:rPr>
                <w:rFonts w:ascii="Arial" w:cs="Arial" w:eastAsia="Arial" w:hAnsi="Arial"/>
                <w:sz w:val="18"/>
                <w:szCs w:val="18"/>
                <w:color w:val="auto"/>
              </w:rPr>
              <w:t>8-K</w:t>
            </w:r>
          </w:p>
        </w:tc>
        <w:tc>
          <w:tcPr>
            <w:tcW w:w="2300" w:type="dxa"/>
            <w:vAlign w:val="bottom"/>
          </w:tcPr>
          <w:p>
            <w:pPr>
              <w:ind w:left="440"/>
              <w:spacing w:after="0"/>
              <w:rPr>
                <w:sz w:val="20"/>
                <w:szCs w:val="20"/>
                <w:color w:val="auto"/>
              </w:rPr>
            </w:pPr>
            <w:r>
              <w:rPr>
                <w:rFonts w:ascii="Arial" w:cs="Arial" w:eastAsia="Arial" w:hAnsi="Arial"/>
                <w:sz w:val="18"/>
                <w:szCs w:val="18"/>
                <w:color w:val="auto"/>
              </w:rPr>
              <w:t>December 8, 2017</w:t>
            </w: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648"/>
        </w:trPr>
        <w:tc>
          <w:tcPr>
            <w:tcW w:w="860" w:type="dxa"/>
            <w:vAlign w:val="bottom"/>
          </w:tcPr>
          <w:p>
            <w:pPr>
              <w:spacing w:after="0"/>
              <w:rPr>
                <w:sz w:val="20"/>
                <w:szCs w:val="20"/>
                <w:color w:val="auto"/>
              </w:rPr>
            </w:pPr>
            <w:r>
              <w:rPr>
                <w:rFonts w:ascii="Arial" w:cs="Arial" w:eastAsia="Arial" w:hAnsi="Arial"/>
                <w:sz w:val="18"/>
                <w:szCs w:val="18"/>
                <w:color w:val="auto"/>
              </w:rPr>
              <w:t>8-K</w:t>
            </w:r>
          </w:p>
        </w:tc>
        <w:tc>
          <w:tcPr>
            <w:tcW w:w="2300" w:type="dxa"/>
            <w:vAlign w:val="bottom"/>
          </w:tcPr>
          <w:p>
            <w:pPr>
              <w:ind w:left="440"/>
              <w:spacing w:after="0"/>
              <w:rPr>
                <w:sz w:val="20"/>
                <w:szCs w:val="20"/>
                <w:color w:val="auto"/>
              </w:rPr>
            </w:pPr>
            <w:r>
              <w:rPr>
                <w:rFonts w:ascii="Arial" w:cs="Arial" w:eastAsia="Arial" w:hAnsi="Arial"/>
                <w:sz w:val="18"/>
                <w:szCs w:val="18"/>
                <w:color w:val="auto"/>
              </w:rPr>
              <w:t>December 8, 2017</w:t>
            </w: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864"/>
        </w:trPr>
        <w:tc>
          <w:tcPr>
            <w:tcW w:w="860" w:type="dxa"/>
            <w:vAlign w:val="bottom"/>
          </w:tcPr>
          <w:p>
            <w:pPr>
              <w:spacing w:after="0"/>
              <w:rPr>
                <w:sz w:val="20"/>
                <w:szCs w:val="20"/>
                <w:color w:val="auto"/>
              </w:rPr>
            </w:pPr>
            <w:r>
              <w:rPr>
                <w:rFonts w:ascii="Arial" w:cs="Arial" w:eastAsia="Arial" w:hAnsi="Arial"/>
                <w:sz w:val="18"/>
                <w:szCs w:val="18"/>
                <w:color w:val="auto"/>
              </w:rPr>
              <w:t>8-K</w:t>
            </w:r>
          </w:p>
        </w:tc>
        <w:tc>
          <w:tcPr>
            <w:tcW w:w="2300" w:type="dxa"/>
            <w:vAlign w:val="bottom"/>
          </w:tcPr>
          <w:p>
            <w:pPr>
              <w:ind w:left="440"/>
              <w:spacing w:after="0"/>
              <w:rPr>
                <w:sz w:val="20"/>
                <w:szCs w:val="20"/>
                <w:color w:val="auto"/>
              </w:rPr>
            </w:pPr>
            <w:r>
              <w:rPr>
                <w:rFonts w:ascii="Arial" w:cs="Arial" w:eastAsia="Arial" w:hAnsi="Arial"/>
                <w:sz w:val="18"/>
                <w:szCs w:val="18"/>
                <w:color w:val="auto"/>
              </w:rPr>
              <w:t>December 8, 2017</w:t>
            </w: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648"/>
        </w:trPr>
        <w:tc>
          <w:tcPr>
            <w:tcW w:w="860" w:type="dxa"/>
            <w:vAlign w:val="bottom"/>
          </w:tcPr>
          <w:p>
            <w:pPr>
              <w:spacing w:after="0"/>
              <w:rPr>
                <w:sz w:val="20"/>
                <w:szCs w:val="20"/>
                <w:color w:val="auto"/>
              </w:rPr>
            </w:pPr>
            <w:r>
              <w:rPr>
                <w:rFonts w:ascii="Arial" w:cs="Arial" w:eastAsia="Arial" w:hAnsi="Arial"/>
                <w:sz w:val="18"/>
                <w:szCs w:val="18"/>
                <w:color w:val="auto"/>
              </w:rPr>
              <w:t>S-1/A</w:t>
            </w:r>
          </w:p>
        </w:tc>
        <w:tc>
          <w:tcPr>
            <w:tcW w:w="2300" w:type="dxa"/>
            <w:vAlign w:val="bottom"/>
          </w:tcPr>
          <w:p>
            <w:pPr>
              <w:ind w:left="440"/>
              <w:spacing w:after="0"/>
              <w:rPr>
                <w:sz w:val="20"/>
                <w:szCs w:val="20"/>
                <w:color w:val="auto"/>
              </w:rPr>
            </w:pPr>
            <w:r>
              <w:rPr>
                <w:rFonts w:ascii="Arial" w:cs="Arial" w:eastAsia="Arial" w:hAnsi="Arial"/>
                <w:sz w:val="18"/>
                <w:szCs w:val="18"/>
                <w:color w:val="auto"/>
              </w:rPr>
              <w:t>August 7, 2014</w:t>
            </w: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S-1/A</w:t>
            </w:r>
          </w:p>
        </w:tc>
        <w:tc>
          <w:tcPr>
            <w:tcW w:w="2300" w:type="dxa"/>
            <w:vAlign w:val="bottom"/>
          </w:tcPr>
          <w:p>
            <w:pPr>
              <w:ind w:left="440"/>
              <w:spacing w:after="0"/>
              <w:rPr>
                <w:sz w:val="20"/>
                <w:szCs w:val="20"/>
                <w:color w:val="auto"/>
              </w:rPr>
            </w:pPr>
            <w:r>
              <w:rPr>
                <w:rFonts w:ascii="Arial" w:cs="Arial" w:eastAsia="Arial" w:hAnsi="Arial"/>
                <w:sz w:val="18"/>
                <w:szCs w:val="18"/>
                <w:color w:val="auto"/>
              </w:rPr>
              <w:t>July 1, 2014</w:t>
            </w: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648"/>
        </w:trPr>
        <w:tc>
          <w:tcPr>
            <w:tcW w:w="860" w:type="dxa"/>
            <w:vAlign w:val="bottom"/>
          </w:tcPr>
          <w:p>
            <w:pPr>
              <w:spacing w:after="0"/>
              <w:rPr>
                <w:sz w:val="20"/>
                <w:szCs w:val="20"/>
                <w:color w:val="auto"/>
              </w:rPr>
            </w:pPr>
            <w:r>
              <w:rPr>
                <w:rFonts w:ascii="Arial" w:cs="Arial" w:eastAsia="Arial" w:hAnsi="Arial"/>
                <w:sz w:val="18"/>
                <w:szCs w:val="18"/>
                <w:color w:val="auto"/>
              </w:rPr>
              <w:t>8-K</w:t>
            </w:r>
          </w:p>
        </w:tc>
        <w:tc>
          <w:tcPr>
            <w:tcW w:w="2300" w:type="dxa"/>
            <w:vAlign w:val="bottom"/>
          </w:tcPr>
          <w:p>
            <w:pPr>
              <w:ind w:left="440"/>
              <w:spacing w:after="0"/>
              <w:rPr>
                <w:sz w:val="20"/>
                <w:szCs w:val="20"/>
                <w:color w:val="auto"/>
              </w:rPr>
            </w:pPr>
            <w:r>
              <w:rPr>
                <w:rFonts w:ascii="Arial" w:cs="Arial" w:eastAsia="Arial" w:hAnsi="Arial"/>
                <w:sz w:val="18"/>
                <w:szCs w:val="18"/>
                <w:color w:val="auto"/>
              </w:rPr>
              <w:t>October 15, 2015</w:t>
            </w: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648"/>
        </w:trPr>
        <w:tc>
          <w:tcPr>
            <w:tcW w:w="860" w:type="dxa"/>
            <w:vAlign w:val="bottom"/>
          </w:tcPr>
          <w:p>
            <w:pPr>
              <w:spacing w:after="0"/>
              <w:rPr>
                <w:sz w:val="20"/>
                <w:szCs w:val="20"/>
                <w:color w:val="auto"/>
              </w:rPr>
            </w:pPr>
            <w:r>
              <w:rPr>
                <w:rFonts w:ascii="Arial" w:cs="Arial" w:eastAsia="Arial" w:hAnsi="Arial"/>
                <w:sz w:val="18"/>
                <w:szCs w:val="18"/>
                <w:color w:val="auto"/>
              </w:rPr>
              <w:t>8-K</w:t>
            </w:r>
          </w:p>
        </w:tc>
        <w:tc>
          <w:tcPr>
            <w:tcW w:w="2300" w:type="dxa"/>
            <w:vAlign w:val="bottom"/>
          </w:tcPr>
          <w:p>
            <w:pPr>
              <w:ind w:left="440"/>
              <w:spacing w:after="0"/>
              <w:rPr>
                <w:sz w:val="20"/>
                <w:szCs w:val="20"/>
                <w:color w:val="auto"/>
              </w:rPr>
            </w:pPr>
            <w:r>
              <w:rPr>
                <w:rFonts w:ascii="Arial" w:cs="Arial" w:eastAsia="Arial" w:hAnsi="Arial"/>
                <w:sz w:val="18"/>
                <w:szCs w:val="18"/>
                <w:color w:val="auto"/>
              </w:rPr>
              <w:t>July 6, 2016</w:t>
            </w: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8-K</w:t>
            </w:r>
          </w:p>
        </w:tc>
        <w:tc>
          <w:tcPr>
            <w:tcW w:w="2300" w:type="dxa"/>
            <w:vAlign w:val="bottom"/>
          </w:tcPr>
          <w:p>
            <w:pPr>
              <w:ind w:left="440"/>
              <w:spacing w:after="0"/>
              <w:rPr>
                <w:sz w:val="20"/>
                <w:szCs w:val="20"/>
                <w:color w:val="auto"/>
              </w:rPr>
            </w:pPr>
            <w:r>
              <w:rPr>
                <w:rFonts w:ascii="Arial" w:cs="Arial" w:eastAsia="Arial" w:hAnsi="Arial"/>
                <w:sz w:val="18"/>
                <w:szCs w:val="18"/>
                <w:color w:val="auto"/>
              </w:rPr>
              <w:t>May 11, 2017</w:t>
            </w: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8-K</w:t>
            </w:r>
          </w:p>
        </w:tc>
        <w:tc>
          <w:tcPr>
            <w:tcW w:w="2300" w:type="dxa"/>
            <w:vAlign w:val="bottom"/>
          </w:tcPr>
          <w:p>
            <w:pPr>
              <w:ind w:left="440"/>
              <w:spacing w:after="0"/>
              <w:rPr>
                <w:sz w:val="20"/>
                <w:szCs w:val="20"/>
                <w:color w:val="auto"/>
              </w:rPr>
            </w:pPr>
            <w:r>
              <w:rPr>
                <w:rFonts w:ascii="Arial" w:cs="Arial" w:eastAsia="Arial" w:hAnsi="Arial"/>
                <w:sz w:val="18"/>
                <w:szCs w:val="18"/>
                <w:color w:val="auto"/>
              </w:rPr>
              <w:t>October 6, 2017</w:t>
            </w: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S-1/A</w:t>
            </w:r>
          </w:p>
        </w:tc>
        <w:tc>
          <w:tcPr>
            <w:tcW w:w="2300" w:type="dxa"/>
            <w:vAlign w:val="bottom"/>
          </w:tcPr>
          <w:p>
            <w:pPr>
              <w:ind w:left="440"/>
              <w:spacing w:after="0"/>
              <w:rPr>
                <w:sz w:val="20"/>
                <w:szCs w:val="20"/>
                <w:color w:val="auto"/>
              </w:rPr>
            </w:pPr>
            <w:r>
              <w:rPr>
                <w:rFonts w:ascii="Arial" w:cs="Arial" w:eastAsia="Arial" w:hAnsi="Arial"/>
                <w:sz w:val="18"/>
                <w:szCs w:val="18"/>
                <w:color w:val="auto"/>
              </w:rPr>
              <w:t>August 5, 2014</w:t>
            </w: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864"/>
        </w:trPr>
        <w:tc>
          <w:tcPr>
            <w:tcW w:w="860" w:type="dxa"/>
            <w:vAlign w:val="bottom"/>
          </w:tcPr>
          <w:p>
            <w:pPr>
              <w:spacing w:after="0"/>
              <w:rPr>
                <w:sz w:val="20"/>
                <w:szCs w:val="20"/>
                <w:color w:val="auto"/>
              </w:rPr>
            </w:pPr>
            <w:r>
              <w:rPr>
                <w:rFonts w:ascii="Arial" w:cs="Arial" w:eastAsia="Arial" w:hAnsi="Arial"/>
                <w:sz w:val="18"/>
                <w:szCs w:val="18"/>
                <w:color w:val="auto"/>
              </w:rPr>
              <w:t>S-1/A</w:t>
            </w:r>
          </w:p>
        </w:tc>
        <w:tc>
          <w:tcPr>
            <w:tcW w:w="2300" w:type="dxa"/>
            <w:vAlign w:val="bottom"/>
          </w:tcPr>
          <w:p>
            <w:pPr>
              <w:ind w:left="440"/>
              <w:spacing w:after="0"/>
              <w:rPr>
                <w:sz w:val="20"/>
                <w:szCs w:val="20"/>
                <w:color w:val="auto"/>
              </w:rPr>
            </w:pPr>
            <w:r>
              <w:rPr>
                <w:rFonts w:ascii="Arial" w:cs="Arial" w:eastAsia="Arial" w:hAnsi="Arial"/>
                <w:sz w:val="18"/>
                <w:szCs w:val="18"/>
                <w:color w:val="auto"/>
              </w:rPr>
              <w:t>July 1, 2014</w:t>
            </w: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S-1/A</w:t>
            </w:r>
          </w:p>
        </w:tc>
        <w:tc>
          <w:tcPr>
            <w:tcW w:w="2300" w:type="dxa"/>
            <w:vAlign w:val="bottom"/>
          </w:tcPr>
          <w:p>
            <w:pPr>
              <w:ind w:left="440"/>
              <w:spacing w:after="0"/>
              <w:rPr>
                <w:sz w:val="20"/>
                <w:szCs w:val="20"/>
                <w:color w:val="auto"/>
              </w:rPr>
            </w:pPr>
            <w:r>
              <w:rPr>
                <w:rFonts w:ascii="Arial" w:cs="Arial" w:eastAsia="Arial" w:hAnsi="Arial"/>
                <w:sz w:val="18"/>
                <w:szCs w:val="18"/>
                <w:color w:val="auto"/>
              </w:rPr>
              <w:t>August 5, 2014</w:t>
            </w: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S-1/A</w:t>
            </w:r>
          </w:p>
        </w:tc>
        <w:tc>
          <w:tcPr>
            <w:tcW w:w="2300" w:type="dxa"/>
            <w:vAlign w:val="bottom"/>
          </w:tcPr>
          <w:p>
            <w:pPr>
              <w:ind w:left="440"/>
              <w:spacing w:after="0"/>
              <w:rPr>
                <w:sz w:val="20"/>
                <w:szCs w:val="20"/>
                <w:color w:val="auto"/>
              </w:rPr>
            </w:pPr>
            <w:r>
              <w:rPr>
                <w:rFonts w:ascii="Arial" w:cs="Arial" w:eastAsia="Arial" w:hAnsi="Arial"/>
                <w:sz w:val="18"/>
                <w:szCs w:val="18"/>
                <w:color w:val="auto"/>
              </w:rPr>
              <w:t>August 5, 2014</w:t>
            </w: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S-1/A</w:t>
            </w:r>
          </w:p>
        </w:tc>
        <w:tc>
          <w:tcPr>
            <w:tcW w:w="2300" w:type="dxa"/>
            <w:vAlign w:val="bottom"/>
          </w:tcPr>
          <w:p>
            <w:pPr>
              <w:ind w:left="440"/>
              <w:spacing w:after="0"/>
              <w:rPr>
                <w:sz w:val="20"/>
                <w:szCs w:val="20"/>
                <w:color w:val="auto"/>
              </w:rPr>
            </w:pPr>
            <w:r>
              <w:rPr>
                <w:rFonts w:ascii="Arial" w:cs="Arial" w:eastAsia="Arial" w:hAnsi="Arial"/>
                <w:sz w:val="18"/>
                <w:szCs w:val="18"/>
                <w:color w:val="auto"/>
              </w:rPr>
              <w:t>August 5, 2014</w:t>
            </w: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648"/>
        </w:trPr>
        <w:tc>
          <w:tcPr>
            <w:tcW w:w="860" w:type="dxa"/>
            <w:vAlign w:val="bottom"/>
          </w:tcPr>
          <w:p>
            <w:pPr>
              <w:spacing w:after="0"/>
              <w:rPr>
                <w:sz w:val="20"/>
                <w:szCs w:val="20"/>
                <w:color w:val="auto"/>
              </w:rPr>
            </w:pPr>
            <w:r>
              <w:rPr>
                <w:rFonts w:ascii="Arial" w:cs="Arial" w:eastAsia="Arial" w:hAnsi="Arial"/>
                <w:sz w:val="18"/>
                <w:szCs w:val="18"/>
                <w:color w:val="auto"/>
              </w:rPr>
              <w:t>S-1</w:t>
            </w:r>
          </w:p>
        </w:tc>
        <w:tc>
          <w:tcPr>
            <w:tcW w:w="2300" w:type="dxa"/>
            <w:vAlign w:val="bottom"/>
          </w:tcPr>
          <w:p>
            <w:pPr>
              <w:ind w:left="440"/>
              <w:spacing w:after="0"/>
              <w:rPr>
                <w:sz w:val="20"/>
                <w:szCs w:val="20"/>
                <w:color w:val="auto"/>
              </w:rPr>
            </w:pPr>
            <w:r>
              <w:rPr>
                <w:rFonts w:ascii="Arial" w:cs="Arial" w:eastAsia="Arial" w:hAnsi="Arial"/>
                <w:sz w:val="18"/>
                <w:szCs w:val="18"/>
                <w:color w:val="auto"/>
              </w:rPr>
              <w:t>June 10, 2014</w:t>
            </w: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r>
    </w:tbl>
    <w:p>
      <w:pPr>
        <w:sectPr>
          <w:pgSz w:w="11900" w:h="16838" w:orient="portrait"/>
          <w:cols w:equalWidth="0" w:num="2">
            <w:col w:w="6240" w:space="40"/>
            <w:col w:w="5140"/>
          </w:cols>
          <w:pgMar w:left="240" w:top="337" w:right="239" w:bottom="1440" w:gutter="0" w:footer="0" w:header="0"/>
          <w:type w:val="continuous"/>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Exhibit</w:t>
            </w:r>
          </w:p>
        </w:tc>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Incorporated by Reference from</w:t>
            </w: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gridSpan w:val="2"/>
            <w:vMerge w:val="continue"/>
          </w:tcPr>
          <w:p>
            <w:pPr>
              <w:spacing w:after="0"/>
              <w:rPr>
                <w:sz w:val="10"/>
                <w:szCs w:val="10"/>
                <w:color w:val="auto"/>
              </w:rPr>
            </w:pPr>
          </w:p>
        </w:tc>
        <w:tc>
          <w:tcPr>
            <w:tcW w:w="1720" w:type="dxa"/>
            <w:vAlign w:val="bottom"/>
          </w:tcPr>
          <w:p>
            <w:pPr>
              <w:spacing w:after="0"/>
              <w:rPr>
                <w:sz w:val="10"/>
                <w:szCs w:val="10"/>
                <w:color w:val="auto"/>
              </w:rPr>
            </w:pPr>
          </w:p>
        </w:tc>
        <w:tc>
          <w:tcPr>
            <w:tcW w:w="3700" w:type="dxa"/>
            <w:vAlign w:val="bottom"/>
            <w:gridSpan w:val="20"/>
            <w:vMerge w:val="restart"/>
          </w:tcPr>
          <w:p>
            <w:pPr>
              <w:ind w:left="280"/>
              <w:spacing w:after="0"/>
              <w:rPr>
                <w:sz w:val="20"/>
                <w:szCs w:val="20"/>
                <w:color w:val="auto"/>
              </w:rPr>
            </w:pPr>
            <w:r>
              <w:rPr>
                <w:rFonts w:ascii="Arial" w:cs="Arial" w:eastAsia="Arial" w:hAnsi="Arial"/>
                <w:sz w:val="14"/>
                <w:szCs w:val="14"/>
                <w:b w:val="1"/>
                <w:bCs w:val="1"/>
                <w:color w:val="auto"/>
              </w:rPr>
              <w:t>Description of Document</w:t>
            </w:r>
          </w:p>
        </w:tc>
        <w:tc>
          <w:tcPr>
            <w:tcW w:w="40" w:type="dxa"/>
            <w:vAlign w:val="bottom"/>
            <w:vMerge w:val="restart"/>
          </w:tcPr>
          <w:p>
            <w:pPr>
              <w:spacing w:after="0"/>
              <w:rPr>
                <w:sz w:val="10"/>
                <w:szCs w:val="10"/>
                <w:color w:val="auto"/>
              </w:rPr>
            </w:pPr>
          </w:p>
        </w:tc>
        <w:tc>
          <w:tcPr>
            <w:tcW w:w="1240" w:type="dxa"/>
            <w:vAlign w:val="bottom"/>
            <w:gridSpan w:val="2"/>
          </w:tcPr>
          <w:p>
            <w:pPr>
              <w:ind w:left="260"/>
              <w:spacing w:after="0" w:line="119" w:lineRule="exact"/>
              <w:rPr>
                <w:sz w:val="20"/>
                <w:szCs w:val="20"/>
                <w:color w:val="auto"/>
              </w:rPr>
            </w:pPr>
            <w:r>
              <w:rPr>
                <w:rFonts w:ascii="Arial" w:cs="Arial" w:eastAsia="Arial" w:hAnsi="Arial"/>
                <w:sz w:val="13"/>
                <w:szCs w:val="13"/>
                <w:b w:val="1"/>
                <w:bCs w:val="1"/>
                <w:color w:val="auto"/>
              </w:rPr>
              <w:t>Registrant’s</w:t>
            </w:r>
          </w:p>
        </w:tc>
        <w:tc>
          <w:tcPr>
            <w:tcW w:w="2180" w:type="dxa"/>
            <w:vAlign w:val="bottom"/>
            <w:gridSpan w:val="2"/>
          </w:tcPr>
          <w:p>
            <w:pPr>
              <w:ind w:left="740"/>
              <w:spacing w:after="0" w:line="119" w:lineRule="exact"/>
              <w:rPr>
                <w:sz w:val="20"/>
                <w:szCs w:val="20"/>
                <w:color w:val="auto"/>
              </w:rPr>
            </w:pPr>
            <w:r>
              <w:rPr>
                <w:rFonts w:ascii="Arial" w:cs="Arial" w:eastAsia="Arial" w:hAnsi="Arial"/>
                <w:sz w:val="13"/>
                <w:szCs w:val="13"/>
                <w:b w:val="1"/>
                <w:bCs w:val="1"/>
                <w:color w:val="auto"/>
              </w:rPr>
              <w:t>Date Filed</w:t>
            </w:r>
          </w:p>
        </w:tc>
        <w:tc>
          <w:tcPr>
            <w:tcW w:w="78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Exhibit</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4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20"/>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2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Form</w:t>
            </w:r>
          </w:p>
        </w:tc>
        <w:tc>
          <w:tcPr>
            <w:tcW w:w="40" w:type="dxa"/>
            <w:vAlign w:val="bottom"/>
          </w:tcPr>
          <w:p>
            <w:pPr>
              <w:spacing w:after="0"/>
              <w:rPr>
                <w:sz w:val="14"/>
                <w:szCs w:val="14"/>
                <w:color w:val="auto"/>
              </w:rPr>
            </w:pPr>
          </w:p>
        </w:tc>
        <w:tc>
          <w:tcPr>
            <w:tcW w:w="212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with the SEC</w:t>
            </w:r>
          </w:p>
        </w:tc>
        <w:tc>
          <w:tcPr>
            <w:tcW w:w="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88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40" w:type="dxa"/>
            <w:vAlign w:val="bottom"/>
          </w:tcPr>
          <w:p>
            <w:pPr>
              <w:spacing w:after="0"/>
              <w:rPr>
                <w:sz w:val="24"/>
                <w:szCs w:val="24"/>
                <w:color w:val="auto"/>
              </w:rPr>
            </w:pPr>
          </w:p>
        </w:tc>
        <w:tc>
          <w:tcPr>
            <w:tcW w:w="5220" w:type="dxa"/>
            <w:vAlign w:val="bottom"/>
            <w:tcBorders>
              <w:bottom w:val="single" w:sz="8" w:color="0000EE"/>
            </w:tcBorders>
            <w:gridSpan w:val="16"/>
          </w:tcPr>
          <w:p>
            <w:pPr>
              <w:spacing w:after="0"/>
              <w:rPr>
                <w:rFonts w:ascii="Arial" w:cs="Arial" w:eastAsia="Arial" w:hAnsi="Arial"/>
                <w:sz w:val="18"/>
                <w:szCs w:val="18"/>
                <w:color w:val="0000EE"/>
                <w:w w:val="89"/>
              </w:rPr>
            </w:pPr>
            <w:hyperlink r:id="rId144">
              <w:r>
                <w:rPr>
                  <w:rFonts w:ascii="Arial" w:cs="Arial" w:eastAsia="Arial" w:hAnsi="Arial"/>
                  <w:sz w:val="18"/>
                  <w:szCs w:val="18"/>
                  <w:color w:val="0000EE"/>
                  <w:w w:val="89"/>
                </w:rPr>
                <w:t>Form of Warrant to Purchase Shares issued in February 2010 and March</w:t>
              </w:r>
            </w:hyperlink>
          </w:p>
        </w:tc>
        <w:tc>
          <w:tcPr>
            <w:tcW w:w="240" w:type="dxa"/>
            <w:vAlign w:val="bottom"/>
            <w:gridSpan w:val="6"/>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44">
              <w:r>
                <w:rPr>
                  <w:rFonts w:ascii="Arial" w:cs="Arial" w:eastAsia="Arial" w:hAnsi="Arial"/>
                  <w:sz w:val="18"/>
                  <w:szCs w:val="18"/>
                  <w:color w:val="0000EE"/>
                  <w:w w:val="92"/>
                </w:rPr>
                <w:t>2010 in connection with the 2010 convertible note financing.</w:t>
              </w:r>
            </w:hyperlink>
          </w:p>
        </w:tc>
        <w:tc>
          <w:tcPr>
            <w:tcW w:w="1040" w:type="dxa"/>
            <w:vAlign w:val="bottom"/>
            <w:gridSpan w:val="12"/>
          </w:tcPr>
          <w:p>
            <w:pPr>
              <w:spacing w:after="0"/>
              <w:rPr>
                <w:sz w:val="17"/>
                <w:szCs w:val="17"/>
                <w:color w:val="auto"/>
              </w:rPr>
            </w:pPr>
          </w:p>
        </w:tc>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S-1</w:t>
            </w:r>
          </w:p>
        </w:tc>
        <w:tc>
          <w:tcPr>
            <w:tcW w:w="2180" w:type="dxa"/>
            <w:vAlign w:val="bottom"/>
            <w:gridSpan w:val="2"/>
          </w:tcPr>
          <w:p>
            <w:pPr>
              <w:spacing w:after="0" w:line="196" w:lineRule="exact"/>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4.7</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5"/>
              </w:rPr>
              <w:t>4.8</w:t>
            </w:r>
          </w:p>
        </w:tc>
        <w:tc>
          <w:tcPr>
            <w:tcW w:w="40" w:type="dxa"/>
            <w:vAlign w:val="bottom"/>
          </w:tcPr>
          <w:p>
            <w:pPr>
              <w:spacing w:after="0"/>
              <w:rPr>
                <w:sz w:val="24"/>
                <w:szCs w:val="24"/>
                <w:color w:val="auto"/>
              </w:rPr>
            </w:pPr>
          </w:p>
        </w:tc>
        <w:tc>
          <w:tcPr>
            <w:tcW w:w="5460" w:type="dxa"/>
            <w:vAlign w:val="bottom"/>
            <w:gridSpan w:val="22"/>
          </w:tcPr>
          <w:p>
            <w:pPr>
              <w:spacing w:after="0"/>
              <w:rPr>
                <w:rFonts w:ascii="Arial" w:cs="Arial" w:eastAsia="Arial" w:hAnsi="Arial"/>
                <w:sz w:val="18"/>
                <w:szCs w:val="18"/>
                <w:color w:val="0000EE"/>
              </w:rPr>
            </w:pPr>
            <w:hyperlink r:id="rId145">
              <w:r>
                <w:rPr>
                  <w:rFonts w:ascii="Arial" w:cs="Arial" w:eastAsia="Arial" w:hAnsi="Arial"/>
                  <w:sz w:val="18"/>
                  <w:szCs w:val="18"/>
                  <w:color w:val="0000EE"/>
                </w:rPr>
                <w:t>Form of Convertible Promissory Note issued in November 2010 in</w:t>
              </w:r>
            </w:hyperlink>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connection with the 2010 convertible note financing.</w:t>
              </w:r>
            </w:hyperlink>
          </w:p>
        </w:tc>
        <w:tc>
          <w:tcPr>
            <w:tcW w:w="1000" w:type="dxa"/>
            <w:vAlign w:val="bottom"/>
            <w:tcBorders>
              <w:top w:val="single" w:sz="8" w:color="0000EE"/>
            </w:tcBorders>
            <w:gridSpan w:val="7"/>
          </w:tcPr>
          <w:p>
            <w:pPr>
              <w:spacing w:after="0"/>
              <w:rPr>
                <w:sz w:val="17"/>
                <w:szCs w:val="17"/>
                <w:color w:val="auto"/>
              </w:rPr>
            </w:pPr>
          </w:p>
        </w:tc>
        <w:tc>
          <w:tcPr>
            <w:tcW w:w="640" w:type="dxa"/>
            <w:vAlign w:val="bottom"/>
            <w:gridSpan w:val="8"/>
          </w:tcPr>
          <w:p>
            <w:pPr>
              <w:spacing w:after="0"/>
              <w:rPr>
                <w:sz w:val="17"/>
                <w:szCs w:val="17"/>
                <w:color w:val="auto"/>
              </w:rPr>
            </w:pPr>
          </w:p>
        </w:tc>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S-1</w:t>
            </w:r>
          </w:p>
        </w:tc>
        <w:tc>
          <w:tcPr>
            <w:tcW w:w="2180" w:type="dxa"/>
            <w:vAlign w:val="bottom"/>
            <w:gridSpan w:val="2"/>
          </w:tcPr>
          <w:p>
            <w:pPr>
              <w:spacing w:after="0" w:line="196" w:lineRule="exact"/>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4.8</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5"/>
              </w:rPr>
              <w:t>4.9</w:t>
            </w:r>
          </w:p>
        </w:tc>
        <w:tc>
          <w:tcPr>
            <w:tcW w:w="40" w:type="dxa"/>
            <w:vAlign w:val="bottom"/>
          </w:tcPr>
          <w:p>
            <w:pPr>
              <w:spacing w:after="0"/>
              <w:rPr>
                <w:sz w:val="24"/>
                <w:szCs w:val="24"/>
                <w:color w:val="auto"/>
              </w:rPr>
            </w:pPr>
          </w:p>
        </w:tc>
        <w:tc>
          <w:tcPr>
            <w:tcW w:w="4700" w:type="dxa"/>
            <w:vAlign w:val="bottom"/>
            <w:tcBorders>
              <w:bottom w:val="single" w:sz="8" w:color="0000EE"/>
            </w:tcBorders>
            <w:gridSpan w:val="12"/>
          </w:tcPr>
          <w:p>
            <w:pPr>
              <w:spacing w:after="0"/>
              <w:rPr>
                <w:rFonts w:ascii="Arial" w:cs="Arial" w:eastAsia="Arial" w:hAnsi="Arial"/>
                <w:sz w:val="18"/>
                <w:szCs w:val="18"/>
                <w:color w:val="0000EE"/>
                <w:w w:val="89"/>
              </w:rPr>
            </w:pPr>
            <w:hyperlink r:id="rId146">
              <w:r>
                <w:rPr>
                  <w:rFonts w:ascii="Arial" w:cs="Arial" w:eastAsia="Arial" w:hAnsi="Arial"/>
                  <w:sz w:val="18"/>
                  <w:szCs w:val="18"/>
                  <w:color w:val="0000EE"/>
                  <w:w w:val="89"/>
                </w:rPr>
                <w:t>Form of Warrant to Purchase Shares issued in November 2010 in</w:t>
              </w:r>
            </w:hyperlink>
          </w:p>
        </w:tc>
        <w:tc>
          <w:tcPr>
            <w:tcW w:w="760" w:type="dxa"/>
            <w:vAlign w:val="bottom"/>
            <w:gridSpan w:val="10"/>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connection with the 2010 convertible note financing.</w:t>
              </w:r>
            </w:hyperlink>
          </w:p>
        </w:tc>
        <w:tc>
          <w:tcPr>
            <w:tcW w:w="1640" w:type="dxa"/>
            <w:vAlign w:val="bottom"/>
            <w:gridSpan w:val="15"/>
          </w:tcPr>
          <w:p>
            <w:pPr>
              <w:spacing w:after="0"/>
              <w:rPr>
                <w:sz w:val="17"/>
                <w:szCs w:val="17"/>
                <w:color w:val="auto"/>
              </w:rPr>
            </w:pPr>
          </w:p>
        </w:tc>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S-1</w:t>
            </w:r>
          </w:p>
        </w:tc>
        <w:tc>
          <w:tcPr>
            <w:tcW w:w="2180" w:type="dxa"/>
            <w:vAlign w:val="bottom"/>
            <w:gridSpan w:val="2"/>
          </w:tcPr>
          <w:p>
            <w:pPr>
              <w:spacing w:after="0" w:line="196" w:lineRule="exact"/>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4.9</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40" w:type="dxa"/>
            <w:vAlign w:val="bottom"/>
          </w:tcPr>
          <w:p>
            <w:pPr>
              <w:spacing w:after="0"/>
              <w:rPr>
                <w:sz w:val="24"/>
                <w:szCs w:val="24"/>
                <w:color w:val="auto"/>
              </w:rPr>
            </w:pPr>
          </w:p>
        </w:tc>
        <w:tc>
          <w:tcPr>
            <w:tcW w:w="5460" w:type="dxa"/>
            <w:vAlign w:val="bottom"/>
            <w:gridSpan w:val="22"/>
          </w:tcPr>
          <w:p>
            <w:pPr>
              <w:spacing w:after="0"/>
              <w:rPr>
                <w:rFonts w:ascii="Arial" w:cs="Arial" w:eastAsia="Arial" w:hAnsi="Arial"/>
                <w:sz w:val="18"/>
                <w:szCs w:val="18"/>
                <w:color w:val="0000EE"/>
              </w:rPr>
            </w:pPr>
            <w:hyperlink r:id="rId147">
              <w:r>
                <w:rPr>
                  <w:rFonts w:ascii="Arial" w:cs="Arial" w:eastAsia="Arial" w:hAnsi="Arial"/>
                  <w:sz w:val="18"/>
                  <w:szCs w:val="18"/>
                  <w:color w:val="0000EE"/>
                </w:rPr>
                <w:t>Form of Convertible Promissory Note issued in January 2012 in</w:t>
              </w:r>
            </w:hyperlink>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connection with the 2012 convertible note financing.</w:t>
              </w:r>
            </w:hyperlink>
          </w:p>
        </w:tc>
        <w:tc>
          <w:tcPr>
            <w:tcW w:w="800" w:type="dxa"/>
            <w:vAlign w:val="bottom"/>
            <w:tcBorders>
              <w:top w:val="single" w:sz="8" w:color="0000EE"/>
            </w:tcBorders>
            <w:gridSpan w:val="4"/>
          </w:tcPr>
          <w:p>
            <w:pPr>
              <w:spacing w:after="0"/>
              <w:rPr>
                <w:sz w:val="17"/>
                <w:szCs w:val="17"/>
                <w:color w:val="auto"/>
              </w:rPr>
            </w:pPr>
          </w:p>
        </w:tc>
        <w:tc>
          <w:tcPr>
            <w:tcW w:w="840" w:type="dxa"/>
            <w:vAlign w:val="bottom"/>
            <w:gridSpan w:val="11"/>
          </w:tcPr>
          <w:p>
            <w:pPr>
              <w:spacing w:after="0"/>
              <w:rPr>
                <w:sz w:val="17"/>
                <w:szCs w:val="17"/>
                <w:color w:val="auto"/>
              </w:rPr>
            </w:pPr>
          </w:p>
        </w:tc>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S-1</w:t>
            </w:r>
          </w:p>
        </w:tc>
        <w:tc>
          <w:tcPr>
            <w:tcW w:w="2180" w:type="dxa"/>
            <w:vAlign w:val="bottom"/>
            <w:gridSpan w:val="2"/>
          </w:tcPr>
          <w:p>
            <w:pPr>
              <w:spacing w:after="0" w:line="196" w:lineRule="exact"/>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1"/>
              </w:rPr>
              <w:t>4.10</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4.11</w:t>
            </w:r>
          </w:p>
        </w:tc>
        <w:tc>
          <w:tcPr>
            <w:tcW w:w="40" w:type="dxa"/>
            <w:vAlign w:val="bottom"/>
          </w:tcPr>
          <w:p>
            <w:pPr>
              <w:spacing w:after="0"/>
              <w:rPr>
                <w:sz w:val="24"/>
                <w:szCs w:val="24"/>
                <w:color w:val="auto"/>
              </w:rPr>
            </w:pPr>
          </w:p>
        </w:tc>
        <w:tc>
          <w:tcPr>
            <w:tcW w:w="5340" w:type="dxa"/>
            <w:vAlign w:val="bottom"/>
            <w:tcBorders>
              <w:bottom w:val="single" w:sz="8" w:color="0000EE"/>
            </w:tcBorders>
            <w:gridSpan w:val="19"/>
          </w:tcPr>
          <w:p>
            <w:pPr>
              <w:spacing w:after="0"/>
              <w:rPr>
                <w:rFonts w:ascii="Arial" w:cs="Arial" w:eastAsia="Arial" w:hAnsi="Arial"/>
                <w:sz w:val="18"/>
                <w:szCs w:val="18"/>
                <w:color w:val="0000EE"/>
                <w:w w:val="89"/>
              </w:rPr>
            </w:pPr>
            <w:hyperlink r:id="rId148">
              <w:r>
                <w:rPr>
                  <w:rFonts w:ascii="Arial" w:cs="Arial" w:eastAsia="Arial" w:hAnsi="Arial"/>
                  <w:sz w:val="18"/>
                  <w:szCs w:val="18"/>
                  <w:color w:val="0000EE"/>
                  <w:w w:val="89"/>
                </w:rPr>
                <w:t>Form of Warrant to Purchase Shares issued in January 2012 in connection</w:t>
              </w:r>
            </w:hyperlink>
          </w:p>
        </w:tc>
        <w:tc>
          <w:tcPr>
            <w:tcW w:w="120" w:type="dxa"/>
            <w:vAlign w:val="bottom"/>
            <w:gridSpan w:val="3"/>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7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with Soleno Therapeutics, Inc.’s 2012 convertible note financing.</w:t>
              </w:r>
            </w:hyperlink>
          </w:p>
        </w:tc>
        <w:tc>
          <w:tcPr>
            <w:tcW w:w="740" w:type="dxa"/>
            <w:vAlign w:val="bottom"/>
            <w:gridSpan w:val="9"/>
          </w:tcPr>
          <w:p>
            <w:pPr>
              <w:spacing w:after="0"/>
              <w:rPr>
                <w:sz w:val="17"/>
                <w:szCs w:val="17"/>
                <w:color w:val="auto"/>
              </w:rPr>
            </w:pPr>
          </w:p>
        </w:tc>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S-1</w:t>
            </w:r>
          </w:p>
        </w:tc>
        <w:tc>
          <w:tcPr>
            <w:tcW w:w="2180" w:type="dxa"/>
            <w:vAlign w:val="bottom"/>
            <w:gridSpan w:val="2"/>
          </w:tcPr>
          <w:p>
            <w:pPr>
              <w:spacing w:after="0" w:line="196" w:lineRule="exact"/>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1"/>
              </w:rPr>
              <w:t>4.11</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40" w:type="dxa"/>
            <w:vAlign w:val="bottom"/>
          </w:tcPr>
          <w:p>
            <w:pPr>
              <w:spacing w:after="0"/>
              <w:rPr>
                <w:sz w:val="24"/>
                <w:szCs w:val="24"/>
                <w:color w:val="auto"/>
              </w:rPr>
            </w:pPr>
          </w:p>
        </w:tc>
        <w:tc>
          <w:tcPr>
            <w:tcW w:w="5460" w:type="dxa"/>
            <w:vAlign w:val="bottom"/>
            <w:gridSpan w:val="22"/>
          </w:tcPr>
          <w:p>
            <w:pPr>
              <w:spacing w:after="0"/>
              <w:rPr>
                <w:rFonts w:ascii="Arial" w:cs="Arial" w:eastAsia="Arial" w:hAnsi="Arial"/>
                <w:sz w:val="18"/>
                <w:szCs w:val="18"/>
                <w:color w:val="0000EE"/>
                <w:w w:val="98"/>
              </w:rPr>
            </w:pPr>
            <w:hyperlink r:id="rId149">
              <w:r>
                <w:rPr>
                  <w:rFonts w:ascii="Arial" w:cs="Arial" w:eastAsia="Arial" w:hAnsi="Arial"/>
                  <w:sz w:val="18"/>
                  <w:szCs w:val="18"/>
                  <w:color w:val="0000EE"/>
                  <w:w w:val="98"/>
                </w:rPr>
                <w:t>Form of Convertible Promissory Note issued in July 2012 and August</w:t>
              </w:r>
            </w:hyperlink>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149">
              <w:r>
                <w:rPr>
                  <w:rFonts w:ascii="Arial" w:cs="Arial" w:eastAsia="Arial" w:hAnsi="Arial"/>
                  <w:sz w:val="18"/>
                  <w:szCs w:val="18"/>
                  <w:color w:val="0000EE"/>
                  <w:w w:val="92"/>
                </w:rPr>
                <w:t>2012 in connection with the 2012 convertible note financing.</w:t>
              </w:r>
            </w:hyperlink>
          </w:p>
        </w:tc>
        <w:tc>
          <w:tcPr>
            <w:tcW w:w="620" w:type="dxa"/>
            <w:vAlign w:val="bottom"/>
            <w:tcBorders>
              <w:top w:val="single" w:sz="8" w:color="0000EE"/>
            </w:tcBorders>
            <w:gridSpan w:val="5"/>
          </w:tcPr>
          <w:p>
            <w:pPr>
              <w:spacing w:after="0"/>
              <w:rPr>
                <w:sz w:val="17"/>
                <w:szCs w:val="17"/>
                <w:color w:val="auto"/>
              </w:rPr>
            </w:pPr>
          </w:p>
        </w:tc>
        <w:tc>
          <w:tcPr>
            <w:tcW w:w="420" w:type="dxa"/>
            <w:vAlign w:val="bottom"/>
            <w:gridSpan w:val="7"/>
          </w:tcPr>
          <w:p>
            <w:pPr>
              <w:spacing w:after="0"/>
              <w:rPr>
                <w:sz w:val="17"/>
                <w:szCs w:val="17"/>
                <w:color w:val="auto"/>
              </w:rPr>
            </w:pPr>
          </w:p>
        </w:tc>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S-1</w:t>
            </w:r>
          </w:p>
        </w:tc>
        <w:tc>
          <w:tcPr>
            <w:tcW w:w="2180" w:type="dxa"/>
            <w:vAlign w:val="bottom"/>
            <w:gridSpan w:val="2"/>
          </w:tcPr>
          <w:p>
            <w:pPr>
              <w:spacing w:after="0" w:line="196" w:lineRule="exact"/>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1"/>
              </w:rPr>
              <w:t>4.12</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40" w:type="dxa"/>
            <w:vAlign w:val="bottom"/>
          </w:tcPr>
          <w:p>
            <w:pPr>
              <w:spacing w:after="0"/>
              <w:rPr>
                <w:sz w:val="24"/>
                <w:szCs w:val="24"/>
                <w:color w:val="auto"/>
              </w:rPr>
            </w:pPr>
          </w:p>
        </w:tc>
        <w:tc>
          <w:tcPr>
            <w:tcW w:w="5460" w:type="dxa"/>
            <w:vAlign w:val="bottom"/>
            <w:gridSpan w:val="22"/>
          </w:tcPr>
          <w:p>
            <w:pPr>
              <w:spacing w:after="0"/>
              <w:rPr>
                <w:rFonts w:ascii="Arial" w:cs="Arial" w:eastAsia="Arial" w:hAnsi="Arial"/>
                <w:sz w:val="18"/>
                <w:szCs w:val="18"/>
                <w:color w:val="0000EE"/>
                <w:w w:val="91"/>
              </w:rPr>
            </w:pPr>
            <w:hyperlink r:id="rId150">
              <w:r>
                <w:rPr>
                  <w:rFonts w:ascii="Arial" w:cs="Arial" w:eastAsia="Arial" w:hAnsi="Arial"/>
                  <w:sz w:val="18"/>
                  <w:szCs w:val="18"/>
                  <w:color w:val="0000EE"/>
                  <w:w w:val="91"/>
                </w:rPr>
                <w:t>Form of Warrant to Purchase Shares issued in July 2012 and August 2012</w:t>
              </w:r>
            </w:hyperlink>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50">
              <w:r>
                <w:rPr>
                  <w:rFonts w:ascii="Arial" w:cs="Arial" w:eastAsia="Arial" w:hAnsi="Arial"/>
                  <w:sz w:val="18"/>
                  <w:szCs w:val="18"/>
                  <w:color w:val="0000EE"/>
                  <w:w w:val="92"/>
                </w:rPr>
                <w:t>in connection with the 2012 convertible note financing.</w:t>
              </w:r>
            </w:hyperlink>
          </w:p>
        </w:tc>
        <w:tc>
          <w:tcPr>
            <w:tcW w:w="1320" w:type="dxa"/>
            <w:vAlign w:val="bottom"/>
            <w:tcBorders>
              <w:top w:val="single" w:sz="8" w:color="0000EE"/>
            </w:tcBorders>
            <w:gridSpan w:val="10"/>
          </w:tcPr>
          <w:p>
            <w:pPr>
              <w:spacing w:after="0"/>
              <w:rPr>
                <w:sz w:val="17"/>
                <w:szCs w:val="17"/>
                <w:color w:val="auto"/>
              </w:rPr>
            </w:pPr>
          </w:p>
        </w:tc>
        <w:tc>
          <w:tcPr>
            <w:tcW w:w="140" w:type="dxa"/>
            <w:vAlign w:val="bottom"/>
            <w:gridSpan w:val="4"/>
          </w:tcPr>
          <w:p>
            <w:pPr>
              <w:spacing w:after="0"/>
              <w:rPr>
                <w:sz w:val="17"/>
                <w:szCs w:val="17"/>
                <w:color w:val="auto"/>
              </w:rPr>
            </w:pPr>
          </w:p>
        </w:tc>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S-1</w:t>
            </w:r>
          </w:p>
        </w:tc>
        <w:tc>
          <w:tcPr>
            <w:tcW w:w="2180" w:type="dxa"/>
            <w:vAlign w:val="bottom"/>
            <w:gridSpan w:val="2"/>
          </w:tcPr>
          <w:p>
            <w:pPr>
              <w:spacing w:after="0" w:line="196" w:lineRule="exact"/>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1"/>
              </w:rPr>
              <w:t>4.13</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4.14</w:t>
            </w:r>
          </w:p>
        </w:tc>
        <w:tc>
          <w:tcPr>
            <w:tcW w:w="40" w:type="dxa"/>
            <w:vAlign w:val="bottom"/>
          </w:tcPr>
          <w:p>
            <w:pPr>
              <w:spacing w:after="0"/>
              <w:rPr>
                <w:sz w:val="24"/>
                <w:szCs w:val="24"/>
                <w:color w:val="auto"/>
              </w:rPr>
            </w:pPr>
          </w:p>
        </w:tc>
        <w:tc>
          <w:tcPr>
            <w:tcW w:w="5400" w:type="dxa"/>
            <w:vAlign w:val="bottom"/>
            <w:tcBorders>
              <w:bottom w:val="single" w:sz="8" w:color="0000EE"/>
            </w:tcBorders>
            <w:gridSpan w:val="20"/>
          </w:tcPr>
          <w:p>
            <w:pPr>
              <w:spacing w:after="0"/>
              <w:rPr>
                <w:rFonts w:ascii="Arial" w:cs="Arial" w:eastAsia="Arial" w:hAnsi="Arial"/>
                <w:sz w:val="18"/>
                <w:szCs w:val="18"/>
                <w:color w:val="0000EE"/>
                <w:w w:val="92"/>
              </w:rPr>
            </w:pPr>
            <w:hyperlink r:id="rId151">
              <w:r>
                <w:rPr>
                  <w:rFonts w:ascii="Arial" w:cs="Arial" w:eastAsia="Arial" w:hAnsi="Arial"/>
                  <w:sz w:val="18"/>
                  <w:szCs w:val="18"/>
                  <w:color w:val="0000EE"/>
                  <w:w w:val="92"/>
                </w:rPr>
                <w:t>Form of Convertible Promissory Note issued in April, August and October</w:t>
              </w:r>
            </w:hyperlink>
          </w:p>
        </w:tc>
        <w:tc>
          <w:tcPr>
            <w:tcW w:w="60" w:type="dxa"/>
            <w:vAlign w:val="bottom"/>
            <w:gridSpan w:val="2"/>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51">
              <w:r>
                <w:rPr>
                  <w:rFonts w:ascii="Arial" w:cs="Arial" w:eastAsia="Arial" w:hAnsi="Arial"/>
                  <w:sz w:val="18"/>
                  <w:szCs w:val="18"/>
                  <w:color w:val="0000EE"/>
                  <w:w w:val="92"/>
                </w:rPr>
                <w:t>2014 in connection with the 2014 convertible note financing.</w:t>
              </w:r>
            </w:hyperlink>
          </w:p>
        </w:tc>
        <w:tc>
          <w:tcPr>
            <w:tcW w:w="1040" w:type="dxa"/>
            <w:vAlign w:val="bottom"/>
            <w:gridSpan w:val="12"/>
          </w:tcPr>
          <w:p>
            <w:pPr>
              <w:spacing w:after="0"/>
              <w:rPr>
                <w:sz w:val="17"/>
                <w:szCs w:val="17"/>
                <w:color w:val="auto"/>
              </w:rPr>
            </w:pPr>
          </w:p>
        </w:tc>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S-1</w:t>
            </w:r>
          </w:p>
        </w:tc>
        <w:tc>
          <w:tcPr>
            <w:tcW w:w="2180" w:type="dxa"/>
            <w:vAlign w:val="bottom"/>
            <w:gridSpan w:val="2"/>
          </w:tcPr>
          <w:p>
            <w:pPr>
              <w:spacing w:after="0" w:line="196" w:lineRule="exact"/>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1"/>
              </w:rPr>
              <w:t>4.14</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4.15</w:t>
            </w:r>
          </w:p>
        </w:tc>
        <w:tc>
          <w:tcPr>
            <w:tcW w:w="40" w:type="dxa"/>
            <w:vAlign w:val="bottom"/>
          </w:tcPr>
          <w:p>
            <w:pPr>
              <w:spacing w:after="0"/>
              <w:rPr>
                <w:sz w:val="24"/>
                <w:szCs w:val="24"/>
                <w:color w:val="auto"/>
              </w:rPr>
            </w:pPr>
          </w:p>
        </w:tc>
        <w:tc>
          <w:tcPr>
            <w:tcW w:w="5460" w:type="dxa"/>
            <w:vAlign w:val="bottom"/>
            <w:gridSpan w:val="22"/>
          </w:tcPr>
          <w:p>
            <w:pPr>
              <w:spacing w:after="0"/>
              <w:rPr>
                <w:rFonts w:ascii="Arial" w:cs="Arial" w:eastAsia="Arial" w:hAnsi="Arial"/>
                <w:sz w:val="18"/>
                <w:szCs w:val="18"/>
                <w:color w:val="0000EE"/>
                <w:w w:val="93"/>
              </w:rPr>
            </w:pPr>
            <w:hyperlink r:id="rId152">
              <w:r>
                <w:rPr>
                  <w:rFonts w:ascii="Arial" w:cs="Arial" w:eastAsia="Arial" w:hAnsi="Arial"/>
                  <w:sz w:val="18"/>
                  <w:szCs w:val="18"/>
                  <w:color w:val="0000EE"/>
                  <w:w w:val="93"/>
                </w:rPr>
                <w:t>Form of Warrant to Purchase Shares issued in April, August and October</w:t>
              </w:r>
            </w:hyperlink>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2014 in connection with the 2014 convertible note financing.</w:t>
              </w:r>
            </w:hyperlink>
          </w:p>
        </w:tc>
        <w:tc>
          <w:tcPr>
            <w:tcW w:w="200" w:type="dxa"/>
            <w:vAlign w:val="bottom"/>
            <w:gridSpan w:val="5"/>
          </w:tcPr>
          <w:p>
            <w:pPr>
              <w:spacing w:after="0"/>
              <w:rPr>
                <w:sz w:val="17"/>
                <w:szCs w:val="17"/>
                <w:color w:val="auto"/>
              </w:rPr>
            </w:pPr>
          </w:p>
        </w:tc>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S-1</w:t>
            </w:r>
          </w:p>
        </w:tc>
        <w:tc>
          <w:tcPr>
            <w:tcW w:w="2180" w:type="dxa"/>
            <w:vAlign w:val="bottom"/>
            <w:gridSpan w:val="2"/>
          </w:tcPr>
          <w:p>
            <w:pPr>
              <w:spacing w:after="0" w:line="196" w:lineRule="exact"/>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1"/>
              </w:rPr>
              <w:t>4.15</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4.16</w:t>
            </w:r>
          </w:p>
        </w:tc>
        <w:tc>
          <w:tcPr>
            <w:tcW w:w="40" w:type="dxa"/>
            <w:vAlign w:val="bottom"/>
          </w:tcPr>
          <w:p>
            <w:pPr>
              <w:spacing w:after="0"/>
              <w:rPr>
                <w:sz w:val="24"/>
                <w:szCs w:val="24"/>
                <w:color w:val="auto"/>
              </w:rPr>
            </w:pPr>
          </w:p>
        </w:tc>
        <w:tc>
          <w:tcPr>
            <w:tcW w:w="4400" w:type="dxa"/>
            <w:vAlign w:val="bottom"/>
            <w:tcBorders>
              <w:top w:val="single" w:sz="8" w:color="0000EE"/>
            </w:tcBorders>
            <w:gridSpan w:val="9"/>
          </w:tcPr>
          <w:p>
            <w:pPr>
              <w:spacing w:after="0"/>
              <w:rPr>
                <w:rFonts w:ascii="Arial" w:cs="Arial" w:eastAsia="Arial" w:hAnsi="Arial"/>
                <w:sz w:val="18"/>
                <w:szCs w:val="18"/>
                <w:color w:val="0000EE"/>
              </w:rPr>
            </w:pPr>
            <w:hyperlink r:id="rId153">
              <w:r>
                <w:rPr>
                  <w:rFonts w:ascii="Arial" w:cs="Arial" w:eastAsia="Arial" w:hAnsi="Arial"/>
                  <w:sz w:val="18"/>
                  <w:szCs w:val="18"/>
                  <w:color w:val="0000EE"/>
                </w:rPr>
                <w:t>Form of unit certificate.</w:t>
              </w:r>
            </w:hyperlink>
          </w:p>
        </w:tc>
        <w:tc>
          <w:tcPr>
            <w:tcW w:w="1060" w:type="dxa"/>
            <w:vAlign w:val="bottom"/>
            <w:gridSpan w:val="13"/>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S-1/A</w:t>
            </w:r>
          </w:p>
        </w:tc>
        <w:tc>
          <w:tcPr>
            <w:tcW w:w="2180" w:type="dxa"/>
            <w:vAlign w:val="bottom"/>
            <w:gridSpan w:val="2"/>
          </w:tcPr>
          <w:p>
            <w:pPr>
              <w:spacing w:after="0"/>
              <w:rPr>
                <w:sz w:val="20"/>
                <w:szCs w:val="20"/>
                <w:color w:val="auto"/>
              </w:rPr>
            </w:pPr>
            <w:r>
              <w:rPr>
                <w:rFonts w:ascii="Arial" w:cs="Arial" w:eastAsia="Arial" w:hAnsi="Arial"/>
                <w:sz w:val="18"/>
                <w:szCs w:val="18"/>
                <w:color w:val="auto"/>
              </w:rPr>
              <w:t>August 5, 2014</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4.16</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gridSpan w:val="15"/>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40" w:type="dxa"/>
            <w:vAlign w:val="bottom"/>
          </w:tcPr>
          <w:p>
            <w:pPr>
              <w:spacing w:after="0"/>
              <w:rPr>
                <w:sz w:val="24"/>
                <w:szCs w:val="24"/>
                <w:color w:val="auto"/>
              </w:rPr>
            </w:pPr>
          </w:p>
        </w:tc>
        <w:tc>
          <w:tcPr>
            <w:tcW w:w="2760" w:type="dxa"/>
            <w:vAlign w:val="bottom"/>
            <w:tcBorders>
              <w:bottom w:val="single" w:sz="8" w:color="0000EE"/>
            </w:tcBorders>
            <w:gridSpan w:val="3"/>
          </w:tcPr>
          <w:p>
            <w:pPr>
              <w:spacing w:after="0"/>
              <w:rPr>
                <w:rFonts w:ascii="Arial" w:cs="Arial" w:eastAsia="Arial" w:hAnsi="Arial"/>
                <w:sz w:val="18"/>
                <w:szCs w:val="18"/>
                <w:color w:val="0000EE"/>
                <w:w w:val="90"/>
              </w:rPr>
            </w:pPr>
            <w:hyperlink r:id="rId154">
              <w:r>
                <w:rPr>
                  <w:rFonts w:ascii="Arial" w:cs="Arial" w:eastAsia="Arial" w:hAnsi="Arial"/>
                  <w:sz w:val="18"/>
                  <w:szCs w:val="18"/>
                  <w:color w:val="0000EE"/>
                  <w:w w:val="90"/>
                </w:rPr>
                <w:t>Form of Series B Warrant Agreement.</w:t>
              </w:r>
            </w:hyperlink>
          </w:p>
        </w:tc>
        <w:tc>
          <w:tcPr>
            <w:tcW w:w="2700" w:type="dxa"/>
            <w:vAlign w:val="bottom"/>
            <w:gridSpan w:val="19"/>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S-1/A</w:t>
            </w:r>
          </w:p>
        </w:tc>
        <w:tc>
          <w:tcPr>
            <w:tcW w:w="2180" w:type="dxa"/>
            <w:vAlign w:val="bottom"/>
            <w:gridSpan w:val="2"/>
          </w:tcPr>
          <w:p>
            <w:pPr>
              <w:spacing w:after="0"/>
              <w:rPr>
                <w:sz w:val="20"/>
                <w:szCs w:val="20"/>
                <w:color w:val="auto"/>
              </w:rPr>
            </w:pPr>
            <w:r>
              <w:rPr>
                <w:rFonts w:ascii="Arial" w:cs="Arial" w:eastAsia="Arial" w:hAnsi="Arial"/>
                <w:sz w:val="18"/>
                <w:szCs w:val="18"/>
                <w:color w:val="auto"/>
              </w:rPr>
              <w:t>November 4, 2014</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4.18</w:t>
            </w:r>
          </w:p>
        </w:tc>
        <w:tc>
          <w:tcPr>
            <w:tcW w:w="40" w:type="dxa"/>
            <w:vAlign w:val="bottom"/>
          </w:tcPr>
          <w:p>
            <w:pPr>
              <w:spacing w:after="0"/>
              <w:rPr>
                <w:sz w:val="24"/>
                <w:szCs w:val="24"/>
                <w:color w:val="auto"/>
              </w:rPr>
            </w:pPr>
          </w:p>
        </w:tc>
        <w:tc>
          <w:tcPr>
            <w:tcW w:w="2940" w:type="dxa"/>
            <w:vAlign w:val="bottom"/>
            <w:tcBorders>
              <w:bottom w:val="single" w:sz="8" w:color="0000EE"/>
            </w:tcBorders>
            <w:gridSpan w:val="4"/>
          </w:tcPr>
          <w:p>
            <w:pPr>
              <w:spacing w:after="0"/>
              <w:rPr>
                <w:rFonts w:ascii="Arial" w:cs="Arial" w:eastAsia="Arial" w:hAnsi="Arial"/>
                <w:sz w:val="18"/>
                <w:szCs w:val="18"/>
                <w:color w:val="0000EE"/>
                <w:w w:val="90"/>
              </w:rPr>
            </w:pPr>
            <w:hyperlink r:id="rId155">
              <w:r>
                <w:rPr>
                  <w:rFonts w:ascii="Arial" w:cs="Arial" w:eastAsia="Arial" w:hAnsi="Arial"/>
                  <w:sz w:val="18"/>
                  <w:szCs w:val="18"/>
                  <w:color w:val="0000EE"/>
                  <w:w w:val="90"/>
                </w:rPr>
                <w:t>Form of the Series B Warrant certificate.</w:t>
              </w:r>
            </w:hyperlink>
          </w:p>
        </w:tc>
        <w:tc>
          <w:tcPr>
            <w:tcW w:w="2520" w:type="dxa"/>
            <w:vAlign w:val="bottom"/>
            <w:gridSpan w:val="18"/>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S-1/A</w:t>
            </w:r>
          </w:p>
        </w:tc>
        <w:tc>
          <w:tcPr>
            <w:tcW w:w="2180" w:type="dxa"/>
            <w:vAlign w:val="bottom"/>
            <w:gridSpan w:val="2"/>
          </w:tcPr>
          <w:p>
            <w:pPr>
              <w:spacing w:after="0"/>
              <w:rPr>
                <w:sz w:val="20"/>
                <w:szCs w:val="20"/>
                <w:color w:val="auto"/>
              </w:rPr>
            </w:pPr>
            <w:r>
              <w:rPr>
                <w:rFonts w:ascii="Arial" w:cs="Arial" w:eastAsia="Arial" w:hAnsi="Arial"/>
                <w:sz w:val="18"/>
                <w:szCs w:val="18"/>
                <w:color w:val="auto"/>
              </w:rPr>
              <w:t>November 4, 2014</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4.18</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4.19</w:t>
            </w:r>
          </w:p>
        </w:tc>
        <w:tc>
          <w:tcPr>
            <w:tcW w:w="40" w:type="dxa"/>
            <w:vAlign w:val="bottom"/>
          </w:tcPr>
          <w:p>
            <w:pPr>
              <w:spacing w:after="0"/>
              <w:rPr>
                <w:sz w:val="24"/>
                <w:szCs w:val="24"/>
                <w:color w:val="auto"/>
              </w:rPr>
            </w:pPr>
          </w:p>
        </w:tc>
        <w:tc>
          <w:tcPr>
            <w:tcW w:w="3020" w:type="dxa"/>
            <w:vAlign w:val="bottom"/>
            <w:tcBorders>
              <w:bottom w:val="single" w:sz="8" w:color="0000EE"/>
            </w:tcBorders>
            <w:gridSpan w:val="5"/>
          </w:tcPr>
          <w:p>
            <w:pPr>
              <w:spacing w:after="0"/>
              <w:rPr>
                <w:rFonts w:ascii="Arial" w:cs="Arial" w:eastAsia="Arial" w:hAnsi="Arial"/>
                <w:sz w:val="18"/>
                <w:szCs w:val="18"/>
                <w:color w:val="0000EE"/>
                <w:w w:val="90"/>
              </w:rPr>
            </w:pPr>
            <w:hyperlink r:id="rId156">
              <w:r>
                <w:rPr>
                  <w:rFonts w:ascii="Arial" w:cs="Arial" w:eastAsia="Arial" w:hAnsi="Arial"/>
                  <w:sz w:val="18"/>
                  <w:szCs w:val="18"/>
                  <w:color w:val="0000EE"/>
                  <w:w w:val="90"/>
                </w:rPr>
                <w:t>Form of the Series C Warrant Agreement.</w:t>
              </w:r>
            </w:hyperlink>
          </w:p>
        </w:tc>
        <w:tc>
          <w:tcPr>
            <w:tcW w:w="2440" w:type="dxa"/>
            <w:vAlign w:val="bottom"/>
            <w:gridSpan w:val="17"/>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S-4</w:t>
            </w:r>
          </w:p>
        </w:tc>
        <w:tc>
          <w:tcPr>
            <w:tcW w:w="2180" w:type="dxa"/>
            <w:vAlign w:val="bottom"/>
            <w:gridSpan w:val="2"/>
          </w:tcPr>
          <w:p>
            <w:pPr>
              <w:spacing w:after="0"/>
              <w:rPr>
                <w:sz w:val="20"/>
                <w:szCs w:val="20"/>
                <w:color w:val="auto"/>
              </w:rPr>
            </w:pPr>
            <w:r>
              <w:rPr>
                <w:rFonts w:ascii="Arial" w:cs="Arial" w:eastAsia="Arial" w:hAnsi="Arial"/>
                <w:sz w:val="18"/>
                <w:szCs w:val="18"/>
                <w:color w:val="auto"/>
              </w:rPr>
              <w:t>April 1, 2015</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4.19</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4.20</w:t>
            </w:r>
          </w:p>
        </w:tc>
        <w:tc>
          <w:tcPr>
            <w:tcW w:w="40" w:type="dxa"/>
            <w:vAlign w:val="bottom"/>
          </w:tcPr>
          <w:p>
            <w:pPr>
              <w:spacing w:after="0"/>
              <w:rPr>
                <w:sz w:val="24"/>
                <w:szCs w:val="24"/>
                <w:color w:val="auto"/>
              </w:rPr>
            </w:pPr>
          </w:p>
        </w:tc>
        <w:tc>
          <w:tcPr>
            <w:tcW w:w="2940" w:type="dxa"/>
            <w:vAlign w:val="bottom"/>
            <w:tcBorders>
              <w:bottom w:val="single" w:sz="8" w:color="0000EE"/>
            </w:tcBorders>
            <w:gridSpan w:val="4"/>
          </w:tcPr>
          <w:p>
            <w:pPr>
              <w:spacing w:after="0"/>
              <w:rPr>
                <w:rFonts w:ascii="Arial" w:cs="Arial" w:eastAsia="Arial" w:hAnsi="Arial"/>
                <w:sz w:val="18"/>
                <w:szCs w:val="18"/>
                <w:color w:val="0000EE"/>
                <w:w w:val="90"/>
              </w:rPr>
            </w:pPr>
            <w:hyperlink r:id="rId157">
              <w:r>
                <w:rPr>
                  <w:rFonts w:ascii="Arial" w:cs="Arial" w:eastAsia="Arial" w:hAnsi="Arial"/>
                  <w:sz w:val="18"/>
                  <w:szCs w:val="18"/>
                  <w:color w:val="0000EE"/>
                  <w:w w:val="90"/>
                </w:rPr>
                <w:t>Form of the Series C Warrant certificate.</w:t>
              </w:r>
            </w:hyperlink>
          </w:p>
        </w:tc>
        <w:tc>
          <w:tcPr>
            <w:tcW w:w="2520" w:type="dxa"/>
            <w:vAlign w:val="bottom"/>
            <w:gridSpan w:val="18"/>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S-4</w:t>
            </w:r>
          </w:p>
        </w:tc>
        <w:tc>
          <w:tcPr>
            <w:tcW w:w="2180" w:type="dxa"/>
            <w:vAlign w:val="bottom"/>
            <w:gridSpan w:val="2"/>
          </w:tcPr>
          <w:p>
            <w:pPr>
              <w:spacing w:after="0"/>
              <w:rPr>
                <w:sz w:val="20"/>
                <w:szCs w:val="20"/>
                <w:color w:val="auto"/>
              </w:rPr>
            </w:pPr>
            <w:r>
              <w:rPr>
                <w:rFonts w:ascii="Arial" w:cs="Arial" w:eastAsia="Arial" w:hAnsi="Arial"/>
                <w:sz w:val="18"/>
                <w:szCs w:val="18"/>
                <w:color w:val="auto"/>
              </w:rPr>
              <w:t>April 1, 2015</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4.20</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4.21</w:t>
            </w:r>
          </w:p>
        </w:tc>
        <w:tc>
          <w:tcPr>
            <w:tcW w:w="40" w:type="dxa"/>
            <w:vAlign w:val="bottom"/>
          </w:tcPr>
          <w:p>
            <w:pPr>
              <w:spacing w:after="0"/>
              <w:rPr>
                <w:sz w:val="24"/>
                <w:szCs w:val="24"/>
                <w:color w:val="auto"/>
              </w:rPr>
            </w:pPr>
          </w:p>
        </w:tc>
        <w:tc>
          <w:tcPr>
            <w:tcW w:w="5460" w:type="dxa"/>
            <w:vAlign w:val="bottom"/>
            <w:gridSpan w:val="22"/>
          </w:tcPr>
          <w:p>
            <w:pPr>
              <w:spacing w:after="0"/>
              <w:rPr>
                <w:rFonts w:ascii="Arial" w:cs="Arial" w:eastAsia="Arial" w:hAnsi="Arial"/>
                <w:sz w:val="18"/>
                <w:szCs w:val="18"/>
                <w:color w:val="0000EE"/>
              </w:rPr>
            </w:pPr>
            <w:hyperlink r:id="rId158">
              <w:r>
                <w:rPr>
                  <w:rFonts w:ascii="Arial" w:cs="Arial" w:eastAsia="Arial" w:hAnsi="Arial"/>
                  <w:sz w:val="18"/>
                  <w:szCs w:val="18"/>
                  <w:color w:val="0000EE"/>
                </w:rPr>
                <w:t>Form of Series D Common Stock Purchase Warrant.</w:t>
              </w:r>
            </w:hyperlink>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2180" w:type="dxa"/>
            <w:vAlign w:val="bottom"/>
            <w:gridSpan w:val="2"/>
          </w:tcPr>
          <w:p>
            <w:pPr>
              <w:spacing w:after="0"/>
              <w:rPr>
                <w:sz w:val="20"/>
                <w:szCs w:val="20"/>
                <w:color w:val="auto"/>
              </w:rPr>
            </w:pPr>
            <w:r>
              <w:rPr>
                <w:rFonts w:ascii="Arial" w:cs="Arial" w:eastAsia="Arial" w:hAnsi="Arial"/>
                <w:sz w:val="18"/>
                <w:szCs w:val="18"/>
                <w:color w:val="auto"/>
              </w:rPr>
              <w:t>October 15, 2015</w:t>
            </w: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4.22</w:t>
            </w:r>
          </w:p>
        </w:tc>
        <w:tc>
          <w:tcPr>
            <w:tcW w:w="40" w:type="dxa"/>
            <w:vAlign w:val="bottom"/>
          </w:tcPr>
          <w:p>
            <w:pPr>
              <w:spacing w:after="0"/>
              <w:rPr>
                <w:sz w:val="24"/>
                <w:szCs w:val="24"/>
                <w:color w:val="auto"/>
              </w:rPr>
            </w:pPr>
          </w:p>
        </w:tc>
        <w:tc>
          <w:tcPr>
            <w:tcW w:w="2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r:id="rId159">
              <w:r>
                <w:rPr>
                  <w:rFonts w:ascii="Arial" w:cs="Arial" w:eastAsia="Arial" w:hAnsi="Arial"/>
                  <w:sz w:val="18"/>
                  <w:szCs w:val="18"/>
                  <w:color w:val="0000EE"/>
                  <w:w w:val="90"/>
                </w:rPr>
                <w:t>Form of Placement Agent Warrant.</w:t>
              </w:r>
            </w:hyperlink>
          </w:p>
        </w:tc>
        <w:tc>
          <w:tcPr>
            <w:tcW w:w="1240" w:type="dxa"/>
            <w:vAlign w:val="bottom"/>
            <w:tcBorders>
              <w:top w:val="single" w:sz="8" w:color="0000EE"/>
            </w:tcBorders>
            <w:gridSpan w:val="4"/>
          </w:tcPr>
          <w:p>
            <w:pPr>
              <w:spacing w:after="0"/>
              <w:rPr>
                <w:sz w:val="24"/>
                <w:szCs w:val="24"/>
                <w:color w:val="auto"/>
              </w:rPr>
            </w:pPr>
          </w:p>
        </w:tc>
        <w:tc>
          <w:tcPr>
            <w:tcW w:w="1680" w:type="dxa"/>
            <w:vAlign w:val="bottom"/>
            <w:gridSpan w:val="16"/>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2180" w:type="dxa"/>
            <w:vAlign w:val="bottom"/>
            <w:gridSpan w:val="2"/>
          </w:tcPr>
          <w:p>
            <w:pPr>
              <w:spacing w:after="0"/>
              <w:rPr>
                <w:sz w:val="20"/>
                <w:szCs w:val="20"/>
                <w:color w:val="auto"/>
              </w:rPr>
            </w:pPr>
            <w:r>
              <w:rPr>
                <w:rFonts w:ascii="Arial" w:cs="Arial" w:eastAsia="Arial" w:hAnsi="Arial"/>
                <w:sz w:val="18"/>
                <w:szCs w:val="18"/>
                <w:color w:val="auto"/>
              </w:rPr>
              <w:t>October 15, 2015</w:t>
            </w: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4.23</w:t>
            </w:r>
          </w:p>
        </w:tc>
        <w:tc>
          <w:tcPr>
            <w:tcW w:w="40" w:type="dxa"/>
            <w:vAlign w:val="bottom"/>
          </w:tcPr>
          <w:p>
            <w:pPr>
              <w:spacing w:after="0"/>
              <w:rPr>
                <w:sz w:val="24"/>
                <w:szCs w:val="24"/>
                <w:color w:val="auto"/>
              </w:rPr>
            </w:pPr>
          </w:p>
        </w:tc>
        <w:tc>
          <w:tcPr>
            <w:tcW w:w="5460" w:type="dxa"/>
            <w:vAlign w:val="bottom"/>
            <w:gridSpan w:val="22"/>
          </w:tcPr>
          <w:p>
            <w:pPr>
              <w:spacing w:after="0"/>
              <w:rPr>
                <w:rFonts w:ascii="Arial" w:cs="Arial" w:eastAsia="Arial" w:hAnsi="Arial"/>
                <w:sz w:val="18"/>
                <w:szCs w:val="18"/>
                <w:color w:val="0000EE"/>
              </w:rPr>
            </w:pPr>
            <w:hyperlink r:id="rId160">
              <w:r>
                <w:rPr>
                  <w:rFonts w:ascii="Arial" w:cs="Arial" w:eastAsia="Arial" w:hAnsi="Arial"/>
                  <w:sz w:val="18"/>
                  <w:szCs w:val="18"/>
                  <w:color w:val="0000EE"/>
                </w:rPr>
                <w:t>Form of Series D common stock Warrant Certificate.</w:t>
              </w:r>
            </w:hyperlink>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2180" w:type="dxa"/>
            <w:vAlign w:val="bottom"/>
            <w:gridSpan w:val="2"/>
          </w:tcPr>
          <w:p>
            <w:pPr>
              <w:spacing w:after="0"/>
              <w:rPr>
                <w:sz w:val="20"/>
                <w:szCs w:val="20"/>
                <w:color w:val="auto"/>
              </w:rPr>
            </w:pPr>
            <w:r>
              <w:rPr>
                <w:rFonts w:ascii="Arial" w:cs="Arial" w:eastAsia="Arial" w:hAnsi="Arial"/>
                <w:sz w:val="18"/>
                <w:szCs w:val="18"/>
                <w:color w:val="auto"/>
              </w:rPr>
              <w:t>October 15, 2015</w:t>
            </w: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20" w:type="dxa"/>
            <w:vAlign w:val="bottom"/>
            <w:tcBorders>
              <w:top w:val="single" w:sz="8" w:color="0000EE"/>
            </w:tcBorders>
            <w:gridSpan w:val="7"/>
          </w:tcPr>
          <w:p>
            <w:pPr>
              <w:spacing w:after="0"/>
              <w:rPr>
                <w:sz w:val="24"/>
                <w:szCs w:val="24"/>
                <w:color w:val="auto"/>
              </w:rPr>
            </w:pPr>
          </w:p>
        </w:tc>
        <w:tc>
          <w:tcPr>
            <w:tcW w:w="1220" w:type="dxa"/>
            <w:vAlign w:val="bottom"/>
            <w:gridSpan w:val="8"/>
          </w:tcPr>
          <w:p>
            <w:pPr>
              <w:jc w:val="right"/>
              <w:ind w:right="12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08" w:name="page109"/>
    <w:bookmarkEnd w:id="108"/>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Exhibit</w:t>
            </w: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0" w:type="dxa"/>
            <w:vAlign w:val="bottom"/>
            <w:gridSpan w:val="18"/>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Number</w:t>
            </w: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0" w:type="dxa"/>
            <w:vAlign w:val="bottom"/>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4.24</w:t>
            </w:r>
          </w:p>
        </w:tc>
        <w:tc>
          <w:tcPr>
            <w:tcW w:w="40" w:type="dxa"/>
            <w:vAlign w:val="bottom"/>
          </w:tcPr>
          <w:p>
            <w:pPr>
              <w:spacing w:after="0"/>
              <w:rPr>
                <w:sz w:val="14"/>
                <w:szCs w:val="14"/>
                <w:color w:val="auto"/>
              </w:rPr>
            </w:pPr>
          </w:p>
        </w:tc>
        <w:tc>
          <w:tcPr>
            <w:tcW w:w="4180" w:type="dxa"/>
            <w:vAlign w:val="bottom"/>
            <w:tcBorders>
              <w:top w:val="single" w:sz="8" w:color="auto"/>
              <w:bottom w:val="single" w:sz="8" w:color="0000EE"/>
            </w:tcBorders>
            <w:gridSpan w:val="11"/>
          </w:tcPr>
          <w:p>
            <w:pPr>
              <w:spacing w:after="0" w:line="170"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Form of Series A Convertible Preferred Stock Certificate.</w:t>
              </w:r>
            </w:hyperlink>
          </w:p>
        </w:tc>
        <w:tc>
          <w:tcPr>
            <w:tcW w:w="1220" w:type="dxa"/>
            <w:vAlign w:val="bottom"/>
            <w:tcBorders>
              <w:top w:val="single" w:sz="8" w:color="auto"/>
            </w:tcBorders>
            <w:gridSpan w:val="10"/>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4.25</w:t>
            </w:r>
          </w:p>
        </w:tc>
        <w:tc>
          <w:tcPr>
            <w:tcW w:w="40" w:type="dxa"/>
            <w:vAlign w:val="bottom"/>
          </w:tcPr>
          <w:p>
            <w:pPr>
              <w:spacing w:after="0"/>
              <w:rPr>
                <w:sz w:val="24"/>
                <w:szCs w:val="24"/>
                <w:color w:val="auto"/>
              </w:rPr>
            </w:pPr>
          </w:p>
        </w:tc>
        <w:tc>
          <w:tcPr>
            <w:tcW w:w="2540" w:type="dxa"/>
            <w:vAlign w:val="bottom"/>
            <w:tcBorders>
              <w:bottom w:val="single" w:sz="8" w:color="0000EE"/>
            </w:tcBorders>
            <w:gridSpan w:val="6"/>
          </w:tcPr>
          <w:p>
            <w:pPr>
              <w:spacing w:after="0"/>
              <w:rPr>
                <w:rFonts w:ascii="Arial" w:cs="Arial" w:eastAsia="Arial" w:hAnsi="Arial"/>
                <w:sz w:val="18"/>
                <w:szCs w:val="18"/>
                <w:color w:val="0000EE"/>
                <w:w w:val="90"/>
              </w:rPr>
            </w:pPr>
            <w:hyperlink r:id="rId164">
              <w:r>
                <w:rPr>
                  <w:rFonts w:ascii="Arial" w:cs="Arial" w:eastAsia="Arial" w:hAnsi="Arial"/>
                  <w:sz w:val="18"/>
                  <w:szCs w:val="18"/>
                  <w:color w:val="0000EE"/>
                  <w:w w:val="90"/>
                </w:rPr>
                <w:t>Form of Placement Agent Warrant.</w:t>
              </w:r>
            </w:hyperlink>
          </w:p>
        </w:tc>
        <w:tc>
          <w:tcPr>
            <w:tcW w:w="28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4.26</w:t>
            </w:r>
          </w:p>
        </w:tc>
        <w:tc>
          <w:tcPr>
            <w:tcW w:w="40" w:type="dxa"/>
            <w:vAlign w:val="bottom"/>
          </w:tcPr>
          <w:p>
            <w:pPr>
              <w:spacing w:after="0"/>
              <w:rPr>
                <w:sz w:val="24"/>
                <w:szCs w:val="24"/>
                <w:color w:val="auto"/>
              </w:rPr>
            </w:pPr>
          </w:p>
        </w:tc>
        <w:tc>
          <w:tcPr>
            <w:tcW w:w="4160" w:type="dxa"/>
            <w:vAlign w:val="bottom"/>
            <w:tcBorders>
              <w:bottom w:val="single" w:sz="8" w:color="0000EE"/>
            </w:tcBorders>
            <w:gridSpan w:val="10"/>
          </w:tcPr>
          <w:p>
            <w:pPr>
              <w:spacing w:after="0"/>
              <w:rPr>
                <w:rFonts w:ascii="Arial" w:cs="Arial" w:eastAsia="Arial" w:hAnsi="Arial"/>
                <w:sz w:val="18"/>
                <w:szCs w:val="18"/>
                <w:color w:val="0000EE"/>
                <w:w w:val="91"/>
              </w:rPr>
            </w:pPr>
            <w:hyperlink r:id="rId165">
              <w:r>
                <w:rPr>
                  <w:rFonts w:ascii="Arial" w:cs="Arial" w:eastAsia="Arial" w:hAnsi="Arial"/>
                  <w:sz w:val="18"/>
                  <w:szCs w:val="18"/>
                  <w:color w:val="0000EE"/>
                  <w:w w:val="91"/>
                </w:rPr>
                <w:t>Form of Series B Convertible Preferred Stock Certificate.</w:t>
              </w:r>
            </w:hyperlink>
          </w:p>
        </w:tc>
        <w:tc>
          <w:tcPr>
            <w:tcW w:w="12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4.27</w:t>
            </w:r>
          </w:p>
        </w:tc>
        <w:tc>
          <w:tcPr>
            <w:tcW w:w="40" w:type="dxa"/>
            <w:vAlign w:val="bottom"/>
          </w:tcPr>
          <w:p>
            <w:pPr>
              <w:spacing w:after="0"/>
              <w:rPr>
                <w:sz w:val="24"/>
                <w:szCs w:val="24"/>
                <w:color w:val="auto"/>
              </w:rPr>
            </w:pPr>
          </w:p>
        </w:tc>
        <w:tc>
          <w:tcPr>
            <w:tcW w:w="3100" w:type="dxa"/>
            <w:vAlign w:val="bottom"/>
            <w:tcBorders>
              <w:bottom w:val="single" w:sz="8" w:color="0000EE"/>
            </w:tcBorders>
            <w:gridSpan w:val="9"/>
          </w:tcPr>
          <w:p>
            <w:pPr>
              <w:spacing w:after="0"/>
              <w:rPr>
                <w:rFonts w:ascii="Arial" w:cs="Arial" w:eastAsia="Arial" w:hAnsi="Arial"/>
                <w:sz w:val="18"/>
                <w:szCs w:val="18"/>
                <w:color w:val="0000EE"/>
                <w:w w:val="90"/>
              </w:rPr>
            </w:pPr>
            <w:hyperlink r:id="rId166">
              <w:r>
                <w:rPr>
                  <w:rFonts w:ascii="Arial" w:cs="Arial" w:eastAsia="Arial" w:hAnsi="Arial"/>
                  <w:sz w:val="18"/>
                  <w:szCs w:val="18"/>
                  <w:color w:val="0000EE"/>
                  <w:w w:val="90"/>
                </w:rPr>
                <w:t>Form of Common Stock Purchase Warrant</w:t>
              </w:r>
            </w:hyperlink>
          </w:p>
        </w:tc>
        <w:tc>
          <w:tcPr>
            <w:tcW w:w="23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4.28</w:t>
            </w:r>
          </w:p>
        </w:tc>
        <w:tc>
          <w:tcPr>
            <w:tcW w:w="40" w:type="dxa"/>
            <w:vAlign w:val="bottom"/>
          </w:tcPr>
          <w:p>
            <w:pPr>
              <w:spacing w:after="0"/>
              <w:rPr>
                <w:sz w:val="24"/>
                <w:szCs w:val="24"/>
                <w:color w:val="auto"/>
              </w:rPr>
            </w:pPr>
          </w:p>
        </w:tc>
        <w:tc>
          <w:tcPr>
            <w:tcW w:w="3080" w:type="dxa"/>
            <w:vAlign w:val="bottom"/>
            <w:tcBorders>
              <w:bottom w:val="single" w:sz="8" w:color="0000EE"/>
            </w:tcBorders>
            <w:gridSpan w:val="8"/>
          </w:tcPr>
          <w:p>
            <w:pPr>
              <w:spacing w:after="0"/>
              <w:rPr>
                <w:rFonts w:ascii="Arial" w:cs="Arial" w:eastAsia="Arial" w:hAnsi="Arial"/>
                <w:sz w:val="18"/>
                <w:szCs w:val="18"/>
                <w:color w:val="0000EE"/>
                <w:w w:val="89"/>
              </w:rPr>
            </w:pPr>
            <w:hyperlink r:id="rId166">
              <w:r>
                <w:rPr>
                  <w:rFonts w:ascii="Arial" w:cs="Arial" w:eastAsia="Arial" w:hAnsi="Arial"/>
                  <w:sz w:val="18"/>
                  <w:szCs w:val="18"/>
                  <w:color w:val="0000EE"/>
                  <w:w w:val="89"/>
                </w:rPr>
                <w:t>Form of Common Stock Purchase Warrant</w:t>
              </w:r>
            </w:hyperlink>
          </w:p>
        </w:tc>
        <w:tc>
          <w:tcPr>
            <w:tcW w:w="23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9.10</w:t>
            </w:r>
          </w:p>
        </w:tc>
        <w:tc>
          <w:tcPr>
            <w:tcW w:w="40" w:type="dxa"/>
            <w:vAlign w:val="bottom"/>
          </w:tcPr>
          <w:p>
            <w:pPr>
              <w:spacing w:after="0"/>
              <w:rPr>
                <w:sz w:val="24"/>
                <w:szCs w:val="24"/>
                <w:color w:val="auto"/>
              </w:rPr>
            </w:pPr>
          </w:p>
        </w:tc>
        <w:tc>
          <w:tcPr>
            <w:tcW w:w="5400" w:type="dxa"/>
            <w:vAlign w:val="bottom"/>
            <w:gridSpan w:val="21"/>
          </w:tcPr>
          <w:p>
            <w:pPr>
              <w:spacing w:after="0"/>
              <w:rPr>
                <w:rFonts w:ascii="Arial" w:cs="Arial" w:eastAsia="Arial" w:hAnsi="Arial"/>
                <w:sz w:val="18"/>
                <w:szCs w:val="18"/>
                <w:color w:val="0000EE"/>
              </w:rPr>
            </w:pPr>
            <w:hyperlink r:id="rId167">
              <w:r>
                <w:rPr>
                  <w:rFonts w:ascii="Arial" w:cs="Arial" w:eastAsia="Arial" w:hAnsi="Arial"/>
                  <w:sz w:val="18"/>
                  <w:szCs w:val="18"/>
                  <w:color w:val="0000EE"/>
                </w:rPr>
                <w:t>Form of Voting Agreement.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9.20</w:t>
            </w:r>
          </w:p>
        </w:tc>
        <w:tc>
          <w:tcPr>
            <w:tcW w:w="40" w:type="dxa"/>
            <w:vAlign w:val="bottom"/>
          </w:tcPr>
          <w:p>
            <w:pPr>
              <w:spacing w:after="0"/>
              <w:rPr>
                <w:sz w:val="24"/>
                <w:szCs w:val="24"/>
                <w:color w:val="auto"/>
              </w:rPr>
            </w:pPr>
          </w:p>
        </w:tc>
        <w:tc>
          <w:tcPr>
            <w:tcW w:w="5400" w:type="dxa"/>
            <w:vAlign w:val="bottom"/>
            <w:gridSpan w:val="21"/>
          </w:tcPr>
          <w:p>
            <w:pPr>
              <w:spacing w:after="0"/>
              <w:rPr>
                <w:rFonts w:ascii="Arial" w:cs="Arial" w:eastAsia="Arial" w:hAnsi="Arial"/>
                <w:sz w:val="18"/>
                <w:szCs w:val="18"/>
                <w:color w:val="0000EE"/>
              </w:rPr>
            </w:pPr>
            <w:hyperlink r:id="rId168">
              <w:r>
                <w:rPr>
                  <w:rFonts w:ascii="Arial" w:cs="Arial" w:eastAsia="Arial" w:hAnsi="Arial"/>
                  <w:sz w:val="18"/>
                  <w:szCs w:val="18"/>
                  <w:color w:val="0000EE"/>
                </w:rPr>
                <w:t>Form of Voting Agreement.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9.30</w:t>
            </w:r>
          </w:p>
        </w:tc>
        <w:tc>
          <w:tcPr>
            <w:tcW w:w="40" w:type="dxa"/>
            <w:vAlign w:val="bottom"/>
          </w:tcPr>
          <w:p>
            <w:pPr>
              <w:spacing w:after="0"/>
              <w:rPr>
                <w:sz w:val="24"/>
                <w:szCs w:val="24"/>
                <w:color w:val="auto"/>
              </w:rPr>
            </w:pPr>
          </w:p>
        </w:tc>
        <w:tc>
          <w:tcPr>
            <w:tcW w:w="5400" w:type="dxa"/>
            <w:vAlign w:val="bottom"/>
            <w:gridSpan w:val="21"/>
          </w:tcPr>
          <w:p>
            <w:pPr>
              <w:spacing w:after="0"/>
              <w:rPr>
                <w:rFonts w:ascii="Arial" w:cs="Arial" w:eastAsia="Arial" w:hAnsi="Arial"/>
                <w:sz w:val="18"/>
                <w:szCs w:val="18"/>
                <w:color w:val="0000EE"/>
              </w:rPr>
            </w:pPr>
            <w:hyperlink r:id="rId169">
              <w:r>
                <w:rPr>
                  <w:rFonts w:ascii="Arial" w:cs="Arial" w:eastAsia="Arial" w:hAnsi="Arial"/>
                  <w:sz w:val="18"/>
                  <w:szCs w:val="18"/>
                  <w:color w:val="0000EE"/>
                </w:rPr>
                <w:t>Form of Voting Agreement.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24"/>
                <w:szCs w:val="24"/>
                <w:color w:val="auto"/>
              </w:rPr>
            </w:pPr>
          </w:p>
        </w:tc>
        <w:tc>
          <w:tcPr>
            <w:tcW w:w="5200" w:type="dxa"/>
            <w:vAlign w:val="bottom"/>
            <w:tcBorders>
              <w:bottom w:val="single" w:sz="8" w:color="0000EE"/>
            </w:tcBorders>
            <w:gridSpan w:val="17"/>
          </w:tcPr>
          <w:p>
            <w:pPr>
              <w:spacing w:after="0"/>
              <w:rPr>
                <w:rFonts w:ascii="Arial" w:cs="Arial" w:eastAsia="Arial" w:hAnsi="Arial"/>
                <w:sz w:val="18"/>
                <w:szCs w:val="18"/>
                <w:color w:val="0000EE"/>
                <w:w w:val="90"/>
              </w:rPr>
            </w:pPr>
            <w:hyperlink r:id="rId170">
              <w:r>
                <w:rPr>
                  <w:rFonts w:ascii="Arial" w:cs="Arial" w:eastAsia="Arial" w:hAnsi="Arial"/>
                  <w:sz w:val="18"/>
                  <w:szCs w:val="18"/>
                  <w:color w:val="0000EE"/>
                  <w:w w:val="90"/>
                </w:rPr>
                <w:t>Form of Indemnification Agreement between the Registrant and each of</w:t>
              </w:r>
            </w:hyperlink>
          </w:p>
        </w:tc>
        <w:tc>
          <w:tcPr>
            <w:tcW w:w="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0" w:type="dxa"/>
            <w:vAlign w:val="bottom"/>
            <w:gridSpan w:val="21"/>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its directors and executive officers.</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40" w:type="dxa"/>
            <w:vAlign w:val="bottom"/>
          </w:tcPr>
          <w:p>
            <w:pPr>
              <w:spacing w:after="0"/>
              <w:rPr>
                <w:sz w:val="24"/>
                <w:szCs w:val="24"/>
                <w:color w:val="auto"/>
              </w:rPr>
            </w:pPr>
          </w:p>
        </w:tc>
        <w:tc>
          <w:tcPr>
            <w:tcW w:w="4580" w:type="dxa"/>
            <w:vAlign w:val="bottom"/>
            <w:tcBorders>
              <w:bottom w:val="single" w:sz="8" w:color="0000EE"/>
            </w:tcBorders>
            <w:gridSpan w:val="13"/>
          </w:tcPr>
          <w:p>
            <w:pPr>
              <w:spacing w:after="0"/>
              <w:rPr>
                <w:rFonts w:ascii="Arial" w:cs="Arial" w:eastAsia="Arial" w:hAnsi="Arial"/>
                <w:sz w:val="18"/>
                <w:szCs w:val="18"/>
                <w:color w:val="0000EE"/>
                <w:w w:val="89"/>
              </w:rPr>
            </w:pPr>
            <w:hyperlink r:id="rId171">
              <w:r>
                <w:rPr>
                  <w:rFonts w:ascii="Arial" w:cs="Arial" w:eastAsia="Arial" w:hAnsi="Arial"/>
                  <w:sz w:val="18"/>
                  <w:szCs w:val="18"/>
                  <w:color w:val="0000EE"/>
                  <w:w w:val="89"/>
                </w:rPr>
                <w:t>1999 Incentive Stock Plan and forms of agreements thereunder.</w:t>
              </w:r>
            </w:hyperlink>
          </w:p>
        </w:tc>
        <w:tc>
          <w:tcPr>
            <w:tcW w:w="8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40" w:type="dxa"/>
            <w:vAlign w:val="bottom"/>
          </w:tcPr>
          <w:p>
            <w:pPr>
              <w:spacing w:after="0"/>
              <w:rPr>
                <w:sz w:val="24"/>
                <w:szCs w:val="24"/>
                <w:color w:val="auto"/>
              </w:rPr>
            </w:pPr>
          </w:p>
        </w:tc>
        <w:tc>
          <w:tcPr>
            <w:tcW w:w="4660" w:type="dxa"/>
            <w:vAlign w:val="bottom"/>
            <w:tcBorders>
              <w:bottom w:val="single" w:sz="8" w:color="0000EE"/>
            </w:tcBorders>
            <w:gridSpan w:val="14"/>
          </w:tcPr>
          <w:p>
            <w:pPr>
              <w:spacing w:after="0"/>
              <w:rPr>
                <w:rFonts w:ascii="Arial" w:cs="Arial" w:eastAsia="Arial" w:hAnsi="Arial"/>
                <w:sz w:val="18"/>
                <w:szCs w:val="18"/>
                <w:color w:val="0000EE"/>
                <w:w w:val="90"/>
              </w:rPr>
            </w:pPr>
            <w:hyperlink r:id="rId172">
              <w:r>
                <w:rPr>
                  <w:rFonts w:ascii="Arial" w:cs="Arial" w:eastAsia="Arial" w:hAnsi="Arial"/>
                  <w:sz w:val="18"/>
                  <w:szCs w:val="18"/>
                  <w:color w:val="0000EE"/>
                  <w:w w:val="90"/>
                </w:rPr>
                <w:t>2010 Equity Incentive Plan and forms of agreements thereunder.</w:t>
              </w:r>
            </w:hyperlink>
          </w:p>
        </w:tc>
        <w:tc>
          <w:tcPr>
            <w:tcW w:w="7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40" w:type="dxa"/>
            <w:vAlign w:val="bottom"/>
          </w:tcPr>
          <w:p>
            <w:pPr>
              <w:spacing w:after="0"/>
              <w:rPr>
                <w:sz w:val="24"/>
                <w:szCs w:val="24"/>
                <w:color w:val="auto"/>
              </w:rPr>
            </w:pPr>
          </w:p>
        </w:tc>
        <w:tc>
          <w:tcPr>
            <w:tcW w:w="4660" w:type="dxa"/>
            <w:vAlign w:val="bottom"/>
            <w:tcBorders>
              <w:bottom w:val="single" w:sz="8" w:color="0000EE"/>
            </w:tcBorders>
            <w:gridSpan w:val="14"/>
          </w:tcPr>
          <w:p>
            <w:pPr>
              <w:spacing w:after="0"/>
              <w:rPr>
                <w:rFonts w:ascii="Arial" w:cs="Arial" w:eastAsia="Arial" w:hAnsi="Arial"/>
                <w:sz w:val="18"/>
                <w:szCs w:val="18"/>
                <w:color w:val="0000EE"/>
                <w:w w:val="90"/>
              </w:rPr>
            </w:pPr>
            <w:hyperlink r:id="rId173">
              <w:r>
                <w:rPr>
                  <w:rFonts w:ascii="Arial" w:cs="Arial" w:eastAsia="Arial" w:hAnsi="Arial"/>
                  <w:sz w:val="18"/>
                  <w:szCs w:val="18"/>
                  <w:color w:val="0000EE"/>
                  <w:w w:val="90"/>
                </w:rPr>
                <w:t>2014 Equity Incentive Plan and forms of agreements thereunder.</w:t>
              </w:r>
            </w:hyperlink>
          </w:p>
        </w:tc>
        <w:tc>
          <w:tcPr>
            <w:tcW w:w="7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40" w:type="dxa"/>
            <w:vAlign w:val="bottom"/>
          </w:tcPr>
          <w:p>
            <w:pPr>
              <w:spacing w:after="0"/>
              <w:rPr>
                <w:sz w:val="24"/>
                <w:szCs w:val="24"/>
                <w:color w:val="auto"/>
              </w:rPr>
            </w:pPr>
          </w:p>
        </w:tc>
        <w:tc>
          <w:tcPr>
            <w:tcW w:w="5340" w:type="dxa"/>
            <w:vAlign w:val="bottom"/>
            <w:tcBorders>
              <w:bottom w:val="single" w:sz="8" w:color="0000EE"/>
            </w:tcBorders>
            <w:gridSpan w:val="20"/>
          </w:tcPr>
          <w:p>
            <w:pPr>
              <w:spacing w:after="0"/>
              <w:rPr>
                <w:rFonts w:ascii="Arial" w:cs="Arial" w:eastAsia="Arial" w:hAnsi="Arial"/>
                <w:sz w:val="18"/>
                <w:szCs w:val="18"/>
                <w:color w:val="0000EE"/>
                <w:w w:val="88"/>
              </w:rPr>
            </w:pPr>
            <w:hyperlink r:id="rId174">
              <w:r>
                <w:rPr>
                  <w:rFonts w:ascii="Arial" w:cs="Arial" w:eastAsia="Arial" w:hAnsi="Arial"/>
                  <w:sz w:val="18"/>
                  <w:szCs w:val="18"/>
                  <w:color w:val="0000EE"/>
                  <w:w w:val="88"/>
                </w:rPr>
                <w:t>2014 Employee Stock Purchase Plan and forms of agreements thereunder.</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40" w:type="dxa"/>
            <w:vAlign w:val="bottom"/>
          </w:tcPr>
          <w:p>
            <w:pPr>
              <w:spacing w:after="0"/>
              <w:rPr>
                <w:sz w:val="24"/>
                <w:szCs w:val="24"/>
                <w:color w:val="auto"/>
              </w:rPr>
            </w:pPr>
          </w:p>
        </w:tc>
        <w:tc>
          <w:tcPr>
            <w:tcW w:w="5180" w:type="dxa"/>
            <w:vAlign w:val="bottom"/>
            <w:tcBorders>
              <w:bottom w:val="single" w:sz="8" w:color="0000EE"/>
            </w:tcBorders>
            <w:gridSpan w:val="16"/>
          </w:tcPr>
          <w:p>
            <w:pPr>
              <w:spacing w:after="0"/>
              <w:rPr>
                <w:rFonts w:ascii="Arial" w:cs="Arial" w:eastAsia="Arial" w:hAnsi="Arial"/>
                <w:sz w:val="18"/>
                <w:szCs w:val="18"/>
                <w:color w:val="0000EE"/>
                <w:w w:val="89"/>
              </w:rPr>
            </w:pPr>
            <w:hyperlink r:id="rId175">
              <w:r>
                <w:rPr>
                  <w:rFonts w:ascii="Arial" w:cs="Arial" w:eastAsia="Arial" w:hAnsi="Arial"/>
                  <w:sz w:val="18"/>
                  <w:szCs w:val="18"/>
                  <w:color w:val="0000EE"/>
                  <w:w w:val="89"/>
                </w:rPr>
                <w:t>Offer Letter, dated June 22, 2007, by and between Soleno Therapeutics,</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Inc. and Ernest Mario, Ph.D.</w:t>
              </w:r>
            </w:hyperlink>
          </w:p>
        </w:tc>
        <w:tc>
          <w:tcPr>
            <w:tcW w:w="33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40" w:type="dxa"/>
            <w:vAlign w:val="bottom"/>
          </w:tcPr>
          <w:p>
            <w:pPr>
              <w:spacing w:after="0"/>
              <w:rPr>
                <w:sz w:val="24"/>
                <w:szCs w:val="24"/>
                <w:color w:val="auto"/>
              </w:rPr>
            </w:pPr>
          </w:p>
        </w:tc>
        <w:tc>
          <w:tcPr>
            <w:tcW w:w="5040" w:type="dxa"/>
            <w:vAlign w:val="bottom"/>
            <w:tcBorders>
              <w:bottom w:val="single" w:sz="8" w:color="0000EE"/>
            </w:tcBorders>
            <w:gridSpan w:val="15"/>
          </w:tcPr>
          <w:p>
            <w:pPr>
              <w:spacing w:after="0"/>
              <w:rPr>
                <w:rFonts w:ascii="Arial" w:cs="Arial" w:eastAsia="Arial" w:hAnsi="Arial"/>
                <w:sz w:val="18"/>
                <w:szCs w:val="18"/>
                <w:color w:val="0000EE"/>
                <w:w w:val="90"/>
              </w:rPr>
            </w:pPr>
            <w:hyperlink r:id="rId176">
              <w:r>
                <w:rPr>
                  <w:rFonts w:ascii="Arial" w:cs="Arial" w:eastAsia="Arial" w:hAnsi="Arial"/>
                  <w:sz w:val="18"/>
                  <w:szCs w:val="18"/>
                  <w:color w:val="0000EE"/>
                  <w:w w:val="90"/>
                </w:rPr>
                <w:t>Employment Agreement, dated April 6, 2010, by and between Soleno</w:t>
              </w:r>
            </w:hyperlink>
          </w:p>
        </w:tc>
        <w:tc>
          <w:tcPr>
            <w:tcW w:w="3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0" w:type="dxa"/>
            <w:vAlign w:val="bottom"/>
            <w:gridSpan w:val="21"/>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Therapeutics, Inc. and Anish Bhatnagar.</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40" w:type="dxa"/>
            <w:vAlign w:val="bottom"/>
          </w:tcPr>
          <w:p>
            <w:pPr>
              <w:spacing w:after="0"/>
              <w:rPr>
                <w:sz w:val="24"/>
                <w:szCs w:val="24"/>
                <w:color w:val="auto"/>
              </w:rPr>
            </w:pPr>
          </w:p>
        </w:tc>
        <w:tc>
          <w:tcPr>
            <w:tcW w:w="5400" w:type="dxa"/>
            <w:vAlign w:val="bottom"/>
            <w:gridSpan w:val="21"/>
          </w:tcPr>
          <w:p>
            <w:pPr>
              <w:spacing w:after="0"/>
              <w:rPr>
                <w:rFonts w:ascii="Arial" w:cs="Arial" w:eastAsia="Arial" w:hAnsi="Arial"/>
                <w:sz w:val="18"/>
                <w:szCs w:val="18"/>
                <w:color w:val="0000EE"/>
                <w:w w:val="92"/>
              </w:rPr>
            </w:pPr>
            <w:hyperlink r:id="rId177">
              <w:r>
                <w:rPr>
                  <w:rFonts w:ascii="Arial" w:cs="Arial" w:eastAsia="Arial" w:hAnsi="Arial"/>
                  <w:sz w:val="18"/>
                  <w:szCs w:val="18"/>
                  <w:color w:val="0000EE"/>
                  <w:w w:val="92"/>
                </w:rPr>
                <w:t>Offer Letter, dated May 29, 2013, between Soleno Therapeutics, Inc. and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77">
              <w:r>
                <w:rPr>
                  <w:rFonts w:ascii="Arial" w:cs="Arial" w:eastAsia="Arial" w:hAnsi="Arial"/>
                  <w:sz w:val="18"/>
                  <w:szCs w:val="18"/>
                  <w:color w:val="0000EE"/>
                </w:rPr>
                <w:t>Anthony Wondka.</w:t>
              </w:r>
            </w:hyperlink>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20" w:type="dxa"/>
            <w:vAlign w:val="bottom"/>
            <w:gridSpan w:val="10"/>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40" w:type="dxa"/>
            <w:vAlign w:val="bottom"/>
          </w:tcPr>
          <w:p>
            <w:pPr>
              <w:spacing w:after="0"/>
              <w:rPr>
                <w:sz w:val="24"/>
                <w:szCs w:val="24"/>
                <w:color w:val="auto"/>
              </w:rPr>
            </w:pPr>
          </w:p>
        </w:tc>
        <w:tc>
          <w:tcPr>
            <w:tcW w:w="5400" w:type="dxa"/>
            <w:vAlign w:val="bottom"/>
            <w:gridSpan w:val="21"/>
          </w:tcPr>
          <w:p>
            <w:pPr>
              <w:spacing w:after="0"/>
              <w:rPr>
                <w:rFonts w:ascii="Arial" w:cs="Arial" w:eastAsia="Arial" w:hAnsi="Arial"/>
                <w:sz w:val="18"/>
                <w:szCs w:val="18"/>
                <w:color w:val="0000EE"/>
                <w:w w:val="93"/>
              </w:rPr>
            </w:pPr>
            <w:hyperlink r:id="rId178">
              <w:r>
                <w:rPr>
                  <w:rFonts w:ascii="Arial" w:cs="Arial" w:eastAsia="Arial" w:hAnsi="Arial"/>
                  <w:sz w:val="18"/>
                  <w:szCs w:val="18"/>
                  <w:color w:val="0000EE"/>
                  <w:w w:val="93"/>
                </w:rPr>
                <w:t>Offer Letter, dated April 17, 2014, by and between Soleno Therapeutics,</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78">
              <w:r>
                <w:rPr>
                  <w:rFonts w:ascii="Arial" w:cs="Arial" w:eastAsia="Arial" w:hAnsi="Arial"/>
                  <w:sz w:val="18"/>
                  <w:szCs w:val="18"/>
                  <w:color w:val="0000EE"/>
                </w:rPr>
                <w:t>Inc. and Antoun Nabhan.</w:t>
              </w:r>
            </w:hyperlink>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2420" w:type="dxa"/>
            <w:vAlign w:val="bottom"/>
            <w:gridSpan w:val="10"/>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40" w:type="dxa"/>
            <w:vAlign w:val="bottom"/>
          </w:tcPr>
          <w:p>
            <w:pPr>
              <w:spacing w:after="0"/>
              <w:rPr>
                <w:sz w:val="24"/>
                <w:szCs w:val="24"/>
                <w:color w:val="auto"/>
              </w:rPr>
            </w:pPr>
          </w:p>
        </w:tc>
        <w:tc>
          <w:tcPr>
            <w:tcW w:w="5400" w:type="dxa"/>
            <w:vAlign w:val="bottom"/>
            <w:gridSpan w:val="21"/>
          </w:tcPr>
          <w:p>
            <w:pPr>
              <w:spacing w:after="0"/>
              <w:rPr>
                <w:rFonts w:ascii="Arial" w:cs="Arial" w:eastAsia="Arial" w:hAnsi="Arial"/>
                <w:sz w:val="18"/>
                <w:szCs w:val="18"/>
                <w:color w:val="0000EE"/>
                <w:w w:val="92"/>
              </w:rPr>
            </w:pPr>
            <w:hyperlink r:id="rId179">
              <w:r>
                <w:rPr>
                  <w:rFonts w:ascii="Arial" w:cs="Arial" w:eastAsia="Arial" w:hAnsi="Arial"/>
                  <w:sz w:val="18"/>
                  <w:szCs w:val="18"/>
                  <w:color w:val="0000EE"/>
                  <w:w w:val="92"/>
                </w:rPr>
                <w:t>Asset Purchase Agreement dated May 11, 2010, by and between Soleno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79">
              <w:r>
                <w:rPr>
                  <w:rFonts w:ascii="Arial" w:cs="Arial" w:eastAsia="Arial" w:hAnsi="Arial"/>
                  <w:sz w:val="18"/>
                  <w:szCs w:val="18"/>
                  <w:color w:val="0000EE"/>
                </w:rPr>
                <w:t>Therapeutics, Inc. and BioMedical Drug Development Inc.</w:t>
              </w:r>
            </w:hyperlink>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40" w:type="dxa"/>
            <w:vAlign w:val="bottom"/>
            <w:tcBorders>
              <w:top w:val="single" w:sz="8" w:color="0000EE"/>
            </w:tcBorders>
            <w:gridSpan w:val="12"/>
          </w:tcPr>
          <w:p>
            <w:pPr>
              <w:spacing w:after="0"/>
              <w:rPr>
                <w:sz w:val="24"/>
                <w:szCs w:val="24"/>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660"/>
        <w:spacing w:after="0"/>
        <w:rPr>
          <w:sz w:val="20"/>
          <w:szCs w:val="20"/>
          <w:color w:val="auto"/>
        </w:rPr>
      </w:pPr>
      <w:r>
        <w:rPr>
          <w:rFonts w:ascii="Arial" w:cs="Arial" w:eastAsia="Arial" w:hAnsi="Arial"/>
          <w:sz w:val="14"/>
          <w:szCs w:val="14"/>
          <w:b w:val="1"/>
          <w:bCs w:val="1"/>
          <w:color w:val="auto"/>
        </w:rPr>
        <w:t>Incorporated by Reference from</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240" w:type="dxa"/>
            <w:vAlign w:val="bottom"/>
            <w:tcBorders>
              <w:top w:val="single" w:sz="8" w:color="auto"/>
            </w:tcBorders>
            <w:gridSpan w:val="2"/>
          </w:tcPr>
          <w:p>
            <w:pPr>
              <w:ind w:left="260"/>
              <w:spacing w:after="0" w:line="119" w:lineRule="exact"/>
              <w:rPr>
                <w:sz w:val="20"/>
                <w:szCs w:val="20"/>
                <w:color w:val="auto"/>
              </w:rPr>
            </w:pPr>
            <w:r>
              <w:rPr>
                <w:rFonts w:ascii="Arial" w:cs="Arial" w:eastAsia="Arial" w:hAnsi="Arial"/>
                <w:sz w:val="13"/>
                <w:szCs w:val="13"/>
                <w:b w:val="1"/>
                <w:bCs w:val="1"/>
                <w:color w:val="auto"/>
              </w:rPr>
              <w:t>Registrant’s</w:t>
            </w:r>
          </w:p>
        </w:tc>
        <w:tc>
          <w:tcPr>
            <w:tcW w:w="2180" w:type="dxa"/>
            <w:vAlign w:val="bottom"/>
            <w:tcBorders>
              <w:top w:val="single" w:sz="8" w:color="auto"/>
            </w:tcBorders>
            <w:gridSpan w:val="2"/>
          </w:tcPr>
          <w:p>
            <w:pPr>
              <w:ind w:left="740"/>
              <w:spacing w:after="0" w:line="119" w:lineRule="exact"/>
              <w:rPr>
                <w:sz w:val="20"/>
                <w:szCs w:val="20"/>
                <w:color w:val="auto"/>
              </w:rPr>
            </w:pPr>
            <w:r>
              <w:rPr>
                <w:rFonts w:ascii="Arial" w:cs="Arial" w:eastAsia="Arial" w:hAnsi="Arial"/>
                <w:sz w:val="13"/>
                <w:szCs w:val="13"/>
                <w:b w:val="1"/>
                <w:bCs w:val="1"/>
                <w:color w:val="auto"/>
              </w:rPr>
              <w:t>Date Filed</w:t>
            </w:r>
          </w:p>
        </w:tc>
        <w:tc>
          <w:tcPr>
            <w:tcW w:w="780" w:type="dxa"/>
            <w:vAlign w:val="bottom"/>
            <w:tcBorders>
              <w:top w:val="single" w:sz="8" w:color="auto"/>
            </w:tcBorders>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Exhibit</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Filed</w:t>
            </w:r>
          </w:p>
        </w:tc>
      </w:tr>
      <w:tr>
        <w:trPr>
          <w:trHeight w:val="171"/>
        </w:trPr>
        <w:tc>
          <w:tcPr>
            <w:tcW w:w="1240" w:type="dxa"/>
            <w:vAlign w:val="bottom"/>
            <w:gridSpan w:val="2"/>
          </w:tcPr>
          <w:p>
            <w:pPr>
              <w:ind w:left="460"/>
              <w:spacing w:after="0"/>
              <w:rPr>
                <w:sz w:val="20"/>
                <w:szCs w:val="20"/>
                <w:color w:val="auto"/>
              </w:rPr>
            </w:pPr>
            <w:r>
              <w:rPr>
                <w:rFonts w:ascii="Arial" w:cs="Arial" w:eastAsia="Arial" w:hAnsi="Arial"/>
                <w:sz w:val="14"/>
                <w:szCs w:val="14"/>
                <w:b w:val="1"/>
                <w:bCs w:val="1"/>
                <w:color w:val="auto"/>
              </w:rPr>
              <w:t>Form</w:t>
            </w:r>
          </w:p>
        </w:tc>
        <w:tc>
          <w:tcPr>
            <w:tcW w:w="2180" w:type="dxa"/>
            <w:vAlign w:val="bottom"/>
            <w:gridSpan w:val="2"/>
          </w:tcPr>
          <w:p>
            <w:pPr>
              <w:ind w:left="660"/>
              <w:spacing w:after="0"/>
              <w:rPr>
                <w:sz w:val="20"/>
                <w:szCs w:val="20"/>
                <w:color w:val="auto"/>
              </w:rPr>
            </w:pPr>
            <w:r>
              <w:rPr>
                <w:rFonts w:ascii="Arial" w:cs="Arial" w:eastAsia="Arial" w:hAnsi="Arial"/>
                <w:sz w:val="14"/>
                <w:szCs w:val="14"/>
                <w:b w:val="1"/>
                <w:bCs w:val="1"/>
                <w:color w:val="auto"/>
              </w:rPr>
              <w:t>with the SEC</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Number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r>
      <w:tr>
        <w:trPr>
          <w:trHeight w:val="224"/>
        </w:trPr>
        <w:tc>
          <w:tcPr>
            <w:tcW w:w="12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8-K</w:t>
            </w:r>
          </w:p>
        </w:tc>
        <w:tc>
          <w:tcPr>
            <w:tcW w:w="40" w:type="dxa"/>
            <w:vAlign w:val="bottom"/>
          </w:tcPr>
          <w:p>
            <w:pPr>
              <w:spacing w:after="0"/>
              <w:rPr>
                <w:sz w:val="19"/>
                <w:szCs w:val="19"/>
                <w:color w:val="auto"/>
              </w:rPr>
            </w:pPr>
          </w:p>
        </w:tc>
        <w:tc>
          <w:tcPr>
            <w:tcW w:w="2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October 15, 2015</w:t>
            </w:r>
          </w:p>
        </w:tc>
        <w:tc>
          <w:tcPr>
            <w:tcW w:w="60" w:type="dxa"/>
            <w:vAlign w:val="bottom"/>
          </w:tcPr>
          <w:p>
            <w:pPr>
              <w:spacing w:after="0"/>
              <w:rPr>
                <w:sz w:val="19"/>
                <w:szCs w:val="19"/>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4.4</w:t>
            </w:r>
          </w:p>
        </w:tc>
        <w:tc>
          <w:tcPr>
            <w:tcW w:w="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r>
      <w:tr>
        <w:trPr>
          <w:trHeight w:val="418"/>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2180" w:type="dxa"/>
            <w:vAlign w:val="bottom"/>
            <w:gridSpan w:val="2"/>
          </w:tcPr>
          <w:p>
            <w:pPr>
              <w:spacing w:after="0"/>
              <w:rPr>
                <w:sz w:val="20"/>
                <w:szCs w:val="20"/>
                <w:color w:val="auto"/>
              </w:rPr>
            </w:pPr>
            <w:r>
              <w:rPr>
                <w:rFonts w:ascii="Arial" w:cs="Arial" w:eastAsia="Arial" w:hAnsi="Arial"/>
                <w:sz w:val="18"/>
                <w:szCs w:val="18"/>
                <w:color w:val="auto"/>
              </w:rPr>
              <w:t>July 6, 2016</w:t>
            </w: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2180" w:type="dxa"/>
            <w:vAlign w:val="bottom"/>
            <w:gridSpan w:val="2"/>
          </w:tcPr>
          <w:p>
            <w:pPr>
              <w:spacing w:after="0"/>
              <w:rPr>
                <w:sz w:val="20"/>
                <w:szCs w:val="20"/>
                <w:color w:val="auto"/>
              </w:rPr>
            </w:pPr>
            <w:r>
              <w:rPr>
                <w:rFonts w:ascii="Arial" w:cs="Arial" w:eastAsia="Arial" w:hAnsi="Arial"/>
                <w:sz w:val="18"/>
                <w:szCs w:val="18"/>
                <w:color w:val="auto"/>
              </w:rPr>
              <w:t>July 6, 2016</w:t>
            </w: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2180" w:type="dxa"/>
            <w:vAlign w:val="bottom"/>
            <w:gridSpan w:val="2"/>
          </w:tcPr>
          <w:p>
            <w:pPr>
              <w:spacing w:after="0"/>
              <w:rPr>
                <w:sz w:val="20"/>
                <w:szCs w:val="20"/>
                <w:color w:val="auto"/>
              </w:rPr>
            </w:pPr>
            <w:r>
              <w:rPr>
                <w:rFonts w:ascii="Arial" w:cs="Arial" w:eastAsia="Arial" w:hAnsi="Arial"/>
                <w:sz w:val="18"/>
                <w:szCs w:val="18"/>
                <w:color w:val="auto"/>
              </w:rPr>
              <w:t>December 13, 2017</w:t>
            </w: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2180" w:type="dxa"/>
            <w:vAlign w:val="bottom"/>
            <w:gridSpan w:val="2"/>
          </w:tcPr>
          <w:p>
            <w:pPr>
              <w:spacing w:after="0"/>
              <w:rPr>
                <w:sz w:val="20"/>
                <w:szCs w:val="20"/>
                <w:color w:val="auto"/>
              </w:rPr>
            </w:pPr>
            <w:r>
              <w:rPr>
                <w:rFonts w:ascii="Arial" w:cs="Arial" w:eastAsia="Arial" w:hAnsi="Arial"/>
                <w:sz w:val="18"/>
                <w:szCs w:val="18"/>
                <w:color w:val="auto"/>
              </w:rPr>
              <w:t>December 19, 2018</w:t>
            </w: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2180" w:type="dxa"/>
            <w:vAlign w:val="bottom"/>
            <w:gridSpan w:val="2"/>
          </w:tcPr>
          <w:p>
            <w:pPr>
              <w:spacing w:after="0"/>
              <w:rPr>
                <w:sz w:val="20"/>
                <w:szCs w:val="20"/>
                <w:color w:val="auto"/>
              </w:rPr>
            </w:pPr>
            <w:r>
              <w:rPr>
                <w:rFonts w:ascii="Arial" w:cs="Arial" w:eastAsia="Arial" w:hAnsi="Arial"/>
                <w:sz w:val="18"/>
                <w:szCs w:val="18"/>
                <w:color w:val="auto"/>
              </w:rPr>
              <w:t>October 15, 2015</w:t>
            </w: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9.1</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2180" w:type="dxa"/>
            <w:vAlign w:val="bottom"/>
            <w:gridSpan w:val="2"/>
          </w:tcPr>
          <w:p>
            <w:pPr>
              <w:spacing w:after="0"/>
              <w:rPr>
                <w:sz w:val="20"/>
                <w:szCs w:val="20"/>
                <w:color w:val="auto"/>
              </w:rPr>
            </w:pPr>
            <w:r>
              <w:rPr>
                <w:rFonts w:ascii="Arial" w:cs="Arial" w:eastAsia="Arial" w:hAnsi="Arial"/>
                <w:sz w:val="18"/>
                <w:szCs w:val="18"/>
                <w:color w:val="auto"/>
              </w:rPr>
              <w:t>July 6, 2016</w:t>
            </w: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9.1</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2180" w:type="dxa"/>
            <w:vAlign w:val="bottom"/>
            <w:gridSpan w:val="2"/>
          </w:tcPr>
          <w:p>
            <w:pPr>
              <w:spacing w:after="0"/>
              <w:rPr>
                <w:sz w:val="20"/>
                <w:szCs w:val="20"/>
                <w:color w:val="auto"/>
              </w:rPr>
            </w:pPr>
            <w:r>
              <w:rPr>
                <w:rFonts w:ascii="Arial" w:cs="Arial" w:eastAsia="Arial" w:hAnsi="Arial"/>
                <w:sz w:val="18"/>
                <w:szCs w:val="18"/>
                <w:color w:val="auto"/>
              </w:rPr>
              <w:t>December 27, 2016</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48"/>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S-1/A</w:t>
            </w:r>
          </w:p>
        </w:tc>
        <w:tc>
          <w:tcPr>
            <w:tcW w:w="218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S-1/A</w:t>
            </w:r>
          </w:p>
        </w:tc>
        <w:tc>
          <w:tcPr>
            <w:tcW w:w="218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S-1/A</w:t>
            </w:r>
          </w:p>
        </w:tc>
        <w:tc>
          <w:tcPr>
            <w:tcW w:w="218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S-1/A</w:t>
            </w:r>
          </w:p>
        </w:tc>
        <w:tc>
          <w:tcPr>
            <w:tcW w:w="2180" w:type="dxa"/>
            <w:vAlign w:val="bottom"/>
            <w:gridSpan w:val="2"/>
          </w:tcPr>
          <w:p>
            <w:pPr>
              <w:spacing w:after="0"/>
              <w:rPr>
                <w:sz w:val="20"/>
                <w:szCs w:val="20"/>
                <w:color w:val="auto"/>
              </w:rPr>
            </w:pPr>
            <w:r>
              <w:rPr>
                <w:rFonts w:ascii="Arial" w:cs="Arial" w:eastAsia="Arial" w:hAnsi="Arial"/>
                <w:sz w:val="18"/>
                <w:szCs w:val="18"/>
                <w:color w:val="auto"/>
              </w:rPr>
              <w:t>July 1, 2014</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S-1/A</w:t>
            </w:r>
          </w:p>
        </w:tc>
        <w:tc>
          <w:tcPr>
            <w:tcW w:w="2180" w:type="dxa"/>
            <w:vAlign w:val="bottom"/>
            <w:gridSpan w:val="2"/>
          </w:tcPr>
          <w:p>
            <w:pPr>
              <w:spacing w:after="0"/>
              <w:rPr>
                <w:sz w:val="20"/>
                <w:szCs w:val="20"/>
                <w:color w:val="auto"/>
              </w:rPr>
            </w:pPr>
            <w:r>
              <w:rPr>
                <w:rFonts w:ascii="Arial" w:cs="Arial" w:eastAsia="Arial" w:hAnsi="Arial"/>
                <w:sz w:val="18"/>
                <w:szCs w:val="18"/>
                <w:color w:val="auto"/>
              </w:rPr>
              <w:t>July 1, 2014</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48"/>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S-1</w:t>
            </w:r>
          </w:p>
        </w:tc>
        <w:tc>
          <w:tcPr>
            <w:tcW w:w="218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48"/>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S-1</w:t>
            </w:r>
          </w:p>
        </w:tc>
        <w:tc>
          <w:tcPr>
            <w:tcW w:w="218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48"/>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S-1</w:t>
            </w:r>
          </w:p>
        </w:tc>
        <w:tc>
          <w:tcPr>
            <w:tcW w:w="218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48"/>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S-1</w:t>
            </w:r>
          </w:p>
        </w:tc>
        <w:tc>
          <w:tcPr>
            <w:tcW w:w="218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48"/>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S-1</w:t>
            </w:r>
          </w:p>
        </w:tc>
        <w:tc>
          <w:tcPr>
            <w:tcW w:w="218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2">
            <w:col w:w="6320" w:space="60"/>
            <w:col w:w="5040"/>
          </w:cols>
          <w:pgMar w:left="240" w:top="333" w:right="239" w:bottom="1440" w:gutter="0" w:footer="0" w:header="0"/>
        </w:sectPr>
      </w:pPr>
    </w:p>
    <w:bookmarkStart w:id="109" w:name="page110"/>
    <w:bookmarkEnd w:id="109"/>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20" w:type="dxa"/>
            <w:vAlign w:val="bottom"/>
            <w:gridSpan w:val="22"/>
            <w:vMerge w:val="restart"/>
          </w:tcPr>
          <w:p>
            <w:pPr>
              <w:ind w:left="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Number</w:t>
            </w: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20" w:type="dxa"/>
            <w:vAlign w:val="bottom"/>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8"/>
              </w:rPr>
              <w:t>10.11</w:t>
            </w:r>
          </w:p>
        </w:tc>
        <w:tc>
          <w:tcPr>
            <w:tcW w:w="40" w:type="dxa"/>
            <w:vAlign w:val="bottom"/>
          </w:tcPr>
          <w:p>
            <w:pPr>
              <w:spacing w:after="0"/>
              <w:rPr>
                <w:sz w:val="14"/>
                <w:szCs w:val="14"/>
                <w:color w:val="auto"/>
              </w:rPr>
            </w:pPr>
          </w:p>
        </w:tc>
        <w:tc>
          <w:tcPr>
            <w:tcW w:w="5220" w:type="dxa"/>
            <w:vAlign w:val="bottom"/>
            <w:tcBorders>
              <w:top w:val="single" w:sz="8" w:color="auto"/>
              <w:bottom w:val="single" w:sz="8" w:color="0000EE"/>
            </w:tcBorders>
            <w:gridSpan w:val="22"/>
          </w:tcPr>
          <w:p>
            <w:pPr>
              <w:spacing w:after="0" w:line="170" w:lineRule="exact"/>
              <w:rPr>
                <w:rFonts w:ascii="Arial" w:cs="Arial" w:eastAsia="Arial" w:hAnsi="Arial"/>
                <w:sz w:val="18"/>
                <w:szCs w:val="18"/>
                <w:color w:val="0000EE"/>
                <w:w w:val="90"/>
              </w:rPr>
            </w:pPr>
            <w:hyperlink r:id="rId181">
              <w:r>
                <w:rPr>
                  <w:rFonts w:ascii="Arial" w:cs="Arial" w:eastAsia="Arial" w:hAnsi="Arial"/>
                  <w:sz w:val="18"/>
                  <w:szCs w:val="18"/>
                  <w:color w:val="0000EE"/>
                  <w:w w:val="90"/>
                </w:rPr>
                <w:t>Convertible Note and Warrant Purchase Agreement, dated February 10,</w:t>
              </w:r>
            </w:hyperlink>
          </w:p>
        </w:tc>
        <w:tc>
          <w:tcPr>
            <w:tcW w:w="180" w:type="dxa"/>
            <w:vAlign w:val="bottom"/>
            <w:tcBorders>
              <w:top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0" w:type="dxa"/>
            <w:vAlign w:val="bottom"/>
            <w:gridSpan w:val="26"/>
          </w:tcPr>
          <w:p>
            <w:pPr>
              <w:spacing w:after="0" w:line="196" w:lineRule="exact"/>
              <w:rPr>
                <w:rFonts w:ascii="Arial" w:cs="Arial" w:eastAsia="Arial" w:hAnsi="Arial"/>
                <w:sz w:val="18"/>
                <w:szCs w:val="18"/>
                <w:color w:val="0000EE"/>
                <w:w w:val="93"/>
              </w:rPr>
            </w:pPr>
            <w:hyperlink r:id="rId181">
              <w:r>
                <w:rPr>
                  <w:rFonts w:ascii="Arial" w:cs="Arial" w:eastAsia="Arial" w:hAnsi="Arial"/>
                  <w:sz w:val="18"/>
                  <w:szCs w:val="18"/>
                  <w:color w:val="0000EE"/>
                  <w:w w:val="93"/>
                </w:rPr>
                <w:t>2010, by and among Soleno Therapeutics, Inc. and the investors named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81">
              <w:r>
                <w:rPr>
                  <w:rFonts w:ascii="Arial" w:cs="Arial" w:eastAsia="Arial" w:hAnsi="Arial"/>
                  <w:sz w:val="18"/>
                  <w:szCs w:val="18"/>
                  <w:color w:val="0000EE"/>
                  <w:w w:val="89"/>
                </w:rPr>
                <w:t>therein.</w:t>
              </w:r>
            </w:hyperlink>
          </w:p>
        </w:tc>
        <w:tc>
          <w:tcPr>
            <w:tcW w:w="4580" w:type="dxa"/>
            <w:vAlign w:val="bottom"/>
            <w:tcBorders>
              <w:top w:val="single" w:sz="8" w:color="0000EE"/>
            </w:tcBorders>
            <w:gridSpan w:val="18"/>
          </w:tcPr>
          <w:p>
            <w:pPr>
              <w:spacing w:after="0"/>
              <w:rPr>
                <w:sz w:val="17"/>
                <w:szCs w:val="17"/>
                <w:color w:val="auto"/>
              </w:rPr>
            </w:pPr>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40" w:type="dxa"/>
            <w:vAlign w:val="bottom"/>
          </w:tcPr>
          <w:p>
            <w:pPr>
              <w:spacing w:after="0"/>
              <w:rPr>
                <w:sz w:val="24"/>
                <w:szCs w:val="24"/>
                <w:color w:val="auto"/>
              </w:rPr>
            </w:pPr>
          </w:p>
        </w:tc>
        <w:tc>
          <w:tcPr>
            <w:tcW w:w="5380" w:type="dxa"/>
            <w:vAlign w:val="bottom"/>
            <w:tcBorders>
              <w:bottom w:val="single" w:sz="8" w:color="0000EE"/>
            </w:tcBorders>
            <w:gridSpan w:val="25"/>
          </w:tcPr>
          <w:p>
            <w:pPr>
              <w:spacing w:after="0"/>
              <w:rPr>
                <w:rFonts w:ascii="Arial" w:cs="Arial" w:eastAsia="Arial" w:hAnsi="Arial"/>
                <w:sz w:val="18"/>
                <w:szCs w:val="18"/>
                <w:color w:val="0000EE"/>
                <w:w w:val="91"/>
              </w:rPr>
            </w:pPr>
            <w:hyperlink r:id="rId182">
              <w:r>
                <w:rPr>
                  <w:rFonts w:ascii="Arial" w:cs="Arial" w:eastAsia="Arial" w:hAnsi="Arial"/>
                  <w:sz w:val="18"/>
                  <w:szCs w:val="18"/>
                  <w:color w:val="0000EE"/>
                  <w:w w:val="91"/>
                </w:rPr>
                <w:t>Amendment No. 1 to Convertible Note and Warrant Purchase Agreement,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0" w:type="dxa"/>
            <w:vAlign w:val="bottom"/>
            <w:gridSpan w:val="26"/>
          </w:tcPr>
          <w:p>
            <w:pPr>
              <w:spacing w:after="0" w:line="196" w:lineRule="exact"/>
              <w:rPr>
                <w:rFonts w:ascii="Arial" w:cs="Arial" w:eastAsia="Arial" w:hAnsi="Arial"/>
                <w:sz w:val="18"/>
                <w:szCs w:val="18"/>
                <w:color w:val="0000EE"/>
                <w:w w:val="94"/>
              </w:rPr>
            </w:pPr>
            <w:hyperlink r:id="rId182">
              <w:r>
                <w:rPr>
                  <w:rFonts w:ascii="Arial" w:cs="Arial" w:eastAsia="Arial" w:hAnsi="Arial"/>
                  <w:sz w:val="18"/>
                  <w:szCs w:val="18"/>
                  <w:color w:val="0000EE"/>
                  <w:w w:val="94"/>
                </w:rPr>
                <w:t>Convertible Promissory Notes and Warrants to Purchase Shares, dated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60" w:type="dxa"/>
            <w:vAlign w:val="bottom"/>
            <w:tcBorders>
              <w:top w:val="single" w:sz="8" w:color="0000EE"/>
            </w:tcBorders>
            <w:gridSpan w:val="17"/>
          </w:tcPr>
          <w:p>
            <w:pPr>
              <w:spacing w:after="0" w:line="196" w:lineRule="exact"/>
              <w:rPr>
                <w:rFonts w:ascii="Arial" w:cs="Arial" w:eastAsia="Arial" w:hAnsi="Arial"/>
                <w:sz w:val="18"/>
                <w:szCs w:val="18"/>
                <w:color w:val="0000EE"/>
                <w:w w:val="90"/>
              </w:rPr>
            </w:pPr>
            <w:hyperlink r:id="rId182">
              <w:r>
                <w:rPr>
                  <w:rFonts w:ascii="Arial" w:cs="Arial" w:eastAsia="Arial" w:hAnsi="Arial"/>
                  <w:sz w:val="18"/>
                  <w:szCs w:val="18"/>
                  <w:color w:val="0000EE"/>
                  <w:w w:val="90"/>
                </w:rPr>
                <w:t>November 10, 2010, by and among Soleno Therapeutics, Inc. and the</w:t>
              </w:r>
            </w:hyperlink>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182">
              <w:r>
                <w:rPr>
                  <w:rFonts w:ascii="Arial" w:cs="Arial" w:eastAsia="Arial" w:hAnsi="Arial"/>
                  <w:sz w:val="18"/>
                  <w:szCs w:val="18"/>
                  <w:color w:val="0000EE"/>
                  <w:w w:val="89"/>
                </w:rPr>
                <w:t>investors named therein.</w:t>
              </w:r>
            </w:hyperlink>
          </w:p>
        </w:tc>
        <w:tc>
          <w:tcPr>
            <w:tcW w:w="3220" w:type="dxa"/>
            <w:vAlign w:val="bottom"/>
            <w:tcBorders>
              <w:top w:val="single" w:sz="8" w:color="0000EE"/>
            </w:tcBorders>
            <w:gridSpan w:val="13"/>
          </w:tcPr>
          <w:p>
            <w:pPr>
              <w:spacing w:after="0"/>
              <w:rPr>
                <w:sz w:val="17"/>
                <w:szCs w:val="17"/>
                <w:color w:val="auto"/>
              </w:rPr>
            </w:pPr>
          </w:p>
        </w:tc>
        <w:tc>
          <w:tcPr>
            <w:tcW w:w="4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40" w:type="dxa"/>
            <w:vAlign w:val="bottom"/>
          </w:tcPr>
          <w:p>
            <w:pPr>
              <w:spacing w:after="0"/>
              <w:rPr>
                <w:sz w:val="24"/>
                <w:szCs w:val="24"/>
                <w:color w:val="auto"/>
              </w:rPr>
            </w:pPr>
          </w:p>
        </w:tc>
        <w:tc>
          <w:tcPr>
            <w:tcW w:w="5380" w:type="dxa"/>
            <w:vAlign w:val="bottom"/>
            <w:tcBorders>
              <w:bottom w:val="single" w:sz="8" w:color="0000EE"/>
            </w:tcBorders>
            <w:gridSpan w:val="25"/>
          </w:tcPr>
          <w:p>
            <w:pPr>
              <w:spacing w:after="0"/>
              <w:rPr>
                <w:rFonts w:ascii="Arial" w:cs="Arial" w:eastAsia="Arial" w:hAnsi="Arial"/>
                <w:sz w:val="18"/>
                <w:szCs w:val="18"/>
                <w:color w:val="0000EE"/>
                <w:w w:val="91"/>
              </w:rPr>
            </w:pPr>
            <w:hyperlink r:id="rId183">
              <w:r>
                <w:rPr>
                  <w:rFonts w:ascii="Arial" w:cs="Arial" w:eastAsia="Arial" w:hAnsi="Arial"/>
                  <w:sz w:val="18"/>
                  <w:szCs w:val="18"/>
                  <w:color w:val="0000EE"/>
                  <w:w w:val="91"/>
                </w:rPr>
                <w:t>Amendment No. 2 to Convertible Note and Warrant Purchase Agreement,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0" w:type="dxa"/>
            <w:vAlign w:val="bottom"/>
            <w:gridSpan w:val="26"/>
          </w:tcPr>
          <w:p>
            <w:pPr>
              <w:spacing w:after="0" w:line="196" w:lineRule="exact"/>
              <w:rPr>
                <w:rFonts w:ascii="Arial" w:cs="Arial" w:eastAsia="Arial" w:hAnsi="Arial"/>
                <w:sz w:val="18"/>
                <w:szCs w:val="18"/>
                <w:color w:val="0000EE"/>
                <w:w w:val="94"/>
              </w:rPr>
            </w:pPr>
            <w:hyperlink r:id="rId183">
              <w:r>
                <w:rPr>
                  <w:rFonts w:ascii="Arial" w:cs="Arial" w:eastAsia="Arial" w:hAnsi="Arial"/>
                  <w:sz w:val="18"/>
                  <w:szCs w:val="18"/>
                  <w:color w:val="0000EE"/>
                  <w:w w:val="94"/>
                </w:rPr>
                <w:t>Convertible Promissory Notes and Warrants to Purchase Shares, dated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60" w:type="dxa"/>
            <w:vAlign w:val="bottom"/>
            <w:tcBorders>
              <w:top w:val="single" w:sz="8" w:color="0000EE"/>
            </w:tcBorders>
            <w:gridSpan w:val="17"/>
          </w:tcPr>
          <w:p>
            <w:pPr>
              <w:spacing w:after="0" w:line="196" w:lineRule="exact"/>
              <w:rPr>
                <w:rFonts w:ascii="Arial" w:cs="Arial" w:eastAsia="Arial" w:hAnsi="Arial"/>
                <w:sz w:val="18"/>
                <w:szCs w:val="18"/>
                <w:color w:val="0000EE"/>
                <w:w w:val="93"/>
              </w:rPr>
            </w:pPr>
            <w:hyperlink r:id="rId183">
              <w:r>
                <w:rPr>
                  <w:rFonts w:ascii="Arial" w:cs="Arial" w:eastAsia="Arial" w:hAnsi="Arial"/>
                  <w:sz w:val="18"/>
                  <w:szCs w:val="18"/>
                  <w:color w:val="0000EE"/>
                  <w:w w:val="93"/>
                </w:rPr>
                <w:t>January 17, 2012, by and among Soleno Therapeutics, Inc. and the</w:t>
              </w:r>
            </w:hyperlink>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183">
              <w:r>
                <w:rPr>
                  <w:rFonts w:ascii="Arial" w:cs="Arial" w:eastAsia="Arial" w:hAnsi="Arial"/>
                  <w:sz w:val="18"/>
                  <w:szCs w:val="18"/>
                  <w:color w:val="0000EE"/>
                  <w:w w:val="89"/>
                </w:rPr>
                <w:t>investors named therein.</w:t>
              </w:r>
            </w:hyperlink>
          </w:p>
        </w:tc>
        <w:tc>
          <w:tcPr>
            <w:tcW w:w="3020" w:type="dxa"/>
            <w:vAlign w:val="bottom"/>
            <w:tcBorders>
              <w:top w:val="single" w:sz="8" w:color="0000EE"/>
            </w:tcBorders>
            <w:gridSpan w:val="9"/>
          </w:tcPr>
          <w:p>
            <w:pPr>
              <w:spacing w:after="0"/>
              <w:rPr>
                <w:sz w:val="17"/>
                <w:szCs w:val="17"/>
                <w:color w:val="auto"/>
              </w:rPr>
            </w:pPr>
          </w:p>
        </w:tc>
        <w:tc>
          <w:tcPr>
            <w:tcW w:w="6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40" w:type="dxa"/>
            <w:vAlign w:val="bottom"/>
          </w:tcPr>
          <w:p>
            <w:pPr>
              <w:spacing w:after="0"/>
              <w:rPr>
                <w:sz w:val="24"/>
                <w:szCs w:val="24"/>
                <w:color w:val="auto"/>
              </w:rPr>
            </w:pPr>
          </w:p>
        </w:tc>
        <w:tc>
          <w:tcPr>
            <w:tcW w:w="5120" w:type="dxa"/>
            <w:vAlign w:val="bottom"/>
            <w:tcBorders>
              <w:bottom w:val="single" w:sz="8" w:color="0000EE"/>
            </w:tcBorders>
            <w:gridSpan w:val="18"/>
          </w:tcPr>
          <w:p>
            <w:pPr>
              <w:spacing w:after="0"/>
              <w:rPr>
                <w:rFonts w:ascii="Arial" w:cs="Arial" w:eastAsia="Arial" w:hAnsi="Arial"/>
                <w:sz w:val="18"/>
                <w:szCs w:val="18"/>
                <w:color w:val="0000EE"/>
                <w:w w:val="90"/>
              </w:rPr>
            </w:pPr>
            <w:hyperlink r:id="rId184">
              <w:r>
                <w:rPr>
                  <w:rFonts w:ascii="Arial" w:cs="Arial" w:eastAsia="Arial" w:hAnsi="Arial"/>
                  <w:sz w:val="18"/>
                  <w:szCs w:val="18"/>
                  <w:color w:val="0000EE"/>
                  <w:w w:val="90"/>
                </w:rPr>
                <w:t>Convertible Note and Warrant Purchase Agreement, dated January 16,</w:t>
              </w:r>
            </w:hyperlink>
          </w:p>
        </w:tc>
        <w:tc>
          <w:tcPr>
            <w:tcW w:w="2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0" w:type="dxa"/>
            <w:vAlign w:val="bottom"/>
            <w:gridSpan w:val="26"/>
          </w:tcPr>
          <w:p>
            <w:pPr>
              <w:spacing w:after="0" w:line="196" w:lineRule="exact"/>
              <w:rPr>
                <w:rFonts w:ascii="Arial" w:cs="Arial" w:eastAsia="Arial" w:hAnsi="Arial"/>
                <w:sz w:val="18"/>
                <w:szCs w:val="18"/>
                <w:color w:val="0000EE"/>
                <w:w w:val="93"/>
              </w:rPr>
            </w:pPr>
            <w:hyperlink r:id="rId184">
              <w:r>
                <w:rPr>
                  <w:rFonts w:ascii="Arial" w:cs="Arial" w:eastAsia="Arial" w:hAnsi="Arial"/>
                  <w:sz w:val="18"/>
                  <w:szCs w:val="18"/>
                  <w:color w:val="0000EE"/>
                  <w:w w:val="93"/>
                </w:rPr>
                <w:t>2012, by and among Soleno Therapeutics, Inc. and the investors named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84">
              <w:r>
                <w:rPr>
                  <w:rFonts w:ascii="Arial" w:cs="Arial" w:eastAsia="Arial" w:hAnsi="Arial"/>
                  <w:sz w:val="18"/>
                  <w:szCs w:val="18"/>
                  <w:color w:val="0000EE"/>
                  <w:w w:val="89"/>
                </w:rPr>
                <w:t>therein.</w:t>
              </w:r>
            </w:hyperlink>
          </w:p>
        </w:tc>
        <w:tc>
          <w:tcPr>
            <w:tcW w:w="4580" w:type="dxa"/>
            <w:vAlign w:val="bottom"/>
            <w:tcBorders>
              <w:top w:val="single" w:sz="8" w:color="0000EE"/>
            </w:tcBorders>
            <w:gridSpan w:val="18"/>
          </w:tcPr>
          <w:p>
            <w:pPr>
              <w:spacing w:after="0"/>
              <w:rPr>
                <w:sz w:val="17"/>
                <w:szCs w:val="17"/>
                <w:color w:val="auto"/>
              </w:rPr>
            </w:pPr>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40" w:type="dxa"/>
            <w:vAlign w:val="bottom"/>
          </w:tcPr>
          <w:p>
            <w:pPr>
              <w:spacing w:after="0"/>
              <w:rPr>
                <w:sz w:val="24"/>
                <w:szCs w:val="24"/>
                <w:color w:val="auto"/>
              </w:rPr>
            </w:pPr>
          </w:p>
        </w:tc>
        <w:tc>
          <w:tcPr>
            <w:tcW w:w="4700" w:type="dxa"/>
            <w:vAlign w:val="bottom"/>
            <w:tcBorders>
              <w:bottom w:val="single" w:sz="8" w:color="0000EE"/>
            </w:tcBorders>
            <w:gridSpan w:val="11"/>
          </w:tcPr>
          <w:p>
            <w:pPr>
              <w:spacing w:after="0"/>
              <w:rPr>
                <w:rFonts w:ascii="Arial" w:cs="Arial" w:eastAsia="Arial" w:hAnsi="Arial"/>
                <w:sz w:val="18"/>
                <w:szCs w:val="18"/>
                <w:color w:val="0000EE"/>
                <w:w w:val="90"/>
              </w:rPr>
            </w:pPr>
            <w:hyperlink r:id="rId185">
              <w:r>
                <w:rPr>
                  <w:rFonts w:ascii="Arial" w:cs="Arial" w:eastAsia="Arial" w:hAnsi="Arial"/>
                  <w:sz w:val="18"/>
                  <w:szCs w:val="18"/>
                  <w:color w:val="0000EE"/>
                  <w:w w:val="90"/>
                </w:rPr>
                <w:t>Omnibus Amendment to Convertible Note and Warrant Purchase</w:t>
              </w:r>
            </w:hyperlink>
          </w:p>
        </w:tc>
        <w:tc>
          <w:tcPr>
            <w:tcW w:w="7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9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85">
              <w:r>
                <w:rPr>
                  <w:rFonts w:ascii="Arial" w:cs="Arial" w:eastAsia="Arial" w:hAnsi="Arial"/>
                  <w:sz w:val="18"/>
                  <w:szCs w:val="18"/>
                  <w:color w:val="0000EE"/>
                  <w:w w:val="90"/>
                </w:rPr>
                <w:t>Agreement, Convertible Promissory Notes and Warrants to Purchase</w:t>
              </w:r>
            </w:hyperlink>
          </w:p>
        </w:tc>
        <w:tc>
          <w:tcPr>
            <w:tcW w:w="4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0" w:type="dxa"/>
            <w:vAlign w:val="bottom"/>
            <w:gridSpan w:val="26"/>
          </w:tcPr>
          <w:p>
            <w:pPr>
              <w:spacing w:after="0" w:line="196" w:lineRule="exact"/>
              <w:rPr>
                <w:rFonts w:ascii="Arial" w:cs="Arial" w:eastAsia="Arial" w:hAnsi="Arial"/>
                <w:sz w:val="18"/>
                <w:szCs w:val="18"/>
                <w:color w:val="0000EE"/>
                <w:w w:val="90"/>
              </w:rPr>
            </w:pPr>
            <w:hyperlink r:id="rId185">
              <w:r>
                <w:rPr>
                  <w:rFonts w:ascii="Arial" w:cs="Arial" w:eastAsia="Arial" w:hAnsi="Arial"/>
                  <w:sz w:val="18"/>
                  <w:szCs w:val="18"/>
                  <w:color w:val="0000EE"/>
                  <w:w w:val="90"/>
                </w:rPr>
                <w:t>Shares, dated July 31, 2012, by and among Soleno Therapeutics, Inc. and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r:id="rId185">
              <w:r>
                <w:rPr>
                  <w:rFonts w:ascii="Arial" w:cs="Arial" w:eastAsia="Arial" w:hAnsi="Arial"/>
                  <w:sz w:val="18"/>
                  <w:szCs w:val="18"/>
                  <w:color w:val="0000EE"/>
                  <w:w w:val="88"/>
                </w:rPr>
                <w:t>the investors named therein.</w:t>
              </w:r>
            </w:hyperlink>
          </w:p>
        </w:tc>
        <w:tc>
          <w:tcPr>
            <w:tcW w:w="3240" w:type="dxa"/>
            <w:vAlign w:val="bottom"/>
            <w:tcBorders>
              <w:top w:val="single" w:sz="8" w:color="0000EE"/>
            </w:tcBorders>
            <w:gridSpan w:val="18"/>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40" w:type="dxa"/>
            <w:vAlign w:val="bottom"/>
          </w:tcPr>
          <w:p>
            <w:pPr>
              <w:spacing w:after="0"/>
              <w:rPr>
                <w:sz w:val="24"/>
                <w:szCs w:val="24"/>
                <w:color w:val="auto"/>
              </w:rPr>
            </w:pPr>
          </w:p>
        </w:tc>
        <w:tc>
          <w:tcPr>
            <w:tcW w:w="5200" w:type="dxa"/>
            <w:vAlign w:val="bottom"/>
            <w:tcBorders>
              <w:bottom w:val="single" w:sz="8" w:color="0000EE"/>
            </w:tcBorders>
            <w:gridSpan w:val="21"/>
          </w:tcPr>
          <w:p>
            <w:pPr>
              <w:spacing w:after="0"/>
              <w:rPr>
                <w:rFonts w:ascii="Arial" w:cs="Arial" w:eastAsia="Arial" w:hAnsi="Arial"/>
                <w:sz w:val="18"/>
                <w:szCs w:val="18"/>
                <w:color w:val="0000EE"/>
                <w:w w:val="90"/>
              </w:rPr>
            </w:pPr>
            <w:hyperlink r:id="rId186">
              <w:r>
                <w:rPr>
                  <w:rFonts w:ascii="Arial" w:cs="Arial" w:eastAsia="Arial" w:hAnsi="Arial"/>
                  <w:sz w:val="18"/>
                  <w:szCs w:val="18"/>
                  <w:color w:val="0000EE"/>
                  <w:w w:val="90"/>
                </w:rPr>
                <w:t>Omnibus Amendment to Convertible Promissory Notes and Warrants to</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0" w:type="dxa"/>
            <w:vAlign w:val="bottom"/>
            <w:gridSpan w:val="26"/>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Purchase Shares, dated April 28, 2014, by and among Soleno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186">
              <w:r>
                <w:rPr>
                  <w:rFonts w:ascii="Arial" w:cs="Arial" w:eastAsia="Arial" w:hAnsi="Arial"/>
                  <w:sz w:val="18"/>
                  <w:szCs w:val="18"/>
                  <w:color w:val="0000EE"/>
                  <w:w w:val="89"/>
                </w:rPr>
                <w:t>Therapeutics, Inc. and the investors named therein.</w:t>
              </w:r>
            </w:hyperlink>
          </w:p>
        </w:tc>
        <w:tc>
          <w:tcPr>
            <w:tcW w:w="780" w:type="dxa"/>
            <w:vAlign w:val="bottom"/>
            <w:tcBorders>
              <w:top w:val="single" w:sz="8" w:color="0000EE"/>
            </w:tcBorders>
            <w:gridSpan w:val="3"/>
          </w:tcPr>
          <w:p>
            <w:pPr>
              <w:spacing w:after="0"/>
              <w:rPr>
                <w:sz w:val="17"/>
                <w:szCs w:val="17"/>
                <w:color w:val="auto"/>
              </w:rPr>
            </w:pPr>
          </w:p>
        </w:tc>
        <w:tc>
          <w:tcPr>
            <w:tcW w:w="9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40" w:type="dxa"/>
            <w:vAlign w:val="bottom"/>
          </w:tcPr>
          <w:p>
            <w:pPr>
              <w:spacing w:after="0"/>
              <w:rPr>
                <w:sz w:val="24"/>
                <w:szCs w:val="24"/>
                <w:color w:val="auto"/>
              </w:rPr>
            </w:pPr>
          </w:p>
        </w:tc>
        <w:tc>
          <w:tcPr>
            <w:tcW w:w="4200" w:type="dxa"/>
            <w:vAlign w:val="bottom"/>
            <w:tcBorders>
              <w:bottom w:val="single" w:sz="8" w:color="0000EE"/>
            </w:tcBorders>
            <w:gridSpan w:val="9"/>
          </w:tcPr>
          <w:p>
            <w:pPr>
              <w:spacing w:after="0"/>
              <w:rPr>
                <w:rFonts w:ascii="Arial" w:cs="Arial" w:eastAsia="Arial" w:hAnsi="Arial"/>
                <w:sz w:val="18"/>
                <w:szCs w:val="18"/>
                <w:color w:val="0000EE"/>
                <w:w w:val="89"/>
              </w:rPr>
            </w:pPr>
            <w:hyperlink r:id="rId187">
              <w:r>
                <w:rPr>
                  <w:rFonts w:ascii="Arial" w:cs="Arial" w:eastAsia="Arial" w:hAnsi="Arial"/>
                  <w:sz w:val="18"/>
                  <w:szCs w:val="18"/>
                  <w:color w:val="0000EE"/>
                  <w:w w:val="89"/>
                </w:rPr>
                <w:t>Convertible Note and Warrant Purchase Agreement, dated</w:t>
              </w:r>
            </w:hyperlink>
          </w:p>
        </w:tc>
        <w:tc>
          <w:tcPr>
            <w:tcW w:w="12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0" w:type="dxa"/>
            <w:vAlign w:val="bottom"/>
            <w:gridSpan w:val="26"/>
          </w:tcPr>
          <w:p>
            <w:pPr>
              <w:spacing w:after="0" w:line="196" w:lineRule="exact"/>
              <w:rPr>
                <w:rFonts w:ascii="Arial" w:cs="Arial" w:eastAsia="Arial" w:hAnsi="Arial"/>
                <w:sz w:val="18"/>
                <w:szCs w:val="18"/>
                <w:color w:val="0000EE"/>
                <w:w w:val="91"/>
              </w:rPr>
            </w:pPr>
            <w:hyperlink r:id="rId187">
              <w:r>
                <w:rPr>
                  <w:rFonts w:ascii="Arial" w:cs="Arial" w:eastAsia="Arial" w:hAnsi="Arial"/>
                  <w:sz w:val="18"/>
                  <w:szCs w:val="18"/>
                  <w:color w:val="0000EE"/>
                  <w:w w:val="91"/>
                </w:rPr>
                <w:t>April 28, 2014, by and among Soleno Therapeutics, Inc. and the investors</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187">
              <w:r>
                <w:rPr>
                  <w:rFonts w:ascii="Arial" w:cs="Arial" w:eastAsia="Arial" w:hAnsi="Arial"/>
                  <w:sz w:val="18"/>
                  <w:szCs w:val="18"/>
                  <w:color w:val="0000EE"/>
                  <w:w w:val="88"/>
                </w:rPr>
                <w:t>named therein.</w:t>
              </w:r>
            </w:hyperlink>
          </w:p>
        </w:tc>
        <w:tc>
          <w:tcPr>
            <w:tcW w:w="4280" w:type="dxa"/>
            <w:vAlign w:val="bottom"/>
            <w:tcBorders>
              <w:top w:val="single" w:sz="8" w:color="0000EE"/>
            </w:tcBorders>
            <w:gridSpan w:val="22"/>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40" w:type="dxa"/>
            <w:vAlign w:val="bottom"/>
          </w:tcPr>
          <w:p>
            <w:pPr>
              <w:spacing w:after="0"/>
              <w:rPr>
                <w:sz w:val="24"/>
                <w:szCs w:val="24"/>
                <w:color w:val="auto"/>
              </w:rPr>
            </w:pPr>
          </w:p>
        </w:tc>
        <w:tc>
          <w:tcPr>
            <w:tcW w:w="4700" w:type="dxa"/>
            <w:vAlign w:val="bottom"/>
            <w:tcBorders>
              <w:bottom w:val="single" w:sz="8" w:color="0000EE"/>
            </w:tcBorders>
            <w:gridSpan w:val="11"/>
          </w:tcPr>
          <w:p>
            <w:pPr>
              <w:spacing w:after="0"/>
              <w:rPr>
                <w:rFonts w:ascii="Arial" w:cs="Arial" w:eastAsia="Arial" w:hAnsi="Arial"/>
                <w:sz w:val="18"/>
                <w:szCs w:val="18"/>
                <w:color w:val="0000EE"/>
                <w:w w:val="90"/>
              </w:rPr>
            </w:pPr>
            <w:hyperlink r:id="rId188">
              <w:r>
                <w:rPr>
                  <w:rFonts w:ascii="Arial" w:cs="Arial" w:eastAsia="Arial" w:hAnsi="Arial"/>
                  <w:sz w:val="18"/>
                  <w:szCs w:val="18"/>
                  <w:color w:val="0000EE"/>
                  <w:w w:val="90"/>
                </w:rPr>
                <w:t>Omnibus Amendment to Convertible Note and Warrant Purchase</w:t>
              </w:r>
            </w:hyperlink>
          </w:p>
        </w:tc>
        <w:tc>
          <w:tcPr>
            <w:tcW w:w="7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9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188">
              <w:r>
                <w:rPr>
                  <w:rFonts w:ascii="Arial" w:cs="Arial" w:eastAsia="Arial" w:hAnsi="Arial"/>
                  <w:sz w:val="18"/>
                  <w:szCs w:val="18"/>
                  <w:color w:val="0000EE"/>
                  <w:w w:val="89"/>
                </w:rPr>
                <w:t>Agreement, Convertible Promissory Notes and Warrants to Purchase</w:t>
              </w:r>
            </w:hyperlink>
          </w:p>
        </w:tc>
        <w:tc>
          <w:tcPr>
            <w:tcW w:w="4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0" w:type="dxa"/>
            <w:vAlign w:val="bottom"/>
            <w:gridSpan w:val="26"/>
          </w:tcPr>
          <w:p>
            <w:pPr>
              <w:spacing w:after="0" w:line="196" w:lineRule="exact"/>
              <w:rPr>
                <w:rFonts w:ascii="Arial" w:cs="Arial" w:eastAsia="Arial" w:hAnsi="Arial"/>
                <w:sz w:val="18"/>
                <w:szCs w:val="18"/>
                <w:color w:val="0000EE"/>
                <w:w w:val="92"/>
              </w:rPr>
            </w:pPr>
            <w:hyperlink r:id="rId188">
              <w:r>
                <w:rPr>
                  <w:rFonts w:ascii="Arial" w:cs="Arial" w:eastAsia="Arial" w:hAnsi="Arial"/>
                  <w:sz w:val="18"/>
                  <w:szCs w:val="18"/>
                  <w:color w:val="0000EE"/>
                  <w:w w:val="92"/>
                </w:rPr>
                <w:t>Shares, dated May 5, 2014, by and among Soleno Therapeutics, Inc. and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r:id="rId188">
              <w:r>
                <w:rPr>
                  <w:rFonts w:ascii="Arial" w:cs="Arial" w:eastAsia="Arial" w:hAnsi="Arial"/>
                  <w:sz w:val="18"/>
                  <w:szCs w:val="18"/>
                  <w:color w:val="0000EE"/>
                  <w:w w:val="88"/>
                </w:rPr>
                <w:t>the investors named therein.</w:t>
              </w:r>
            </w:hyperlink>
          </w:p>
        </w:tc>
        <w:tc>
          <w:tcPr>
            <w:tcW w:w="3180" w:type="dxa"/>
            <w:vAlign w:val="bottom"/>
            <w:tcBorders>
              <w:top w:val="single" w:sz="8" w:color="0000EE"/>
            </w:tcBorders>
            <w:gridSpan w:val="17"/>
          </w:tcPr>
          <w:p>
            <w:pPr>
              <w:spacing w:after="0"/>
              <w:rPr>
                <w:sz w:val="17"/>
                <w:szCs w:val="17"/>
                <w:color w:val="auto"/>
              </w:rPr>
            </w:pPr>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40" w:type="dxa"/>
            <w:vAlign w:val="bottom"/>
          </w:tcPr>
          <w:p>
            <w:pPr>
              <w:spacing w:after="0"/>
              <w:rPr>
                <w:sz w:val="24"/>
                <w:szCs w:val="24"/>
                <w:color w:val="auto"/>
              </w:rPr>
            </w:pPr>
          </w:p>
        </w:tc>
        <w:tc>
          <w:tcPr>
            <w:tcW w:w="5180" w:type="dxa"/>
            <w:vAlign w:val="bottom"/>
            <w:tcBorders>
              <w:bottom w:val="single" w:sz="8" w:color="0000EE"/>
            </w:tcBorders>
            <w:gridSpan w:val="20"/>
          </w:tcPr>
          <w:p>
            <w:pPr>
              <w:spacing w:after="0"/>
              <w:rPr>
                <w:rFonts w:ascii="Arial" w:cs="Arial" w:eastAsia="Arial" w:hAnsi="Arial"/>
                <w:sz w:val="18"/>
                <w:szCs w:val="18"/>
                <w:color w:val="0000EE"/>
                <w:w w:val="89"/>
              </w:rPr>
            </w:pPr>
            <w:hyperlink r:id="rId189">
              <w:r>
                <w:rPr>
                  <w:rFonts w:ascii="Arial" w:cs="Arial" w:eastAsia="Arial" w:hAnsi="Arial"/>
                  <w:sz w:val="18"/>
                  <w:szCs w:val="18"/>
                  <w:color w:val="0000EE"/>
                  <w:w w:val="89"/>
                </w:rPr>
                <w:t>Sublease, dated May 20, 2014, by and among Soleno Therapeutics, Inc.</w:t>
              </w:r>
            </w:hyperlink>
          </w:p>
        </w:tc>
        <w:tc>
          <w:tcPr>
            <w:tcW w:w="2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89">
              <w:r>
                <w:rPr>
                  <w:rFonts w:ascii="Arial" w:cs="Arial" w:eastAsia="Arial" w:hAnsi="Arial"/>
                  <w:sz w:val="18"/>
                  <w:szCs w:val="18"/>
                  <w:color w:val="0000EE"/>
                  <w:w w:val="91"/>
                </w:rPr>
                <w:t>and Silicon Valley Finance Group.</w:t>
              </w:r>
            </w:hyperlink>
          </w:p>
        </w:tc>
        <w:tc>
          <w:tcPr>
            <w:tcW w:w="29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40" w:type="dxa"/>
            <w:vAlign w:val="bottom"/>
          </w:tcPr>
          <w:p>
            <w:pPr>
              <w:spacing w:after="0"/>
              <w:rPr>
                <w:sz w:val="24"/>
                <w:szCs w:val="24"/>
                <w:color w:val="auto"/>
              </w:rPr>
            </w:pPr>
          </w:p>
        </w:tc>
        <w:tc>
          <w:tcPr>
            <w:tcW w:w="5180" w:type="dxa"/>
            <w:vAlign w:val="bottom"/>
            <w:tcBorders>
              <w:bottom w:val="single" w:sz="8" w:color="0000EE"/>
            </w:tcBorders>
            <w:gridSpan w:val="20"/>
          </w:tcPr>
          <w:p>
            <w:pPr>
              <w:spacing w:after="0"/>
              <w:rPr>
                <w:rFonts w:ascii="Arial" w:cs="Arial" w:eastAsia="Arial" w:hAnsi="Arial"/>
                <w:sz w:val="18"/>
                <w:szCs w:val="18"/>
                <w:color w:val="0000EE"/>
                <w:w w:val="89"/>
              </w:rPr>
            </w:pPr>
            <w:hyperlink r:id="rId190">
              <w:r>
                <w:rPr>
                  <w:rFonts w:ascii="Arial" w:cs="Arial" w:eastAsia="Arial" w:hAnsi="Arial"/>
                  <w:sz w:val="18"/>
                  <w:szCs w:val="18"/>
                  <w:color w:val="0000EE"/>
                  <w:w w:val="89"/>
                </w:rPr>
                <w:t>Offer Letter, dated June 24, 2014, by and between Soleno Therapeutics,</w:t>
              </w:r>
            </w:hyperlink>
          </w:p>
        </w:tc>
        <w:tc>
          <w:tcPr>
            <w:tcW w:w="2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8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90">
              <w:r>
                <w:rPr>
                  <w:rFonts w:ascii="Arial" w:cs="Arial" w:eastAsia="Arial" w:hAnsi="Arial"/>
                  <w:sz w:val="18"/>
                  <w:szCs w:val="18"/>
                  <w:color w:val="0000EE"/>
                  <w:w w:val="92"/>
                </w:rPr>
                <w:t>Inc. and David D. O’Toole.</w:t>
              </w:r>
            </w:hyperlink>
          </w:p>
        </w:tc>
        <w:tc>
          <w:tcPr>
            <w:tcW w:w="34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40" w:type="dxa"/>
            <w:vAlign w:val="bottom"/>
          </w:tcPr>
          <w:p>
            <w:pPr>
              <w:spacing w:after="0"/>
              <w:rPr>
                <w:sz w:val="24"/>
                <w:szCs w:val="24"/>
                <w:color w:val="auto"/>
              </w:rPr>
            </w:pPr>
          </w:p>
        </w:tc>
        <w:tc>
          <w:tcPr>
            <w:tcW w:w="5400" w:type="dxa"/>
            <w:vAlign w:val="bottom"/>
            <w:gridSpan w:val="26"/>
          </w:tcPr>
          <w:p>
            <w:pPr>
              <w:spacing w:after="0"/>
              <w:rPr>
                <w:rFonts w:ascii="Arial" w:cs="Arial" w:eastAsia="Arial" w:hAnsi="Arial"/>
                <w:sz w:val="18"/>
                <w:szCs w:val="18"/>
                <w:color w:val="0000EE"/>
                <w:w w:val="99"/>
              </w:rPr>
            </w:pPr>
            <w:hyperlink r:id="rId191">
              <w:r>
                <w:rPr>
                  <w:rFonts w:ascii="Arial" w:cs="Arial" w:eastAsia="Arial" w:hAnsi="Arial"/>
                  <w:sz w:val="18"/>
                  <w:szCs w:val="18"/>
                  <w:color w:val="0000EE"/>
                  <w:w w:val="99"/>
                </w:rPr>
                <w:t>Loan Agreement by and between Soleno Therapeutics, Inc. and the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91">
              <w:r>
                <w:rPr>
                  <w:rFonts w:ascii="Arial" w:cs="Arial" w:eastAsia="Arial" w:hAnsi="Arial"/>
                  <w:sz w:val="18"/>
                  <w:szCs w:val="18"/>
                  <w:color w:val="0000EE"/>
                </w:rPr>
                <w:t>investors named therein, dated September 29, 2014.</w:t>
              </w:r>
            </w:hyperlink>
          </w:p>
        </w:tc>
        <w:tc>
          <w:tcPr>
            <w:tcW w:w="5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40" w:type="dxa"/>
            <w:vAlign w:val="bottom"/>
            <w:tcBorders>
              <w:top w:val="single" w:sz="8" w:color="0000EE"/>
            </w:tcBorders>
            <w:gridSpan w:val="8"/>
          </w:tcPr>
          <w:p>
            <w:pPr>
              <w:spacing w:after="0"/>
              <w:rPr>
                <w:sz w:val="24"/>
                <w:szCs w:val="24"/>
                <w:color w:val="auto"/>
              </w:rPr>
            </w:pPr>
          </w:p>
        </w:tc>
        <w:tc>
          <w:tcPr>
            <w:tcW w:w="1220" w:type="dxa"/>
            <w:vAlign w:val="bottom"/>
            <w:gridSpan w:val="6"/>
          </w:tcPr>
          <w:p>
            <w:pPr>
              <w:jc w:val="right"/>
              <w:ind w:right="40"/>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660"/>
        <w:spacing w:after="0"/>
        <w:rPr>
          <w:sz w:val="20"/>
          <w:szCs w:val="20"/>
          <w:color w:val="auto"/>
        </w:rPr>
      </w:pPr>
      <w:r>
        <w:rPr>
          <w:rFonts w:ascii="Arial" w:cs="Arial" w:eastAsia="Arial" w:hAnsi="Arial"/>
          <w:sz w:val="14"/>
          <w:szCs w:val="14"/>
          <w:b w:val="1"/>
          <w:bCs w:val="1"/>
          <w:color w:val="auto"/>
        </w:rPr>
        <w:t>Incorporated by Reference from</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2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Registrant’s</w:t>
            </w:r>
          </w:p>
        </w:tc>
        <w:tc>
          <w:tcPr>
            <w:tcW w:w="2180" w:type="dxa"/>
            <w:vAlign w:val="bottom"/>
            <w:tcBorders>
              <w:top w:val="single" w:sz="8" w:color="auto"/>
            </w:tcBorders>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Date Filed</w:t>
            </w:r>
          </w:p>
        </w:tc>
        <w:tc>
          <w:tcPr>
            <w:tcW w:w="780" w:type="dxa"/>
            <w:vAlign w:val="bottom"/>
            <w:tcBorders>
              <w:top w:val="single" w:sz="8" w:color="auto"/>
            </w:tcBorders>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Exhibit</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Filed</w:t>
            </w:r>
          </w:p>
        </w:tc>
      </w:tr>
      <w:tr>
        <w:trPr>
          <w:trHeight w:val="171"/>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40" w:type="dxa"/>
            <w:vAlign w:val="bottom"/>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with the SEC</w:t>
            </w:r>
          </w:p>
        </w:tc>
        <w:tc>
          <w:tcPr>
            <w:tcW w:w="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r>
    </w:tbl>
    <w:p>
      <w:pPr>
        <w:spacing w:after="0" w:line="200" w:lineRule="exact"/>
        <w:rPr>
          <w:sz w:val="20"/>
          <w:szCs w:val="20"/>
          <w:color w:val="auto"/>
        </w:rPr>
      </w:pPr>
    </w:p>
    <w:p>
      <w:pPr>
        <w:spacing w:after="0" w:line="218" w:lineRule="exact"/>
        <w:rPr>
          <w:sz w:val="20"/>
          <w:szCs w:val="20"/>
          <w:color w:val="auto"/>
        </w:rPr>
      </w:pPr>
    </w:p>
    <w:p>
      <w:pPr>
        <w:ind w:left="60"/>
        <w:spacing w:after="0"/>
        <w:tabs>
          <w:tab w:leader="none" w:pos="1220" w:val="left"/>
          <w:tab w:leader="none" w:pos="356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June 10, 2014</w:t>
      </w:r>
      <w:r>
        <w:rPr>
          <w:sz w:val="20"/>
          <w:szCs w:val="20"/>
          <w:color w:val="auto"/>
        </w:rPr>
        <w:tab/>
      </w:r>
      <w:r>
        <w:rPr>
          <w:rFonts w:ascii="Arial" w:cs="Arial" w:eastAsia="Arial" w:hAnsi="Arial"/>
          <w:sz w:val="15"/>
          <w:szCs w:val="15"/>
          <w:color w:val="auto"/>
        </w:rPr>
        <w:t>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S-1</w:t>
            </w:r>
          </w:p>
        </w:tc>
        <w:tc>
          <w:tcPr>
            <w:tcW w:w="2280" w:type="dxa"/>
            <w:vAlign w:val="bottom"/>
          </w:tcPr>
          <w:p>
            <w:pPr>
              <w:ind w:left="380"/>
              <w:spacing w:after="0"/>
              <w:rPr>
                <w:sz w:val="20"/>
                <w:szCs w:val="20"/>
                <w:color w:val="auto"/>
              </w:rPr>
            </w:pPr>
            <w:r>
              <w:rPr>
                <w:rFonts w:ascii="Arial" w:cs="Arial" w:eastAsia="Arial" w:hAnsi="Arial"/>
                <w:sz w:val="18"/>
                <w:szCs w:val="18"/>
                <w:color w:val="auto"/>
              </w:rPr>
              <w:t>June 10, 2014</w:t>
            </w:r>
          </w:p>
        </w:tc>
        <w:tc>
          <w:tcPr>
            <w:tcW w:w="840" w:type="dxa"/>
            <w:vAlign w:val="bottom"/>
          </w:tcPr>
          <w:p>
            <w:pPr>
              <w:jc w:val="right"/>
              <w:spacing w:after="0"/>
              <w:rPr>
                <w:sz w:val="20"/>
                <w:szCs w:val="20"/>
                <w:color w:val="auto"/>
              </w:rPr>
            </w:pPr>
            <w:r>
              <w:rPr>
                <w:rFonts w:ascii="Arial" w:cs="Arial" w:eastAsia="Arial" w:hAnsi="Arial"/>
                <w:sz w:val="18"/>
                <w:szCs w:val="18"/>
                <w:color w:val="auto"/>
              </w:rPr>
              <w:t>10.12</w:t>
            </w:r>
          </w:p>
        </w:tc>
      </w:tr>
      <w:tr>
        <w:trPr>
          <w:trHeight w:val="1080"/>
        </w:trPr>
        <w:tc>
          <w:tcPr>
            <w:tcW w:w="800" w:type="dxa"/>
            <w:vAlign w:val="bottom"/>
          </w:tcPr>
          <w:p>
            <w:pPr>
              <w:spacing w:after="0"/>
              <w:rPr>
                <w:sz w:val="20"/>
                <w:szCs w:val="20"/>
                <w:color w:val="auto"/>
              </w:rPr>
            </w:pPr>
            <w:r>
              <w:rPr>
                <w:rFonts w:ascii="Arial" w:cs="Arial" w:eastAsia="Arial" w:hAnsi="Arial"/>
                <w:sz w:val="18"/>
                <w:szCs w:val="18"/>
                <w:color w:val="auto"/>
              </w:rPr>
              <w:t>S-1</w:t>
            </w:r>
          </w:p>
        </w:tc>
        <w:tc>
          <w:tcPr>
            <w:tcW w:w="2280" w:type="dxa"/>
            <w:vAlign w:val="bottom"/>
          </w:tcPr>
          <w:p>
            <w:pPr>
              <w:ind w:left="380"/>
              <w:spacing w:after="0"/>
              <w:rPr>
                <w:sz w:val="20"/>
                <w:szCs w:val="20"/>
                <w:color w:val="auto"/>
              </w:rPr>
            </w:pPr>
            <w:r>
              <w:rPr>
                <w:rFonts w:ascii="Arial" w:cs="Arial" w:eastAsia="Arial" w:hAnsi="Arial"/>
                <w:sz w:val="18"/>
                <w:szCs w:val="18"/>
                <w:color w:val="auto"/>
              </w:rPr>
              <w:t>June 10, 2014</w:t>
            </w:r>
          </w:p>
        </w:tc>
        <w:tc>
          <w:tcPr>
            <w:tcW w:w="840" w:type="dxa"/>
            <w:vAlign w:val="bottom"/>
          </w:tcPr>
          <w:p>
            <w:pPr>
              <w:jc w:val="right"/>
              <w:spacing w:after="0"/>
              <w:rPr>
                <w:sz w:val="20"/>
                <w:szCs w:val="20"/>
                <w:color w:val="auto"/>
              </w:rPr>
            </w:pPr>
            <w:r>
              <w:rPr>
                <w:rFonts w:ascii="Arial" w:cs="Arial" w:eastAsia="Arial" w:hAnsi="Arial"/>
                <w:sz w:val="18"/>
                <w:szCs w:val="18"/>
                <w:color w:val="auto"/>
              </w:rPr>
              <w:t>10.13</w:t>
            </w:r>
          </w:p>
        </w:tc>
      </w:tr>
      <w:tr>
        <w:trPr>
          <w:trHeight w:val="864"/>
        </w:trPr>
        <w:tc>
          <w:tcPr>
            <w:tcW w:w="800" w:type="dxa"/>
            <w:vAlign w:val="bottom"/>
          </w:tcPr>
          <w:p>
            <w:pPr>
              <w:spacing w:after="0"/>
              <w:rPr>
                <w:sz w:val="20"/>
                <w:szCs w:val="20"/>
                <w:color w:val="auto"/>
              </w:rPr>
            </w:pPr>
            <w:r>
              <w:rPr>
                <w:rFonts w:ascii="Arial" w:cs="Arial" w:eastAsia="Arial" w:hAnsi="Arial"/>
                <w:sz w:val="18"/>
                <w:szCs w:val="18"/>
                <w:color w:val="auto"/>
              </w:rPr>
              <w:t>S-1</w:t>
            </w:r>
          </w:p>
        </w:tc>
        <w:tc>
          <w:tcPr>
            <w:tcW w:w="2280" w:type="dxa"/>
            <w:vAlign w:val="bottom"/>
          </w:tcPr>
          <w:p>
            <w:pPr>
              <w:ind w:left="380"/>
              <w:spacing w:after="0"/>
              <w:rPr>
                <w:sz w:val="20"/>
                <w:szCs w:val="20"/>
                <w:color w:val="auto"/>
              </w:rPr>
            </w:pPr>
            <w:r>
              <w:rPr>
                <w:rFonts w:ascii="Arial" w:cs="Arial" w:eastAsia="Arial" w:hAnsi="Arial"/>
                <w:sz w:val="18"/>
                <w:szCs w:val="18"/>
                <w:color w:val="auto"/>
              </w:rPr>
              <w:t>June 10, 2014</w:t>
            </w:r>
          </w:p>
        </w:tc>
        <w:tc>
          <w:tcPr>
            <w:tcW w:w="840" w:type="dxa"/>
            <w:vAlign w:val="bottom"/>
          </w:tcPr>
          <w:p>
            <w:pPr>
              <w:jc w:val="right"/>
              <w:spacing w:after="0"/>
              <w:rPr>
                <w:sz w:val="20"/>
                <w:szCs w:val="20"/>
                <w:color w:val="auto"/>
              </w:rPr>
            </w:pPr>
            <w:r>
              <w:rPr>
                <w:rFonts w:ascii="Arial" w:cs="Arial" w:eastAsia="Arial" w:hAnsi="Arial"/>
                <w:sz w:val="18"/>
                <w:szCs w:val="18"/>
                <w:color w:val="auto"/>
              </w:rPr>
              <w:t>10.14</w:t>
            </w:r>
          </w:p>
        </w:tc>
      </w:tr>
      <w:tr>
        <w:trPr>
          <w:trHeight w:val="1080"/>
        </w:trPr>
        <w:tc>
          <w:tcPr>
            <w:tcW w:w="800" w:type="dxa"/>
            <w:vAlign w:val="bottom"/>
          </w:tcPr>
          <w:p>
            <w:pPr>
              <w:spacing w:after="0"/>
              <w:rPr>
                <w:sz w:val="20"/>
                <w:szCs w:val="20"/>
                <w:color w:val="auto"/>
              </w:rPr>
            </w:pPr>
            <w:r>
              <w:rPr>
                <w:rFonts w:ascii="Arial" w:cs="Arial" w:eastAsia="Arial" w:hAnsi="Arial"/>
                <w:sz w:val="18"/>
                <w:szCs w:val="18"/>
                <w:color w:val="auto"/>
              </w:rPr>
              <w:t>S-1</w:t>
            </w:r>
          </w:p>
        </w:tc>
        <w:tc>
          <w:tcPr>
            <w:tcW w:w="2280" w:type="dxa"/>
            <w:vAlign w:val="bottom"/>
          </w:tcPr>
          <w:p>
            <w:pPr>
              <w:ind w:left="380"/>
              <w:spacing w:after="0"/>
              <w:rPr>
                <w:sz w:val="20"/>
                <w:szCs w:val="20"/>
                <w:color w:val="auto"/>
              </w:rPr>
            </w:pPr>
            <w:r>
              <w:rPr>
                <w:rFonts w:ascii="Arial" w:cs="Arial" w:eastAsia="Arial" w:hAnsi="Arial"/>
                <w:sz w:val="18"/>
                <w:szCs w:val="18"/>
                <w:color w:val="auto"/>
              </w:rPr>
              <w:t>June 10, 2014</w:t>
            </w:r>
          </w:p>
        </w:tc>
        <w:tc>
          <w:tcPr>
            <w:tcW w:w="840" w:type="dxa"/>
            <w:vAlign w:val="bottom"/>
          </w:tcPr>
          <w:p>
            <w:pPr>
              <w:jc w:val="right"/>
              <w:spacing w:after="0"/>
              <w:rPr>
                <w:sz w:val="20"/>
                <w:szCs w:val="20"/>
                <w:color w:val="auto"/>
              </w:rPr>
            </w:pPr>
            <w:r>
              <w:rPr>
                <w:rFonts w:ascii="Arial" w:cs="Arial" w:eastAsia="Arial" w:hAnsi="Arial"/>
                <w:sz w:val="18"/>
                <w:szCs w:val="18"/>
                <w:color w:val="auto"/>
              </w:rPr>
              <w:t>10.15</w:t>
            </w:r>
          </w:p>
        </w:tc>
      </w:tr>
      <w:tr>
        <w:trPr>
          <w:trHeight w:val="864"/>
        </w:trPr>
        <w:tc>
          <w:tcPr>
            <w:tcW w:w="800" w:type="dxa"/>
            <w:vAlign w:val="bottom"/>
          </w:tcPr>
          <w:p>
            <w:pPr>
              <w:spacing w:after="0"/>
              <w:rPr>
                <w:sz w:val="20"/>
                <w:szCs w:val="20"/>
                <w:color w:val="auto"/>
              </w:rPr>
            </w:pPr>
            <w:r>
              <w:rPr>
                <w:rFonts w:ascii="Arial" w:cs="Arial" w:eastAsia="Arial" w:hAnsi="Arial"/>
                <w:sz w:val="18"/>
                <w:szCs w:val="18"/>
                <w:color w:val="auto"/>
              </w:rPr>
              <w:t>S-1</w:t>
            </w:r>
          </w:p>
        </w:tc>
        <w:tc>
          <w:tcPr>
            <w:tcW w:w="2280" w:type="dxa"/>
            <w:vAlign w:val="bottom"/>
          </w:tcPr>
          <w:p>
            <w:pPr>
              <w:ind w:left="380"/>
              <w:spacing w:after="0"/>
              <w:rPr>
                <w:sz w:val="20"/>
                <w:szCs w:val="20"/>
                <w:color w:val="auto"/>
              </w:rPr>
            </w:pPr>
            <w:r>
              <w:rPr>
                <w:rFonts w:ascii="Arial" w:cs="Arial" w:eastAsia="Arial" w:hAnsi="Arial"/>
                <w:sz w:val="18"/>
                <w:szCs w:val="18"/>
                <w:color w:val="auto"/>
              </w:rPr>
              <w:t>June 10, 2014</w:t>
            </w:r>
          </w:p>
        </w:tc>
        <w:tc>
          <w:tcPr>
            <w:tcW w:w="840" w:type="dxa"/>
            <w:vAlign w:val="bottom"/>
          </w:tcPr>
          <w:p>
            <w:pPr>
              <w:jc w:val="right"/>
              <w:spacing w:after="0"/>
              <w:rPr>
                <w:sz w:val="20"/>
                <w:szCs w:val="20"/>
                <w:color w:val="auto"/>
              </w:rPr>
            </w:pPr>
            <w:r>
              <w:rPr>
                <w:rFonts w:ascii="Arial" w:cs="Arial" w:eastAsia="Arial" w:hAnsi="Arial"/>
                <w:sz w:val="18"/>
                <w:szCs w:val="18"/>
                <w:color w:val="auto"/>
              </w:rPr>
              <w:t>10.16</w:t>
            </w:r>
          </w:p>
        </w:tc>
      </w:tr>
      <w:tr>
        <w:trPr>
          <w:trHeight w:val="864"/>
        </w:trPr>
        <w:tc>
          <w:tcPr>
            <w:tcW w:w="800" w:type="dxa"/>
            <w:vAlign w:val="bottom"/>
          </w:tcPr>
          <w:p>
            <w:pPr>
              <w:spacing w:after="0"/>
              <w:rPr>
                <w:sz w:val="20"/>
                <w:szCs w:val="20"/>
                <w:color w:val="auto"/>
              </w:rPr>
            </w:pPr>
            <w:r>
              <w:rPr>
                <w:rFonts w:ascii="Arial" w:cs="Arial" w:eastAsia="Arial" w:hAnsi="Arial"/>
                <w:sz w:val="18"/>
                <w:szCs w:val="18"/>
                <w:color w:val="auto"/>
              </w:rPr>
              <w:t>S-1</w:t>
            </w:r>
          </w:p>
        </w:tc>
        <w:tc>
          <w:tcPr>
            <w:tcW w:w="2280" w:type="dxa"/>
            <w:vAlign w:val="bottom"/>
          </w:tcPr>
          <w:p>
            <w:pPr>
              <w:ind w:left="380"/>
              <w:spacing w:after="0"/>
              <w:rPr>
                <w:sz w:val="20"/>
                <w:szCs w:val="20"/>
                <w:color w:val="auto"/>
              </w:rPr>
            </w:pPr>
            <w:r>
              <w:rPr>
                <w:rFonts w:ascii="Arial" w:cs="Arial" w:eastAsia="Arial" w:hAnsi="Arial"/>
                <w:sz w:val="18"/>
                <w:szCs w:val="18"/>
                <w:color w:val="auto"/>
              </w:rPr>
              <w:t>June 10, 2014</w:t>
            </w:r>
          </w:p>
        </w:tc>
        <w:tc>
          <w:tcPr>
            <w:tcW w:w="840" w:type="dxa"/>
            <w:vAlign w:val="bottom"/>
          </w:tcPr>
          <w:p>
            <w:pPr>
              <w:jc w:val="right"/>
              <w:spacing w:after="0"/>
              <w:rPr>
                <w:sz w:val="20"/>
                <w:szCs w:val="20"/>
                <w:color w:val="auto"/>
              </w:rPr>
            </w:pPr>
            <w:r>
              <w:rPr>
                <w:rFonts w:ascii="Arial" w:cs="Arial" w:eastAsia="Arial" w:hAnsi="Arial"/>
                <w:sz w:val="18"/>
                <w:szCs w:val="18"/>
                <w:color w:val="auto"/>
              </w:rPr>
              <w:t>10.17</w:t>
            </w:r>
          </w:p>
        </w:tc>
      </w:tr>
      <w:tr>
        <w:trPr>
          <w:trHeight w:val="1080"/>
        </w:trPr>
        <w:tc>
          <w:tcPr>
            <w:tcW w:w="800" w:type="dxa"/>
            <w:vAlign w:val="bottom"/>
          </w:tcPr>
          <w:p>
            <w:pPr>
              <w:spacing w:after="0"/>
              <w:rPr>
                <w:sz w:val="20"/>
                <w:szCs w:val="20"/>
                <w:color w:val="auto"/>
              </w:rPr>
            </w:pPr>
            <w:r>
              <w:rPr>
                <w:rFonts w:ascii="Arial" w:cs="Arial" w:eastAsia="Arial" w:hAnsi="Arial"/>
                <w:sz w:val="18"/>
                <w:szCs w:val="18"/>
                <w:color w:val="auto"/>
              </w:rPr>
              <w:t>S-1</w:t>
            </w:r>
          </w:p>
        </w:tc>
        <w:tc>
          <w:tcPr>
            <w:tcW w:w="2280" w:type="dxa"/>
            <w:vAlign w:val="bottom"/>
          </w:tcPr>
          <w:p>
            <w:pPr>
              <w:ind w:left="380"/>
              <w:spacing w:after="0"/>
              <w:rPr>
                <w:sz w:val="20"/>
                <w:szCs w:val="20"/>
                <w:color w:val="auto"/>
              </w:rPr>
            </w:pPr>
            <w:r>
              <w:rPr>
                <w:rFonts w:ascii="Arial" w:cs="Arial" w:eastAsia="Arial" w:hAnsi="Arial"/>
                <w:sz w:val="18"/>
                <w:szCs w:val="18"/>
                <w:color w:val="auto"/>
              </w:rPr>
              <w:t>June 10, 2014</w:t>
            </w:r>
          </w:p>
        </w:tc>
        <w:tc>
          <w:tcPr>
            <w:tcW w:w="840" w:type="dxa"/>
            <w:vAlign w:val="bottom"/>
          </w:tcPr>
          <w:p>
            <w:pPr>
              <w:jc w:val="right"/>
              <w:spacing w:after="0"/>
              <w:rPr>
                <w:sz w:val="20"/>
                <w:szCs w:val="20"/>
                <w:color w:val="auto"/>
              </w:rPr>
            </w:pPr>
            <w:r>
              <w:rPr>
                <w:rFonts w:ascii="Arial" w:cs="Arial" w:eastAsia="Arial" w:hAnsi="Arial"/>
                <w:sz w:val="18"/>
                <w:szCs w:val="18"/>
                <w:color w:val="auto"/>
              </w:rPr>
              <w:t>10.18</w:t>
            </w:r>
          </w:p>
        </w:tc>
      </w:tr>
      <w:tr>
        <w:trPr>
          <w:trHeight w:val="648"/>
        </w:trPr>
        <w:tc>
          <w:tcPr>
            <w:tcW w:w="800" w:type="dxa"/>
            <w:vAlign w:val="bottom"/>
          </w:tcPr>
          <w:p>
            <w:pPr>
              <w:spacing w:after="0"/>
              <w:rPr>
                <w:sz w:val="20"/>
                <w:szCs w:val="20"/>
                <w:color w:val="auto"/>
              </w:rPr>
            </w:pPr>
            <w:r>
              <w:rPr>
                <w:rFonts w:ascii="Arial" w:cs="Arial" w:eastAsia="Arial" w:hAnsi="Arial"/>
                <w:sz w:val="18"/>
                <w:szCs w:val="18"/>
                <w:color w:val="auto"/>
              </w:rPr>
              <w:t>S-1/A</w:t>
            </w:r>
          </w:p>
        </w:tc>
        <w:tc>
          <w:tcPr>
            <w:tcW w:w="2280" w:type="dxa"/>
            <w:vAlign w:val="bottom"/>
          </w:tcPr>
          <w:p>
            <w:pPr>
              <w:ind w:left="380"/>
              <w:spacing w:after="0"/>
              <w:rPr>
                <w:sz w:val="20"/>
                <w:szCs w:val="20"/>
                <w:color w:val="auto"/>
              </w:rPr>
            </w:pPr>
            <w:r>
              <w:rPr>
                <w:rFonts w:ascii="Arial" w:cs="Arial" w:eastAsia="Arial" w:hAnsi="Arial"/>
                <w:sz w:val="18"/>
                <w:szCs w:val="18"/>
                <w:color w:val="auto"/>
              </w:rPr>
              <w:t>July 1, 2014</w:t>
            </w:r>
          </w:p>
        </w:tc>
        <w:tc>
          <w:tcPr>
            <w:tcW w:w="840" w:type="dxa"/>
            <w:vAlign w:val="bottom"/>
          </w:tcPr>
          <w:p>
            <w:pPr>
              <w:jc w:val="right"/>
              <w:spacing w:after="0"/>
              <w:rPr>
                <w:sz w:val="20"/>
                <w:szCs w:val="20"/>
                <w:color w:val="auto"/>
              </w:rPr>
            </w:pPr>
            <w:r>
              <w:rPr>
                <w:rFonts w:ascii="Arial" w:cs="Arial" w:eastAsia="Arial" w:hAnsi="Arial"/>
                <w:sz w:val="18"/>
                <w:szCs w:val="18"/>
                <w:color w:val="auto"/>
              </w:rPr>
              <w:t>10.19</w:t>
            </w:r>
          </w:p>
        </w:tc>
      </w:tr>
      <w:tr>
        <w:trPr>
          <w:trHeight w:val="648"/>
        </w:trPr>
        <w:tc>
          <w:tcPr>
            <w:tcW w:w="800" w:type="dxa"/>
            <w:vAlign w:val="bottom"/>
          </w:tcPr>
          <w:p>
            <w:pPr>
              <w:spacing w:after="0"/>
              <w:rPr>
                <w:sz w:val="20"/>
                <w:szCs w:val="20"/>
                <w:color w:val="auto"/>
              </w:rPr>
            </w:pPr>
            <w:r>
              <w:rPr>
                <w:rFonts w:ascii="Arial" w:cs="Arial" w:eastAsia="Arial" w:hAnsi="Arial"/>
                <w:sz w:val="18"/>
                <w:szCs w:val="18"/>
                <w:color w:val="auto"/>
              </w:rPr>
              <w:t>S-1/A</w:t>
            </w:r>
          </w:p>
        </w:tc>
        <w:tc>
          <w:tcPr>
            <w:tcW w:w="2280" w:type="dxa"/>
            <w:vAlign w:val="bottom"/>
          </w:tcPr>
          <w:p>
            <w:pPr>
              <w:ind w:left="380"/>
              <w:spacing w:after="0"/>
              <w:rPr>
                <w:sz w:val="20"/>
                <w:szCs w:val="20"/>
                <w:color w:val="auto"/>
              </w:rPr>
            </w:pPr>
            <w:r>
              <w:rPr>
                <w:rFonts w:ascii="Arial" w:cs="Arial" w:eastAsia="Arial" w:hAnsi="Arial"/>
                <w:sz w:val="18"/>
                <w:szCs w:val="18"/>
                <w:color w:val="auto"/>
              </w:rPr>
              <w:t>July 22, 2014</w:t>
            </w:r>
          </w:p>
        </w:tc>
        <w:tc>
          <w:tcPr>
            <w:tcW w:w="840" w:type="dxa"/>
            <w:vAlign w:val="bottom"/>
          </w:tcPr>
          <w:p>
            <w:pPr>
              <w:jc w:val="right"/>
              <w:spacing w:after="0"/>
              <w:rPr>
                <w:sz w:val="20"/>
                <w:szCs w:val="20"/>
                <w:color w:val="auto"/>
              </w:rPr>
            </w:pPr>
            <w:r>
              <w:rPr>
                <w:rFonts w:ascii="Arial" w:cs="Arial" w:eastAsia="Arial" w:hAnsi="Arial"/>
                <w:sz w:val="18"/>
                <w:szCs w:val="18"/>
                <w:color w:val="auto"/>
              </w:rPr>
              <w:t>10.20</w:t>
            </w:r>
          </w:p>
        </w:tc>
      </w:tr>
      <w:tr>
        <w:trPr>
          <w:trHeight w:val="648"/>
        </w:trPr>
        <w:tc>
          <w:tcPr>
            <w:tcW w:w="800" w:type="dxa"/>
            <w:vAlign w:val="bottom"/>
          </w:tcPr>
          <w:p>
            <w:pPr>
              <w:spacing w:after="0"/>
              <w:rPr>
                <w:sz w:val="20"/>
                <w:szCs w:val="20"/>
                <w:color w:val="auto"/>
              </w:rPr>
            </w:pPr>
            <w:r>
              <w:rPr>
                <w:rFonts w:ascii="Arial" w:cs="Arial" w:eastAsia="Arial" w:hAnsi="Arial"/>
                <w:sz w:val="18"/>
                <w:szCs w:val="18"/>
                <w:color w:val="auto"/>
              </w:rPr>
              <w:t>S-1/A</w:t>
            </w:r>
          </w:p>
        </w:tc>
        <w:tc>
          <w:tcPr>
            <w:tcW w:w="2280" w:type="dxa"/>
            <w:vAlign w:val="bottom"/>
          </w:tcPr>
          <w:p>
            <w:pPr>
              <w:ind w:left="380"/>
              <w:spacing w:after="0"/>
              <w:rPr>
                <w:sz w:val="20"/>
                <w:szCs w:val="20"/>
                <w:color w:val="auto"/>
              </w:rPr>
            </w:pPr>
            <w:r>
              <w:rPr>
                <w:rFonts w:ascii="Arial" w:cs="Arial" w:eastAsia="Arial" w:hAnsi="Arial"/>
                <w:sz w:val="18"/>
                <w:szCs w:val="18"/>
                <w:color w:val="auto"/>
              </w:rPr>
              <w:t>September 29, 2014</w:t>
            </w:r>
          </w:p>
        </w:tc>
        <w:tc>
          <w:tcPr>
            <w:tcW w:w="840" w:type="dxa"/>
            <w:vAlign w:val="bottom"/>
          </w:tcPr>
          <w:p>
            <w:pPr>
              <w:jc w:val="right"/>
              <w:spacing w:after="0"/>
              <w:rPr>
                <w:sz w:val="20"/>
                <w:szCs w:val="20"/>
                <w:color w:val="auto"/>
              </w:rPr>
            </w:pPr>
            <w:r>
              <w:rPr>
                <w:rFonts w:ascii="Arial" w:cs="Arial" w:eastAsia="Arial" w:hAnsi="Arial"/>
                <w:sz w:val="18"/>
                <w:szCs w:val="18"/>
                <w:color w:val="auto"/>
              </w:rPr>
              <w:t>10.21</w:t>
            </w:r>
          </w:p>
        </w:tc>
      </w:tr>
    </w:tbl>
    <w:p>
      <w:pPr>
        <w:sectPr>
          <w:pgSz w:w="11900" w:h="16838" w:orient="portrait"/>
          <w:cols w:equalWidth="0" w:num="2">
            <w:col w:w="6320" w:space="60"/>
            <w:col w:w="5040"/>
          </w:cols>
          <w:pgMar w:left="240" w:top="333" w:right="239" w:bottom="1440" w:gutter="0" w:footer="0" w:header="0"/>
        </w:sectPr>
      </w:pPr>
    </w:p>
    <w:bookmarkStart w:id="110" w:name="page111"/>
    <w:bookmarkEnd w:id="110"/>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4980" w:type="dxa"/>
            <w:vAlign w:val="bottom"/>
            <w:gridSpan w:val="27"/>
            <w:vMerge w:val="restart"/>
          </w:tcPr>
          <w:p>
            <w:pPr>
              <w:ind w:left="158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Number</w:t>
            </w:r>
          </w:p>
        </w:tc>
        <w:tc>
          <w:tcPr>
            <w:tcW w:w="420" w:type="dxa"/>
            <w:vAlign w:val="bottom"/>
          </w:tcPr>
          <w:p>
            <w:pPr>
              <w:spacing w:after="0"/>
              <w:rPr>
                <w:sz w:val="14"/>
                <w:szCs w:val="14"/>
                <w:color w:val="auto"/>
              </w:rPr>
            </w:pPr>
          </w:p>
        </w:tc>
        <w:tc>
          <w:tcPr>
            <w:tcW w:w="4980" w:type="dxa"/>
            <w:vAlign w:val="bottom"/>
            <w:gridSpan w:val="2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8"/>
              </w:rPr>
              <w:t>10.22</w:t>
            </w:r>
          </w:p>
        </w:tc>
        <w:tc>
          <w:tcPr>
            <w:tcW w:w="40" w:type="dxa"/>
            <w:vAlign w:val="bottom"/>
          </w:tcPr>
          <w:p>
            <w:pPr>
              <w:spacing w:after="0"/>
              <w:rPr>
                <w:sz w:val="14"/>
                <w:szCs w:val="14"/>
                <w:color w:val="auto"/>
              </w:rPr>
            </w:pPr>
          </w:p>
        </w:tc>
        <w:tc>
          <w:tcPr>
            <w:tcW w:w="5400" w:type="dxa"/>
            <w:vAlign w:val="bottom"/>
            <w:tcBorders>
              <w:top w:val="single" w:sz="8" w:color="auto"/>
            </w:tcBorders>
            <w:gridSpan w:val="28"/>
          </w:tcPr>
          <w:p>
            <w:pPr>
              <w:spacing w:after="0" w:line="170" w:lineRule="exact"/>
              <w:rPr>
                <w:rFonts w:ascii="Arial" w:cs="Arial" w:eastAsia="Arial" w:hAnsi="Arial"/>
                <w:sz w:val="18"/>
                <w:szCs w:val="18"/>
                <w:color w:val="0000EE"/>
                <w:w w:val="95"/>
              </w:rPr>
            </w:pPr>
            <w:hyperlink r:id="rId193">
              <w:r>
                <w:rPr>
                  <w:rFonts w:ascii="Arial" w:cs="Arial" w:eastAsia="Arial" w:hAnsi="Arial"/>
                  <w:sz w:val="18"/>
                  <w:szCs w:val="18"/>
                  <w:color w:val="0000EE"/>
                  <w:w w:val="95"/>
                </w:rPr>
                <w:t>Revised Second Tranche Closing Notice and Letter Amendment dated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93">
              <w:r>
                <w:rPr>
                  <w:rFonts w:ascii="Arial" w:cs="Arial" w:eastAsia="Arial" w:hAnsi="Arial"/>
                  <w:sz w:val="18"/>
                  <w:szCs w:val="18"/>
                  <w:color w:val="0000EE"/>
                </w:rPr>
                <w:t>August 18, 2014 relating to the August 2014 Notes.</w:t>
              </w:r>
            </w:hyperlink>
          </w:p>
        </w:tc>
        <w:tc>
          <w:tcPr>
            <w:tcW w:w="3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40" w:type="dxa"/>
            <w:vAlign w:val="bottom"/>
          </w:tcPr>
          <w:p>
            <w:pPr>
              <w:spacing w:after="0"/>
              <w:rPr>
                <w:sz w:val="24"/>
                <w:szCs w:val="24"/>
                <w:color w:val="auto"/>
              </w:rPr>
            </w:pPr>
          </w:p>
        </w:tc>
        <w:tc>
          <w:tcPr>
            <w:tcW w:w="5320" w:type="dxa"/>
            <w:vAlign w:val="bottom"/>
            <w:tcBorders>
              <w:bottom w:val="single" w:sz="8" w:color="0000EE"/>
            </w:tcBorders>
            <w:gridSpan w:val="27"/>
          </w:tcPr>
          <w:p>
            <w:pPr>
              <w:spacing w:after="0"/>
              <w:rPr>
                <w:rFonts w:ascii="Arial" w:cs="Arial" w:eastAsia="Arial" w:hAnsi="Arial"/>
                <w:sz w:val="18"/>
                <w:szCs w:val="18"/>
                <w:color w:val="0000EE"/>
                <w:w w:val="89"/>
              </w:rPr>
            </w:pPr>
            <w:hyperlink r:id="rId194">
              <w:r>
                <w:rPr>
                  <w:rFonts w:ascii="Arial" w:cs="Arial" w:eastAsia="Arial" w:hAnsi="Arial"/>
                  <w:sz w:val="18"/>
                  <w:szCs w:val="18"/>
                  <w:color w:val="0000EE"/>
                  <w:w w:val="89"/>
                </w:rPr>
                <w:t>Second Tranche Subsequent Closing Notice and Letter Amendment dated</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0" w:type="dxa"/>
            <w:vAlign w:val="bottom"/>
            <w:gridSpan w:val="28"/>
          </w:tcPr>
          <w:p>
            <w:pPr>
              <w:spacing w:after="0" w:line="196" w:lineRule="exact"/>
              <w:rPr>
                <w:rFonts w:ascii="Arial" w:cs="Arial" w:eastAsia="Arial" w:hAnsi="Arial"/>
                <w:sz w:val="18"/>
                <w:szCs w:val="18"/>
                <w:color w:val="0000EE"/>
              </w:rPr>
            </w:pPr>
            <w:hyperlink r:id="rId194">
              <w:r>
                <w:rPr>
                  <w:rFonts w:ascii="Arial" w:cs="Arial" w:eastAsia="Arial" w:hAnsi="Arial"/>
                  <w:sz w:val="18"/>
                  <w:szCs w:val="18"/>
                  <w:color w:val="0000EE"/>
                </w:rPr>
                <w:t>October 22, 2014 relating to the October 2014 Notes.</w:t>
              </w:r>
            </w:hyperlink>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40" w:type="dxa"/>
            <w:vAlign w:val="bottom"/>
          </w:tcPr>
          <w:p>
            <w:pPr>
              <w:spacing w:after="0"/>
              <w:rPr>
                <w:sz w:val="24"/>
                <w:szCs w:val="24"/>
                <w:color w:val="auto"/>
              </w:rPr>
            </w:pPr>
          </w:p>
        </w:tc>
        <w:tc>
          <w:tcPr>
            <w:tcW w:w="3840" w:type="dxa"/>
            <w:vAlign w:val="bottom"/>
            <w:tcBorders>
              <w:top w:val="single" w:sz="8" w:color="0000EE"/>
            </w:tcBorders>
            <w:gridSpan w:val="12"/>
          </w:tcPr>
          <w:p>
            <w:pPr>
              <w:spacing w:after="0"/>
              <w:rPr>
                <w:rFonts w:ascii="Arial" w:cs="Arial" w:eastAsia="Arial" w:hAnsi="Arial"/>
                <w:sz w:val="18"/>
                <w:szCs w:val="18"/>
                <w:color w:val="0000EE"/>
              </w:rPr>
            </w:pPr>
            <w:hyperlink r:id="rId195">
              <w:r>
                <w:rPr>
                  <w:rFonts w:ascii="Arial" w:cs="Arial" w:eastAsia="Arial" w:hAnsi="Arial"/>
                  <w:sz w:val="18"/>
                  <w:szCs w:val="18"/>
                  <w:color w:val="0000EE"/>
                </w:rPr>
                <w:t>Form of Warrant Exercise Agreement.</w:t>
              </w:r>
            </w:hyperlink>
          </w:p>
        </w:tc>
        <w:tc>
          <w:tcPr>
            <w:tcW w:w="15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40" w:type="dxa"/>
            <w:vAlign w:val="bottom"/>
          </w:tcPr>
          <w:p>
            <w:pPr>
              <w:spacing w:after="0"/>
              <w:rPr>
                <w:sz w:val="24"/>
                <w:szCs w:val="24"/>
                <w:color w:val="auto"/>
              </w:rPr>
            </w:pPr>
          </w:p>
        </w:tc>
        <w:tc>
          <w:tcPr>
            <w:tcW w:w="5400" w:type="dxa"/>
            <w:vAlign w:val="bottom"/>
            <w:gridSpan w:val="28"/>
          </w:tcPr>
          <w:p>
            <w:pPr>
              <w:spacing w:after="0"/>
              <w:rPr>
                <w:rFonts w:ascii="Arial" w:cs="Arial" w:eastAsia="Arial" w:hAnsi="Arial"/>
                <w:sz w:val="18"/>
                <w:szCs w:val="18"/>
                <w:color w:val="0000EE"/>
                <w:w w:val="99"/>
              </w:rPr>
            </w:pPr>
            <w:hyperlink r:id="rId196">
              <w:r>
                <w:rPr>
                  <w:rFonts w:ascii="Arial" w:cs="Arial" w:eastAsia="Arial" w:hAnsi="Arial"/>
                  <w:sz w:val="18"/>
                  <w:szCs w:val="18"/>
                  <w:color w:val="0000EE"/>
                  <w:w w:val="99"/>
                </w:rPr>
                <w:t>Advisory Agreement by and between Soleno Therapeutics, Inc. and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96">
              <w:r>
                <w:rPr>
                  <w:rFonts w:ascii="Arial" w:cs="Arial" w:eastAsia="Arial" w:hAnsi="Arial"/>
                  <w:sz w:val="18"/>
                  <w:szCs w:val="18"/>
                  <w:color w:val="0000EE"/>
                </w:rPr>
                <w:t>Maxim Group LLC, dated March 4, 2015.</w:t>
              </w:r>
            </w:hyperlink>
          </w:p>
        </w:tc>
        <w:tc>
          <w:tcPr>
            <w:tcW w:w="5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40" w:type="dxa"/>
            <w:vAlign w:val="bottom"/>
          </w:tcPr>
          <w:p>
            <w:pPr>
              <w:spacing w:after="0"/>
              <w:rPr>
                <w:sz w:val="24"/>
                <w:szCs w:val="24"/>
                <w:color w:val="auto"/>
              </w:rPr>
            </w:pPr>
          </w:p>
        </w:tc>
        <w:tc>
          <w:tcPr>
            <w:tcW w:w="5240" w:type="dxa"/>
            <w:vAlign w:val="bottom"/>
            <w:tcBorders>
              <w:bottom w:val="single" w:sz="8" w:color="0000EE"/>
            </w:tcBorders>
            <w:gridSpan w:val="25"/>
          </w:tcPr>
          <w:p>
            <w:pPr>
              <w:spacing w:after="0"/>
              <w:rPr>
                <w:rFonts w:ascii="Arial" w:cs="Arial" w:eastAsia="Arial" w:hAnsi="Arial"/>
                <w:sz w:val="18"/>
                <w:szCs w:val="18"/>
                <w:color w:val="0000EE"/>
                <w:w w:val="89"/>
              </w:rPr>
            </w:pPr>
            <w:hyperlink r:id="rId197">
              <w:r>
                <w:rPr>
                  <w:rFonts w:ascii="Arial" w:cs="Arial" w:eastAsia="Arial" w:hAnsi="Arial"/>
                  <w:sz w:val="18"/>
                  <w:szCs w:val="18"/>
                  <w:color w:val="0000EE"/>
                  <w:w w:val="89"/>
                </w:rPr>
                <w:t>Agreement and First Amendment to Asset Purchase Agreement between</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97">
              <w:r>
                <w:rPr>
                  <w:rFonts w:ascii="Arial" w:cs="Arial" w:eastAsia="Arial" w:hAnsi="Arial"/>
                  <w:sz w:val="18"/>
                  <w:szCs w:val="18"/>
                  <w:color w:val="0000EE"/>
                  <w:w w:val="92"/>
                </w:rPr>
                <w:t>the Company, BDDI and affiliate of BDDI, dated June 30, 2015.</w:t>
              </w:r>
            </w:hyperlink>
          </w:p>
        </w:tc>
        <w:tc>
          <w:tcPr>
            <w:tcW w:w="7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40" w:type="dxa"/>
            <w:vAlign w:val="bottom"/>
          </w:tcPr>
          <w:p>
            <w:pPr>
              <w:spacing w:after="0"/>
              <w:rPr>
                <w:sz w:val="24"/>
                <w:szCs w:val="24"/>
                <w:color w:val="auto"/>
              </w:rPr>
            </w:pPr>
          </w:p>
        </w:tc>
        <w:tc>
          <w:tcPr>
            <w:tcW w:w="5400" w:type="dxa"/>
            <w:vAlign w:val="bottom"/>
            <w:gridSpan w:val="28"/>
          </w:tcPr>
          <w:p>
            <w:pPr>
              <w:spacing w:after="0"/>
              <w:rPr>
                <w:rFonts w:ascii="Arial" w:cs="Arial" w:eastAsia="Arial" w:hAnsi="Arial"/>
                <w:sz w:val="18"/>
                <w:szCs w:val="18"/>
                <w:color w:val="0000EE"/>
                <w:w w:val="99"/>
              </w:rPr>
            </w:pPr>
            <w:hyperlink r:id="rId198">
              <w:r>
                <w:rPr>
                  <w:rFonts w:ascii="Arial" w:cs="Arial" w:eastAsia="Arial" w:hAnsi="Arial"/>
                  <w:sz w:val="18"/>
                  <w:szCs w:val="18"/>
                  <w:color w:val="0000EE"/>
                  <w:w w:val="99"/>
                </w:rPr>
                <w:t>Common Stock Purchase Agreement between the Company and an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98">
              <w:r>
                <w:rPr>
                  <w:rFonts w:ascii="Arial" w:cs="Arial" w:eastAsia="Arial" w:hAnsi="Arial"/>
                  <w:sz w:val="18"/>
                  <w:szCs w:val="18"/>
                  <w:color w:val="0000EE"/>
                  <w:w w:val="92"/>
                </w:rPr>
                <w:t>affiliate of BDDI, dated June 30, 2015.</w:t>
              </w:r>
            </w:hyperlink>
          </w:p>
        </w:tc>
        <w:tc>
          <w:tcPr>
            <w:tcW w:w="2020" w:type="dxa"/>
            <w:vAlign w:val="bottom"/>
            <w:tcBorders>
              <w:top w:val="single" w:sz="8" w:color="0000EE"/>
            </w:tcBorders>
            <w:gridSpan w:val="11"/>
          </w:tcPr>
          <w:p>
            <w:pPr>
              <w:spacing w:after="0"/>
              <w:rPr>
                <w:sz w:val="17"/>
                <w:szCs w:val="17"/>
                <w:color w:val="auto"/>
              </w:rPr>
            </w:pPr>
          </w:p>
        </w:tc>
        <w:tc>
          <w:tcPr>
            <w:tcW w:w="5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40" w:type="dxa"/>
            <w:vAlign w:val="bottom"/>
          </w:tcPr>
          <w:p>
            <w:pPr>
              <w:spacing w:after="0"/>
              <w:rPr>
                <w:sz w:val="24"/>
                <w:szCs w:val="24"/>
                <w:color w:val="auto"/>
              </w:rPr>
            </w:pPr>
          </w:p>
        </w:tc>
        <w:tc>
          <w:tcPr>
            <w:tcW w:w="5300" w:type="dxa"/>
            <w:vAlign w:val="bottom"/>
            <w:tcBorders>
              <w:bottom w:val="single" w:sz="8" w:color="0000EE"/>
            </w:tcBorders>
            <w:gridSpan w:val="26"/>
          </w:tcPr>
          <w:p>
            <w:pPr>
              <w:spacing w:after="0"/>
              <w:rPr>
                <w:rFonts w:ascii="Arial" w:cs="Arial" w:eastAsia="Arial" w:hAnsi="Arial"/>
                <w:sz w:val="18"/>
                <w:szCs w:val="18"/>
                <w:color w:val="0000EE"/>
                <w:w w:val="90"/>
              </w:rPr>
            </w:pPr>
            <w:hyperlink r:id="rId199">
              <w:r>
                <w:rPr>
                  <w:rFonts w:ascii="Arial" w:cs="Arial" w:eastAsia="Arial" w:hAnsi="Arial"/>
                  <w:sz w:val="18"/>
                  <w:szCs w:val="18"/>
                  <w:color w:val="0000EE"/>
                  <w:w w:val="90"/>
                </w:rPr>
                <w:t>Registration Rights Agreement between the Company and Aspire Capital</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99">
              <w:r>
                <w:rPr>
                  <w:rFonts w:ascii="Arial" w:cs="Arial" w:eastAsia="Arial" w:hAnsi="Arial"/>
                  <w:sz w:val="18"/>
                  <w:szCs w:val="18"/>
                  <w:color w:val="0000EE"/>
                  <w:w w:val="91"/>
                </w:rPr>
                <w:t>Fund, LLC, dated July 24, 2015.</w:t>
              </w:r>
            </w:hyperlink>
          </w:p>
        </w:tc>
        <w:tc>
          <w:tcPr>
            <w:tcW w:w="304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40" w:type="dxa"/>
            <w:vAlign w:val="bottom"/>
          </w:tcPr>
          <w:p>
            <w:pPr>
              <w:spacing w:after="0"/>
              <w:rPr>
                <w:sz w:val="24"/>
                <w:szCs w:val="24"/>
                <w:color w:val="auto"/>
              </w:rPr>
            </w:pPr>
          </w:p>
        </w:tc>
        <w:tc>
          <w:tcPr>
            <w:tcW w:w="5160" w:type="dxa"/>
            <w:vAlign w:val="bottom"/>
            <w:tcBorders>
              <w:bottom w:val="single" w:sz="8" w:color="0000EE"/>
            </w:tcBorders>
            <w:gridSpan w:val="24"/>
          </w:tcPr>
          <w:p>
            <w:pPr>
              <w:spacing w:after="0"/>
              <w:rPr>
                <w:rFonts w:ascii="Arial" w:cs="Arial" w:eastAsia="Arial" w:hAnsi="Arial"/>
                <w:sz w:val="18"/>
                <w:szCs w:val="18"/>
                <w:color w:val="0000EE"/>
                <w:w w:val="89"/>
              </w:rPr>
            </w:pPr>
            <w:hyperlink r:id="rId200">
              <w:r>
                <w:rPr>
                  <w:rFonts w:ascii="Arial" w:cs="Arial" w:eastAsia="Arial" w:hAnsi="Arial"/>
                  <w:sz w:val="18"/>
                  <w:szCs w:val="18"/>
                  <w:color w:val="0000EE"/>
                  <w:w w:val="89"/>
                </w:rPr>
                <w:t>Common Stock Purchase Agreement between the Company and Aspire</w:t>
              </w:r>
            </w:hyperlink>
          </w:p>
        </w:tc>
        <w:tc>
          <w:tcPr>
            <w:tcW w:w="2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200">
              <w:r>
                <w:rPr>
                  <w:rFonts w:ascii="Arial" w:cs="Arial" w:eastAsia="Arial" w:hAnsi="Arial"/>
                  <w:sz w:val="18"/>
                  <w:szCs w:val="18"/>
                  <w:color w:val="0000EE"/>
                  <w:w w:val="91"/>
                </w:rPr>
                <w:t>Capital Fund, LLC, dated July 24, 2015.</w:t>
              </w:r>
            </w:hyperlink>
          </w:p>
        </w:tc>
        <w:tc>
          <w:tcPr>
            <w:tcW w:w="24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40" w:type="dxa"/>
            <w:vAlign w:val="bottom"/>
          </w:tcPr>
          <w:p>
            <w:pPr>
              <w:spacing w:after="0"/>
              <w:rPr>
                <w:sz w:val="24"/>
                <w:szCs w:val="24"/>
                <w:color w:val="auto"/>
              </w:rPr>
            </w:pPr>
          </w:p>
        </w:tc>
        <w:tc>
          <w:tcPr>
            <w:tcW w:w="4540" w:type="dxa"/>
            <w:vAlign w:val="bottom"/>
            <w:tcBorders>
              <w:bottom w:val="single" w:sz="8" w:color="0000EE"/>
            </w:tcBorders>
            <w:gridSpan w:val="15"/>
          </w:tcPr>
          <w:p>
            <w:pPr>
              <w:spacing w:after="0"/>
              <w:rPr>
                <w:rFonts w:ascii="Arial" w:cs="Arial" w:eastAsia="Arial" w:hAnsi="Arial"/>
                <w:sz w:val="18"/>
                <w:szCs w:val="18"/>
                <w:color w:val="0000EE"/>
                <w:w w:val="88"/>
              </w:rPr>
            </w:pPr>
            <w:hyperlink r:id="rId201">
              <w:r>
                <w:rPr>
                  <w:rFonts w:ascii="Arial" w:cs="Arial" w:eastAsia="Arial" w:hAnsi="Arial"/>
                  <w:sz w:val="18"/>
                  <w:szCs w:val="18"/>
                  <w:color w:val="0000EE"/>
                  <w:w w:val="88"/>
                </w:rPr>
                <w:t>Engagement Letter dated September 17, 2015, between Soleno</w:t>
              </w:r>
            </w:hyperlink>
          </w:p>
        </w:tc>
        <w:tc>
          <w:tcPr>
            <w:tcW w:w="8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201">
              <w:r>
                <w:rPr>
                  <w:rFonts w:ascii="Arial" w:cs="Arial" w:eastAsia="Arial" w:hAnsi="Arial"/>
                  <w:sz w:val="18"/>
                  <w:szCs w:val="18"/>
                  <w:color w:val="0000EE"/>
                  <w:w w:val="92"/>
                </w:rPr>
                <w:t>Therapeutics, Inc. and Maxim Group, LLC.</w:t>
              </w:r>
            </w:hyperlink>
          </w:p>
        </w:tc>
        <w:tc>
          <w:tcPr>
            <w:tcW w:w="22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40" w:type="dxa"/>
            <w:vAlign w:val="bottom"/>
          </w:tcPr>
          <w:p>
            <w:pPr>
              <w:spacing w:after="0"/>
              <w:rPr>
                <w:sz w:val="24"/>
                <w:szCs w:val="24"/>
                <w:color w:val="auto"/>
              </w:rPr>
            </w:pPr>
          </w:p>
        </w:tc>
        <w:tc>
          <w:tcPr>
            <w:tcW w:w="4040" w:type="dxa"/>
            <w:vAlign w:val="bottom"/>
            <w:tcBorders>
              <w:bottom w:val="single" w:sz="8" w:color="0000EE"/>
            </w:tcBorders>
            <w:gridSpan w:val="13"/>
          </w:tcPr>
          <w:p>
            <w:pPr>
              <w:spacing w:after="0"/>
              <w:rPr>
                <w:rFonts w:ascii="Arial" w:cs="Arial" w:eastAsia="Arial" w:hAnsi="Arial"/>
                <w:sz w:val="18"/>
                <w:szCs w:val="18"/>
                <w:color w:val="0000EE"/>
                <w:w w:val="88"/>
              </w:rPr>
            </w:pPr>
            <w:hyperlink r:id="rId202">
              <w:r>
                <w:rPr>
                  <w:rFonts w:ascii="Arial" w:cs="Arial" w:eastAsia="Arial" w:hAnsi="Arial"/>
                  <w:sz w:val="18"/>
                  <w:szCs w:val="18"/>
                  <w:color w:val="0000EE"/>
                  <w:w w:val="88"/>
                </w:rPr>
                <w:t>Securities Purchase Agreement dated October 12, 2015.</w:t>
              </w:r>
            </w:hyperlink>
          </w:p>
        </w:tc>
        <w:tc>
          <w:tcPr>
            <w:tcW w:w="13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10.32</w:t>
            </w:r>
          </w:p>
        </w:tc>
        <w:tc>
          <w:tcPr>
            <w:tcW w:w="40" w:type="dxa"/>
            <w:vAlign w:val="bottom"/>
          </w:tcPr>
          <w:p>
            <w:pPr>
              <w:spacing w:after="0"/>
              <w:rPr>
                <w:sz w:val="24"/>
                <w:szCs w:val="24"/>
                <w:color w:val="auto"/>
              </w:rPr>
            </w:pPr>
          </w:p>
        </w:tc>
        <w:tc>
          <w:tcPr>
            <w:tcW w:w="5400" w:type="dxa"/>
            <w:vAlign w:val="bottom"/>
            <w:gridSpan w:val="28"/>
          </w:tcPr>
          <w:p>
            <w:pPr>
              <w:spacing w:after="0"/>
              <w:rPr>
                <w:rFonts w:ascii="Arial" w:cs="Arial" w:eastAsia="Arial" w:hAnsi="Arial"/>
                <w:sz w:val="18"/>
                <w:szCs w:val="18"/>
                <w:color w:val="0000EE"/>
              </w:rPr>
            </w:pPr>
            <w:hyperlink r:id="rId203">
              <w:r>
                <w:rPr>
                  <w:rFonts w:ascii="Arial" w:cs="Arial" w:eastAsia="Arial" w:hAnsi="Arial"/>
                  <w:sz w:val="18"/>
                  <w:szCs w:val="18"/>
                  <w:color w:val="0000EE"/>
                </w:rPr>
                <w:t>Form of Registration Rights Agreement.</w:t>
              </w:r>
            </w:hyperlink>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10.33</w:t>
            </w:r>
          </w:p>
        </w:tc>
        <w:tc>
          <w:tcPr>
            <w:tcW w:w="40" w:type="dxa"/>
            <w:vAlign w:val="bottom"/>
          </w:tcPr>
          <w:p>
            <w:pPr>
              <w:spacing w:after="0"/>
              <w:rPr>
                <w:sz w:val="24"/>
                <w:szCs w:val="24"/>
                <w:color w:val="auto"/>
              </w:rPr>
            </w:pPr>
          </w:p>
        </w:tc>
        <w:tc>
          <w:tcPr>
            <w:tcW w:w="21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r:id="rId204">
              <w:r>
                <w:rPr>
                  <w:rFonts w:ascii="Arial" w:cs="Arial" w:eastAsia="Arial" w:hAnsi="Arial"/>
                  <w:sz w:val="18"/>
                  <w:szCs w:val="18"/>
                  <w:color w:val="0000EE"/>
                  <w:w w:val="93"/>
                </w:rPr>
                <w:t>Form of Lock-Up Agreement.</w:t>
              </w:r>
            </w:hyperlink>
          </w:p>
        </w:tc>
        <w:tc>
          <w:tcPr>
            <w:tcW w:w="740" w:type="dxa"/>
            <w:vAlign w:val="bottom"/>
            <w:tcBorders>
              <w:top w:val="single" w:sz="8" w:color="0000EE"/>
            </w:tcBorders>
            <w:gridSpan w:val="4"/>
          </w:tcPr>
          <w:p>
            <w:pPr>
              <w:spacing w:after="0"/>
              <w:rPr>
                <w:sz w:val="24"/>
                <w:szCs w:val="24"/>
                <w:color w:val="auto"/>
              </w:rPr>
            </w:pPr>
          </w:p>
        </w:tc>
        <w:tc>
          <w:tcPr>
            <w:tcW w:w="248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10.34</w:t>
            </w:r>
          </w:p>
        </w:tc>
        <w:tc>
          <w:tcPr>
            <w:tcW w:w="40" w:type="dxa"/>
            <w:vAlign w:val="bottom"/>
          </w:tcPr>
          <w:p>
            <w:pPr>
              <w:spacing w:after="0"/>
              <w:rPr>
                <w:sz w:val="24"/>
                <w:szCs w:val="24"/>
                <w:color w:val="auto"/>
              </w:rPr>
            </w:pPr>
          </w:p>
        </w:tc>
        <w:tc>
          <w:tcPr>
            <w:tcW w:w="5400" w:type="dxa"/>
            <w:vAlign w:val="bottom"/>
            <w:gridSpan w:val="28"/>
          </w:tcPr>
          <w:p>
            <w:pPr>
              <w:spacing w:after="0"/>
              <w:rPr>
                <w:rFonts w:ascii="Arial" w:cs="Arial" w:eastAsia="Arial" w:hAnsi="Arial"/>
                <w:sz w:val="18"/>
                <w:szCs w:val="18"/>
                <w:color w:val="0000EE"/>
                <w:w w:val="94"/>
              </w:rPr>
            </w:pPr>
            <w:hyperlink r:id="rId205">
              <w:r>
                <w:rPr>
                  <w:rFonts w:ascii="Arial" w:cs="Arial" w:eastAsia="Arial" w:hAnsi="Arial"/>
                  <w:sz w:val="18"/>
                  <w:szCs w:val="18"/>
                  <w:color w:val="0000EE"/>
                  <w:w w:val="94"/>
                </w:rPr>
                <w:t>Amendment No. 1 to Securities Purchase Agreement dated October 29,</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205">
              <w:r>
                <w:rPr>
                  <w:rFonts w:ascii="Arial" w:cs="Arial" w:eastAsia="Arial" w:hAnsi="Arial"/>
                  <w:sz w:val="18"/>
                  <w:szCs w:val="18"/>
                  <w:color w:val="0000EE"/>
                  <w:w w:val="88"/>
                </w:rPr>
                <w:t>2015.</w:t>
              </w:r>
            </w:hyperlink>
          </w:p>
        </w:tc>
        <w:tc>
          <w:tcPr>
            <w:tcW w:w="17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10.35</w:t>
            </w:r>
          </w:p>
        </w:tc>
        <w:tc>
          <w:tcPr>
            <w:tcW w:w="40" w:type="dxa"/>
            <w:vAlign w:val="bottom"/>
          </w:tcPr>
          <w:p>
            <w:pPr>
              <w:spacing w:after="0"/>
              <w:rPr>
                <w:sz w:val="24"/>
                <w:szCs w:val="24"/>
                <w:color w:val="auto"/>
              </w:rPr>
            </w:pPr>
          </w:p>
        </w:tc>
        <w:tc>
          <w:tcPr>
            <w:tcW w:w="4960" w:type="dxa"/>
            <w:vAlign w:val="bottom"/>
            <w:tcBorders>
              <w:bottom w:val="single" w:sz="8" w:color="0000EE"/>
            </w:tcBorders>
            <w:gridSpan w:val="20"/>
          </w:tcPr>
          <w:p>
            <w:pPr>
              <w:spacing w:after="0"/>
              <w:rPr>
                <w:rFonts w:ascii="Arial" w:cs="Arial" w:eastAsia="Arial" w:hAnsi="Arial"/>
                <w:sz w:val="18"/>
                <w:szCs w:val="18"/>
                <w:color w:val="0000EE"/>
                <w:w w:val="90"/>
              </w:rPr>
            </w:pPr>
            <w:hyperlink r:id="rId206">
              <w:r>
                <w:rPr>
                  <w:rFonts w:ascii="Arial" w:cs="Arial" w:eastAsia="Arial" w:hAnsi="Arial"/>
                  <w:sz w:val="18"/>
                  <w:szCs w:val="18"/>
                  <w:color w:val="0000EE"/>
                  <w:w w:val="90"/>
                </w:rPr>
                <w:t>Transfer and Distribution Agreement: United States: by and between</w:t>
              </w:r>
            </w:hyperlink>
          </w:p>
        </w:tc>
        <w:tc>
          <w:tcPr>
            <w:tcW w:w="4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90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206">
              <w:r>
                <w:rPr>
                  <w:rFonts w:ascii="Arial" w:cs="Arial" w:eastAsia="Arial" w:hAnsi="Arial"/>
                  <w:sz w:val="18"/>
                  <w:szCs w:val="18"/>
                  <w:color w:val="0000EE"/>
                  <w:w w:val="89"/>
                </w:rPr>
                <w:t>Soleno Therapeutics, Inc. and Bemes, Inc. signed January 26, 2016.</w:t>
              </w:r>
            </w:hyperlink>
          </w:p>
        </w:tc>
        <w:tc>
          <w:tcPr>
            <w:tcW w:w="5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10.36</w:t>
            </w:r>
          </w:p>
        </w:tc>
        <w:tc>
          <w:tcPr>
            <w:tcW w:w="40" w:type="dxa"/>
            <w:vAlign w:val="bottom"/>
          </w:tcPr>
          <w:p>
            <w:pPr>
              <w:spacing w:after="0"/>
              <w:rPr>
                <w:sz w:val="24"/>
                <w:szCs w:val="24"/>
                <w:color w:val="auto"/>
              </w:rPr>
            </w:pPr>
          </w:p>
        </w:tc>
        <w:tc>
          <w:tcPr>
            <w:tcW w:w="5120" w:type="dxa"/>
            <w:vAlign w:val="bottom"/>
            <w:tcBorders>
              <w:bottom w:val="single" w:sz="8" w:color="0000EE"/>
            </w:tcBorders>
            <w:gridSpan w:val="22"/>
          </w:tcPr>
          <w:p>
            <w:pPr>
              <w:spacing w:after="0"/>
              <w:rPr>
                <w:rFonts w:ascii="Arial" w:cs="Arial" w:eastAsia="Arial" w:hAnsi="Arial"/>
                <w:sz w:val="18"/>
                <w:szCs w:val="18"/>
                <w:color w:val="0000EE"/>
                <w:w w:val="88"/>
              </w:rPr>
            </w:pPr>
            <w:hyperlink r:id="rId207">
              <w:r>
                <w:rPr>
                  <w:rFonts w:ascii="Arial" w:cs="Arial" w:eastAsia="Arial" w:hAnsi="Arial"/>
                  <w:sz w:val="18"/>
                  <w:szCs w:val="18"/>
                  <w:color w:val="0000EE"/>
                  <w:w w:val="88"/>
                </w:rPr>
                <w:t>Engagement Letter dated June 26, 2016, between Soleno Therapeutics,</w:t>
              </w:r>
            </w:hyperlink>
          </w:p>
        </w:tc>
        <w:tc>
          <w:tcPr>
            <w:tcW w:w="2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r:id="rId207">
              <w:r>
                <w:rPr>
                  <w:rFonts w:ascii="Arial" w:cs="Arial" w:eastAsia="Arial" w:hAnsi="Arial"/>
                  <w:sz w:val="18"/>
                  <w:szCs w:val="18"/>
                  <w:color w:val="0000EE"/>
                  <w:w w:val="94"/>
                </w:rPr>
                <w:t>Inc. and Maxim Group, LLC.</w:t>
              </w:r>
            </w:hyperlink>
          </w:p>
        </w:tc>
        <w:tc>
          <w:tcPr>
            <w:tcW w:w="326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10.37</w:t>
            </w:r>
          </w:p>
        </w:tc>
        <w:tc>
          <w:tcPr>
            <w:tcW w:w="40" w:type="dxa"/>
            <w:vAlign w:val="bottom"/>
          </w:tcPr>
          <w:p>
            <w:pPr>
              <w:spacing w:after="0"/>
              <w:rPr>
                <w:sz w:val="24"/>
                <w:szCs w:val="24"/>
                <w:color w:val="auto"/>
              </w:rPr>
            </w:pPr>
          </w:p>
        </w:tc>
        <w:tc>
          <w:tcPr>
            <w:tcW w:w="5400" w:type="dxa"/>
            <w:vAlign w:val="bottom"/>
            <w:gridSpan w:val="28"/>
          </w:tcPr>
          <w:p>
            <w:pPr>
              <w:spacing w:after="0"/>
              <w:rPr>
                <w:rFonts w:ascii="Arial" w:cs="Arial" w:eastAsia="Arial" w:hAnsi="Arial"/>
                <w:sz w:val="18"/>
                <w:szCs w:val="18"/>
                <w:color w:val="0000EE"/>
              </w:rPr>
            </w:pPr>
            <w:hyperlink r:id="rId208">
              <w:r>
                <w:rPr>
                  <w:rFonts w:ascii="Arial" w:cs="Arial" w:eastAsia="Arial" w:hAnsi="Arial"/>
                  <w:sz w:val="18"/>
                  <w:szCs w:val="18"/>
                  <w:color w:val="0000EE"/>
                </w:rPr>
                <w:t>Securities Purchase Agreement dated June 29, 2016.</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80" w:type="dxa"/>
            <w:vAlign w:val="bottom"/>
            <w:gridSpan w:val="11"/>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10.38</w:t>
            </w:r>
          </w:p>
        </w:tc>
        <w:tc>
          <w:tcPr>
            <w:tcW w:w="40" w:type="dxa"/>
            <w:vAlign w:val="bottom"/>
          </w:tcPr>
          <w:p>
            <w:pPr>
              <w:spacing w:after="0"/>
              <w:rPr>
                <w:sz w:val="24"/>
                <w:szCs w:val="24"/>
                <w:color w:val="auto"/>
              </w:rPr>
            </w:pPr>
          </w:p>
        </w:tc>
        <w:tc>
          <w:tcPr>
            <w:tcW w:w="5400" w:type="dxa"/>
            <w:vAlign w:val="bottom"/>
            <w:gridSpan w:val="28"/>
          </w:tcPr>
          <w:p>
            <w:pPr>
              <w:spacing w:after="0"/>
              <w:rPr>
                <w:rFonts w:ascii="Arial" w:cs="Arial" w:eastAsia="Arial" w:hAnsi="Arial"/>
                <w:sz w:val="18"/>
                <w:szCs w:val="18"/>
                <w:color w:val="0000EE"/>
              </w:rPr>
            </w:pPr>
            <w:hyperlink r:id="rId209">
              <w:r>
                <w:rPr>
                  <w:rFonts w:ascii="Arial" w:cs="Arial" w:eastAsia="Arial" w:hAnsi="Arial"/>
                  <w:sz w:val="18"/>
                  <w:szCs w:val="18"/>
                  <w:color w:val="0000EE"/>
                </w:rPr>
                <w:t>Form of Registration Rights Agreement dated June 29, 2016.</w:t>
              </w:r>
            </w:hyperlink>
          </w:p>
        </w:tc>
        <w:tc>
          <w:tcPr>
            <w:tcW w:w="0" w:type="dxa"/>
            <w:vAlign w:val="bottom"/>
          </w:tcPr>
          <w:p>
            <w:pPr>
              <w:spacing w:after="0"/>
              <w:rPr>
                <w:sz w:val="1"/>
                <w:szCs w:val="1"/>
                <w:color w:val="auto"/>
              </w:rPr>
            </w:pPr>
          </w:p>
        </w:tc>
      </w:tr>
      <w:tr>
        <w:trPr>
          <w:trHeight w:val="669"/>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0" w:type="dxa"/>
            <w:vAlign w:val="bottom"/>
            <w:tcBorders>
              <w:top w:val="single" w:sz="8" w:color="0000EE"/>
            </w:tcBorders>
            <w:gridSpan w:val="14"/>
          </w:tcPr>
          <w:p>
            <w:pPr>
              <w:spacing w:after="0"/>
              <w:rPr>
                <w:sz w:val="24"/>
                <w:szCs w:val="24"/>
                <w:color w:val="auto"/>
              </w:rPr>
            </w:pPr>
          </w:p>
        </w:tc>
        <w:tc>
          <w:tcPr>
            <w:tcW w:w="560" w:type="dxa"/>
            <w:vAlign w:val="bottom"/>
            <w:gridSpan w:val="6"/>
          </w:tcPr>
          <w:p>
            <w:pPr>
              <w:jc w:val="right"/>
              <w:ind w:right="4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660"/>
        <w:spacing w:after="0"/>
        <w:rPr>
          <w:sz w:val="20"/>
          <w:szCs w:val="20"/>
          <w:color w:val="auto"/>
        </w:rPr>
      </w:pPr>
      <w:r>
        <w:rPr>
          <w:rFonts w:ascii="Arial" w:cs="Arial" w:eastAsia="Arial" w:hAnsi="Arial"/>
          <w:sz w:val="14"/>
          <w:szCs w:val="14"/>
          <w:b w:val="1"/>
          <w:bCs w:val="1"/>
          <w:color w:val="auto"/>
        </w:rPr>
        <w:t>Incorporated by Reference from</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240" w:type="dxa"/>
            <w:vAlign w:val="bottom"/>
            <w:tcBorders>
              <w:top w:val="single" w:sz="8" w:color="auto"/>
            </w:tcBorders>
            <w:gridSpan w:val="2"/>
          </w:tcPr>
          <w:p>
            <w:pPr>
              <w:ind w:left="260"/>
              <w:spacing w:after="0" w:line="119" w:lineRule="exact"/>
              <w:rPr>
                <w:sz w:val="20"/>
                <w:szCs w:val="20"/>
                <w:color w:val="auto"/>
              </w:rPr>
            </w:pPr>
            <w:r>
              <w:rPr>
                <w:rFonts w:ascii="Arial" w:cs="Arial" w:eastAsia="Arial" w:hAnsi="Arial"/>
                <w:sz w:val="13"/>
                <w:szCs w:val="13"/>
                <w:b w:val="1"/>
                <w:bCs w:val="1"/>
                <w:color w:val="auto"/>
              </w:rPr>
              <w:t>Registrant’s</w:t>
            </w:r>
          </w:p>
        </w:tc>
        <w:tc>
          <w:tcPr>
            <w:tcW w:w="2180" w:type="dxa"/>
            <w:vAlign w:val="bottom"/>
            <w:tcBorders>
              <w:top w:val="single" w:sz="8" w:color="auto"/>
            </w:tcBorders>
            <w:gridSpan w:val="2"/>
          </w:tcPr>
          <w:p>
            <w:pPr>
              <w:ind w:left="740"/>
              <w:spacing w:after="0" w:line="119" w:lineRule="exact"/>
              <w:rPr>
                <w:sz w:val="20"/>
                <w:szCs w:val="20"/>
                <w:color w:val="auto"/>
              </w:rPr>
            </w:pPr>
            <w:r>
              <w:rPr>
                <w:rFonts w:ascii="Arial" w:cs="Arial" w:eastAsia="Arial" w:hAnsi="Arial"/>
                <w:sz w:val="13"/>
                <w:szCs w:val="13"/>
                <w:b w:val="1"/>
                <w:bCs w:val="1"/>
                <w:color w:val="auto"/>
              </w:rPr>
              <w:t>Date Filed</w:t>
            </w:r>
          </w:p>
        </w:tc>
        <w:tc>
          <w:tcPr>
            <w:tcW w:w="780" w:type="dxa"/>
            <w:vAlign w:val="bottom"/>
            <w:tcBorders>
              <w:top w:val="single" w:sz="8" w:color="auto"/>
            </w:tcBorders>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Exhibit</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Filed</w:t>
            </w:r>
          </w:p>
        </w:tc>
      </w:tr>
      <w:tr>
        <w:trPr>
          <w:trHeight w:val="171"/>
        </w:trPr>
        <w:tc>
          <w:tcPr>
            <w:tcW w:w="12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Form</w:t>
            </w:r>
          </w:p>
        </w:tc>
        <w:tc>
          <w:tcPr>
            <w:tcW w:w="40" w:type="dxa"/>
            <w:vAlign w:val="bottom"/>
          </w:tcPr>
          <w:p>
            <w:pPr>
              <w:spacing w:after="0"/>
              <w:rPr>
                <w:sz w:val="14"/>
                <w:szCs w:val="14"/>
                <w:color w:val="auto"/>
              </w:rPr>
            </w:pPr>
          </w:p>
        </w:tc>
        <w:tc>
          <w:tcPr>
            <w:tcW w:w="212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with the SEC</w:t>
            </w:r>
          </w:p>
        </w:tc>
        <w:tc>
          <w:tcPr>
            <w:tcW w:w="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r>
      <w:tr>
        <w:trPr>
          <w:trHeight w:val="426"/>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S-1/A</w:t>
            </w:r>
          </w:p>
        </w:tc>
        <w:tc>
          <w:tcPr>
            <w:tcW w:w="2180" w:type="dxa"/>
            <w:vAlign w:val="bottom"/>
            <w:gridSpan w:val="2"/>
          </w:tcPr>
          <w:p>
            <w:pPr>
              <w:spacing w:after="0"/>
              <w:rPr>
                <w:sz w:val="20"/>
                <w:szCs w:val="20"/>
                <w:color w:val="auto"/>
              </w:rPr>
            </w:pPr>
            <w:r>
              <w:rPr>
                <w:rFonts w:ascii="Arial" w:cs="Arial" w:eastAsia="Arial" w:hAnsi="Arial"/>
                <w:sz w:val="18"/>
                <w:szCs w:val="18"/>
                <w:color w:val="auto"/>
              </w:rPr>
              <w:t>November 4, 2014</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48"/>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S-1/A</w:t>
            </w:r>
          </w:p>
        </w:tc>
        <w:tc>
          <w:tcPr>
            <w:tcW w:w="2180" w:type="dxa"/>
            <w:vAlign w:val="bottom"/>
            <w:gridSpan w:val="2"/>
          </w:tcPr>
          <w:p>
            <w:pPr>
              <w:spacing w:after="0"/>
              <w:rPr>
                <w:sz w:val="20"/>
                <w:szCs w:val="20"/>
                <w:color w:val="auto"/>
              </w:rPr>
            </w:pPr>
            <w:r>
              <w:rPr>
                <w:rFonts w:ascii="Arial" w:cs="Arial" w:eastAsia="Arial" w:hAnsi="Arial"/>
                <w:sz w:val="18"/>
                <w:szCs w:val="18"/>
                <w:color w:val="auto"/>
              </w:rPr>
              <w:t>November 4, 2014</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2180" w:type="dxa"/>
            <w:vAlign w:val="bottom"/>
            <w:gridSpan w:val="2"/>
          </w:tcPr>
          <w:p>
            <w:pPr>
              <w:spacing w:after="0"/>
              <w:rPr>
                <w:sz w:val="20"/>
                <w:szCs w:val="20"/>
                <w:color w:val="auto"/>
              </w:rPr>
            </w:pPr>
            <w:r>
              <w:rPr>
                <w:rFonts w:ascii="Arial" w:cs="Arial" w:eastAsia="Arial" w:hAnsi="Arial"/>
                <w:sz w:val="18"/>
                <w:szCs w:val="18"/>
                <w:color w:val="auto"/>
              </w:rPr>
              <w:t>March 5, 2015</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48"/>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S-4</w:t>
            </w:r>
          </w:p>
        </w:tc>
        <w:tc>
          <w:tcPr>
            <w:tcW w:w="2180" w:type="dxa"/>
            <w:vAlign w:val="bottom"/>
            <w:gridSpan w:val="2"/>
          </w:tcPr>
          <w:p>
            <w:pPr>
              <w:spacing w:after="0"/>
              <w:rPr>
                <w:sz w:val="20"/>
                <w:szCs w:val="20"/>
                <w:color w:val="auto"/>
              </w:rPr>
            </w:pPr>
            <w:r>
              <w:rPr>
                <w:rFonts w:ascii="Arial" w:cs="Arial" w:eastAsia="Arial" w:hAnsi="Arial"/>
                <w:sz w:val="18"/>
                <w:szCs w:val="18"/>
                <w:color w:val="auto"/>
              </w:rPr>
              <w:t>April 1, 2015</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48"/>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2180" w:type="dxa"/>
            <w:vAlign w:val="bottom"/>
            <w:gridSpan w:val="2"/>
          </w:tcPr>
          <w:p>
            <w:pPr>
              <w:spacing w:after="0"/>
              <w:rPr>
                <w:sz w:val="20"/>
                <w:szCs w:val="20"/>
                <w:color w:val="auto"/>
              </w:rPr>
            </w:pPr>
            <w:r>
              <w:rPr>
                <w:rFonts w:ascii="Arial" w:cs="Arial" w:eastAsia="Arial" w:hAnsi="Arial"/>
                <w:sz w:val="18"/>
                <w:szCs w:val="18"/>
                <w:color w:val="auto"/>
              </w:rPr>
              <w:t>July 7, 2015</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48"/>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2180" w:type="dxa"/>
            <w:vAlign w:val="bottom"/>
            <w:gridSpan w:val="2"/>
          </w:tcPr>
          <w:p>
            <w:pPr>
              <w:spacing w:after="0"/>
              <w:rPr>
                <w:sz w:val="20"/>
                <w:szCs w:val="20"/>
                <w:color w:val="auto"/>
              </w:rPr>
            </w:pPr>
            <w:r>
              <w:rPr>
                <w:rFonts w:ascii="Arial" w:cs="Arial" w:eastAsia="Arial" w:hAnsi="Arial"/>
                <w:sz w:val="18"/>
                <w:szCs w:val="18"/>
                <w:color w:val="auto"/>
              </w:rPr>
              <w:t>July 7, 2015</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48"/>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2180" w:type="dxa"/>
            <w:vAlign w:val="bottom"/>
            <w:gridSpan w:val="2"/>
          </w:tcPr>
          <w:p>
            <w:pPr>
              <w:spacing w:after="0"/>
              <w:rPr>
                <w:sz w:val="20"/>
                <w:szCs w:val="20"/>
                <w:color w:val="auto"/>
              </w:rPr>
            </w:pPr>
            <w:r>
              <w:rPr>
                <w:rFonts w:ascii="Arial" w:cs="Arial" w:eastAsia="Arial" w:hAnsi="Arial"/>
                <w:sz w:val="18"/>
                <w:szCs w:val="18"/>
                <w:color w:val="auto"/>
              </w:rPr>
              <w:t>July 27, 2015</w:t>
            </w: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48"/>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2180" w:type="dxa"/>
            <w:vAlign w:val="bottom"/>
            <w:gridSpan w:val="2"/>
          </w:tcPr>
          <w:p>
            <w:pPr>
              <w:spacing w:after="0"/>
              <w:rPr>
                <w:sz w:val="20"/>
                <w:szCs w:val="20"/>
                <w:color w:val="auto"/>
              </w:rPr>
            </w:pPr>
            <w:r>
              <w:rPr>
                <w:rFonts w:ascii="Arial" w:cs="Arial" w:eastAsia="Arial" w:hAnsi="Arial"/>
                <w:sz w:val="18"/>
                <w:szCs w:val="18"/>
                <w:color w:val="auto"/>
              </w:rPr>
              <w:t>July 27, 2015</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48"/>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2180" w:type="dxa"/>
            <w:vAlign w:val="bottom"/>
            <w:gridSpan w:val="2"/>
          </w:tcPr>
          <w:p>
            <w:pPr>
              <w:spacing w:after="0"/>
              <w:rPr>
                <w:sz w:val="20"/>
                <w:szCs w:val="20"/>
                <w:color w:val="auto"/>
              </w:rPr>
            </w:pPr>
            <w:r>
              <w:rPr>
                <w:rFonts w:ascii="Arial" w:cs="Arial" w:eastAsia="Arial" w:hAnsi="Arial"/>
                <w:sz w:val="18"/>
                <w:szCs w:val="18"/>
                <w:color w:val="auto"/>
              </w:rPr>
              <w:t>October 15, 2015</w:t>
            </w: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2180" w:type="dxa"/>
            <w:vAlign w:val="bottom"/>
            <w:gridSpan w:val="2"/>
          </w:tcPr>
          <w:p>
            <w:pPr>
              <w:spacing w:after="0"/>
              <w:rPr>
                <w:sz w:val="20"/>
                <w:szCs w:val="20"/>
                <w:color w:val="auto"/>
              </w:rPr>
            </w:pPr>
            <w:r>
              <w:rPr>
                <w:rFonts w:ascii="Arial" w:cs="Arial" w:eastAsia="Arial" w:hAnsi="Arial"/>
                <w:sz w:val="18"/>
                <w:szCs w:val="18"/>
                <w:color w:val="auto"/>
              </w:rPr>
              <w:t>October 15, 2015</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2180" w:type="dxa"/>
            <w:vAlign w:val="bottom"/>
            <w:gridSpan w:val="2"/>
          </w:tcPr>
          <w:p>
            <w:pPr>
              <w:spacing w:after="0"/>
              <w:rPr>
                <w:sz w:val="20"/>
                <w:szCs w:val="20"/>
                <w:color w:val="auto"/>
              </w:rPr>
            </w:pPr>
            <w:r>
              <w:rPr>
                <w:rFonts w:ascii="Arial" w:cs="Arial" w:eastAsia="Arial" w:hAnsi="Arial"/>
                <w:sz w:val="18"/>
                <w:szCs w:val="18"/>
                <w:color w:val="auto"/>
              </w:rPr>
              <w:t>October 15, 2015</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2180" w:type="dxa"/>
            <w:vAlign w:val="bottom"/>
            <w:gridSpan w:val="2"/>
          </w:tcPr>
          <w:p>
            <w:pPr>
              <w:spacing w:after="0"/>
              <w:rPr>
                <w:sz w:val="20"/>
                <w:szCs w:val="20"/>
                <w:color w:val="auto"/>
              </w:rPr>
            </w:pPr>
            <w:r>
              <w:rPr>
                <w:rFonts w:ascii="Arial" w:cs="Arial" w:eastAsia="Arial" w:hAnsi="Arial"/>
                <w:sz w:val="18"/>
                <w:szCs w:val="18"/>
                <w:color w:val="auto"/>
              </w:rPr>
              <w:t>October 15, 2015</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48"/>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S-1/A</w:t>
            </w:r>
          </w:p>
        </w:tc>
        <w:tc>
          <w:tcPr>
            <w:tcW w:w="2180" w:type="dxa"/>
            <w:vAlign w:val="bottom"/>
            <w:gridSpan w:val="2"/>
          </w:tcPr>
          <w:p>
            <w:pPr>
              <w:spacing w:after="0"/>
              <w:rPr>
                <w:sz w:val="20"/>
                <w:szCs w:val="20"/>
                <w:color w:val="auto"/>
              </w:rPr>
            </w:pPr>
            <w:r>
              <w:rPr>
                <w:rFonts w:ascii="Arial" w:cs="Arial" w:eastAsia="Arial" w:hAnsi="Arial"/>
                <w:sz w:val="18"/>
                <w:szCs w:val="18"/>
                <w:color w:val="auto"/>
              </w:rPr>
              <w:t>December 22, 2015</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10.33</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48"/>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2180" w:type="dxa"/>
            <w:vAlign w:val="bottom"/>
            <w:gridSpan w:val="2"/>
          </w:tcPr>
          <w:p>
            <w:pPr>
              <w:spacing w:after="0"/>
              <w:rPr>
                <w:sz w:val="20"/>
                <w:szCs w:val="20"/>
                <w:color w:val="auto"/>
              </w:rPr>
            </w:pPr>
            <w:r>
              <w:rPr>
                <w:rFonts w:ascii="Arial" w:cs="Arial" w:eastAsia="Arial" w:hAnsi="Arial"/>
                <w:sz w:val="18"/>
                <w:szCs w:val="18"/>
                <w:color w:val="auto"/>
              </w:rPr>
              <w:t>January 28, 2016</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48"/>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2180" w:type="dxa"/>
            <w:vAlign w:val="bottom"/>
            <w:gridSpan w:val="2"/>
          </w:tcPr>
          <w:p>
            <w:pPr>
              <w:spacing w:after="0"/>
              <w:rPr>
                <w:sz w:val="20"/>
                <w:szCs w:val="20"/>
                <w:color w:val="auto"/>
              </w:rPr>
            </w:pPr>
            <w:r>
              <w:rPr>
                <w:rFonts w:ascii="Arial" w:cs="Arial" w:eastAsia="Arial" w:hAnsi="Arial"/>
                <w:sz w:val="18"/>
                <w:szCs w:val="18"/>
                <w:color w:val="auto"/>
              </w:rPr>
              <w:t>July 6, 2016</w:t>
            </w: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2180" w:type="dxa"/>
            <w:vAlign w:val="bottom"/>
            <w:gridSpan w:val="2"/>
          </w:tcPr>
          <w:p>
            <w:pPr>
              <w:spacing w:after="0"/>
              <w:rPr>
                <w:sz w:val="20"/>
                <w:szCs w:val="20"/>
                <w:color w:val="auto"/>
              </w:rPr>
            </w:pPr>
            <w:r>
              <w:rPr>
                <w:rFonts w:ascii="Arial" w:cs="Arial" w:eastAsia="Arial" w:hAnsi="Arial"/>
                <w:sz w:val="18"/>
                <w:szCs w:val="18"/>
                <w:color w:val="auto"/>
              </w:rPr>
              <w:t>July 6, 2016</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2180" w:type="dxa"/>
            <w:vAlign w:val="bottom"/>
            <w:gridSpan w:val="2"/>
          </w:tcPr>
          <w:p>
            <w:pPr>
              <w:spacing w:after="0"/>
              <w:rPr>
                <w:sz w:val="20"/>
                <w:szCs w:val="20"/>
                <w:color w:val="auto"/>
              </w:rPr>
            </w:pPr>
            <w:r>
              <w:rPr>
                <w:rFonts w:ascii="Arial" w:cs="Arial" w:eastAsia="Arial" w:hAnsi="Arial"/>
                <w:sz w:val="18"/>
                <w:szCs w:val="18"/>
                <w:color w:val="auto"/>
              </w:rPr>
              <w:t>July 6, 2016</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2">
            <w:col w:w="6320" w:space="60"/>
            <w:col w:w="5040"/>
          </w:cols>
          <w:pgMar w:left="240" w:top="333" w:right="239" w:bottom="1440" w:gutter="0" w:footer="0" w:header="0"/>
        </w:sectPr>
      </w:pPr>
    </w:p>
    <w:bookmarkStart w:id="111" w:name="page112"/>
    <w:bookmarkEnd w:id="111"/>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580" w:type="dxa"/>
            <w:vAlign w:val="bottom"/>
            <w:gridSpan w:val="19"/>
            <w:vMerge w:val="restart"/>
          </w:tcPr>
          <w:p>
            <w:pPr>
              <w:ind w:left="18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Number</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580" w:type="dxa"/>
            <w:vAlign w:val="bottom"/>
            <w:gridSpan w:val="1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8"/>
              </w:rPr>
              <w:t>10.39</w:t>
            </w:r>
          </w:p>
        </w:tc>
        <w:tc>
          <w:tcPr>
            <w:tcW w:w="40" w:type="dxa"/>
            <w:vAlign w:val="bottom"/>
          </w:tcPr>
          <w:p>
            <w:pPr>
              <w:spacing w:after="0"/>
              <w:rPr>
                <w:sz w:val="14"/>
                <w:szCs w:val="14"/>
                <w:color w:val="auto"/>
              </w:rPr>
            </w:pPr>
          </w:p>
        </w:tc>
        <w:tc>
          <w:tcPr>
            <w:tcW w:w="5400" w:type="dxa"/>
            <w:vAlign w:val="bottom"/>
            <w:tcBorders>
              <w:top w:val="single" w:sz="8" w:color="auto"/>
            </w:tcBorders>
            <w:gridSpan w:val="24"/>
          </w:tcPr>
          <w:p>
            <w:pPr>
              <w:spacing w:after="0" w:line="170" w:lineRule="exact"/>
              <w:rPr>
                <w:rFonts w:ascii="Arial" w:cs="Arial" w:eastAsia="Arial" w:hAnsi="Arial"/>
                <w:sz w:val="18"/>
                <w:szCs w:val="18"/>
                <w:color w:val="0000EE"/>
                <w:w w:val="90"/>
              </w:rPr>
            </w:pPr>
            <w:hyperlink r:id="rId211">
              <w:r>
                <w:rPr>
                  <w:rFonts w:ascii="Arial" w:cs="Arial" w:eastAsia="Arial" w:hAnsi="Arial"/>
                  <w:sz w:val="18"/>
                  <w:szCs w:val="18"/>
                  <w:color w:val="0000EE"/>
                  <w:w w:val="90"/>
                </w:rPr>
                <w:t>Amendment No. 1 to Securities Purchase Agreement dated September 20,</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211">
              <w:r>
                <w:rPr>
                  <w:rFonts w:ascii="Arial" w:cs="Arial" w:eastAsia="Arial" w:hAnsi="Arial"/>
                  <w:sz w:val="18"/>
                  <w:szCs w:val="18"/>
                  <w:color w:val="0000EE"/>
                  <w:w w:val="88"/>
                </w:rPr>
                <w:t>2016.</w:t>
              </w:r>
            </w:hyperlink>
          </w:p>
        </w:tc>
        <w:tc>
          <w:tcPr>
            <w:tcW w:w="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10.40</w:t>
            </w:r>
          </w:p>
        </w:tc>
        <w:tc>
          <w:tcPr>
            <w:tcW w:w="40" w:type="dxa"/>
            <w:vAlign w:val="bottom"/>
          </w:tcPr>
          <w:p>
            <w:pPr>
              <w:spacing w:after="0"/>
              <w:rPr>
                <w:sz w:val="24"/>
                <w:szCs w:val="24"/>
                <w:color w:val="auto"/>
              </w:rPr>
            </w:pPr>
          </w:p>
        </w:tc>
        <w:tc>
          <w:tcPr>
            <w:tcW w:w="5380" w:type="dxa"/>
            <w:vAlign w:val="bottom"/>
            <w:tcBorders>
              <w:bottom w:val="single" w:sz="8" w:color="0000EE"/>
            </w:tcBorders>
            <w:gridSpan w:val="23"/>
          </w:tcPr>
          <w:p>
            <w:pPr>
              <w:spacing w:after="0"/>
              <w:rPr>
                <w:rFonts w:ascii="Arial" w:cs="Arial" w:eastAsia="Arial" w:hAnsi="Arial"/>
                <w:sz w:val="18"/>
                <w:szCs w:val="18"/>
                <w:color w:val="0000EE"/>
                <w:w w:val="90"/>
              </w:rPr>
            </w:pPr>
            <w:hyperlink r:id="rId212">
              <w:r>
                <w:rPr>
                  <w:rFonts w:ascii="Arial" w:cs="Arial" w:eastAsia="Arial" w:hAnsi="Arial"/>
                  <w:sz w:val="18"/>
                  <w:szCs w:val="18"/>
                  <w:color w:val="0000EE"/>
                  <w:w w:val="90"/>
                </w:rPr>
                <w:t>Agreement and Plan of Merger and Reorganization, dated as of December</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212">
              <w:r>
                <w:rPr>
                  <w:rFonts w:ascii="Arial" w:cs="Arial" w:eastAsia="Arial" w:hAnsi="Arial"/>
                  <w:sz w:val="18"/>
                  <w:szCs w:val="18"/>
                  <w:color w:val="0000EE"/>
                  <w:w w:val="89"/>
                </w:rPr>
                <w:t>22, 2016, by and among Soleno Therapeutics, Inc., a Delaware</w:t>
              </w:r>
            </w:hyperlink>
          </w:p>
        </w:tc>
        <w:tc>
          <w:tcPr>
            <w:tcW w:w="8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212">
              <w:r>
                <w:rPr>
                  <w:rFonts w:ascii="Arial" w:cs="Arial" w:eastAsia="Arial" w:hAnsi="Arial"/>
                  <w:sz w:val="18"/>
                  <w:szCs w:val="18"/>
                  <w:color w:val="0000EE"/>
                  <w:w w:val="91"/>
                </w:rPr>
                <w:t>corporation, Essentialis, Inc., a Delaware corporation, Company E Merger</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0" w:type="dxa"/>
            <w:vAlign w:val="bottom"/>
            <w:gridSpan w:val="24"/>
          </w:tcPr>
          <w:p>
            <w:pPr>
              <w:spacing w:after="0" w:line="196" w:lineRule="exact"/>
              <w:rPr>
                <w:rFonts w:ascii="Arial" w:cs="Arial" w:eastAsia="Arial" w:hAnsi="Arial"/>
                <w:sz w:val="18"/>
                <w:szCs w:val="18"/>
                <w:color w:val="0000EE"/>
              </w:rPr>
            </w:pPr>
            <w:hyperlink r:id="rId212">
              <w:r>
                <w:rPr>
                  <w:rFonts w:ascii="Arial" w:cs="Arial" w:eastAsia="Arial" w:hAnsi="Arial"/>
                  <w:sz w:val="18"/>
                  <w:szCs w:val="18"/>
                  <w:color w:val="0000EE"/>
                </w:rPr>
                <w:t>Sub, Inc., a Delaware corporation and a wholly-owned subsidiary of</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32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212">
              <w:r>
                <w:rPr>
                  <w:rFonts w:ascii="Arial" w:cs="Arial" w:eastAsia="Arial" w:hAnsi="Arial"/>
                  <w:sz w:val="18"/>
                  <w:szCs w:val="18"/>
                  <w:color w:val="0000EE"/>
                  <w:w w:val="89"/>
                </w:rPr>
                <w:t>Soleno Therapeutics, and Neil Cowen as the stockholders’ representative.</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10.41</w:t>
            </w:r>
          </w:p>
        </w:tc>
        <w:tc>
          <w:tcPr>
            <w:tcW w:w="40" w:type="dxa"/>
            <w:vAlign w:val="bottom"/>
          </w:tcPr>
          <w:p>
            <w:pPr>
              <w:spacing w:after="0"/>
              <w:rPr>
                <w:sz w:val="24"/>
                <w:szCs w:val="24"/>
                <w:color w:val="auto"/>
              </w:rPr>
            </w:pPr>
          </w:p>
        </w:tc>
        <w:tc>
          <w:tcPr>
            <w:tcW w:w="5300" w:type="dxa"/>
            <w:vAlign w:val="bottom"/>
            <w:tcBorders>
              <w:bottom w:val="single" w:sz="8" w:color="0000EE"/>
            </w:tcBorders>
            <w:gridSpan w:val="20"/>
          </w:tcPr>
          <w:p>
            <w:pPr>
              <w:spacing w:after="0"/>
              <w:rPr>
                <w:rFonts w:ascii="Arial" w:cs="Arial" w:eastAsia="Arial" w:hAnsi="Arial"/>
                <w:sz w:val="18"/>
                <w:szCs w:val="18"/>
                <w:color w:val="0000EE"/>
                <w:w w:val="90"/>
              </w:rPr>
            </w:pPr>
            <w:hyperlink r:id="rId213">
              <w:r>
                <w:rPr>
                  <w:rFonts w:ascii="Arial" w:cs="Arial" w:eastAsia="Arial" w:hAnsi="Arial"/>
                  <w:sz w:val="18"/>
                  <w:szCs w:val="18"/>
                  <w:color w:val="0000EE"/>
                  <w:w w:val="90"/>
                </w:rPr>
                <w:t>Registration Rights Agreement between the Company and Aspire Capital</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213">
              <w:r>
                <w:rPr>
                  <w:rFonts w:ascii="Arial" w:cs="Arial" w:eastAsia="Arial" w:hAnsi="Arial"/>
                  <w:sz w:val="18"/>
                  <w:szCs w:val="18"/>
                  <w:color w:val="0000EE"/>
                  <w:w w:val="90"/>
                </w:rPr>
                <w:t>Fund, LLC, dated January 27, 2017.</w:t>
              </w:r>
            </w:hyperlink>
          </w:p>
        </w:tc>
        <w:tc>
          <w:tcPr>
            <w:tcW w:w="27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10.42</w:t>
            </w:r>
          </w:p>
        </w:tc>
        <w:tc>
          <w:tcPr>
            <w:tcW w:w="40" w:type="dxa"/>
            <w:vAlign w:val="bottom"/>
          </w:tcPr>
          <w:p>
            <w:pPr>
              <w:spacing w:after="0"/>
              <w:rPr>
                <w:sz w:val="24"/>
                <w:szCs w:val="24"/>
                <w:color w:val="auto"/>
              </w:rPr>
            </w:pPr>
          </w:p>
        </w:tc>
        <w:tc>
          <w:tcPr>
            <w:tcW w:w="5160" w:type="dxa"/>
            <w:vAlign w:val="bottom"/>
            <w:tcBorders>
              <w:bottom w:val="single" w:sz="8" w:color="0000EE"/>
            </w:tcBorders>
            <w:gridSpan w:val="17"/>
          </w:tcPr>
          <w:p>
            <w:pPr>
              <w:spacing w:after="0"/>
              <w:rPr>
                <w:rFonts w:ascii="Arial" w:cs="Arial" w:eastAsia="Arial" w:hAnsi="Arial"/>
                <w:sz w:val="18"/>
                <w:szCs w:val="18"/>
                <w:color w:val="0000EE"/>
                <w:w w:val="89"/>
              </w:rPr>
            </w:pPr>
            <w:hyperlink r:id="rId214">
              <w:r>
                <w:rPr>
                  <w:rFonts w:ascii="Arial" w:cs="Arial" w:eastAsia="Arial" w:hAnsi="Arial"/>
                  <w:sz w:val="18"/>
                  <w:szCs w:val="18"/>
                  <w:color w:val="0000EE"/>
                  <w:w w:val="89"/>
                </w:rPr>
                <w:t>Common Stock Purchase Agreement between the Company and Aspire</w:t>
              </w:r>
            </w:hyperlink>
          </w:p>
        </w:tc>
        <w:tc>
          <w:tcPr>
            <w:tcW w:w="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214">
              <w:r>
                <w:rPr>
                  <w:rFonts w:ascii="Arial" w:cs="Arial" w:eastAsia="Arial" w:hAnsi="Arial"/>
                  <w:sz w:val="18"/>
                  <w:szCs w:val="18"/>
                  <w:color w:val="0000EE"/>
                  <w:w w:val="90"/>
                </w:rPr>
                <w:t>Capital Fund, LLC, dated January 27, 2017.</w:t>
              </w:r>
            </w:hyperlink>
          </w:p>
        </w:tc>
        <w:tc>
          <w:tcPr>
            <w:tcW w:w="22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10.43</w:t>
            </w:r>
          </w:p>
        </w:tc>
        <w:tc>
          <w:tcPr>
            <w:tcW w:w="40" w:type="dxa"/>
            <w:vAlign w:val="bottom"/>
          </w:tcPr>
          <w:p>
            <w:pPr>
              <w:spacing w:after="0"/>
              <w:rPr>
                <w:sz w:val="24"/>
                <w:szCs w:val="24"/>
                <w:color w:val="auto"/>
              </w:rPr>
            </w:pPr>
          </w:p>
        </w:tc>
        <w:tc>
          <w:tcPr>
            <w:tcW w:w="4920" w:type="dxa"/>
            <w:vAlign w:val="bottom"/>
            <w:tcBorders>
              <w:bottom w:val="single" w:sz="8" w:color="0000EE"/>
            </w:tcBorders>
            <w:gridSpan w:val="12"/>
          </w:tcPr>
          <w:p>
            <w:pPr>
              <w:spacing w:after="0"/>
              <w:rPr>
                <w:rFonts w:ascii="Arial" w:cs="Arial" w:eastAsia="Arial" w:hAnsi="Arial"/>
                <w:sz w:val="18"/>
                <w:szCs w:val="18"/>
                <w:color w:val="0000EE"/>
                <w:w w:val="88"/>
              </w:rPr>
            </w:pPr>
            <w:hyperlink r:id="rId127">
              <w:r>
                <w:rPr>
                  <w:rFonts w:ascii="Arial" w:cs="Arial" w:eastAsia="Arial" w:hAnsi="Arial"/>
                  <w:sz w:val="18"/>
                  <w:szCs w:val="18"/>
                  <w:color w:val="0000EE"/>
                  <w:w w:val="88"/>
                </w:rPr>
                <w:t>Stock Purchase Agreement made by and between the Company and</w:t>
              </w:r>
            </w:hyperlink>
          </w:p>
        </w:tc>
        <w:tc>
          <w:tcPr>
            <w:tcW w:w="4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9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NeoForce Holdings, Inc. a Delaware corporation dated July 18, 2017</w:t>
              </w:r>
            </w:hyperlink>
          </w:p>
        </w:tc>
        <w:tc>
          <w:tcPr>
            <w:tcW w:w="4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10.44</w:t>
            </w:r>
          </w:p>
        </w:tc>
        <w:tc>
          <w:tcPr>
            <w:tcW w:w="40" w:type="dxa"/>
            <w:vAlign w:val="bottom"/>
          </w:tcPr>
          <w:p>
            <w:pPr>
              <w:spacing w:after="0"/>
              <w:rPr>
                <w:sz w:val="24"/>
                <w:szCs w:val="24"/>
                <w:color w:val="auto"/>
              </w:rPr>
            </w:pPr>
          </w:p>
        </w:tc>
        <w:tc>
          <w:tcPr>
            <w:tcW w:w="5400" w:type="dxa"/>
            <w:vAlign w:val="bottom"/>
            <w:gridSpan w:val="24"/>
          </w:tcPr>
          <w:p>
            <w:pPr>
              <w:spacing w:after="0"/>
              <w:rPr>
                <w:rFonts w:ascii="Arial" w:cs="Arial" w:eastAsia="Arial" w:hAnsi="Arial"/>
                <w:sz w:val="18"/>
                <w:szCs w:val="18"/>
                <w:color w:val="0000EE"/>
                <w:w w:val="95"/>
              </w:rPr>
            </w:pPr>
            <w:hyperlink r:id="rId128">
              <w:r>
                <w:rPr>
                  <w:rFonts w:ascii="Arial" w:cs="Arial" w:eastAsia="Arial" w:hAnsi="Arial"/>
                  <w:sz w:val="18"/>
                  <w:szCs w:val="18"/>
                  <w:color w:val="0000EE"/>
                  <w:w w:val="95"/>
                </w:rPr>
                <w:t>Joint Venture Agreement dated as of December 4, 2017 by and among</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0" w:type="dxa"/>
            <w:vAlign w:val="bottom"/>
            <w:gridSpan w:val="24"/>
          </w:tcPr>
          <w:p>
            <w:pPr>
              <w:spacing w:after="0" w:line="196" w:lineRule="exact"/>
              <w:rPr>
                <w:rFonts w:ascii="Arial" w:cs="Arial" w:eastAsia="Arial" w:hAnsi="Arial"/>
                <w:sz w:val="18"/>
                <w:szCs w:val="18"/>
                <w:color w:val="0000EE"/>
                <w:w w:val="93"/>
              </w:rPr>
            </w:pPr>
            <w:hyperlink r:id="rId128">
              <w:r>
                <w:rPr>
                  <w:rFonts w:ascii="Arial" w:cs="Arial" w:eastAsia="Arial" w:hAnsi="Arial"/>
                  <w:sz w:val="18"/>
                  <w:szCs w:val="18"/>
                  <w:color w:val="0000EE"/>
                  <w:w w:val="93"/>
                </w:rPr>
                <w:t>Soleno Therapeutics, Inc., Capnia, Inc., and OptAsia Healthcare Limited</w:t>
              </w:r>
            </w:hyperlink>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10.45</w:t>
            </w:r>
          </w:p>
        </w:tc>
        <w:tc>
          <w:tcPr>
            <w:tcW w:w="40" w:type="dxa"/>
            <w:vAlign w:val="bottom"/>
          </w:tcPr>
          <w:p>
            <w:pPr>
              <w:spacing w:after="0"/>
              <w:rPr>
                <w:sz w:val="24"/>
                <w:szCs w:val="24"/>
                <w:color w:val="auto"/>
              </w:rPr>
            </w:pPr>
          </w:p>
        </w:tc>
        <w:tc>
          <w:tcPr>
            <w:tcW w:w="46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r:id="rId215">
              <w:r>
                <w:rPr>
                  <w:rFonts w:ascii="Arial" w:cs="Arial" w:eastAsia="Arial" w:hAnsi="Arial"/>
                  <w:sz w:val="18"/>
                  <w:szCs w:val="18"/>
                  <w:color w:val="0000EE"/>
                  <w:w w:val="88"/>
                </w:rPr>
                <w:t>Securities Purchase Agreement, dated as of December 11, 2017</w:t>
              </w:r>
            </w:hyperlink>
          </w:p>
        </w:tc>
        <w:tc>
          <w:tcPr>
            <w:tcW w:w="640" w:type="dxa"/>
            <w:vAlign w:val="bottom"/>
            <w:tcBorders>
              <w:top w:val="single" w:sz="8" w:color="0000EE"/>
            </w:tcBorders>
            <w:gridSpan w:val="7"/>
          </w:tcPr>
          <w:p>
            <w:pPr>
              <w:spacing w:after="0"/>
              <w:rPr>
                <w:sz w:val="24"/>
                <w:szCs w:val="24"/>
                <w:color w:val="auto"/>
              </w:rPr>
            </w:pPr>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10.46</w:t>
            </w:r>
          </w:p>
        </w:tc>
        <w:tc>
          <w:tcPr>
            <w:tcW w:w="40" w:type="dxa"/>
            <w:vAlign w:val="bottom"/>
          </w:tcPr>
          <w:p>
            <w:pPr>
              <w:spacing w:after="0"/>
              <w:rPr>
                <w:sz w:val="24"/>
                <w:szCs w:val="24"/>
                <w:color w:val="auto"/>
              </w:rPr>
            </w:pPr>
          </w:p>
        </w:tc>
        <w:tc>
          <w:tcPr>
            <w:tcW w:w="5000" w:type="dxa"/>
            <w:vAlign w:val="bottom"/>
            <w:tcBorders>
              <w:bottom w:val="single" w:sz="8" w:color="0000EE"/>
            </w:tcBorders>
            <w:gridSpan w:val="14"/>
          </w:tcPr>
          <w:p>
            <w:pPr>
              <w:spacing w:after="0"/>
              <w:rPr>
                <w:rFonts w:ascii="Arial" w:cs="Arial" w:eastAsia="Arial" w:hAnsi="Arial"/>
                <w:sz w:val="18"/>
                <w:szCs w:val="18"/>
                <w:color w:val="0000EE"/>
                <w:w w:val="90"/>
              </w:rPr>
            </w:pPr>
            <w:hyperlink r:id="rId216">
              <w:r>
                <w:rPr>
                  <w:rFonts w:ascii="Arial" w:cs="Arial" w:eastAsia="Arial" w:hAnsi="Arial"/>
                  <w:sz w:val="18"/>
                  <w:szCs w:val="18"/>
                  <w:color w:val="0000EE"/>
                  <w:w w:val="90"/>
                </w:rPr>
                <w:t>Confidential Consulting Agreement, dated September 5, 2017 by and</w:t>
              </w:r>
            </w:hyperlink>
          </w:p>
        </w:tc>
        <w:tc>
          <w:tcPr>
            <w:tcW w:w="4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216">
              <w:r>
                <w:rPr>
                  <w:rFonts w:ascii="Arial" w:cs="Arial" w:eastAsia="Arial" w:hAnsi="Arial"/>
                  <w:sz w:val="18"/>
                  <w:szCs w:val="18"/>
                  <w:color w:val="0000EE"/>
                  <w:w w:val="90"/>
                </w:rPr>
                <w:t>between FLG Partners, LLC and the Company</w:t>
              </w:r>
            </w:hyperlink>
          </w:p>
        </w:tc>
        <w:tc>
          <w:tcPr>
            <w:tcW w:w="20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10.47</w:t>
            </w:r>
          </w:p>
        </w:tc>
        <w:tc>
          <w:tcPr>
            <w:tcW w:w="40" w:type="dxa"/>
            <w:vAlign w:val="bottom"/>
          </w:tcPr>
          <w:p>
            <w:pPr>
              <w:spacing w:after="0"/>
              <w:rPr>
                <w:sz w:val="24"/>
                <w:szCs w:val="24"/>
                <w:color w:val="auto"/>
              </w:rPr>
            </w:pPr>
          </w:p>
        </w:tc>
        <w:tc>
          <w:tcPr>
            <w:tcW w:w="4580" w:type="dxa"/>
            <w:vAlign w:val="bottom"/>
            <w:tcBorders>
              <w:bottom w:val="single" w:sz="8" w:color="0000EE"/>
            </w:tcBorders>
            <w:gridSpan w:val="10"/>
          </w:tcPr>
          <w:p>
            <w:pPr>
              <w:spacing w:after="0"/>
              <w:rPr>
                <w:rFonts w:ascii="Arial" w:cs="Arial" w:eastAsia="Arial" w:hAnsi="Arial"/>
                <w:sz w:val="18"/>
                <w:szCs w:val="18"/>
                <w:color w:val="0000EE"/>
                <w:w w:val="88"/>
              </w:rPr>
            </w:pPr>
            <w:hyperlink r:id="rId217">
              <w:r>
                <w:rPr>
                  <w:rFonts w:ascii="Arial" w:cs="Arial" w:eastAsia="Arial" w:hAnsi="Arial"/>
                  <w:sz w:val="18"/>
                  <w:szCs w:val="18"/>
                  <w:color w:val="0000EE"/>
                  <w:w w:val="88"/>
                </w:rPr>
                <w:t>Securities Purchase Agreement, dated as of December 11, 2017</w:t>
              </w:r>
            </w:hyperlink>
          </w:p>
        </w:tc>
        <w:tc>
          <w:tcPr>
            <w:tcW w:w="8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40" w:type="dxa"/>
            <w:vAlign w:val="bottom"/>
          </w:tcPr>
          <w:p>
            <w:pPr>
              <w:spacing w:after="0"/>
              <w:rPr>
                <w:sz w:val="24"/>
                <w:szCs w:val="24"/>
                <w:color w:val="auto"/>
              </w:rPr>
            </w:pPr>
          </w:p>
        </w:tc>
        <w:tc>
          <w:tcPr>
            <w:tcW w:w="5400" w:type="dxa"/>
            <w:vAlign w:val="bottom"/>
            <w:gridSpan w:val="24"/>
          </w:tcPr>
          <w:p>
            <w:pPr>
              <w:spacing w:after="0"/>
              <w:rPr>
                <w:sz w:val="20"/>
                <w:szCs w:val="20"/>
                <w:color w:val="auto"/>
              </w:rPr>
            </w:pPr>
            <w:r>
              <w:rPr>
                <w:rFonts w:ascii="Arial" w:cs="Arial" w:eastAsia="Arial" w:hAnsi="Arial"/>
                <w:sz w:val="18"/>
                <w:szCs w:val="18"/>
                <w:color w:val="0000EE"/>
              </w:rPr>
              <w:t>Subsidiaries</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60" w:type="dxa"/>
            <w:vAlign w:val="bottom"/>
            <w:gridSpan w:val="8"/>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40" w:type="dxa"/>
            <w:vAlign w:val="bottom"/>
          </w:tcPr>
          <w:p>
            <w:pPr>
              <w:spacing w:after="0"/>
              <w:rPr>
                <w:sz w:val="24"/>
                <w:szCs w:val="24"/>
                <w:color w:val="auto"/>
              </w:rPr>
            </w:pPr>
          </w:p>
        </w:tc>
        <w:tc>
          <w:tcPr>
            <w:tcW w:w="18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2"/>
              </w:rPr>
              <w:t>Consent of Marcum LLP</w:t>
            </w:r>
          </w:p>
        </w:tc>
        <w:tc>
          <w:tcPr>
            <w:tcW w:w="358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40" w:type="dxa"/>
            <w:vAlign w:val="bottom"/>
          </w:tcPr>
          <w:p>
            <w:pPr>
              <w:spacing w:after="0"/>
              <w:rPr>
                <w:sz w:val="24"/>
                <w:szCs w:val="24"/>
                <w:color w:val="auto"/>
              </w:rPr>
            </w:pPr>
          </w:p>
        </w:tc>
        <w:tc>
          <w:tcPr>
            <w:tcW w:w="5400" w:type="dxa"/>
            <w:vAlign w:val="bottom"/>
            <w:gridSpan w:val="24"/>
          </w:tcPr>
          <w:p>
            <w:pPr>
              <w:spacing w:after="0"/>
              <w:rPr>
                <w:sz w:val="20"/>
                <w:szCs w:val="20"/>
                <w:color w:val="auto"/>
              </w:rPr>
            </w:pPr>
            <w:r>
              <w:rPr>
                <w:rFonts w:ascii="Arial" w:cs="Arial" w:eastAsia="Arial" w:hAnsi="Arial"/>
                <w:sz w:val="18"/>
                <w:szCs w:val="18"/>
                <w:color w:val="0000EE"/>
                <w:w w:val="98"/>
              </w:rPr>
              <w:t>Certification of Principal Executive Officer Required Under Rule 13a-</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680" w:type="dxa"/>
            <w:vAlign w:val="bottom"/>
            <w:gridSpan w:val="9"/>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6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89"/>
              </w:rPr>
              <w:t>14(a) and 15d-14(a) of the Securities Exchange Act of 1934, as amended</w:t>
            </w:r>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8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40" w:type="dxa"/>
            <w:vAlign w:val="bottom"/>
          </w:tcPr>
          <w:p>
            <w:pPr>
              <w:spacing w:after="0"/>
              <w:rPr>
                <w:sz w:val="24"/>
                <w:szCs w:val="24"/>
                <w:color w:val="auto"/>
              </w:rPr>
            </w:pPr>
          </w:p>
        </w:tc>
        <w:tc>
          <w:tcPr>
            <w:tcW w:w="498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3"/>
              </w:rPr>
              <w:t>Certification of Principal Financial and Accounting Officer Required</w:t>
            </w:r>
          </w:p>
        </w:tc>
        <w:tc>
          <w:tcPr>
            <w:tcW w:w="4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6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1"/>
              </w:rPr>
              <w:t>Under Rule 13a-14(a) and 15d-14(a) of the Securities Exchange Act of</w:t>
            </w:r>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0" w:type="dxa"/>
            <w:vAlign w:val="bottom"/>
            <w:gridSpan w:val="24"/>
          </w:tcPr>
          <w:p>
            <w:pPr>
              <w:spacing w:after="0" w:line="196" w:lineRule="exact"/>
              <w:rPr>
                <w:sz w:val="20"/>
                <w:szCs w:val="20"/>
                <w:color w:val="auto"/>
              </w:rPr>
            </w:pPr>
            <w:r>
              <w:rPr>
                <w:rFonts w:ascii="Arial" w:cs="Arial" w:eastAsia="Arial" w:hAnsi="Arial"/>
                <w:sz w:val="18"/>
                <w:szCs w:val="18"/>
                <w:color w:val="0000EE"/>
              </w:rPr>
              <w:t>1934, as amended</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00" w:type="dxa"/>
            <w:vAlign w:val="bottom"/>
            <w:gridSpan w:val="1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40" w:type="dxa"/>
            <w:vAlign w:val="bottom"/>
          </w:tcPr>
          <w:p>
            <w:pPr>
              <w:spacing w:after="0"/>
              <w:rPr>
                <w:sz w:val="24"/>
                <w:szCs w:val="24"/>
                <w:color w:val="auto"/>
              </w:rPr>
            </w:pPr>
          </w:p>
        </w:tc>
        <w:tc>
          <w:tcPr>
            <w:tcW w:w="5400" w:type="dxa"/>
            <w:vAlign w:val="bottom"/>
            <w:gridSpan w:val="24"/>
          </w:tcPr>
          <w:p>
            <w:pPr>
              <w:spacing w:after="0"/>
              <w:rPr>
                <w:sz w:val="20"/>
                <w:szCs w:val="20"/>
                <w:color w:val="auto"/>
              </w:rPr>
            </w:pPr>
            <w:r>
              <w:rPr>
                <w:rFonts w:ascii="Arial" w:cs="Arial" w:eastAsia="Arial" w:hAnsi="Arial"/>
                <w:sz w:val="18"/>
                <w:szCs w:val="18"/>
                <w:color w:val="0000EE"/>
                <w:w w:val="98"/>
              </w:rPr>
              <w:t>Certification of Principal Executive Officer Required Under Rule 13a-</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60" w:type="dxa"/>
            <w:vAlign w:val="bottom"/>
            <w:gridSpan w:val="14"/>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0" w:type="dxa"/>
            <w:vAlign w:val="bottom"/>
            <w:gridSpan w:val="24"/>
          </w:tcPr>
          <w:p>
            <w:pPr>
              <w:spacing w:after="0" w:line="196" w:lineRule="exact"/>
              <w:rPr>
                <w:sz w:val="20"/>
                <w:szCs w:val="20"/>
                <w:color w:val="auto"/>
              </w:rPr>
            </w:pPr>
            <w:r>
              <w:rPr>
                <w:rFonts w:ascii="Arial" w:cs="Arial" w:eastAsia="Arial" w:hAnsi="Arial"/>
                <w:sz w:val="18"/>
                <w:szCs w:val="18"/>
                <w:color w:val="0000EE"/>
                <w:w w:val="91"/>
              </w:rPr>
              <w:t>14(b) of the Securities Exchange Act of 1934, as amended, and 18 U.S.C.</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§1350</w:t>
            </w:r>
          </w:p>
        </w:tc>
        <w:tc>
          <w:tcPr>
            <w:tcW w:w="4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80" w:type="dxa"/>
            <w:vAlign w:val="bottom"/>
            <w:gridSpan w:val="13"/>
          </w:tcPr>
          <w:p>
            <w:pPr>
              <w:ind w:left="4660"/>
              <w:spacing w:after="0"/>
              <w:rPr>
                <w:sz w:val="20"/>
                <w:szCs w:val="20"/>
                <w:color w:val="auto"/>
              </w:rPr>
            </w:pPr>
            <w:r>
              <w:rPr>
                <w:rFonts w:ascii="Arial" w:cs="Arial" w:eastAsia="Arial" w:hAnsi="Arial"/>
                <w:sz w:val="18"/>
                <w:szCs w:val="18"/>
                <w:color w:val="auto"/>
                <w:w w:val="99"/>
              </w:rPr>
              <w:t>110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660"/>
        <w:spacing w:after="0"/>
        <w:rPr>
          <w:sz w:val="20"/>
          <w:szCs w:val="20"/>
          <w:color w:val="auto"/>
        </w:rPr>
      </w:pPr>
      <w:r>
        <w:rPr>
          <w:rFonts w:ascii="Arial" w:cs="Arial" w:eastAsia="Arial" w:hAnsi="Arial"/>
          <w:sz w:val="14"/>
          <w:szCs w:val="14"/>
          <w:b w:val="1"/>
          <w:bCs w:val="1"/>
          <w:color w:val="auto"/>
        </w:rPr>
        <w:t>Incorporated by Reference from</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2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Registrant’s</w:t>
            </w:r>
          </w:p>
        </w:tc>
        <w:tc>
          <w:tcPr>
            <w:tcW w:w="2180" w:type="dxa"/>
            <w:vAlign w:val="bottom"/>
            <w:tcBorders>
              <w:top w:val="single" w:sz="8" w:color="auto"/>
            </w:tcBorders>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Date Filed</w:t>
            </w:r>
          </w:p>
        </w:tc>
        <w:tc>
          <w:tcPr>
            <w:tcW w:w="780" w:type="dxa"/>
            <w:vAlign w:val="bottom"/>
            <w:tcBorders>
              <w:top w:val="single" w:sz="8" w:color="auto"/>
            </w:tcBorders>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Exhibit</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Filed</w:t>
            </w:r>
          </w:p>
        </w:tc>
      </w:tr>
      <w:tr>
        <w:trPr>
          <w:trHeight w:val="171"/>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40" w:type="dxa"/>
            <w:vAlign w:val="bottom"/>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with the SEC</w:t>
            </w:r>
          </w:p>
        </w:tc>
        <w:tc>
          <w:tcPr>
            <w:tcW w:w="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r>
      <w:tr>
        <w:trPr>
          <w:trHeight w:val="426"/>
        </w:trPr>
        <w:tc>
          <w:tcPr>
            <w:tcW w:w="1240" w:type="dxa"/>
            <w:vAlign w:val="bottom"/>
            <w:gridSpan w:val="2"/>
          </w:tcPr>
          <w:p>
            <w:pPr>
              <w:ind w:left="60"/>
              <w:spacing w:after="0"/>
              <w:rPr>
                <w:sz w:val="20"/>
                <w:szCs w:val="20"/>
                <w:color w:val="auto"/>
              </w:rPr>
            </w:pPr>
            <w:r>
              <w:rPr>
                <w:rFonts w:ascii="Arial" w:cs="Arial" w:eastAsia="Arial" w:hAnsi="Arial"/>
                <w:sz w:val="18"/>
                <w:szCs w:val="18"/>
                <w:color w:val="auto"/>
              </w:rPr>
              <w:t>S-1/A</w:t>
            </w:r>
          </w:p>
        </w:tc>
        <w:tc>
          <w:tcPr>
            <w:tcW w:w="2180" w:type="dxa"/>
            <w:vAlign w:val="bottom"/>
            <w:gridSpan w:val="2"/>
          </w:tcPr>
          <w:p>
            <w:pPr>
              <w:spacing w:after="0"/>
              <w:rPr>
                <w:sz w:val="20"/>
                <w:szCs w:val="20"/>
                <w:color w:val="auto"/>
              </w:rPr>
            </w:pPr>
            <w:r>
              <w:rPr>
                <w:rFonts w:ascii="Arial" w:cs="Arial" w:eastAsia="Arial" w:hAnsi="Arial"/>
                <w:sz w:val="18"/>
                <w:szCs w:val="18"/>
                <w:color w:val="auto"/>
              </w:rPr>
              <w:t>September 20, 2016</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10.39</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8-K</w:t>
            </w:r>
          </w:p>
        </w:tc>
        <w:tc>
          <w:tcPr>
            <w:tcW w:w="2380" w:type="dxa"/>
            <w:vAlign w:val="bottom"/>
          </w:tcPr>
          <w:p>
            <w:pPr>
              <w:ind w:left="440"/>
              <w:spacing w:after="0"/>
              <w:rPr>
                <w:sz w:val="20"/>
                <w:szCs w:val="20"/>
                <w:color w:val="auto"/>
              </w:rPr>
            </w:pPr>
            <w:r>
              <w:rPr>
                <w:rFonts w:ascii="Arial" w:cs="Arial" w:eastAsia="Arial" w:hAnsi="Arial"/>
                <w:sz w:val="18"/>
                <w:szCs w:val="18"/>
                <w:color w:val="auto"/>
              </w:rPr>
              <w:t>December 27, 2016</w:t>
            </w:r>
          </w:p>
        </w:tc>
        <w:tc>
          <w:tcPr>
            <w:tcW w:w="800" w:type="dxa"/>
            <w:vAlign w:val="bottom"/>
          </w:tcPr>
          <w:p>
            <w:pPr>
              <w:jc w:val="center"/>
              <w:ind w:left="330"/>
              <w:spacing w:after="0"/>
              <w:rPr>
                <w:sz w:val="20"/>
                <w:szCs w:val="20"/>
                <w:color w:val="auto"/>
              </w:rPr>
            </w:pPr>
            <w:r>
              <w:rPr>
                <w:rFonts w:ascii="Arial" w:cs="Arial" w:eastAsia="Arial" w:hAnsi="Arial"/>
                <w:sz w:val="18"/>
                <w:szCs w:val="18"/>
                <w:color w:val="auto"/>
                <w:w w:val="87"/>
              </w:rPr>
              <w:t>2.1</w:t>
            </w:r>
          </w:p>
        </w:tc>
      </w:tr>
      <w:tr>
        <w:trPr>
          <w:trHeight w:val="648"/>
        </w:trPr>
        <w:tc>
          <w:tcPr>
            <w:tcW w:w="740" w:type="dxa"/>
            <w:vAlign w:val="bottom"/>
          </w:tcPr>
          <w:p>
            <w:pPr>
              <w:spacing w:after="0"/>
              <w:rPr>
                <w:sz w:val="20"/>
                <w:szCs w:val="20"/>
                <w:color w:val="auto"/>
              </w:rPr>
            </w:pPr>
            <w:r>
              <w:rPr>
                <w:rFonts w:ascii="Arial" w:cs="Arial" w:eastAsia="Arial" w:hAnsi="Arial"/>
                <w:sz w:val="18"/>
                <w:szCs w:val="18"/>
                <w:color w:val="auto"/>
              </w:rPr>
              <w:t>S-1</w:t>
            </w:r>
          </w:p>
        </w:tc>
        <w:tc>
          <w:tcPr>
            <w:tcW w:w="2380" w:type="dxa"/>
            <w:vAlign w:val="bottom"/>
          </w:tcPr>
          <w:p>
            <w:pPr>
              <w:ind w:left="440"/>
              <w:spacing w:after="0"/>
              <w:rPr>
                <w:sz w:val="20"/>
                <w:szCs w:val="20"/>
                <w:color w:val="auto"/>
              </w:rPr>
            </w:pPr>
            <w:r>
              <w:rPr>
                <w:rFonts w:ascii="Arial" w:cs="Arial" w:eastAsia="Arial" w:hAnsi="Arial"/>
                <w:sz w:val="18"/>
                <w:szCs w:val="18"/>
                <w:color w:val="auto"/>
              </w:rPr>
              <w:t>February 1, 2017</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88"/>
              </w:rPr>
              <w:t>10.51</w:t>
            </w:r>
          </w:p>
        </w:tc>
      </w:tr>
      <w:tr>
        <w:trPr>
          <w:trHeight w:val="648"/>
        </w:trPr>
        <w:tc>
          <w:tcPr>
            <w:tcW w:w="740" w:type="dxa"/>
            <w:vAlign w:val="bottom"/>
          </w:tcPr>
          <w:p>
            <w:pPr>
              <w:spacing w:after="0"/>
              <w:rPr>
                <w:sz w:val="20"/>
                <w:szCs w:val="20"/>
                <w:color w:val="auto"/>
              </w:rPr>
            </w:pPr>
            <w:r>
              <w:rPr>
                <w:rFonts w:ascii="Arial" w:cs="Arial" w:eastAsia="Arial" w:hAnsi="Arial"/>
                <w:sz w:val="18"/>
                <w:szCs w:val="18"/>
                <w:color w:val="auto"/>
              </w:rPr>
              <w:t>S-1</w:t>
            </w:r>
          </w:p>
        </w:tc>
        <w:tc>
          <w:tcPr>
            <w:tcW w:w="2380" w:type="dxa"/>
            <w:vAlign w:val="bottom"/>
          </w:tcPr>
          <w:p>
            <w:pPr>
              <w:ind w:left="440"/>
              <w:spacing w:after="0"/>
              <w:rPr>
                <w:sz w:val="20"/>
                <w:szCs w:val="20"/>
                <w:color w:val="auto"/>
              </w:rPr>
            </w:pPr>
            <w:r>
              <w:rPr>
                <w:rFonts w:ascii="Arial" w:cs="Arial" w:eastAsia="Arial" w:hAnsi="Arial"/>
                <w:sz w:val="18"/>
                <w:szCs w:val="18"/>
                <w:color w:val="auto"/>
              </w:rPr>
              <w:t>February 1, 2017</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88"/>
              </w:rPr>
              <w:t>10.52</w:t>
            </w:r>
          </w:p>
        </w:tc>
      </w:tr>
      <w:tr>
        <w:trPr>
          <w:trHeight w:val="648"/>
        </w:trPr>
        <w:tc>
          <w:tcPr>
            <w:tcW w:w="740" w:type="dxa"/>
            <w:vAlign w:val="bottom"/>
          </w:tcPr>
          <w:p>
            <w:pPr>
              <w:spacing w:after="0"/>
              <w:rPr>
                <w:sz w:val="20"/>
                <w:szCs w:val="20"/>
                <w:color w:val="auto"/>
              </w:rPr>
            </w:pPr>
            <w:r>
              <w:rPr>
                <w:rFonts w:ascii="Arial" w:cs="Arial" w:eastAsia="Arial" w:hAnsi="Arial"/>
                <w:sz w:val="18"/>
                <w:szCs w:val="18"/>
                <w:color w:val="auto"/>
              </w:rPr>
              <w:t>8-K</w:t>
            </w:r>
          </w:p>
        </w:tc>
        <w:tc>
          <w:tcPr>
            <w:tcW w:w="2380" w:type="dxa"/>
            <w:vAlign w:val="bottom"/>
          </w:tcPr>
          <w:p>
            <w:pPr>
              <w:ind w:left="440"/>
              <w:spacing w:after="0"/>
              <w:rPr>
                <w:sz w:val="20"/>
                <w:szCs w:val="20"/>
                <w:color w:val="auto"/>
              </w:rPr>
            </w:pPr>
            <w:r>
              <w:rPr>
                <w:rFonts w:ascii="Arial" w:cs="Arial" w:eastAsia="Arial" w:hAnsi="Arial"/>
                <w:sz w:val="18"/>
                <w:szCs w:val="18"/>
                <w:color w:val="auto"/>
              </w:rPr>
              <w:t>July 24, 2017</w:t>
            </w:r>
          </w:p>
        </w:tc>
        <w:tc>
          <w:tcPr>
            <w:tcW w:w="800" w:type="dxa"/>
            <w:vAlign w:val="bottom"/>
          </w:tcPr>
          <w:p>
            <w:pPr>
              <w:jc w:val="center"/>
              <w:ind w:left="330"/>
              <w:spacing w:after="0"/>
              <w:rPr>
                <w:sz w:val="20"/>
                <w:szCs w:val="20"/>
                <w:color w:val="auto"/>
              </w:rPr>
            </w:pPr>
            <w:r>
              <w:rPr>
                <w:rFonts w:ascii="Arial" w:cs="Arial" w:eastAsia="Arial" w:hAnsi="Arial"/>
                <w:sz w:val="18"/>
                <w:szCs w:val="18"/>
                <w:color w:val="auto"/>
                <w:w w:val="87"/>
              </w:rPr>
              <w:t>2.1</w:t>
            </w:r>
          </w:p>
        </w:tc>
      </w:tr>
      <w:tr>
        <w:trPr>
          <w:trHeight w:val="648"/>
        </w:trPr>
        <w:tc>
          <w:tcPr>
            <w:tcW w:w="740" w:type="dxa"/>
            <w:vAlign w:val="bottom"/>
          </w:tcPr>
          <w:p>
            <w:pPr>
              <w:spacing w:after="0"/>
              <w:rPr>
                <w:sz w:val="20"/>
                <w:szCs w:val="20"/>
                <w:color w:val="auto"/>
              </w:rPr>
            </w:pPr>
            <w:r>
              <w:rPr>
                <w:rFonts w:ascii="Arial" w:cs="Arial" w:eastAsia="Arial" w:hAnsi="Arial"/>
                <w:sz w:val="18"/>
                <w:szCs w:val="18"/>
                <w:color w:val="auto"/>
              </w:rPr>
              <w:t>8-K</w:t>
            </w:r>
          </w:p>
        </w:tc>
        <w:tc>
          <w:tcPr>
            <w:tcW w:w="2380" w:type="dxa"/>
            <w:vAlign w:val="bottom"/>
          </w:tcPr>
          <w:p>
            <w:pPr>
              <w:ind w:left="440"/>
              <w:spacing w:after="0"/>
              <w:rPr>
                <w:sz w:val="20"/>
                <w:szCs w:val="20"/>
                <w:color w:val="auto"/>
              </w:rPr>
            </w:pPr>
            <w:r>
              <w:rPr>
                <w:rFonts w:ascii="Arial" w:cs="Arial" w:eastAsia="Arial" w:hAnsi="Arial"/>
                <w:sz w:val="18"/>
                <w:szCs w:val="18"/>
                <w:color w:val="auto"/>
              </w:rPr>
              <w:t>December 8, 2017</w:t>
            </w:r>
          </w:p>
        </w:tc>
        <w:tc>
          <w:tcPr>
            <w:tcW w:w="800" w:type="dxa"/>
            <w:vAlign w:val="bottom"/>
          </w:tcPr>
          <w:p>
            <w:pPr>
              <w:jc w:val="center"/>
              <w:ind w:left="330"/>
              <w:spacing w:after="0"/>
              <w:rPr>
                <w:sz w:val="20"/>
                <w:szCs w:val="20"/>
                <w:color w:val="auto"/>
              </w:rPr>
            </w:pPr>
            <w:r>
              <w:rPr>
                <w:rFonts w:ascii="Arial" w:cs="Arial" w:eastAsia="Arial" w:hAnsi="Arial"/>
                <w:sz w:val="18"/>
                <w:szCs w:val="18"/>
                <w:color w:val="auto"/>
                <w:w w:val="87"/>
              </w:rPr>
              <w:t>2.1</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8-K</w:t>
            </w:r>
          </w:p>
        </w:tc>
        <w:tc>
          <w:tcPr>
            <w:tcW w:w="2380" w:type="dxa"/>
            <w:vAlign w:val="bottom"/>
          </w:tcPr>
          <w:p>
            <w:pPr>
              <w:ind w:left="440"/>
              <w:spacing w:after="0"/>
              <w:rPr>
                <w:sz w:val="20"/>
                <w:szCs w:val="20"/>
                <w:color w:val="auto"/>
              </w:rPr>
            </w:pPr>
            <w:r>
              <w:rPr>
                <w:rFonts w:ascii="Arial" w:cs="Arial" w:eastAsia="Arial" w:hAnsi="Arial"/>
                <w:sz w:val="18"/>
                <w:szCs w:val="18"/>
                <w:color w:val="auto"/>
              </w:rPr>
              <w:t>December 13, 2017</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91"/>
              </w:rPr>
              <w:t>10.1</w:t>
            </w:r>
          </w:p>
        </w:tc>
      </w:tr>
      <w:tr>
        <w:trPr>
          <w:trHeight w:val="648"/>
        </w:trPr>
        <w:tc>
          <w:tcPr>
            <w:tcW w:w="740" w:type="dxa"/>
            <w:vAlign w:val="bottom"/>
          </w:tcPr>
          <w:p>
            <w:pPr>
              <w:spacing w:after="0"/>
              <w:rPr>
                <w:sz w:val="20"/>
                <w:szCs w:val="20"/>
                <w:color w:val="auto"/>
              </w:rPr>
            </w:pPr>
            <w:r>
              <w:rPr>
                <w:rFonts w:ascii="Arial" w:cs="Arial" w:eastAsia="Arial" w:hAnsi="Arial"/>
                <w:sz w:val="18"/>
                <w:szCs w:val="18"/>
                <w:color w:val="auto"/>
              </w:rPr>
              <w:t>8-K</w:t>
            </w:r>
          </w:p>
        </w:tc>
        <w:tc>
          <w:tcPr>
            <w:tcW w:w="2380" w:type="dxa"/>
            <w:vAlign w:val="bottom"/>
          </w:tcPr>
          <w:p>
            <w:pPr>
              <w:ind w:left="580"/>
              <w:spacing w:after="0"/>
              <w:rPr>
                <w:sz w:val="20"/>
                <w:szCs w:val="20"/>
                <w:color w:val="auto"/>
              </w:rPr>
            </w:pPr>
            <w:r>
              <w:rPr>
                <w:rFonts w:ascii="Arial" w:cs="Arial" w:eastAsia="Arial" w:hAnsi="Arial"/>
                <w:sz w:val="18"/>
                <w:szCs w:val="18"/>
                <w:color w:val="auto"/>
              </w:rPr>
              <w:t>June 4, 2018</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91"/>
              </w:rPr>
              <w:t>10.1</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8-K</w:t>
            </w:r>
          </w:p>
        </w:tc>
        <w:tc>
          <w:tcPr>
            <w:tcW w:w="2380" w:type="dxa"/>
            <w:vAlign w:val="bottom"/>
          </w:tcPr>
          <w:p>
            <w:pPr>
              <w:ind w:left="580"/>
              <w:spacing w:after="0"/>
              <w:rPr>
                <w:sz w:val="20"/>
                <w:szCs w:val="20"/>
                <w:color w:val="auto"/>
              </w:rPr>
            </w:pPr>
            <w:r>
              <w:rPr>
                <w:rFonts w:ascii="Arial" w:cs="Arial" w:eastAsia="Arial" w:hAnsi="Arial"/>
                <w:sz w:val="18"/>
                <w:szCs w:val="18"/>
                <w:color w:val="auto"/>
              </w:rPr>
              <w:t>December 19, 2018</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91"/>
              </w:rPr>
              <w:t>10.1</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320" w:space="60"/>
            <w:col w:w="5040"/>
          </w:cols>
          <w:pgMar w:left="240" w:top="333"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71"/>
        </w:trPr>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Exhibit</w:t>
            </w:r>
          </w:p>
        </w:tc>
        <w:tc>
          <w:tcPr>
            <w:tcW w:w="2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Incorporated by Reference from</w:t>
            </w: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gridSpan w:val="2"/>
            <w:vMerge w:val="continue"/>
          </w:tcPr>
          <w:p>
            <w:pPr>
              <w:spacing w:after="0"/>
              <w:rPr>
                <w:sz w:val="10"/>
                <w:szCs w:val="10"/>
                <w:color w:val="auto"/>
              </w:rPr>
            </w:pPr>
          </w:p>
        </w:tc>
        <w:tc>
          <w:tcPr>
            <w:tcW w:w="5480" w:type="dxa"/>
            <w:vAlign w:val="bottom"/>
            <w:gridSpan w:val="5"/>
            <w:vMerge w:val="restart"/>
          </w:tcPr>
          <w:p>
            <w:pPr>
              <w:ind w:left="2020"/>
              <w:spacing w:after="0"/>
              <w:rPr>
                <w:sz w:val="20"/>
                <w:szCs w:val="20"/>
                <w:color w:val="auto"/>
              </w:rPr>
            </w:pPr>
            <w:r>
              <w:rPr>
                <w:rFonts w:ascii="Arial" w:cs="Arial" w:eastAsia="Arial" w:hAnsi="Arial"/>
                <w:sz w:val="14"/>
                <w:szCs w:val="14"/>
                <w:b w:val="1"/>
                <w:bCs w:val="1"/>
                <w:color w:val="auto"/>
              </w:rPr>
              <w:t>Description of Document</w:t>
            </w:r>
          </w:p>
        </w:tc>
        <w:tc>
          <w:tcPr>
            <w:tcW w:w="12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Registrant’s</w:t>
            </w:r>
          </w:p>
        </w:tc>
        <w:tc>
          <w:tcPr>
            <w:tcW w:w="216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Date Filed</w:t>
            </w:r>
          </w:p>
        </w:tc>
        <w:tc>
          <w:tcPr>
            <w:tcW w:w="78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Exhibit</w:t>
            </w:r>
          </w:p>
        </w:tc>
        <w:tc>
          <w:tcPr>
            <w:tcW w:w="840" w:type="dxa"/>
            <w:vAlign w:val="bottom"/>
          </w:tcPr>
          <w:p>
            <w:pPr>
              <w:ind w:left="260"/>
              <w:spacing w:after="0" w:line="119" w:lineRule="exact"/>
              <w:rPr>
                <w:sz w:val="20"/>
                <w:szCs w:val="20"/>
                <w:color w:val="auto"/>
              </w:rPr>
            </w:pPr>
            <w:r>
              <w:rPr>
                <w:rFonts w:ascii="Arial" w:cs="Arial" w:eastAsia="Arial" w:hAnsi="Arial"/>
                <w:sz w:val="13"/>
                <w:szCs w:val="13"/>
                <w:b w:val="1"/>
                <w:bCs w:val="1"/>
                <w:color w:val="auto"/>
              </w:rPr>
              <w:t>Filed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Number</w:t>
            </w:r>
          </w:p>
        </w:tc>
        <w:tc>
          <w:tcPr>
            <w:tcW w:w="5480" w:type="dxa"/>
            <w:vAlign w:val="bottom"/>
            <w:gridSpan w:val="5"/>
            <w:vMerge w:val="continue"/>
          </w:tcPr>
          <w:p>
            <w:pPr>
              <w:spacing w:after="0"/>
              <w:rPr>
                <w:sz w:val="14"/>
                <w:szCs w:val="14"/>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7"/>
              </w:rPr>
              <w:t>Form</w:t>
            </w:r>
          </w:p>
        </w:tc>
        <w:tc>
          <w:tcPr>
            <w:tcW w:w="2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with the SEC</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Number</w:t>
            </w: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88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32.2</w:t>
            </w:r>
          </w:p>
        </w:tc>
        <w:tc>
          <w:tcPr>
            <w:tcW w:w="40" w:type="dxa"/>
            <w:vAlign w:val="bottom"/>
          </w:tcPr>
          <w:p>
            <w:pPr>
              <w:spacing w:after="0"/>
              <w:rPr>
                <w:sz w:val="14"/>
                <w:szCs w:val="14"/>
                <w:color w:val="auto"/>
              </w:rPr>
            </w:pPr>
          </w:p>
        </w:tc>
        <w:tc>
          <w:tcPr>
            <w:tcW w:w="4980" w:type="dxa"/>
            <w:vAlign w:val="bottom"/>
            <w:tcBorders>
              <w:top w:val="single" w:sz="8" w:color="auto"/>
              <w:bottom w:val="single" w:sz="8" w:color="0000EE"/>
            </w:tcBorders>
            <w:gridSpan w:val="3"/>
          </w:tcPr>
          <w:p>
            <w:pPr>
              <w:spacing w:after="0" w:line="170" w:lineRule="exact"/>
              <w:rPr>
                <w:sz w:val="20"/>
                <w:szCs w:val="20"/>
                <w:color w:val="auto"/>
              </w:rPr>
            </w:pPr>
            <w:r>
              <w:rPr>
                <w:rFonts w:ascii="Arial" w:cs="Arial" w:eastAsia="Arial" w:hAnsi="Arial"/>
                <w:sz w:val="18"/>
                <w:szCs w:val="18"/>
                <w:color w:val="0000EE"/>
                <w:w w:val="93"/>
              </w:rPr>
              <w:t>Certification of Principal Financial and Accounting Officer Required</w:t>
            </w:r>
          </w:p>
        </w:tc>
        <w:tc>
          <w:tcPr>
            <w:tcW w:w="4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1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7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Under Rule 13a-14(b) of the Securities Exchange Act of 1934, as</w:t>
            </w:r>
          </w:p>
        </w:tc>
        <w:tc>
          <w:tcPr>
            <w:tcW w:w="720" w:type="dxa"/>
            <w:vAlign w:val="bottom"/>
            <w:gridSpan w:val="3"/>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8"/>
              </w:rPr>
              <w:t>amended, and 18 U.S.C. §1350</w:t>
            </w:r>
          </w:p>
        </w:tc>
        <w:tc>
          <w:tcPr>
            <w:tcW w:w="3220" w:type="dxa"/>
            <w:vAlign w:val="bottom"/>
            <w:gridSpan w:val="4"/>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2"/>
          </w:tcPr>
          <w:p>
            <w:pPr>
              <w:ind w:left="720"/>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53"/>
        </w:trPr>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101.INS</w:t>
            </w:r>
          </w:p>
        </w:tc>
        <w:tc>
          <w:tcPr>
            <w:tcW w:w="548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2"/>
          </w:tcPr>
          <w:p>
            <w:pPr>
              <w:ind w:left="72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101.SCH</w:t>
            </w:r>
          </w:p>
        </w:tc>
        <w:tc>
          <w:tcPr>
            <w:tcW w:w="548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2"/>
          </w:tcPr>
          <w:p>
            <w:pPr>
              <w:ind w:left="72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101.CAL</w:t>
            </w:r>
          </w:p>
        </w:tc>
        <w:tc>
          <w:tcPr>
            <w:tcW w:w="548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2"/>
          </w:tcPr>
          <w:p>
            <w:pPr>
              <w:ind w:left="72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101.DEF</w:t>
            </w:r>
          </w:p>
        </w:tc>
        <w:tc>
          <w:tcPr>
            <w:tcW w:w="548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2"/>
          </w:tcPr>
          <w:p>
            <w:pPr>
              <w:ind w:left="72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w w:val="98"/>
              </w:rPr>
              <w:t>101.LAB</w:t>
            </w:r>
          </w:p>
        </w:tc>
        <w:tc>
          <w:tcPr>
            <w:tcW w:w="548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2"/>
          </w:tcPr>
          <w:p>
            <w:pPr>
              <w:ind w:left="72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101.PRE</w:t>
            </w:r>
          </w:p>
        </w:tc>
        <w:tc>
          <w:tcPr>
            <w:tcW w:w="548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2"/>
          </w:tcPr>
          <w:p>
            <w:pPr>
              <w:ind w:left="72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554"/>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80" w:type="dxa"/>
            <w:vAlign w:val="bottom"/>
            <w:gridSpan w:val="3"/>
          </w:tcPr>
          <w:p>
            <w:pPr>
              <w:ind w:left="4660"/>
              <w:spacing w:after="0"/>
              <w:rPr>
                <w:sz w:val="20"/>
                <w:szCs w:val="20"/>
                <w:color w:val="auto"/>
              </w:rPr>
            </w:pPr>
            <w:r>
              <w:rPr>
                <w:rFonts w:ascii="Arial" w:cs="Arial" w:eastAsia="Arial" w:hAnsi="Arial"/>
                <w:sz w:val="18"/>
                <w:szCs w:val="18"/>
                <w:color w:val="auto"/>
                <w:w w:val="99"/>
              </w:rPr>
              <w:t>111</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8220" w:type="dxa"/>
            <w:vAlign w:val="bottom"/>
            <w:gridSpan w:val="2"/>
          </w:tcPr>
          <w:p>
            <w:pPr>
              <w:ind w:left="1600"/>
              <w:spacing w:after="0"/>
              <w:rPr>
                <w:sz w:val="20"/>
                <w:szCs w:val="20"/>
                <w:color w:val="auto"/>
              </w:rPr>
            </w:pPr>
            <w:r>
              <w:rPr>
                <w:rFonts w:ascii="Arial" w:cs="Arial" w:eastAsia="Arial" w:hAnsi="Arial"/>
                <w:sz w:val="18"/>
                <w:szCs w:val="18"/>
                <w:color w:val="auto"/>
              </w:rPr>
              <w:t>Soleno Therapeutics, Inc.</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Date: March 19, 2019</w:t>
            </w:r>
          </w:p>
        </w:tc>
        <w:tc>
          <w:tcPr>
            <w:tcW w:w="8220" w:type="dxa"/>
            <w:vAlign w:val="bottom"/>
            <w:gridSpan w:val="2"/>
          </w:tcPr>
          <w:p>
            <w:pPr>
              <w:ind w:left="2520"/>
              <w:spacing w:after="0"/>
              <w:rPr>
                <w:sz w:val="20"/>
                <w:szCs w:val="20"/>
                <w:color w:val="auto"/>
              </w:rPr>
            </w:pPr>
            <w:r>
              <w:rPr>
                <w:rFonts w:ascii="Arial" w:cs="Arial" w:eastAsia="Arial" w:hAnsi="Arial"/>
                <w:sz w:val="18"/>
                <w:szCs w:val="18"/>
                <w:color w:val="auto"/>
              </w:rPr>
              <w:t>By: /S/ ANISH BHATNAGAR</w:t>
            </w:r>
          </w:p>
        </w:tc>
      </w:tr>
      <w:tr>
        <w:trPr>
          <w:trHeight w:val="224"/>
        </w:trPr>
        <w:tc>
          <w:tcPr>
            <w:tcW w:w="32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color w:val="auto"/>
        </w:rPr>
        <w:t>Each person whose individual signature appears below hereby authorizes and appoints Anish Bhatnagar, with full power of substitution and resubstitution and full power to act,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65"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140" w:type="dxa"/>
            <w:vAlign w:val="bottom"/>
          </w:tcPr>
          <w:p>
            <w:pPr>
              <w:ind w:left="2040"/>
              <w:spacing w:after="0"/>
              <w:rPr>
                <w:sz w:val="20"/>
                <w:szCs w:val="20"/>
                <w:color w:val="auto"/>
              </w:rPr>
            </w:pPr>
            <w:r>
              <w:rPr>
                <w:rFonts w:ascii="Arial" w:cs="Arial" w:eastAsia="Arial" w:hAnsi="Arial"/>
                <w:sz w:val="14"/>
                <w:szCs w:val="14"/>
                <w:b w:val="1"/>
                <w:bCs w:val="1"/>
                <w:color w:val="auto"/>
              </w:rPr>
              <w:t>Title</w:t>
            </w:r>
          </w:p>
        </w:tc>
        <w:tc>
          <w:tcPr>
            <w:tcW w:w="1680" w:type="dxa"/>
            <w:vAlign w:val="bottom"/>
          </w:tcPr>
          <w:p>
            <w:pPr>
              <w:ind w:left="1040"/>
              <w:spacing w:after="0"/>
              <w:rPr>
                <w:sz w:val="20"/>
                <w:szCs w:val="20"/>
                <w:color w:val="auto"/>
              </w:rPr>
            </w:pPr>
            <w:r>
              <w:rPr>
                <w:rFonts w:ascii="Arial" w:cs="Arial" w:eastAsia="Arial" w:hAnsi="Arial"/>
                <w:sz w:val="14"/>
                <w:szCs w:val="14"/>
                <w:b w:val="1"/>
                <w:bCs w:val="1"/>
                <w:color w:val="auto"/>
              </w:rPr>
              <w:t>Date</w:t>
            </w:r>
          </w:p>
        </w:tc>
      </w:tr>
      <w:tr>
        <w:trPr>
          <w:trHeight w:val="417"/>
        </w:trPr>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ANISH BHATNAGAR</w:t>
            </w:r>
          </w:p>
        </w:tc>
        <w:tc>
          <w:tcPr>
            <w:tcW w:w="4140" w:type="dxa"/>
            <w:vAlign w:val="bottom"/>
          </w:tcPr>
          <w:p>
            <w:pPr>
              <w:ind w:left="140"/>
              <w:spacing w:after="0"/>
              <w:rPr>
                <w:sz w:val="20"/>
                <w:szCs w:val="20"/>
                <w:color w:val="auto"/>
              </w:rPr>
            </w:pPr>
            <w:r>
              <w:rPr>
                <w:rFonts w:ascii="Arial" w:cs="Arial" w:eastAsia="Arial" w:hAnsi="Arial"/>
                <w:sz w:val="18"/>
                <w:szCs w:val="18"/>
                <w:color w:val="auto"/>
              </w:rPr>
              <w:t>President, Chief Executive Officer and Director</w:t>
            </w:r>
          </w:p>
        </w:tc>
        <w:tc>
          <w:tcPr>
            <w:tcW w:w="1680" w:type="dxa"/>
            <w:vAlign w:val="bottom"/>
          </w:tcPr>
          <w:p>
            <w:pPr>
              <w:ind w:left="540"/>
              <w:spacing w:after="0"/>
              <w:rPr>
                <w:sz w:val="20"/>
                <w:szCs w:val="20"/>
                <w:color w:val="auto"/>
              </w:rPr>
            </w:pPr>
            <w:r>
              <w:rPr>
                <w:rFonts w:ascii="Arial" w:cs="Arial" w:eastAsia="Arial" w:hAnsi="Arial"/>
                <w:sz w:val="18"/>
                <w:szCs w:val="18"/>
                <w:color w:val="auto"/>
                <w:w w:val="89"/>
              </w:rPr>
              <w:t>March 19, 2019</w:t>
            </w:r>
          </w:p>
        </w:tc>
      </w:tr>
      <w:tr>
        <w:trPr>
          <w:trHeight w:val="237"/>
        </w:trPr>
        <w:tc>
          <w:tcPr>
            <w:tcW w:w="5120" w:type="dxa"/>
            <w:vAlign w:val="bottom"/>
          </w:tcPr>
          <w:p>
            <w:pPr>
              <w:jc w:val="center"/>
              <w:spacing w:after="0"/>
              <w:rPr>
                <w:sz w:val="20"/>
                <w:szCs w:val="20"/>
                <w:color w:val="auto"/>
              </w:rPr>
            </w:pPr>
            <w:r>
              <w:rPr>
                <w:rFonts w:ascii="Arial" w:cs="Arial" w:eastAsia="Arial" w:hAnsi="Arial"/>
                <w:sz w:val="18"/>
                <w:szCs w:val="18"/>
                <w:color w:val="auto"/>
                <w:w w:val="91"/>
              </w:rPr>
              <w:t>Anish Bhatnagar</w:t>
            </w:r>
          </w:p>
        </w:tc>
        <w:tc>
          <w:tcPr>
            <w:tcW w:w="414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c>
          <w:tcPr>
            <w:tcW w:w="1680" w:type="dxa"/>
            <w:vAlign w:val="bottom"/>
          </w:tcPr>
          <w:p>
            <w:pPr>
              <w:spacing w:after="0"/>
              <w:rPr>
                <w:sz w:val="20"/>
                <w:szCs w:val="20"/>
                <w:color w:val="auto"/>
              </w:rPr>
            </w:pPr>
          </w:p>
        </w:tc>
      </w:tr>
      <w:tr>
        <w:trPr>
          <w:trHeight w:val="351"/>
        </w:trPr>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JONATHAN WOLTER</w:t>
            </w:r>
          </w:p>
        </w:tc>
        <w:tc>
          <w:tcPr>
            <w:tcW w:w="4140" w:type="dxa"/>
            <w:vAlign w:val="bottom"/>
          </w:tcPr>
          <w:p>
            <w:pPr>
              <w:ind w:left="140"/>
              <w:spacing w:after="0"/>
              <w:rPr>
                <w:sz w:val="20"/>
                <w:szCs w:val="20"/>
                <w:color w:val="auto"/>
              </w:rPr>
            </w:pPr>
            <w:r>
              <w:rPr>
                <w:rFonts w:ascii="Arial" w:cs="Arial" w:eastAsia="Arial" w:hAnsi="Arial"/>
                <w:sz w:val="18"/>
                <w:szCs w:val="18"/>
                <w:color w:val="auto"/>
              </w:rPr>
              <w:t>Chief Financial Officer (Principal Financial and</w:t>
            </w:r>
          </w:p>
        </w:tc>
        <w:tc>
          <w:tcPr>
            <w:tcW w:w="1680" w:type="dxa"/>
            <w:vAlign w:val="bottom"/>
          </w:tcPr>
          <w:p>
            <w:pPr>
              <w:ind w:left="540"/>
              <w:spacing w:after="0"/>
              <w:rPr>
                <w:sz w:val="20"/>
                <w:szCs w:val="20"/>
                <w:color w:val="auto"/>
              </w:rPr>
            </w:pPr>
            <w:r>
              <w:rPr>
                <w:rFonts w:ascii="Arial" w:cs="Arial" w:eastAsia="Arial" w:hAnsi="Arial"/>
                <w:sz w:val="18"/>
                <w:szCs w:val="18"/>
                <w:color w:val="auto"/>
                <w:w w:val="89"/>
              </w:rPr>
              <w:t>March 19, 2019</w:t>
            </w:r>
          </w:p>
        </w:tc>
      </w:tr>
      <w:tr>
        <w:trPr>
          <w:trHeight w:val="237"/>
        </w:trPr>
        <w:tc>
          <w:tcPr>
            <w:tcW w:w="5120" w:type="dxa"/>
            <w:vAlign w:val="bottom"/>
          </w:tcPr>
          <w:p>
            <w:pPr>
              <w:jc w:val="center"/>
              <w:spacing w:after="0"/>
              <w:rPr>
                <w:sz w:val="20"/>
                <w:szCs w:val="20"/>
                <w:color w:val="auto"/>
              </w:rPr>
            </w:pPr>
            <w:r>
              <w:rPr>
                <w:rFonts w:ascii="Arial" w:cs="Arial" w:eastAsia="Arial" w:hAnsi="Arial"/>
                <w:sz w:val="18"/>
                <w:szCs w:val="18"/>
                <w:color w:val="auto"/>
                <w:w w:val="89"/>
              </w:rPr>
              <w:t>Jonathan Wolter</w:t>
            </w:r>
          </w:p>
        </w:tc>
        <w:tc>
          <w:tcPr>
            <w:tcW w:w="4140" w:type="dxa"/>
            <w:vAlign w:val="bottom"/>
          </w:tcPr>
          <w:p>
            <w:pPr>
              <w:ind w:left="140"/>
              <w:spacing w:after="0"/>
              <w:rPr>
                <w:sz w:val="20"/>
                <w:szCs w:val="20"/>
                <w:color w:val="auto"/>
              </w:rPr>
            </w:pPr>
            <w:r>
              <w:rPr>
                <w:rFonts w:ascii="Arial" w:cs="Arial" w:eastAsia="Arial" w:hAnsi="Arial"/>
                <w:sz w:val="18"/>
                <w:szCs w:val="18"/>
                <w:color w:val="auto"/>
              </w:rPr>
              <w:t>Accounting Officer)</w:t>
            </w:r>
          </w:p>
        </w:tc>
        <w:tc>
          <w:tcPr>
            <w:tcW w:w="1680" w:type="dxa"/>
            <w:vAlign w:val="bottom"/>
          </w:tcPr>
          <w:p>
            <w:pPr>
              <w:spacing w:after="0"/>
              <w:rPr>
                <w:sz w:val="20"/>
                <w:szCs w:val="20"/>
                <w:color w:val="auto"/>
              </w:rPr>
            </w:pPr>
          </w:p>
        </w:tc>
      </w:tr>
      <w:tr>
        <w:trPr>
          <w:trHeight w:val="351"/>
        </w:trPr>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ERNEST MARIO</w:t>
            </w:r>
          </w:p>
        </w:tc>
        <w:tc>
          <w:tcPr>
            <w:tcW w:w="4140" w:type="dxa"/>
            <w:vAlign w:val="bottom"/>
          </w:tcPr>
          <w:p>
            <w:pPr>
              <w:ind w:left="140"/>
              <w:spacing w:after="0"/>
              <w:rPr>
                <w:sz w:val="20"/>
                <w:szCs w:val="20"/>
                <w:color w:val="auto"/>
              </w:rPr>
            </w:pPr>
            <w:r>
              <w:rPr>
                <w:rFonts w:ascii="Arial" w:cs="Arial" w:eastAsia="Arial" w:hAnsi="Arial"/>
                <w:sz w:val="18"/>
                <w:szCs w:val="18"/>
                <w:color w:val="auto"/>
              </w:rPr>
              <w:t>Chairman</w:t>
            </w:r>
          </w:p>
        </w:tc>
        <w:tc>
          <w:tcPr>
            <w:tcW w:w="1680" w:type="dxa"/>
            <w:vAlign w:val="bottom"/>
          </w:tcPr>
          <w:p>
            <w:pPr>
              <w:ind w:left="540"/>
              <w:spacing w:after="0"/>
              <w:rPr>
                <w:sz w:val="20"/>
                <w:szCs w:val="20"/>
                <w:color w:val="auto"/>
              </w:rPr>
            </w:pPr>
            <w:r>
              <w:rPr>
                <w:rFonts w:ascii="Arial" w:cs="Arial" w:eastAsia="Arial" w:hAnsi="Arial"/>
                <w:sz w:val="18"/>
                <w:szCs w:val="18"/>
                <w:color w:val="auto"/>
                <w:w w:val="89"/>
              </w:rPr>
              <w:t>March 19, 2019</w:t>
            </w:r>
          </w:p>
        </w:tc>
      </w:tr>
      <w:tr>
        <w:trPr>
          <w:trHeight w:val="237"/>
        </w:trPr>
        <w:tc>
          <w:tcPr>
            <w:tcW w:w="5120" w:type="dxa"/>
            <w:vAlign w:val="bottom"/>
          </w:tcPr>
          <w:p>
            <w:pPr>
              <w:jc w:val="center"/>
              <w:spacing w:after="0"/>
              <w:rPr>
                <w:sz w:val="20"/>
                <w:szCs w:val="20"/>
                <w:color w:val="auto"/>
              </w:rPr>
            </w:pPr>
            <w:r>
              <w:rPr>
                <w:rFonts w:ascii="Arial" w:cs="Arial" w:eastAsia="Arial" w:hAnsi="Arial"/>
                <w:sz w:val="18"/>
                <w:szCs w:val="18"/>
                <w:color w:val="auto"/>
                <w:w w:val="92"/>
              </w:rPr>
              <w:t>Ernest Mario</w:t>
            </w:r>
          </w:p>
        </w:tc>
        <w:tc>
          <w:tcPr>
            <w:tcW w:w="41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51"/>
        </w:trPr>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ANDREW SINCLAIR</w:t>
            </w:r>
          </w:p>
        </w:tc>
        <w:tc>
          <w:tcPr>
            <w:tcW w:w="41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680" w:type="dxa"/>
            <w:vAlign w:val="bottom"/>
          </w:tcPr>
          <w:p>
            <w:pPr>
              <w:ind w:left="540"/>
              <w:spacing w:after="0"/>
              <w:rPr>
                <w:sz w:val="20"/>
                <w:szCs w:val="20"/>
                <w:color w:val="auto"/>
              </w:rPr>
            </w:pPr>
            <w:r>
              <w:rPr>
                <w:rFonts w:ascii="Arial" w:cs="Arial" w:eastAsia="Arial" w:hAnsi="Arial"/>
                <w:sz w:val="18"/>
                <w:szCs w:val="18"/>
                <w:color w:val="auto"/>
                <w:w w:val="89"/>
              </w:rPr>
              <w:t>March 19, 2019</w:t>
            </w:r>
          </w:p>
        </w:tc>
      </w:tr>
      <w:tr>
        <w:trPr>
          <w:trHeight w:val="237"/>
        </w:trPr>
        <w:tc>
          <w:tcPr>
            <w:tcW w:w="5120" w:type="dxa"/>
            <w:vAlign w:val="bottom"/>
          </w:tcPr>
          <w:p>
            <w:pPr>
              <w:jc w:val="center"/>
              <w:spacing w:after="0"/>
              <w:rPr>
                <w:sz w:val="20"/>
                <w:szCs w:val="20"/>
                <w:color w:val="auto"/>
              </w:rPr>
            </w:pPr>
            <w:r>
              <w:rPr>
                <w:rFonts w:ascii="Arial" w:cs="Arial" w:eastAsia="Arial" w:hAnsi="Arial"/>
                <w:sz w:val="18"/>
                <w:szCs w:val="18"/>
                <w:color w:val="auto"/>
                <w:w w:val="94"/>
              </w:rPr>
              <w:t>Andrew Sinclair</w:t>
            </w:r>
          </w:p>
        </w:tc>
        <w:tc>
          <w:tcPr>
            <w:tcW w:w="41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51"/>
        </w:trPr>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WILLIAM G. HARRIS</w:t>
            </w:r>
          </w:p>
        </w:tc>
        <w:tc>
          <w:tcPr>
            <w:tcW w:w="41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680" w:type="dxa"/>
            <w:vAlign w:val="bottom"/>
          </w:tcPr>
          <w:p>
            <w:pPr>
              <w:ind w:left="540"/>
              <w:spacing w:after="0"/>
              <w:rPr>
                <w:sz w:val="20"/>
                <w:szCs w:val="20"/>
                <w:color w:val="auto"/>
              </w:rPr>
            </w:pPr>
            <w:r>
              <w:rPr>
                <w:rFonts w:ascii="Arial" w:cs="Arial" w:eastAsia="Arial" w:hAnsi="Arial"/>
                <w:sz w:val="18"/>
                <w:szCs w:val="18"/>
                <w:color w:val="auto"/>
                <w:w w:val="89"/>
              </w:rPr>
              <w:t>March 19, 2019</w:t>
            </w:r>
          </w:p>
        </w:tc>
      </w:tr>
      <w:tr>
        <w:trPr>
          <w:trHeight w:val="237"/>
        </w:trPr>
        <w:tc>
          <w:tcPr>
            <w:tcW w:w="5120" w:type="dxa"/>
            <w:vAlign w:val="bottom"/>
          </w:tcPr>
          <w:p>
            <w:pPr>
              <w:jc w:val="center"/>
              <w:spacing w:after="0"/>
              <w:rPr>
                <w:sz w:val="20"/>
                <w:szCs w:val="20"/>
                <w:color w:val="auto"/>
              </w:rPr>
            </w:pPr>
            <w:r>
              <w:rPr>
                <w:rFonts w:ascii="Arial" w:cs="Arial" w:eastAsia="Arial" w:hAnsi="Arial"/>
                <w:sz w:val="18"/>
                <w:szCs w:val="18"/>
                <w:color w:val="auto"/>
                <w:w w:val="96"/>
              </w:rPr>
              <w:t>William G. Harris</w:t>
            </w:r>
          </w:p>
        </w:tc>
        <w:tc>
          <w:tcPr>
            <w:tcW w:w="41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51"/>
        </w:trPr>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MAHENDRA SHAH</w:t>
            </w:r>
          </w:p>
        </w:tc>
        <w:tc>
          <w:tcPr>
            <w:tcW w:w="41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680" w:type="dxa"/>
            <w:vAlign w:val="bottom"/>
          </w:tcPr>
          <w:p>
            <w:pPr>
              <w:ind w:left="540"/>
              <w:spacing w:after="0"/>
              <w:rPr>
                <w:sz w:val="20"/>
                <w:szCs w:val="20"/>
                <w:color w:val="auto"/>
              </w:rPr>
            </w:pPr>
            <w:r>
              <w:rPr>
                <w:rFonts w:ascii="Arial" w:cs="Arial" w:eastAsia="Arial" w:hAnsi="Arial"/>
                <w:sz w:val="18"/>
                <w:szCs w:val="18"/>
                <w:color w:val="auto"/>
                <w:w w:val="89"/>
              </w:rPr>
              <w:t>March 19, 2019</w:t>
            </w:r>
          </w:p>
        </w:tc>
      </w:tr>
      <w:tr>
        <w:trPr>
          <w:trHeight w:val="237"/>
        </w:trPr>
        <w:tc>
          <w:tcPr>
            <w:tcW w:w="5120" w:type="dxa"/>
            <w:vAlign w:val="bottom"/>
          </w:tcPr>
          <w:p>
            <w:pPr>
              <w:jc w:val="center"/>
              <w:spacing w:after="0"/>
              <w:rPr>
                <w:sz w:val="20"/>
                <w:szCs w:val="20"/>
                <w:color w:val="auto"/>
              </w:rPr>
            </w:pPr>
            <w:r>
              <w:rPr>
                <w:rFonts w:ascii="Arial" w:cs="Arial" w:eastAsia="Arial" w:hAnsi="Arial"/>
                <w:sz w:val="18"/>
                <w:szCs w:val="18"/>
                <w:color w:val="auto"/>
                <w:w w:val="88"/>
              </w:rPr>
              <w:t>Mahendra Shah</w:t>
            </w:r>
          </w:p>
        </w:tc>
        <w:tc>
          <w:tcPr>
            <w:tcW w:w="41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51"/>
        </w:trPr>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STUART COLLINSON</w:t>
            </w:r>
          </w:p>
        </w:tc>
        <w:tc>
          <w:tcPr>
            <w:tcW w:w="41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680" w:type="dxa"/>
            <w:vAlign w:val="bottom"/>
          </w:tcPr>
          <w:p>
            <w:pPr>
              <w:ind w:left="540"/>
              <w:spacing w:after="0"/>
              <w:rPr>
                <w:sz w:val="20"/>
                <w:szCs w:val="20"/>
                <w:color w:val="auto"/>
              </w:rPr>
            </w:pPr>
            <w:r>
              <w:rPr>
                <w:rFonts w:ascii="Arial" w:cs="Arial" w:eastAsia="Arial" w:hAnsi="Arial"/>
                <w:sz w:val="18"/>
                <w:szCs w:val="18"/>
                <w:color w:val="auto"/>
                <w:w w:val="89"/>
              </w:rPr>
              <w:t>March 19, 2019</w:t>
            </w:r>
          </w:p>
        </w:tc>
      </w:tr>
      <w:tr>
        <w:trPr>
          <w:trHeight w:val="237"/>
        </w:trPr>
        <w:tc>
          <w:tcPr>
            <w:tcW w:w="5120" w:type="dxa"/>
            <w:vAlign w:val="bottom"/>
          </w:tcPr>
          <w:p>
            <w:pPr>
              <w:jc w:val="center"/>
              <w:spacing w:after="0"/>
              <w:rPr>
                <w:sz w:val="20"/>
                <w:szCs w:val="20"/>
                <w:color w:val="auto"/>
              </w:rPr>
            </w:pPr>
            <w:r>
              <w:rPr>
                <w:rFonts w:ascii="Arial" w:cs="Arial" w:eastAsia="Arial" w:hAnsi="Arial"/>
                <w:sz w:val="18"/>
                <w:szCs w:val="18"/>
                <w:color w:val="auto"/>
                <w:w w:val="92"/>
              </w:rPr>
              <w:t>Stuart Collinson</w:t>
            </w:r>
          </w:p>
        </w:tc>
        <w:tc>
          <w:tcPr>
            <w:tcW w:w="41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662"/>
        </w:trPr>
        <w:tc>
          <w:tcPr>
            <w:tcW w:w="5120" w:type="dxa"/>
            <w:vAlign w:val="bottom"/>
          </w:tcPr>
          <w:p>
            <w:pPr>
              <w:spacing w:after="0"/>
              <w:rPr>
                <w:sz w:val="24"/>
                <w:szCs w:val="24"/>
                <w:color w:val="auto"/>
              </w:rPr>
            </w:pPr>
          </w:p>
        </w:tc>
        <w:tc>
          <w:tcPr>
            <w:tcW w:w="4140" w:type="dxa"/>
            <w:vAlign w:val="bottom"/>
          </w:tcPr>
          <w:p>
            <w:pPr>
              <w:ind w:left="460"/>
              <w:spacing w:after="0"/>
              <w:rPr>
                <w:sz w:val="20"/>
                <w:szCs w:val="20"/>
                <w:color w:val="auto"/>
              </w:rPr>
            </w:pPr>
            <w:r>
              <w:rPr>
                <w:rFonts w:ascii="Arial" w:cs="Arial" w:eastAsia="Arial" w:hAnsi="Arial"/>
                <w:sz w:val="18"/>
                <w:szCs w:val="18"/>
                <w:color w:val="auto"/>
              </w:rPr>
              <w:t>112</w:t>
            </w:r>
          </w:p>
        </w:tc>
        <w:tc>
          <w:tcPr>
            <w:tcW w:w="16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Soleno Therapeutics, Inc.</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5600" w:type="dxa"/>
            <w:vAlign w:val="bottom"/>
          </w:tcPr>
          <w:p>
            <w:pPr>
              <w:spacing w:after="0"/>
              <w:rPr>
                <w:sz w:val="20"/>
                <w:szCs w:val="20"/>
                <w:color w:val="auto"/>
              </w:rPr>
            </w:pPr>
            <w:r>
              <w:rPr>
                <w:rFonts w:ascii="Arial" w:cs="Arial" w:eastAsia="Arial" w:hAnsi="Arial"/>
                <w:sz w:val="14"/>
                <w:szCs w:val="14"/>
                <w:b w:val="1"/>
                <w:bCs w:val="1"/>
                <w:color w:val="auto"/>
              </w:rPr>
              <w:t>Jurisdiction</w:t>
            </w:r>
          </w:p>
        </w:tc>
      </w:tr>
      <w:tr>
        <w:trPr>
          <w:trHeight w:val="195"/>
        </w:trPr>
        <w:tc>
          <w:tcPr>
            <w:tcW w:w="2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Soleno Therapeutics UK Ltd. (formerly Capnia UK Limited), a wholly</w:t>
            </w:r>
          </w:p>
        </w:tc>
        <w:tc>
          <w:tcPr>
            <w:tcW w:w="200" w:type="dxa"/>
            <w:vAlign w:val="bottom"/>
          </w:tcPr>
          <w:p>
            <w:pPr>
              <w:spacing w:after="0"/>
              <w:rPr>
                <w:sz w:val="16"/>
                <w:szCs w:val="16"/>
                <w:color w:val="auto"/>
              </w:rPr>
            </w:pPr>
          </w:p>
        </w:tc>
        <w:tc>
          <w:tcPr>
            <w:tcW w:w="5600" w:type="dxa"/>
            <w:vAlign w:val="bottom"/>
            <w:tcBorders>
              <w:top w:val="single" w:sz="8" w:color="auto"/>
            </w:tcBorders>
          </w:tcPr>
          <w:p>
            <w:pPr>
              <w:spacing w:after="0"/>
              <w:rPr>
                <w:sz w:val="16"/>
                <w:szCs w:val="16"/>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owned foreign subsidiary in the United Kingdom</w:t>
            </w:r>
          </w:p>
        </w:tc>
        <w:tc>
          <w:tcPr>
            <w:tcW w:w="56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Essentialis, Inc.</w:t>
            </w:r>
          </w:p>
        </w:tc>
        <w:tc>
          <w:tcPr>
            <w:tcW w:w="560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5820" w:type="dxa"/>
            <w:vAlign w:val="bottom"/>
            <w:gridSpan w:val="3"/>
          </w:tcPr>
          <w:p>
            <w:pPr>
              <w:spacing w:after="0"/>
              <w:rPr>
                <w:sz w:val="20"/>
                <w:szCs w:val="20"/>
                <w:color w:val="auto"/>
              </w:rPr>
            </w:pPr>
            <w:r>
              <w:rPr>
                <w:rFonts w:ascii="Arial" w:cs="Arial" w:eastAsia="Arial" w:hAnsi="Arial"/>
                <w:sz w:val="18"/>
                <w:szCs w:val="18"/>
                <w:color w:val="auto"/>
              </w:rPr>
              <w:t>Capnia, Inc.</w:t>
            </w:r>
          </w:p>
        </w:tc>
        <w:tc>
          <w:tcPr>
            <w:tcW w:w="560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21"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INDEPENDENT REGISTERED PUBLIC ACCOUNTING FIRM’S CONSENT</w:t>
      </w:r>
    </w:p>
    <w:p>
      <w:pPr>
        <w:spacing w:after="0" w:line="23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consent to the incorporation by reference in the Registration Statements of Soleno Therapeutics, Inc</w:t>
      </w:r>
      <w:r>
        <w:rPr>
          <w:rFonts w:ascii="Arial" w:cs="Arial" w:eastAsia="Arial" w:hAnsi="Arial"/>
          <w:sz w:val="18"/>
          <w:szCs w:val="18"/>
          <w:b w:val="1"/>
          <w:bCs w:val="1"/>
          <w:color w:val="auto"/>
        </w:rPr>
        <w:t>.</w:t>
      </w:r>
      <w:r>
        <w:rPr>
          <w:rFonts w:ascii="Arial" w:cs="Arial" w:eastAsia="Arial" w:hAnsi="Arial"/>
          <w:sz w:val="18"/>
          <w:szCs w:val="18"/>
          <w:color w:val="auto"/>
        </w:rPr>
        <w:t xml:space="preserve"> (the “Company”) on Form S-8 (File Numbers 333-224070, 333-220056, 333-210563 and 333-200175) of our report which includes an explanatory paragraph as to the Company’s ability to continue as a going concern</w:t>
      </w:r>
      <w:r>
        <w:rPr>
          <w:rFonts w:ascii="Arial" w:cs="Arial" w:eastAsia="Arial" w:hAnsi="Arial"/>
          <w:sz w:val="18"/>
          <w:szCs w:val="18"/>
          <w:b w:val="1"/>
          <w:bCs w:val="1"/>
          <w:color w:val="auto"/>
        </w:rPr>
        <w:t>,</w:t>
      </w:r>
      <w:r>
        <w:rPr>
          <w:rFonts w:ascii="Arial" w:cs="Arial" w:eastAsia="Arial" w:hAnsi="Arial"/>
          <w:sz w:val="18"/>
          <w:szCs w:val="18"/>
          <w:color w:val="auto"/>
        </w:rPr>
        <w:t xml:space="preserve"> dated March 19, 2019, with respect to our audits of the consolidated financial statements of Soleno Therapeutics, Inc. as of December 31, 2018 and 2017 and for each of the two years in the period ended December 31, 2018, which report is included in this Annual Report on Form 10-K of Soleno Therapeutics, Inc. for the year ended December 31, 2018.</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188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19, 2019</w:t>
      </w:r>
    </w:p>
    <w:p>
      <w:pPr>
        <w:sectPr>
          <w:pgSz w:w="11900" w:h="16838" w:orient="portrait"/>
          <w:cols w:equalWidth="0" w:num="1">
            <w:col w:w="11420"/>
          </w:cols>
          <w:pgMar w:left="240" w:top="12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 Anish Bhatnagar, M.D., certify that:</w:t>
      </w:r>
    </w:p>
    <w:p>
      <w:pPr>
        <w:spacing w:after="0" w:line="117" w:lineRule="exact"/>
        <w:rPr>
          <w:sz w:val="20"/>
          <w:szCs w:val="20"/>
          <w:color w:val="auto"/>
        </w:rPr>
      </w:pPr>
    </w:p>
    <w:p>
      <w:pPr>
        <w:ind w:left="620" w:hanging="612"/>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Soleno Therapeutics, Inc.;</w:t>
      </w:r>
    </w:p>
    <w:p>
      <w:pPr>
        <w:spacing w:after="0" w:line="117" w:lineRule="exact"/>
        <w:rPr>
          <w:rFonts w:ascii="Arial" w:cs="Arial" w:eastAsia="Arial" w:hAnsi="Arial"/>
          <w:sz w:val="18"/>
          <w:szCs w:val="18"/>
          <w:color w:val="auto"/>
        </w:rPr>
      </w:pPr>
    </w:p>
    <w:p>
      <w:pPr>
        <w:jc w:val="both"/>
        <w:ind w:left="620" w:right="340" w:hanging="612"/>
        <w:spacing w:after="0" w:line="264" w:lineRule="auto"/>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20" w:right="300" w:hanging="612"/>
        <w:spacing w:after="0" w:line="308" w:lineRule="auto"/>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20" w:right="320" w:hanging="612"/>
        <w:spacing w:after="0" w:line="264" w:lineRule="auto"/>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220" w:right="160" w:hanging="604"/>
        <w:spacing w:after="0" w:line="264" w:lineRule="auto"/>
        <w:tabs>
          <w:tab w:leader="none" w:pos="12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220" w:right="300" w:hanging="604"/>
        <w:spacing w:after="0" w:line="264" w:lineRule="auto"/>
        <w:tabs>
          <w:tab w:leader="none" w:pos="12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220" w:right="460" w:hanging="604"/>
        <w:spacing w:after="0" w:line="342" w:lineRule="auto"/>
        <w:tabs>
          <w:tab w:leader="none" w:pos="12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20" w:right="160" w:hanging="604"/>
        <w:spacing w:after="0" w:line="264" w:lineRule="auto"/>
        <w:tabs>
          <w:tab w:leader="none" w:pos="12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20" w:right="40" w:hanging="612"/>
        <w:spacing w:after="0" w:line="308" w:lineRule="auto"/>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220" w:right="700" w:hanging="604"/>
        <w:spacing w:after="0" w:line="342" w:lineRule="auto"/>
        <w:tabs>
          <w:tab w:leader="none" w:pos="12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20" w:right="400" w:hanging="604"/>
        <w:spacing w:after="0" w:line="277" w:lineRule="auto"/>
        <w:tabs>
          <w:tab w:leader="none" w:pos="12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ANISH BHATNAGAR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645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2">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 Jonathan Wolter, certify that:</w:t>
      </w:r>
    </w:p>
    <w:p>
      <w:pPr>
        <w:spacing w:after="0" w:line="117" w:lineRule="exact"/>
        <w:rPr>
          <w:sz w:val="20"/>
          <w:szCs w:val="20"/>
          <w:color w:val="auto"/>
        </w:rPr>
      </w:pPr>
    </w:p>
    <w:p>
      <w:pPr>
        <w:ind w:left="620" w:hanging="612"/>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Soleno Therapeutics, Inc.;</w:t>
      </w:r>
    </w:p>
    <w:p>
      <w:pPr>
        <w:spacing w:after="0" w:line="117" w:lineRule="exact"/>
        <w:rPr>
          <w:rFonts w:ascii="Arial" w:cs="Arial" w:eastAsia="Arial" w:hAnsi="Arial"/>
          <w:sz w:val="18"/>
          <w:szCs w:val="18"/>
          <w:color w:val="auto"/>
        </w:rPr>
      </w:pPr>
    </w:p>
    <w:p>
      <w:pPr>
        <w:jc w:val="both"/>
        <w:ind w:left="620" w:right="340" w:hanging="612"/>
        <w:spacing w:after="0" w:line="264" w:lineRule="auto"/>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20" w:right="300" w:hanging="612"/>
        <w:spacing w:after="0" w:line="308" w:lineRule="auto"/>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20" w:right="320" w:hanging="612"/>
        <w:spacing w:after="0" w:line="264" w:lineRule="auto"/>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220" w:right="160" w:hanging="604"/>
        <w:spacing w:after="0" w:line="264" w:lineRule="auto"/>
        <w:tabs>
          <w:tab w:leader="none" w:pos="12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220" w:right="300" w:hanging="604"/>
        <w:spacing w:after="0" w:line="264" w:lineRule="auto"/>
        <w:tabs>
          <w:tab w:leader="none" w:pos="12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220" w:right="460" w:hanging="604"/>
        <w:spacing w:after="0" w:line="342" w:lineRule="auto"/>
        <w:tabs>
          <w:tab w:leader="none" w:pos="12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20" w:right="160" w:hanging="604"/>
        <w:spacing w:after="0" w:line="264" w:lineRule="auto"/>
        <w:tabs>
          <w:tab w:leader="none" w:pos="12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20" w:right="40" w:hanging="612"/>
        <w:spacing w:after="0" w:line="308" w:lineRule="auto"/>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220" w:right="700" w:hanging="604"/>
        <w:spacing w:after="0" w:line="342" w:lineRule="auto"/>
        <w:tabs>
          <w:tab w:leader="none" w:pos="12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20" w:right="400" w:hanging="604"/>
        <w:spacing w:after="0" w:line="277" w:lineRule="auto"/>
        <w:tabs>
          <w:tab w:leader="none" w:pos="12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2019</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JONATHAN WOLTER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Wolter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645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3">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Annual Report of Soleno Therapeutics, Inc. (the “Company”) on Form 10-K for the fiscal year ended December 31, 2018, as filed with the Securities and Exchange Commission (the “Report”), Anish Bhatnagar, President, Chief Executive Officer of the Company, do hereby certify, pursuant to 18 U.S.C. Section 1350, as adopted pursuant to Section 906 of the Sarbanes-Oxley Act of 2002, that:</w:t>
      </w:r>
    </w:p>
    <w:p>
      <w:pPr>
        <w:spacing w:after="0" w:line="73" w:lineRule="exact"/>
        <w:rPr>
          <w:sz w:val="20"/>
          <w:szCs w:val="20"/>
          <w:color w:val="auto"/>
        </w:rPr>
      </w:pPr>
    </w:p>
    <w:p>
      <w:pPr>
        <w:ind w:left="1240" w:hanging="462"/>
        <w:spacing w:after="0"/>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240" w:hanging="462"/>
        <w:spacing w:after="0"/>
        <w:tabs>
          <w:tab w:leader="none" w:pos="12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information in the Report fairly presents, in all material respects, the financial condition and results of operations of the Company.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ANISH BHATNAGAR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4">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connection with the Annual Report of Soleno Therapeutics, Inc. (the “Company”) on Form 10-K for the fiscal year ended December 31, 2018, as filed with the Securities and Exchange Commission (the “Report”), Jonathan Wolter, Chief Financial Officer of the Company, do hereby certify, pursuant to 18 U.S.C. Section 1350, as adopted pursuant to Section 906 of the Sarbanes-Oxley Act of 2002, that:</w:t>
      </w:r>
    </w:p>
    <w:p>
      <w:pPr>
        <w:spacing w:after="0" w:line="73" w:lineRule="exact"/>
        <w:rPr>
          <w:sz w:val="20"/>
          <w:szCs w:val="20"/>
          <w:color w:val="auto"/>
        </w:rPr>
      </w:pPr>
    </w:p>
    <w:p>
      <w:pPr>
        <w:ind w:left="1240" w:hanging="462"/>
        <w:spacing w:after="0"/>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240" w:hanging="462"/>
        <w:spacing w:after="0"/>
        <w:tabs>
          <w:tab w:leader="none" w:pos="12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information in the Report fairly presents, in all material respects, the financial condition and results of operations of the Company.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2019</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JONATHAN WOLTER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Wolter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1)"/>
      <w:numFmt w:val="lowerRoman"/>
      <w:start w:val="1"/>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43"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80" Type="http://schemas.openxmlformats.org/officeDocument/2006/relationships/image" Target="media/image123.png"/><Relationship Id="rId192" Type="http://schemas.openxmlformats.org/officeDocument/2006/relationships/image" Target="media/image124.png"/><Relationship Id="rId210" Type="http://schemas.openxmlformats.org/officeDocument/2006/relationships/image" Target="media/image125.png"/><Relationship Id="rId218" Type="http://schemas.openxmlformats.org/officeDocument/2006/relationships/image" Target="media/image126.png"/><Relationship Id="rId219" Type="http://schemas.openxmlformats.org/officeDocument/2006/relationships/image" Target="media/image127.png"/><Relationship Id="rId220" Type="http://schemas.openxmlformats.org/officeDocument/2006/relationships/image" Target="media/image128.png"/><Relationship Id="rId221" Type="http://schemas.openxmlformats.org/officeDocument/2006/relationships/image" Target="media/image129.png"/><Relationship Id="rId222" Type="http://schemas.openxmlformats.org/officeDocument/2006/relationships/image" Target="media/image130.png"/><Relationship Id="rId223" Type="http://schemas.openxmlformats.org/officeDocument/2006/relationships/image" Target="media/image131.png"/><Relationship Id="rId224" Type="http://schemas.openxmlformats.org/officeDocument/2006/relationships/image" Target="media/image132.png"/><Relationship Id="rId225" Type="http://schemas.openxmlformats.org/officeDocument/2006/relationships/image" Target="media/image133.png"/><Relationship Id="rId127" Type="http://schemas.openxmlformats.org/officeDocument/2006/relationships/hyperlink" Target="http://www.sec.gov/Archives/edgar/data/1484565/000162828017007221/ehx21.htm" TargetMode="External"/><Relationship Id="rId128" Type="http://schemas.openxmlformats.org/officeDocument/2006/relationships/hyperlink" Target="http://www.sec.gov/Archives/edgar/data/1484565/000162828017012274/ex21soleno-captainjvagreem.htm" TargetMode="External"/><Relationship Id="rId129" Type="http://schemas.openxmlformats.org/officeDocument/2006/relationships/hyperlink" Target="http://www.sec.gov/Archives/edgar/data/1484565/000162828017012274/ex22ippurchaseagreement.htm" TargetMode="External"/><Relationship Id="rId130" Type="http://schemas.openxmlformats.org/officeDocument/2006/relationships/hyperlink" Target="http://www.sec.gov/Archives/edgar/data/1484565/000162828017012274/ex23soleno-transitionservi.htm" TargetMode="External"/><Relationship Id="rId131" Type="http://schemas.openxmlformats.org/officeDocument/2006/relationships/hyperlink" Target="http://www.sec.gov/Archives/edgar/data/1484565/000119312514300848/d711637dex32.htm" TargetMode="External"/><Relationship Id="rId132" Type="http://schemas.openxmlformats.org/officeDocument/2006/relationships/hyperlink" Target="http://www.sec.gov/Archives/edgar/data/1484565/000119312514256995/d711637dex34.htm" TargetMode="External"/><Relationship Id="rId133" Type="http://schemas.openxmlformats.org/officeDocument/2006/relationships/hyperlink" Target="http://www.sec.gov/Archives/edgar/data/1484565/000119312515344002/d67111dex31.htm" TargetMode="External"/><Relationship Id="rId134" Type="http://schemas.openxmlformats.org/officeDocument/2006/relationships/hyperlink" Target="http://www.sec.gov/Archives/edgar/data/1484565/000119312516642505/d221558dex31.htm" TargetMode="External"/><Relationship Id="rId135" Type="http://schemas.openxmlformats.org/officeDocument/2006/relationships/hyperlink" Target="http://www.sec.gov/Archives/edgar/data/1484565/000162828017005427/exhibit31.htm" TargetMode="External"/><Relationship Id="rId136" Type="http://schemas.openxmlformats.org/officeDocument/2006/relationships/hyperlink" Target="http://www.sec.gov/Archives/edgar/data/1484565/000162828017009761/soleno-certificateofamendm.htm" TargetMode="External"/><Relationship Id="rId137" Type="http://schemas.openxmlformats.org/officeDocument/2006/relationships/hyperlink" Target="http://www.sec.gov/Archives/edgar/data/1484565/000119312514293949/d711637dex41.htm" TargetMode="External"/><Relationship Id="rId138" Type="http://schemas.openxmlformats.org/officeDocument/2006/relationships/hyperlink" Target="http://www.sec.gov/Archives/edgar/data/1484565/000119312514256995/d711637dex42.htm" TargetMode="External"/><Relationship Id="rId139" Type="http://schemas.openxmlformats.org/officeDocument/2006/relationships/hyperlink" Target="http://www.sec.gov/Archives/edgar/data/1484565/000119312514293949/d711637dex43.htm" TargetMode="External"/><Relationship Id="rId140" Type="http://schemas.openxmlformats.org/officeDocument/2006/relationships/hyperlink" Target="http://www.sec.gov/Archives/edgar/data/1484565/000119312514293949/d711637dex44.htm" TargetMode="External"/><Relationship Id="rId141" Type="http://schemas.openxmlformats.org/officeDocument/2006/relationships/hyperlink" Target="http://www.sec.gov/Archives/edgar/data/1484565/000119312514293949/d711637dex45.htm" TargetMode="External"/><Relationship Id="rId142" Type="http://schemas.openxmlformats.org/officeDocument/2006/relationships/hyperlink" Target="http://www.sec.gov/Archives/edgar/data/1484565/000119312514231812/d711637dex46.htm" TargetMode="External"/><Relationship Id="rId144" Type="http://schemas.openxmlformats.org/officeDocument/2006/relationships/hyperlink" Target="http://www.sec.gov/Archives/edgar/data/1484565/000119312514231812/d711637dex47.htm" TargetMode="External"/><Relationship Id="rId145" Type="http://schemas.openxmlformats.org/officeDocument/2006/relationships/hyperlink" Target="http://www.sec.gov/Archives/edgar/data/1484565/000119312514231812/d711637dex48.htm" TargetMode="External"/><Relationship Id="rId146" Type="http://schemas.openxmlformats.org/officeDocument/2006/relationships/hyperlink" Target="http://www.sec.gov/Archives/edgar/data/1484565/000119312514231812/d711637dex49.htm" TargetMode="External"/><Relationship Id="rId147" Type="http://schemas.openxmlformats.org/officeDocument/2006/relationships/hyperlink" Target="http://www.sec.gov/Archives/edgar/data/1484565/000119312514231812/d711637dex410.htm" TargetMode="External"/><Relationship Id="rId148" Type="http://schemas.openxmlformats.org/officeDocument/2006/relationships/hyperlink" Target="http://www.sec.gov/Archives/edgar/data/1484565/000119312514231812/d711637dex411.htm" TargetMode="External"/><Relationship Id="rId149" Type="http://schemas.openxmlformats.org/officeDocument/2006/relationships/hyperlink" Target="http://www.sec.gov/Archives/edgar/data/1484565/000119312514231812/d711637dex412.htm" TargetMode="External"/><Relationship Id="rId150" Type="http://schemas.openxmlformats.org/officeDocument/2006/relationships/hyperlink" Target="http://www.sec.gov/Archives/edgar/data/1484565/000119312514231812/d711637dex413.htm" TargetMode="External"/><Relationship Id="rId151" Type="http://schemas.openxmlformats.org/officeDocument/2006/relationships/hyperlink" Target="http://www.sec.gov/Archives/edgar/data/1484565/000119312514231812/d711637dex414.htm" TargetMode="External"/><Relationship Id="rId152" Type="http://schemas.openxmlformats.org/officeDocument/2006/relationships/hyperlink" Target="http://www.sec.gov/Archives/edgar/data/1484565/000119312514231812/d711637dex415.htm" TargetMode="External"/><Relationship Id="rId153" Type="http://schemas.openxmlformats.org/officeDocument/2006/relationships/hyperlink" Target="http://www.sec.gov/Archives/edgar/data/1484565/000119312514293949/d711637dex416.htm" TargetMode="External"/><Relationship Id="rId154" Type="http://schemas.openxmlformats.org/officeDocument/2006/relationships/hyperlink" Target="http://www.sec.gov/Archives/edgar/data/1484565/000119312514396517/d711637dex417.htm" TargetMode="External"/><Relationship Id="rId155" Type="http://schemas.openxmlformats.org/officeDocument/2006/relationships/hyperlink" Target="http://www.sec.gov/Archives/edgar/data/1484565/000119312514396517/d711637dex418.htm" TargetMode="External"/><Relationship Id="rId156" Type="http://schemas.openxmlformats.org/officeDocument/2006/relationships/hyperlink" Target="http://www.sec.gov/Archives/edgar/data/1484565/000119312515114723/d893037dex419.htm" TargetMode="External"/><Relationship Id="rId157" Type="http://schemas.openxmlformats.org/officeDocument/2006/relationships/hyperlink" Target="http://www.sec.gov/Archives/edgar/data/1484565/000119312515114723/d893037dex420.htm" TargetMode="External"/><Relationship Id="rId158" Type="http://schemas.openxmlformats.org/officeDocument/2006/relationships/hyperlink" Target="http://www.sec.gov/Archives/edgar/data/1484565/000119312515344002/d67111dex41.htm" TargetMode="External"/><Relationship Id="rId159" Type="http://schemas.openxmlformats.org/officeDocument/2006/relationships/hyperlink" Target="http://www.sec.gov/Archives/edgar/data/1484565/000119312515344002/d67111dex42.htm" TargetMode="External"/><Relationship Id="rId160" Type="http://schemas.openxmlformats.org/officeDocument/2006/relationships/hyperlink" Target="http://www.sec.gov/Archives/edgar/data/1484565/000119312515344002/d67111dex43.htm" TargetMode="External"/><Relationship Id="rId163" Type="http://schemas.openxmlformats.org/officeDocument/2006/relationships/hyperlink" Target="http://www.sec.gov/Archives/edgar/data/1484565/000119312515344002/d67111dex44.htm" TargetMode="External"/><Relationship Id="rId164" Type="http://schemas.openxmlformats.org/officeDocument/2006/relationships/hyperlink" Target="http://www.sec.gov/Archives/edgar/data/1484565/000119312516642505/d221558dex41.htm" TargetMode="External"/><Relationship Id="rId165" Type="http://schemas.openxmlformats.org/officeDocument/2006/relationships/hyperlink" Target="http://www.sec.gov/Archives/edgar/data/1484565/000119312516642505/d221558dex42.htm" TargetMode="External"/><Relationship Id="rId166" Type="http://schemas.openxmlformats.org/officeDocument/2006/relationships/hyperlink" Target="http://www.sec.gov/Archives/edgar/data/1484565/000148456517000004/ex41commonstockwarrant.htm" TargetMode="External"/><Relationship Id="rId167" Type="http://schemas.openxmlformats.org/officeDocument/2006/relationships/hyperlink" Target="http://www.sec.gov/Archives/edgar/data/1484565/000119312515344002/d67111dex91.htm" TargetMode="External"/><Relationship Id="rId168" Type="http://schemas.openxmlformats.org/officeDocument/2006/relationships/hyperlink" Target="http://www.sec.gov/Archives/edgar/data/1484565/000119312516642505/d221558dex91.htm" TargetMode="External"/><Relationship Id="rId169" Type="http://schemas.openxmlformats.org/officeDocument/2006/relationships/hyperlink" Target="http://www.sec.gov/Archives/edgar/data/1484565/000119312516803934/d282262dex101.htm" TargetMode="External"/><Relationship Id="rId170" Type="http://schemas.openxmlformats.org/officeDocument/2006/relationships/hyperlink" Target="http://www.sec.gov/Archives/edgar/data/1484565/000119312514231812/d711637dex101.htm" TargetMode="External"/><Relationship Id="rId171" Type="http://schemas.openxmlformats.org/officeDocument/2006/relationships/hyperlink" Target="http://www.sec.gov/Archives/edgar/data/1484565/000119312514231812/d711637dex102.htm" TargetMode="External"/><Relationship Id="rId172" Type="http://schemas.openxmlformats.org/officeDocument/2006/relationships/hyperlink" Target="http://www.sec.gov/Archives/edgar/data/1484565/000119312514231812/d711637dex103.htm" TargetMode="External"/><Relationship Id="rId173" Type="http://schemas.openxmlformats.org/officeDocument/2006/relationships/hyperlink" Target="http://www.sec.gov/Archives/edgar/data/1484565/000119312514256995/d711637dex104.htm" TargetMode="External"/><Relationship Id="rId174" Type="http://schemas.openxmlformats.org/officeDocument/2006/relationships/hyperlink" Target="http://www.sec.gov/Archives/edgar/data/1484565/000119312514256995/d711637dex105.htm" TargetMode="External"/><Relationship Id="rId175" Type="http://schemas.openxmlformats.org/officeDocument/2006/relationships/hyperlink" Target="http://www.sec.gov/Archives/edgar/data/1484565/000119312514231812/d711637dex106.htm" TargetMode="External"/><Relationship Id="rId176" Type="http://schemas.openxmlformats.org/officeDocument/2006/relationships/hyperlink" Target="http://www.sec.gov/Archives/edgar/data/1484565/000119312514231812/d711637dex107.htm" TargetMode="External"/><Relationship Id="rId177" Type="http://schemas.openxmlformats.org/officeDocument/2006/relationships/hyperlink" Target="http://www.sec.gov/Archives/edgar/data/1484565/000119312514231812/d711637dex108.htm" TargetMode="External"/><Relationship Id="rId178" Type="http://schemas.openxmlformats.org/officeDocument/2006/relationships/hyperlink" Target="http://www.sec.gov/Archives/edgar/data/1484565/000119312514231812/d711637dex109.htm" TargetMode="External"/><Relationship Id="rId179" Type="http://schemas.openxmlformats.org/officeDocument/2006/relationships/hyperlink" Target="http://www.sec.gov/Archives/edgar/data/1484565/000119312514231812/d711637dex1010.htm" TargetMode="External"/><Relationship Id="rId181" Type="http://schemas.openxmlformats.org/officeDocument/2006/relationships/hyperlink" Target="http://www.sec.gov/Archives/edgar/data/1484565/000119312514231812/d711637dex1011.htm" TargetMode="External"/><Relationship Id="rId182" Type="http://schemas.openxmlformats.org/officeDocument/2006/relationships/hyperlink" Target="http://www.sec.gov/Archives/edgar/data/1484565/000119312514231812/d711637dex1012.htm" TargetMode="External"/><Relationship Id="rId183" Type="http://schemas.openxmlformats.org/officeDocument/2006/relationships/hyperlink" Target="http://www.sec.gov/Archives/edgar/data/1484565/000119312514231812/d711637dex1013.htm" TargetMode="External"/><Relationship Id="rId184" Type="http://schemas.openxmlformats.org/officeDocument/2006/relationships/hyperlink" Target="http://www.sec.gov/Archives/edgar/data/1484565/000119312514231812/d711637dex1014.htm" TargetMode="External"/><Relationship Id="rId185" Type="http://schemas.openxmlformats.org/officeDocument/2006/relationships/hyperlink" Target="http://www.sec.gov/Archives/edgar/data/1484565/000119312514231812/d711637dex1015.htm" TargetMode="External"/><Relationship Id="rId186" Type="http://schemas.openxmlformats.org/officeDocument/2006/relationships/hyperlink" Target="http://www.sec.gov/Archives/edgar/data/1484565/000119312514231812/d711637dex1016.htm" TargetMode="External"/><Relationship Id="rId187" Type="http://schemas.openxmlformats.org/officeDocument/2006/relationships/hyperlink" Target="http://www.sec.gov/Archives/edgar/data/1484565/000119312514231812/d711637dex1017.htm" TargetMode="External"/><Relationship Id="rId188" Type="http://schemas.openxmlformats.org/officeDocument/2006/relationships/hyperlink" Target="http://www.sec.gov/Archives/edgar/data/1484565/000119312514231812/d711637dex1018.htm" TargetMode="External"/><Relationship Id="rId189" Type="http://schemas.openxmlformats.org/officeDocument/2006/relationships/hyperlink" Target="http://www.sec.gov/Archives/edgar/data/1484565/000119312514256995/d711637dex1019.htm" TargetMode="External"/><Relationship Id="rId190" Type="http://schemas.openxmlformats.org/officeDocument/2006/relationships/hyperlink" Target="http://www.sec.gov/Archives/edgar/data/1484565/000119312514274666/d711637dex1020.htm" TargetMode="External"/><Relationship Id="rId191" Type="http://schemas.openxmlformats.org/officeDocument/2006/relationships/hyperlink" Target="http://www.sec.gov/Archives/edgar/data/1484565/000119312514357384/d711637dex1021.htm" TargetMode="External"/><Relationship Id="rId193" Type="http://schemas.openxmlformats.org/officeDocument/2006/relationships/hyperlink" Target="http://www.sec.gov/Archives/edgar/data/1484565/000119312514396517/d711637dex1022.htm" TargetMode="External"/><Relationship Id="rId194" Type="http://schemas.openxmlformats.org/officeDocument/2006/relationships/hyperlink" Target="http://www.sec.gov/Archives/edgar/data/1484565/000119312514396517/d711637dex1023.htm" TargetMode="External"/><Relationship Id="rId195" Type="http://schemas.openxmlformats.org/officeDocument/2006/relationships/hyperlink" Target="http://www.sec.gov/Archives/edgar/data/1484565/000119312515078868/d886135dex101.htm" TargetMode="External"/><Relationship Id="rId196" Type="http://schemas.openxmlformats.org/officeDocument/2006/relationships/hyperlink" Target="http://www.sec.gov/Archives/edgar/data/1484565/000119312515114723/d893037dex1025.htm" TargetMode="External"/><Relationship Id="rId197" Type="http://schemas.openxmlformats.org/officeDocument/2006/relationships/hyperlink" Target="http://www.sec.gov/Archives/edgar/data/1484565/000119312515246752/d72536dex101.htm" TargetMode="External"/><Relationship Id="rId198" Type="http://schemas.openxmlformats.org/officeDocument/2006/relationships/hyperlink" Target="http://www.sec.gov/Archives/edgar/data/1484565/000119312515246752/d72536dex102.htm" TargetMode="External"/><Relationship Id="rId199" Type="http://schemas.openxmlformats.org/officeDocument/2006/relationships/hyperlink" Target="http://www.sec.gov/Archives/edgar/data/1484565/000119312515264172/d151899dex41.htm" TargetMode="External"/><Relationship Id="rId200" Type="http://schemas.openxmlformats.org/officeDocument/2006/relationships/hyperlink" Target="http://www.sec.gov/Archives/edgar/data/1484565/000119312515264172/d151899dex101.htm" TargetMode="External"/><Relationship Id="rId201" Type="http://schemas.openxmlformats.org/officeDocument/2006/relationships/hyperlink" Target="http://www.sec.gov/Archives/edgar/data/1484565/000119312515344002/d67111dex11.htm" TargetMode="External"/><Relationship Id="rId202" Type="http://schemas.openxmlformats.org/officeDocument/2006/relationships/hyperlink" Target="http://www.sec.gov/Archives/edgar/data/1484565/000119312515344002/d67111dex101.htm" TargetMode="External"/><Relationship Id="rId203" Type="http://schemas.openxmlformats.org/officeDocument/2006/relationships/hyperlink" Target="http://www.sec.gov/Archives/edgar/data/1484565/000119312515344002/d67111dex102.htm" TargetMode="External"/><Relationship Id="rId204" Type="http://schemas.openxmlformats.org/officeDocument/2006/relationships/hyperlink" Target="http://www.sec.gov/Archives/edgar/data/1484565/000119312515344002/d67111dex103.htm" TargetMode="External"/><Relationship Id="rId205" Type="http://schemas.openxmlformats.org/officeDocument/2006/relationships/hyperlink" Target="http://www.sec.gov/Archives/edgar/data/1484565/000119312515410913/d83264dex1033.htm" TargetMode="External"/><Relationship Id="rId206" Type="http://schemas.openxmlformats.org/officeDocument/2006/relationships/hyperlink" Target="http://www.sec.gov/Archives/edgar/data/1484565/000119312516441799/d77178dex101.htm" TargetMode="External"/><Relationship Id="rId207" Type="http://schemas.openxmlformats.org/officeDocument/2006/relationships/hyperlink" Target="http://www.sec.gov/Archives/edgar/data/1484565/000119312516642505/d221558dex11.htm" TargetMode="External"/><Relationship Id="rId208" Type="http://schemas.openxmlformats.org/officeDocument/2006/relationships/hyperlink" Target="http://www.sec.gov/Archives/edgar/data/1484565/000119312516642505/d221558dex101.htm" TargetMode="External"/><Relationship Id="rId209" Type="http://schemas.openxmlformats.org/officeDocument/2006/relationships/hyperlink" Target="http://www.sec.gov/Archives/edgar/data/1484565/000119312516642505/d221558dex102.htm" TargetMode="External"/><Relationship Id="rId211" Type="http://schemas.openxmlformats.org/officeDocument/2006/relationships/hyperlink" Target="http://www.sec.gov/Archives/edgar/data/1484565/000119312516714955/d217110dex1039.htm" TargetMode="External"/><Relationship Id="rId212" Type="http://schemas.openxmlformats.org/officeDocument/2006/relationships/hyperlink" Target="http://www.sec.gov/Archives/edgar/data/1484565/000119312516803934/d282262dex21.htm" TargetMode="External"/><Relationship Id="rId213" Type="http://schemas.openxmlformats.org/officeDocument/2006/relationships/hyperlink" Target="http://www.sec.gov/Archives/edgar/data/1484565/000119312517027623/d336318dex1051.htm" TargetMode="External"/><Relationship Id="rId214" Type="http://schemas.openxmlformats.org/officeDocument/2006/relationships/hyperlink" Target="http://www.sec.gov/Archives/edgar/data/1484565/000119312517027623/d336318dex1052.htm" TargetMode="External"/><Relationship Id="rId215" Type="http://schemas.openxmlformats.org/officeDocument/2006/relationships/hyperlink" Target="http://www.sec.gov/Archives/edgar/data/1484565/000148456517000004/ex101securitiespurchaseagr.htm" TargetMode="External"/><Relationship Id="rId216" Type="http://schemas.openxmlformats.org/officeDocument/2006/relationships/hyperlink" Target="http://www.sec.gov/Archives/edgar/data/1484565/000119312518182178/d781173dex101.htm" TargetMode="External"/><Relationship Id="rId217" Type="http://schemas.openxmlformats.org/officeDocument/2006/relationships/hyperlink" Target="http://www.sec.gov/Archives/edgar/data/1484565/000119312518353226/d65343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2019-12-28T14:23:03Z</dcterms:created>
  <dcterms:modified xsi:type="dcterms:W3CDTF">2019-12-28T14:23:03Z</dcterms:modified>
</cp:coreProperties>
</file>