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slno-20230331.htm"/>
      <w:bookmarkStart w:id="1" w:name="ksslno20230331"/>
      <w:bookmarkEnd w:id="0"/>
      <w:bookmarkEnd w:id="1"/>
      <w:r>
        <w:rPr/>
        <w:t> </w:t>
      </w:r>
    </w:p>
    <w:p>
      <w:pPr>
        <w:pStyle w:val="TextBody"/>
        <w:spacing w:before="0" w:after="0"/>
        <w:jc w:val="center"/>
        <w:rPr>
          <w:rFonts w:ascii="Times New Roman;serif" w:hAnsi="Times New Roman;serif"/>
          <w:b w:val="false"/>
          <w:sz w:val="2"/>
        </w:rPr>
      </w:pPr>
      <w:r>
        <w:rPr>
          <w:rFonts w:ascii="Times New Roman;serif" w:hAnsi="Times New Roman;serif"/>
          <w:b w:val="false"/>
          <w:sz w:val="2"/>
        </w:rPr>
        <w:t>2</w:t>
      </w:r>
    </w:p>
    <w:p>
      <w:pPr>
        <w:pStyle w:val="TextBody"/>
        <w:spacing w:before="80" w:after="0"/>
        <w:jc w:val="center"/>
        <w:rPr>
          <w:rFonts w:ascii="Times New Roman;serif" w:hAnsi="Times New Roman;serif"/>
          <w:b/>
          <w:sz w:val="36"/>
        </w:rPr>
      </w:pPr>
      <w:r>
        <w:rPr>
          <w:rFonts w:ascii="Times New Roman;serif" w:hAnsi="Times New Roman;serif"/>
          <w:b/>
          <w:sz w:val="36"/>
        </w:rPr>
        <w:t>UNITED STATES</w:t>
      </w:r>
    </w:p>
    <w:p>
      <w:pPr>
        <w:pStyle w:val="TextBody"/>
        <w:spacing w:before="0" w:after="0"/>
        <w:jc w:val="center"/>
        <w:rPr>
          <w:rFonts w:ascii="Times New Roman" w:hAnsi="Times New Roman"/>
          <w:sz w:val="20"/>
        </w:rPr>
      </w:pPr>
      <w:r>
        <w:rPr>
          <w:rFonts w:ascii="Times New Roman;serif" w:hAnsi="Times New Roman;serif"/>
          <w:b/>
          <w:sz w:val="36"/>
        </w:rPr>
        <w:t>SECURITIES AND EXCHANGE COMMISSION</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4"/>
        </w:rPr>
        <w:t>WASHINGTON, DC 20549</w:t>
      </w:r>
      <w:r>
        <w:rPr>
          <w:rFonts w:ascii="Times New Roman" w:hAnsi="Times New Roman"/>
          <w:sz w:val="20"/>
        </w:rPr>
        <w:t xml:space="preserve"> </w:t>
      </w:r>
    </w:p>
    <w:p>
      <w:pPr>
        <w:pStyle w:val="TextBody"/>
        <w:pBdr>
          <w:bottom w:val="single" w:sz="8" w:space="1" w:color="000000"/>
        </w:pBdr>
        <w:spacing w:before="0" w:after="0"/>
        <w:jc w:val="center"/>
        <w:rPr/>
      </w:pPr>
      <w:r>
        <w:rPr/>
        <w:t> </w:t>
      </w:r>
    </w:p>
    <w:p>
      <w:pPr>
        <w:pStyle w:val="TextBody"/>
        <w:spacing w:before="80" w:after="0"/>
        <w:jc w:val="center"/>
        <w:rPr>
          <w:rFonts w:ascii="Times New Roman" w:hAnsi="Times New Roman"/>
          <w:sz w:val="20"/>
        </w:rPr>
      </w:pPr>
      <w:r>
        <w:rPr>
          <w:rFonts w:ascii="Times New Roman;serif" w:hAnsi="Times New Roman;serif"/>
          <w:b/>
          <w:sz w:val="36"/>
        </w:rPr>
        <w:t>FORM 10-Q</w:t>
      </w:r>
      <w:r>
        <w:rPr>
          <w:rFonts w:ascii="Times New Roman" w:hAnsi="Times New Roman"/>
          <w:sz w:val="20"/>
        </w:rPr>
        <w:t xml:space="preserve"> </w:t>
      </w:r>
    </w:p>
    <w:p>
      <w:pPr>
        <w:pStyle w:val="TextBody"/>
        <w:pBdr>
          <w:bottom w:val="single" w:sz="8" w:space="1" w:color="000000"/>
        </w:pBdr>
        <w:spacing w:before="0" w:after="0"/>
        <w:jc w:val="center"/>
        <w:rPr/>
      </w:pPr>
      <w:r>
        <w:rPr/>
        <w:t> </w:t>
      </w:r>
    </w:p>
    <w:p>
      <w:pPr>
        <w:pStyle w:val="TextBody"/>
        <w:spacing w:before="80" w:after="0"/>
        <w:jc w:val="left"/>
        <w:rPr>
          <w:rFonts w:ascii="Times New Roman" w:hAnsi="Times New Roman"/>
          <w:sz w:val="20"/>
        </w:rPr>
      </w:pPr>
      <w:r>
        <w:rPr>
          <w:rFonts w:ascii="Times New Roman;serif" w:hAnsi="Times New Roman;serif"/>
          <w:b/>
          <w:sz w:val="20"/>
        </w:rPr>
        <w:t>(Mark One)</w:t>
      </w:r>
      <w:r>
        <w:rPr>
          <w:rFonts w:ascii="Times New Roman" w:hAnsi="Times New Roman"/>
          <w:sz w:val="20"/>
        </w:rPr>
        <w:t xml:space="preserve"> </w:t>
      </w:r>
    </w:p>
    <w:p>
      <w:pPr>
        <w:pStyle w:val="TextBody"/>
        <w:spacing w:before="0" w:after="0"/>
        <w:jc w:val="left"/>
        <w:rPr/>
      </w:pPr>
      <w:r>
        <w:rPr/>
        <w:t xml:space="preserve">☒ </w:t>
      </w:r>
      <w:r>
        <w:rPr>
          <w:rFonts w:ascii="Times New Roman;serif" w:hAnsi="Times New Roman;serif"/>
          <w:b/>
          <w:sz w:val="24"/>
        </w:rPr>
        <w:t>QUARTERLY REPORT PURSUANT TO SECTION 13 OR 15(d) OF THE SECURITIES EXCHANGE ACT OF 1934</w:t>
      </w:r>
      <w:r>
        <w:rPr>
          <w:rFonts w:ascii="Times New Roman" w:hAnsi="Times New Roman"/>
          <w:sz w:val="20"/>
        </w:rPr>
        <w:t xml:space="preserve"> </w:t>
      </w:r>
    </w:p>
    <w:p>
      <w:pPr>
        <w:pStyle w:val="TextBody"/>
        <w:spacing w:before="8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spacing w:before="80" w:after="0"/>
        <w:jc w:val="center"/>
        <w:rPr>
          <w:rFonts w:ascii="Times New Roman" w:hAnsi="Times New Roman"/>
          <w:sz w:val="20"/>
        </w:rPr>
      </w:pPr>
      <w:r>
        <w:rPr>
          <w:rFonts w:ascii="Times New Roman;serif" w:hAnsi="Times New Roman;serif"/>
          <w:b/>
          <w:sz w:val="20"/>
        </w:rPr>
        <w:t>or</w:t>
      </w:r>
      <w:r>
        <w:rPr>
          <w:rFonts w:ascii="Times New Roman" w:hAnsi="Times New Roman"/>
          <w:sz w:val="20"/>
        </w:rPr>
        <w:t xml:space="preserve"> </w:t>
      </w:r>
    </w:p>
    <w:p>
      <w:pPr>
        <w:pStyle w:val="TextBody"/>
        <w:spacing w:before="80" w:after="0"/>
        <w:jc w:val="left"/>
        <w:rPr/>
      </w:pPr>
      <w:r>
        <w:rPr/>
        <w:t xml:space="preserve">☐ </w:t>
      </w:r>
      <w:r>
        <w:rPr>
          <w:rFonts w:ascii="Times New Roman;serif" w:hAnsi="Times New Roman;serif"/>
          <w:b/>
          <w:sz w:val="24"/>
        </w:rPr>
        <w:t>TRANSITION REPORT PURSUANT TO SECTION 13 OR 15(d) OF THE SECURITIES EXCHANGE ACT OF 1934</w:t>
      </w:r>
      <w:r>
        <w:rPr>
          <w:rFonts w:ascii="Times New Roman" w:hAnsi="Times New Roman"/>
          <w:sz w:val="20"/>
        </w:rPr>
        <w:t xml:space="preserve"> </w:t>
      </w:r>
    </w:p>
    <w:p>
      <w:pPr>
        <w:pStyle w:val="TextBody"/>
        <w:spacing w:before="8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spacing w:before="80" w:after="0"/>
        <w:jc w:val="center"/>
        <w:rPr>
          <w:rFonts w:ascii="Times New Roman" w:hAnsi="Times New Roman"/>
          <w:sz w:val="20"/>
        </w:rPr>
      </w:pPr>
      <w:r>
        <w:rPr>
          <w:rFonts w:ascii="Times New Roman;serif" w:hAnsi="Times New Roman;serif"/>
          <w:b/>
          <w:sz w:val="20"/>
        </w:rPr>
        <w:t>Commission File Number: 001-36593</w:t>
      </w:r>
      <w:r>
        <w:rPr>
          <w:rFonts w:ascii="Times New Roman" w:hAnsi="Times New Roman"/>
          <w:sz w:val="20"/>
        </w:rPr>
        <w:t xml:space="preserve"> </w:t>
      </w:r>
    </w:p>
    <w:p>
      <w:pPr>
        <w:pStyle w:val="TextBody"/>
        <w:pBdr>
          <w:bottom w:val="single" w:sz="8" w:space="1" w:color="000000"/>
        </w:pBdr>
        <w:spacing w:before="0" w:after="0"/>
        <w:jc w:val="center"/>
        <w:rPr/>
      </w:pPr>
      <w:r>
        <w:rPr/>
        <w:t> </w:t>
      </w:r>
    </w:p>
    <w:p>
      <w:pPr>
        <w:pStyle w:val="TextBody"/>
        <w:spacing w:before="80" w:after="0"/>
        <w:jc w:val="center"/>
        <w:rPr>
          <w:rFonts w:ascii="Times New Roman" w:hAnsi="Times New Roman"/>
          <w:sz w:val="20"/>
        </w:rPr>
      </w:pPr>
      <w:r>
        <w:rPr>
          <w:rFonts w:ascii="Times New Roman;serif" w:hAnsi="Times New Roman;serif"/>
          <w:b/>
          <w:sz w:val="48"/>
        </w:rPr>
        <w:t>SOLENO THERAPEUTICS, INC.</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p>
      <w:pPr>
        <w:pStyle w:val="TextBody"/>
        <w:pBdr>
          <w:bottom w:val="single" w:sz="8" w:space="1" w:color="000000"/>
        </w:pBdr>
        <w:spacing w:before="0" w:after="0"/>
        <w:jc w:val="center"/>
        <w:rPr/>
      </w:pPr>
      <w:r>
        <w:rPr/>
        <w:t> </w:t>
      </w:r>
    </w:p>
    <w:p>
      <w:pPr>
        <w:pStyle w:val="TextBody"/>
        <w:spacing w:before="0" w:after="0"/>
        <w:jc w:val="left"/>
        <w:rPr/>
      </w:pPr>
      <w:r>
        <w:rPr/>
        <w:t> </w:t>
      </w:r>
    </w:p>
    <w:tbl>
      <w:tblPr>
        <w:tblW w:w="3857" w:type="dxa"/>
        <w:jc w:val="left"/>
        <w:tblInd w:w="0" w:type="dxa"/>
        <w:tblCellMar>
          <w:top w:w="28" w:type="dxa"/>
          <w:left w:w="28" w:type="dxa"/>
          <w:bottom w:w="28" w:type="dxa"/>
          <w:right w:w="28" w:type="dxa"/>
        </w:tblCellMar>
      </w:tblPr>
      <w:tblGrid>
        <w:gridCol w:w="2371"/>
        <w:gridCol w:w="1486"/>
      </w:tblGrid>
      <w:tr>
        <w:trPr/>
        <w:tc>
          <w:tcPr>
            <w:tcW w:w="2371"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r>
      <w:tr>
        <w:trPr/>
        <w:tc>
          <w:tcPr>
            <w:tcW w:w="2371" w:type="dxa"/>
            <w:tcBorders/>
            <w:shd w:fill="auto" w:val="clear"/>
            <w:vAlign w:val="center"/>
          </w:tcPr>
          <w:p>
            <w:pPr>
              <w:pStyle w:val="TableContents"/>
              <w:spacing w:before="0" w:after="0"/>
              <w:ind w:left="0" w:right="0" w:hanging="0"/>
              <w:jc w:val="center"/>
              <w:rPr>
                <w:rFonts w:ascii="Times New Roman;serif" w:hAnsi="Times New Roman;serif"/>
                <w:b/>
                <w:sz w:val="19"/>
              </w:rPr>
            </w:pPr>
            <w:r>
              <w:rPr>
                <w:rFonts w:ascii="Times New Roman;serif" w:hAnsi="Times New Roman;serif"/>
                <w:b/>
                <w:sz w:val="19"/>
              </w:rPr>
              <w:t>Delaware</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9"/>
              </w:rPr>
            </w:pPr>
            <w:r>
              <w:rPr>
                <w:rFonts w:ascii="Times New Roman;serif" w:hAnsi="Times New Roman;serif"/>
                <w:b/>
                <w:sz w:val="19"/>
              </w:rPr>
              <w:t>77-0523891</w:t>
            </w:r>
          </w:p>
        </w:tc>
      </w:tr>
      <w:tr>
        <w:trPr/>
        <w:tc>
          <w:tcPr>
            <w:tcW w:w="237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spacing w:before="0" w:after="2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spacing w:before="0" w:after="20"/>
              <w:ind w:left="0" w:right="0" w:hanging="0"/>
              <w:jc w:val="center"/>
              <w:rPr>
                <w:rFonts w:ascii="Times New Roman;serif" w:hAnsi="Times New Roman;serif"/>
                <w:b/>
                <w:sz w:val="16"/>
              </w:rPr>
            </w:pPr>
            <w:r>
              <w:rPr>
                <w:rFonts w:ascii="Times New Roman;serif" w:hAnsi="Times New Roman;serif"/>
                <w:b/>
                <w:sz w:val="16"/>
              </w:rPr>
              <w:t>Identification No.)</w:t>
            </w:r>
          </w:p>
        </w:tc>
      </w:tr>
    </w:tbl>
    <w:p>
      <w:pPr>
        <w:pStyle w:val="TextBody"/>
        <w:spacing w:before="80" w:after="0"/>
        <w:jc w:val="center"/>
        <w:rPr>
          <w:rFonts w:ascii="Times New Roman" w:hAnsi="Times New Roman"/>
          <w:sz w:val="20"/>
        </w:rPr>
      </w:pPr>
      <w:r>
        <w:rPr>
          <w:rFonts w:ascii="Times New Roman;serif" w:hAnsi="Times New Roman;serif"/>
          <w:b/>
          <w:sz w:val="19"/>
        </w:rPr>
        <w:t>203 Redwood Shores Parkway, Suite 500</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19"/>
        </w:rPr>
        <w:t>Redwood City, California</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16"/>
        </w:rPr>
        <w:t>(Address of principal executive offices)</w:t>
      </w:r>
      <w:r>
        <w:rPr>
          <w:rFonts w:ascii="Times New Roman" w:hAnsi="Times New Roman"/>
          <w:sz w:val="20"/>
        </w:rPr>
        <w:t xml:space="preserve"> </w:t>
      </w:r>
    </w:p>
    <w:p>
      <w:pPr>
        <w:pStyle w:val="TextBody"/>
        <w:spacing w:before="80" w:after="0"/>
        <w:jc w:val="center"/>
        <w:rPr>
          <w:rFonts w:ascii="Times New Roman" w:hAnsi="Times New Roman"/>
          <w:sz w:val="20"/>
        </w:rPr>
      </w:pPr>
      <w:r>
        <w:rPr>
          <w:rFonts w:ascii="Times New Roman;serif" w:hAnsi="Times New Roman;serif"/>
          <w:b/>
          <w:sz w:val="19"/>
        </w:rPr>
        <w:t>94065</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16"/>
        </w:rPr>
        <w:t>(Zip Code)</w:t>
      </w:r>
      <w:r>
        <w:rPr>
          <w:rFonts w:ascii="Times New Roman" w:hAnsi="Times New Roman"/>
          <w:sz w:val="20"/>
        </w:rPr>
        <w:t xml:space="preserve"> </w:t>
      </w:r>
    </w:p>
    <w:p>
      <w:pPr>
        <w:pStyle w:val="TextBody"/>
        <w:spacing w:before="80" w:after="0"/>
        <w:jc w:val="center"/>
        <w:rPr>
          <w:rFonts w:ascii="Times New Roman" w:hAnsi="Times New Roman"/>
          <w:sz w:val="20"/>
        </w:rPr>
      </w:pPr>
      <w:r>
        <w:rPr>
          <w:rFonts w:ascii="Times New Roman;serif" w:hAnsi="Times New Roman;serif"/>
          <w:b/>
          <w:sz w:val="19"/>
        </w:rPr>
        <w:t>(650) 213-8444</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16"/>
        </w:rPr>
        <w:t>(Registrant’s telephone number, including area code)</w:t>
      </w:r>
      <w:r>
        <w:rPr>
          <w:rFonts w:ascii="Times New Roman" w:hAnsi="Times New Roman"/>
          <w:sz w:val="20"/>
        </w:rPr>
        <w:t xml:space="preserve"> </w:t>
      </w:r>
    </w:p>
    <w:p>
      <w:pPr>
        <w:pStyle w:val="TextBody"/>
        <w:pBdr>
          <w:bottom w:val="single" w:sz="8" w:space="1" w:color="000000"/>
        </w:pBdr>
        <w:spacing w:before="0" w:after="0"/>
        <w:jc w:val="center"/>
        <w:rPr/>
      </w:pPr>
      <w:r>
        <w:rPr/>
        <w:t> </w:t>
      </w:r>
    </w:p>
    <w:tbl>
      <w:tblPr>
        <w:tblW w:w="7248" w:type="dxa"/>
        <w:jc w:val="left"/>
        <w:tblInd w:w="0" w:type="dxa"/>
        <w:tblCellMar>
          <w:top w:w="28" w:type="dxa"/>
          <w:left w:w="28" w:type="dxa"/>
          <w:bottom w:w="28" w:type="dxa"/>
          <w:right w:w="28" w:type="dxa"/>
        </w:tblCellMar>
      </w:tblPr>
      <w:tblGrid>
        <w:gridCol w:w="2476"/>
        <w:gridCol w:w="1456"/>
        <w:gridCol w:w="3316"/>
      </w:tblGrid>
      <w:tr>
        <w:trPr/>
        <w:tc>
          <w:tcPr>
            <w:tcW w:w="2476"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7248" w:type="dxa"/>
            <w:gridSpan w:val="3"/>
            <w:tcBorders/>
            <w:shd w:fill="auto" w:val="clear"/>
            <w:vAlign w:val="center"/>
          </w:tcPr>
          <w:p>
            <w:pPr>
              <w:pStyle w:val="TableContents"/>
              <w:spacing w:before="0" w:after="0"/>
              <w:ind w:left="0" w:right="0" w:firstLine="490"/>
              <w:jc w:val="left"/>
              <w:rPr/>
            </w:pPr>
            <w:r>
              <w:rPr/>
              <w:t> </w:t>
            </w:r>
          </w:p>
          <w:p>
            <w:pPr>
              <w:pStyle w:val="TableContents"/>
              <w:spacing w:before="0" w:after="0"/>
              <w:ind w:left="0" w:right="0" w:firstLine="490"/>
              <w:jc w:val="left"/>
              <w:rPr>
                <w:rFonts w:ascii="Times New Roman;serif" w:hAnsi="Times New Roman;serif"/>
                <w:b w:val="false"/>
                <w:sz w:val="17"/>
              </w:rPr>
            </w:pPr>
            <w:r>
              <w:rPr>
                <w:rFonts w:ascii="Times New Roman;serif" w:hAnsi="Times New Roman;serif"/>
                <w:b w:val="false"/>
                <w:sz w:val="17"/>
              </w:rPr>
              <w:t>Securities registered pursuant to Section 12(b) of the Act:</w:t>
            </w:r>
          </w:p>
        </w:tc>
      </w:tr>
      <w:tr>
        <w:trPr/>
        <w:tc>
          <w:tcPr>
            <w:tcW w:w="2476"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left"/>
              <w:rPr/>
            </w:pPr>
            <w:r>
              <w:rPr/>
              <w:t> </w:t>
            </w:r>
          </w:p>
        </w:tc>
        <w:tc>
          <w:tcPr>
            <w:tcW w:w="3316" w:type="dxa"/>
            <w:tcBorders/>
            <w:shd w:fill="auto" w:val="clear"/>
            <w:vAlign w:val="center"/>
          </w:tcPr>
          <w:p>
            <w:pPr>
              <w:pStyle w:val="TableContents"/>
              <w:spacing w:before="0" w:after="0"/>
              <w:ind w:left="0" w:right="0" w:hanging="0"/>
              <w:jc w:val="left"/>
              <w:rPr/>
            </w:pPr>
            <w:r>
              <w:rPr/>
              <w:t> </w:t>
            </w:r>
          </w:p>
        </w:tc>
      </w:tr>
      <w:tr>
        <w:trPr/>
        <w:tc>
          <w:tcPr>
            <w:tcW w:w="2476" w:type="dxa"/>
            <w:tcBorders>
              <w:top w:val="single" w:sz="8" w:space="0" w:color="000000"/>
              <w:left w:val="single" w:sz="8" w:space="0" w:color="000000"/>
            </w:tcBorders>
            <w:shd w:fill="auto" w:val="clear"/>
            <w:tcMar>
              <w:top w:w="30" w:type="dxa"/>
              <w:left w:w="30" w:type="dxa"/>
              <w:bottom w:w="0" w:type="dxa"/>
              <w:right w:w="0" w:type="dxa"/>
            </w:tcMar>
            <w:vAlign w:val="center"/>
          </w:tcPr>
          <w:p>
            <w:pPr>
              <w:pStyle w:val="TableContents"/>
              <w:spacing w:before="0" w:after="0"/>
              <w:ind w:left="0" w:right="0" w:hanging="0"/>
              <w:jc w:val="center"/>
              <w:rPr>
                <w:rFonts w:ascii="Times New Roman;serif" w:hAnsi="Times New Roman;serif"/>
                <w:b/>
                <w:sz w:val="17"/>
              </w:rPr>
            </w:pPr>
            <w:r>
              <w:rPr>
                <w:rFonts w:ascii="Times New Roman;serif" w:hAnsi="Times New Roman;serif"/>
                <w:b/>
                <w:sz w:val="17"/>
              </w:rPr>
              <w:t>Title of each class</w:t>
            </w:r>
          </w:p>
        </w:tc>
        <w:tc>
          <w:tcPr>
            <w:tcW w:w="1456" w:type="dxa"/>
            <w:tcBorders>
              <w:top w:val="single" w:sz="8" w:space="0" w:color="000000"/>
              <w:left w:val="single" w:sz="8" w:space="0" w:color="000000"/>
            </w:tcBorders>
            <w:shd w:fill="auto" w:val="clear"/>
            <w:tcMar>
              <w:top w:w="30" w:type="dxa"/>
              <w:left w:w="30" w:type="dxa"/>
              <w:bottom w:w="0" w:type="dxa"/>
              <w:right w:w="0" w:type="dxa"/>
            </w:tcMar>
            <w:vAlign w:val="center"/>
          </w:tcPr>
          <w:p>
            <w:pPr>
              <w:pStyle w:val="TableContents"/>
              <w:spacing w:before="0" w:after="0"/>
              <w:ind w:left="0" w:right="0" w:hanging="0"/>
              <w:jc w:val="center"/>
              <w:rPr>
                <w:rFonts w:ascii="Times New Roman;serif" w:hAnsi="Times New Roman;serif"/>
                <w:b/>
                <w:sz w:val="17"/>
              </w:rPr>
            </w:pPr>
            <w:r>
              <w:rPr>
                <w:rFonts w:ascii="Times New Roman;serif" w:hAnsi="Times New Roman;serif"/>
                <w:b/>
                <w:sz w:val="17"/>
              </w:rPr>
              <w:t>Trading Symbol(s)</w:t>
            </w:r>
          </w:p>
        </w:tc>
        <w:tc>
          <w:tcPr>
            <w:tcW w:w="3316" w:type="dxa"/>
            <w:tcBorders>
              <w:top w:val="single" w:sz="8" w:space="0" w:color="000000"/>
              <w:left w:val="single" w:sz="8" w:space="0" w:color="000000"/>
              <w:right w:val="single" w:sz="8" w:space="0" w:color="000000"/>
            </w:tcBorders>
            <w:shd w:fill="auto" w:val="clear"/>
            <w:tcMar>
              <w:top w:w="30" w:type="dxa"/>
              <w:left w:w="30" w:type="dxa"/>
              <w:bottom w:w="0" w:type="dxa"/>
              <w:right w:w="30" w:type="dxa"/>
            </w:tcMar>
            <w:vAlign w:val="center"/>
          </w:tcPr>
          <w:p>
            <w:pPr>
              <w:pStyle w:val="TableContents"/>
              <w:spacing w:before="0" w:after="0"/>
              <w:ind w:left="0" w:right="0" w:hanging="0"/>
              <w:jc w:val="center"/>
              <w:rPr>
                <w:rFonts w:ascii="Times New Roman;serif" w:hAnsi="Times New Roman;serif"/>
                <w:b/>
                <w:sz w:val="17"/>
              </w:rPr>
            </w:pPr>
            <w:r>
              <w:rPr>
                <w:rFonts w:ascii="Times New Roman;serif" w:hAnsi="Times New Roman;serif"/>
                <w:b/>
                <w:sz w:val="17"/>
              </w:rPr>
              <w:t>Name of each exchange on which registered</w:t>
            </w:r>
          </w:p>
        </w:tc>
      </w:tr>
      <w:tr>
        <w:trPr/>
        <w:tc>
          <w:tcPr>
            <w:tcW w:w="2476" w:type="dxa"/>
            <w:tcBorders>
              <w:top w:val="single" w:sz="8" w:space="0" w:color="000000"/>
              <w:left w:val="single" w:sz="8" w:space="0" w:color="000000"/>
              <w:bottom w:val="single" w:sz="8" w:space="0" w:color="000000"/>
            </w:tcBorders>
            <w:shd w:fill="auto" w:val="clear"/>
            <w:tcMar>
              <w:top w:w="30" w:type="dxa"/>
              <w:left w:w="30" w:type="dxa"/>
              <w:bottom w:w="30" w:type="dxa"/>
              <w:right w:w="0" w:type="dxa"/>
            </w:tcMar>
            <w:vAlign w:val="center"/>
          </w:tcPr>
          <w:p>
            <w:pPr>
              <w:pStyle w:val="TableContents"/>
              <w:spacing w:before="0" w:after="0"/>
              <w:ind w:left="0" w:right="0" w:hanging="0"/>
              <w:jc w:val="center"/>
              <w:rPr>
                <w:rFonts w:ascii="Times New Roman;serif" w:hAnsi="Times New Roman;serif"/>
                <w:b w:val="false"/>
                <w:sz w:val="17"/>
              </w:rPr>
            </w:pPr>
            <w:r>
              <w:rPr>
                <w:rFonts w:ascii="Times New Roman;serif" w:hAnsi="Times New Roman;serif"/>
                <w:b w:val="false"/>
                <w:sz w:val="17"/>
              </w:rPr>
              <w:t>Common Stock, $0.001 par value</w:t>
            </w:r>
          </w:p>
        </w:tc>
        <w:tc>
          <w:tcPr>
            <w:tcW w:w="1456" w:type="dxa"/>
            <w:tcBorders>
              <w:top w:val="single" w:sz="8" w:space="0" w:color="000000"/>
              <w:left w:val="single" w:sz="8" w:space="0" w:color="000000"/>
              <w:bottom w:val="single" w:sz="8" w:space="0" w:color="000000"/>
            </w:tcBorders>
            <w:shd w:fill="auto" w:val="clear"/>
            <w:tcMar>
              <w:top w:w="30" w:type="dxa"/>
              <w:left w:w="30" w:type="dxa"/>
              <w:bottom w:w="30" w:type="dxa"/>
              <w:right w:w="0" w:type="dxa"/>
            </w:tcMar>
            <w:vAlign w:val="center"/>
          </w:tcPr>
          <w:p>
            <w:pPr>
              <w:pStyle w:val="TableContents"/>
              <w:spacing w:before="0" w:after="0"/>
              <w:ind w:left="0" w:right="0" w:hanging="0"/>
              <w:jc w:val="center"/>
              <w:rPr>
                <w:rFonts w:ascii="Times New Roman;serif" w:hAnsi="Times New Roman;serif"/>
                <w:b w:val="false"/>
                <w:sz w:val="17"/>
              </w:rPr>
            </w:pPr>
            <w:r>
              <w:rPr>
                <w:rFonts w:ascii="Times New Roman;serif" w:hAnsi="Times New Roman;serif"/>
                <w:b w:val="false"/>
                <w:sz w:val="17"/>
              </w:rPr>
              <w:t>SLNO</w:t>
            </w:r>
          </w:p>
        </w:tc>
        <w:tc>
          <w:tcPr>
            <w:tcW w:w="3316" w:type="dxa"/>
            <w:tcBorders>
              <w:top w:val="single" w:sz="8" w:space="0" w:color="000000"/>
              <w:left w:val="single" w:sz="8" w:space="0" w:color="000000"/>
              <w:bottom w:val="single" w:sz="8" w:space="0" w:color="000000"/>
              <w:right w:val="single" w:sz="8" w:space="0" w:color="000000"/>
            </w:tcBorders>
            <w:shd w:fill="auto" w:val="clear"/>
            <w:tcMar>
              <w:top w:w="30" w:type="dxa"/>
              <w:left w:w="30" w:type="dxa"/>
              <w:bottom w:w="30" w:type="dxa"/>
              <w:right w:w="30" w:type="dxa"/>
            </w:tcMar>
            <w:vAlign w:val="center"/>
          </w:tcPr>
          <w:p>
            <w:pPr>
              <w:pStyle w:val="TableContents"/>
              <w:spacing w:before="0" w:after="0"/>
              <w:ind w:left="0" w:right="0" w:hanging="0"/>
              <w:jc w:val="center"/>
              <w:rPr>
                <w:rFonts w:ascii="Times New Roman;serif" w:hAnsi="Times New Roman;serif"/>
                <w:b w:val="false"/>
                <w:sz w:val="17"/>
              </w:rPr>
            </w:pPr>
            <w:r>
              <w:rPr>
                <w:rFonts w:ascii="Times New Roman;serif" w:hAnsi="Times New Roman;serif"/>
                <w:b w:val="false"/>
                <w:sz w:val="17"/>
              </w:rPr>
              <w:t>NASDAQ</w:t>
            </w:r>
          </w:p>
        </w:tc>
      </w:tr>
    </w:tbl>
    <w:p>
      <w:pPr>
        <w:pStyle w:val="TextBody"/>
        <w:spacing w:before="80" w:after="0"/>
        <w:jc w:val="left"/>
        <w:rPr>
          <w:rFonts w:ascii="Times New Roman" w:hAnsi="Times New Roman"/>
          <w:sz w:val="20"/>
        </w:rPr>
      </w:pPr>
      <w:r>
        <w:rPr>
          <w:rFonts w:ascii="Times New Roman;serif" w:hAnsi="Times New Roman;serif"/>
          <w:b w:val="false"/>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7"/>
        </w:rPr>
        <w:t xml:space="preserve">No </w:t>
      </w:r>
      <w:r>
        <w:rPr>
          <w:rFonts w:ascii="Times New Roman" w:hAnsi="Times New Roman"/>
          <w:sz w:val="20"/>
        </w:rPr>
        <w:t xml:space="preserve">☐ </w:t>
      </w:r>
    </w:p>
    <w:p>
      <w:pPr>
        <w:pStyle w:val="TextBody"/>
        <w:spacing w:before="60" w:after="0"/>
        <w:jc w:val="left"/>
        <w:rPr>
          <w:rFonts w:ascii="Times New Roman" w:hAnsi="Times New Roman"/>
          <w:sz w:val="20"/>
        </w:rPr>
      </w:pPr>
      <w:r>
        <w:rPr>
          <w:rFonts w:ascii="Times New Roman;serif" w:hAnsi="Times New Roman;serif"/>
          <w:b w:val="false"/>
          <w:sz w:val="17"/>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7"/>
        </w:rPr>
        <w:t xml:space="preserve">No </w:t>
      </w:r>
      <w:r>
        <w:rPr>
          <w:rFonts w:ascii="Times New Roman" w:hAnsi="Times New Roman"/>
          <w:sz w:val="20"/>
        </w:rPr>
        <w:t xml:space="preserve">☐ </w:t>
      </w:r>
    </w:p>
    <w:p>
      <w:pPr>
        <w:pStyle w:val="TextBody"/>
        <w:spacing w:before="60" w:after="0"/>
        <w:jc w:val="left"/>
        <w:rPr>
          <w:rFonts w:ascii="Times New Roman" w:hAnsi="Times New Roman"/>
          <w:sz w:val="20"/>
        </w:rPr>
      </w:pPr>
      <w:r>
        <w:rPr>
          <w:rFonts w:ascii="Times New Roman;serif" w:hAnsi="Times New Roman;serif"/>
          <w:b w:val="false"/>
          <w:sz w:val="17"/>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spacing w:before="0" w:after="0"/>
        <w:jc w:val="left"/>
        <w:rPr/>
      </w:pPr>
      <w:r>
        <w:rPr/>
        <w:t> </w:t>
      </w:r>
    </w:p>
    <w:tbl>
      <w:tblPr>
        <w:tblW w:w="4369" w:type="dxa"/>
        <w:jc w:val="left"/>
        <w:tblInd w:w="0" w:type="dxa"/>
        <w:tblCellMar>
          <w:top w:w="28" w:type="dxa"/>
          <w:left w:w="28" w:type="dxa"/>
          <w:bottom w:w="28" w:type="dxa"/>
          <w:right w:w="28" w:type="dxa"/>
        </w:tblCellMar>
      </w:tblPr>
      <w:tblGrid>
        <w:gridCol w:w="1666"/>
        <w:gridCol w:w="316"/>
        <w:gridCol w:w="2026"/>
        <w:gridCol w:w="361"/>
      </w:tblGrid>
      <w:tr>
        <w:trPr/>
        <w:tc>
          <w:tcPr>
            <w:tcW w:w="166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666"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Large accelerated filer</w:t>
            </w:r>
          </w:p>
        </w:tc>
        <w:tc>
          <w:tcPr>
            <w:tcW w:w="316" w:type="dxa"/>
            <w:tcBorders/>
            <w:shd w:fill="auto" w:val="clear"/>
            <w:vAlign w:val="center"/>
          </w:tcPr>
          <w:p>
            <w:pPr>
              <w:pStyle w:val="TableContents"/>
              <w:spacing w:before="0" w:after="0"/>
              <w:ind w:left="0" w:right="0" w:hanging="0"/>
              <w:jc w:val="left"/>
              <w:rPr/>
            </w:pPr>
            <w:r>
              <w:rPr/>
              <w:t>☐</w:t>
            </w:r>
          </w:p>
        </w:tc>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Accelerated filer</w:t>
            </w:r>
          </w:p>
        </w:tc>
        <w:tc>
          <w:tcPr>
            <w:tcW w:w="361" w:type="dxa"/>
            <w:tcBorders/>
            <w:shd w:fill="auto" w:val="clear"/>
            <w:vAlign w:val="center"/>
          </w:tcPr>
          <w:p>
            <w:pPr>
              <w:pStyle w:val="TableContents"/>
              <w:spacing w:before="0" w:after="0"/>
              <w:ind w:left="0" w:right="0" w:hanging="0"/>
              <w:jc w:val="left"/>
              <w:rPr/>
            </w:pPr>
            <w:r>
              <w:rPr/>
              <w:t>☐</w:t>
            </w:r>
          </w:p>
        </w:tc>
      </w:tr>
      <w:tr>
        <w:trPr/>
        <w:tc>
          <w:tcPr>
            <w:tcW w:w="1666"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Non-accelerated filer</w:t>
            </w:r>
          </w:p>
        </w:tc>
        <w:tc>
          <w:tcPr>
            <w:tcW w:w="316" w:type="dxa"/>
            <w:tcBorders/>
            <w:shd w:fill="auto" w:val="clear"/>
            <w:vAlign w:val="center"/>
          </w:tcPr>
          <w:p>
            <w:pPr>
              <w:pStyle w:val="TableContents"/>
              <w:spacing w:before="0" w:after="20"/>
              <w:ind w:left="0" w:right="0" w:hanging="0"/>
              <w:jc w:val="left"/>
              <w:rPr/>
            </w:pPr>
            <w:r>
              <w:rPr/>
              <w:t>☒</w:t>
            </w:r>
          </w:p>
        </w:tc>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Smaller reporting company</w:t>
            </w:r>
          </w:p>
        </w:tc>
        <w:tc>
          <w:tcPr>
            <w:tcW w:w="361" w:type="dxa"/>
            <w:tcBorders/>
            <w:shd w:fill="auto" w:val="clear"/>
            <w:vAlign w:val="center"/>
          </w:tcPr>
          <w:p>
            <w:pPr>
              <w:pStyle w:val="TableContents"/>
              <w:spacing w:before="0" w:after="0"/>
              <w:ind w:left="0" w:right="0" w:hanging="0"/>
              <w:jc w:val="left"/>
              <w:rPr/>
            </w:pPr>
            <w:r>
              <w:rPr/>
              <w:t>☒</w:t>
            </w:r>
          </w:p>
        </w:tc>
      </w:tr>
      <w:tr>
        <w:trPr/>
        <w:tc>
          <w:tcPr>
            <w:tcW w:w="166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Emerging growth company</w:t>
            </w:r>
          </w:p>
        </w:tc>
        <w:tc>
          <w:tcPr>
            <w:tcW w:w="361" w:type="dxa"/>
            <w:tcBorders/>
            <w:shd w:fill="auto" w:val="clear"/>
            <w:vAlign w:val="center"/>
          </w:tcPr>
          <w:p>
            <w:pPr>
              <w:pStyle w:val="TableContents"/>
              <w:spacing w:before="0" w:after="0"/>
              <w:ind w:left="0" w:right="0" w:hanging="0"/>
              <w:jc w:val="left"/>
              <w:rPr/>
            </w:pPr>
            <w:r>
              <w:rPr/>
              <w:t>☐</w:t>
            </w:r>
          </w:p>
        </w:tc>
      </w:tr>
    </w:tbl>
    <w:p>
      <w:pPr>
        <w:pStyle w:val="TextBody"/>
        <w:spacing w:before="60" w:after="0"/>
        <w:jc w:val="left"/>
        <w:rPr>
          <w:rFonts w:ascii="Times New Roman" w:hAnsi="Times New Roman"/>
          <w:sz w:val="20"/>
        </w:rPr>
      </w:pPr>
      <w:r>
        <w:rPr>
          <w:rFonts w:ascii="Times New Roman;serif" w:hAnsi="Times New Roman;serif"/>
          <w:b w:val="false"/>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spacing w:before="60" w:after="0"/>
        <w:jc w:val="left"/>
        <w:rPr>
          <w:rFonts w:ascii="Times New Roman" w:hAnsi="Times New Roman"/>
          <w:sz w:val="20"/>
        </w:rPr>
      </w:pPr>
      <w:r>
        <w:rPr>
          <w:rFonts w:ascii="Times New Roman;serif" w:hAnsi="Times New Roman;serif"/>
          <w:b w:val="false"/>
          <w:sz w:val="17"/>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7"/>
        </w:rPr>
        <w:t xml:space="preserve">No </w:t>
      </w:r>
      <w:r>
        <w:rPr>
          <w:rFonts w:ascii="Times New Roman" w:hAnsi="Times New Roman"/>
          <w:sz w:val="20"/>
        </w:rPr>
        <w:t xml:space="preserve">☒ </w:t>
      </w:r>
    </w:p>
    <w:p>
      <w:pPr>
        <w:pStyle w:val="TextBody"/>
        <w:spacing w:before="60" w:after="0"/>
        <w:jc w:val="left"/>
        <w:rPr>
          <w:rFonts w:ascii="Times New Roman" w:hAnsi="Times New Roman"/>
          <w:sz w:val="20"/>
        </w:rPr>
      </w:pPr>
      <w:r>
        <w:rPr>
          <w:rFonts w:ascii="Times New Roman;serif" w:hAnsi="Times New Roman;serif"/>
          <w:b w:val="false"/>
          <w:sz w:val="17"/>
        </w:rPr>
        <w:t>As of May 4, 2023, there were 8,168,788</w:t>
      </w:r>
      <w:r>
        <w:rPr>
          <w:rFonts w:ascii="Times New Roman" w:hAnsi="Times New Roman"/>
          <w:sz w:val="20"/>
        </w:rPr>
        <w:t xml:space="preserve"> </w:t>
      </w:r>
      <w:r>
        <w:rPr>
          <w:rFonts w:ascii="Times New Roman;serif" w:hAnsi="Times New Roman;serif"/>
          <w:b w:val="false"/>
          <w:sz w:val="17"/>
        </w:rPr>
        <w:t>shares of the registrant’s Common Stock, par value $0.001 per share, outstanding</w:t>
      </w:r>
      <w:r>
        <w:rPr>
          <w:rFonts w:ascii="Times New Roman;serif" w:hAnsi="Times New Roman;serif"/>
          <w:b w:val="false"/>
          <w:sz w:val="20"/>
        </w:rPr>
        <w:t>.</w:t>
      </w:r>
      <w:r>
        <w:rPr>
          <w:rFonts w:ascii="Times New Roman" w:hAnsi="Times New Roman"/>
          <w:sz w:val="20"/>
        </w:rPr>
        <w:t xml:space="preserve">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SOLENO THERAPEUTICS, INC.</w:t>
      </w:r>
      <w:r>
        <w:rPr>
          <w:rFonts w:ascii="Times New Roman" w:hAnsi="Times New Roman"/>
          <w:sz w:val="20"/>
        </w:rPr>
        <w:t xml:space="preserve"> </w:t>
      </w:r>
    </w:p>
    <w:p>
      <w:pPr>
        <w:pStyle w:val="TextBody"/>
        <w:spacing w:before="240" w:after="0"/>
        <w:jc w:val="center"/>
        <w:rPr>
          <w:rFonts w:ascii="Times New Roman" w:hAnsi="Times New Roman"/>
          <w:sz w:val="20"/>
        </w:rPr>
      </w:pPr>
      <w:bookmarkStart w:id="2" w:name="toc"/>
      <w:bookmarkEnd w:id="2"/>
      <w:r>
        <w:rPr>
          <w:rFonts w:ascii="Times New Roman;serif" w:hAnsi="Times New Roman;serif"/>
          <w:b/>
          <w:sz w:val="20"/>
        </w:rPr>
        <w:t>TABLE OF CONTENTS</w:t>
      </w:r>
      <w:r>
        <w:rPr>
          <w:rFonts w:ascii="Times New Roman" w:hAnsi="Times New Roman"/>
          <w:sz w:val="20"/>
        </w:rPr>
        <w:t xml:space="preserve"> </w:t>
      </w:r>
    </w:p>
    <w:p>
      <w:pPr>
        <w:pStyle w:val="TextBody"/>
        <w:spacing w:before="0" w:after="0"/>
        <w:jc w:val="left"/>
        <w:rPr/>
      </w:pPr>
      <w:r>
        <w:rPr/>
        <w:t> </w:t>
      </w:r>
    </w:p>
    <w:tbl>
      <w:tblPr>
        <w:tblW w:w="9197" w:type="dxa"/>
        <w:jc w:val="left"/>
        <w:tblInd w:w="0" w:type="dxa"/>
        <w:tblCellMar>
          <w:top w:w="28" w:type="dxa"/>
          <w:left w:w="28" w:type="dxa"/>
          <w:bottom w:w="28" w:type="dxa"/>
          <w:right w:w="28" w:type="dxa"/>
        </w:tblCellMar>
      </w:tblPr>
      <w:tblGrid>
        <w:gridCol w:w="7981"/>
        <w:gridCol w:w="1216"/>
      </w:tblGrid>
      <w:tr>
        <w:trPr/>
        <w:tc>
          <w:tcPr>
            <w:tcW w:w="7981" w:type="dxa"/>
            <w:tcBorders/>
            <w:shd w:fill="FFFFFF" w:val="clear"/>
            <w:vAlign w:val="center"/>
          </w:tcPr>
          <w:p>
            <w:pPr>
              <w:pStyle w:val="TableContents"/>
              <w:spacing w:before="0" w:after="283"/>
              <w:rPr>
                <w:sz w:val="4"/>
                <w:szCs w:val="4"/>
              </w:rPr>
            </w:pPr>
            <w:r>
              <w:rPr>
                <w:sz w:val="4"/>
                <w:szCs w:val="4"/>
              </w:rPr>
            </w:r>
          </w:p>
        </w:tc>
        <w:tc>
          <w:tcPr>
            <w:tcW w:w="1216" w:type="dxa"/>
            <w:tcBorders/>
            <w:shd w:fill="FFFFFF" w:val="clear"/>
            <w:vAlign w:val="center"/>
          </w:tcPr>
          <w:p>
            <w:pPr>
              <w:pStyle w:val="TableContents"/>
              <w:spacing w:before="0" w:after="283"/>
              <w:rPr>
                <w:sz w:val="4"/>
                <w:szCs w:val="4"/>
              </w:rPr>
            </w:pPr>
            <w:r>
              <w:rPr>
                <w:sz w:val="4"/>
                <w:szCs w:val="4"/>
              </w:rPr>
            </w:r>
          </w:p>
        </w:tc>
      </w:tr>
      <w:tr>
        <w:trPr/>
        <w:tc>
          <w:tcPr>
            <w:tcW w:w="7981" w:type="dxa"/>
            <w:tcBorders/>
            <w:shd w:fill="auto" w:val="clear"/>
            <w:vAlign w:val="center"/>
          </w:tcPr>
          <w:p>
            <w:pPr>
              <w:pStyle w:val="TableContents"/>
              <w:spacing w:before="0" w:after="283"/>
              <w:ind w:left="0" w:right="0" w:hanging="0"/>
              <w:rPr>
                <w:sz w:val="4"/>
                <w:szCs w:val="4"/>
              </w:rPr>
            </w:pPr>
            <w:r>
              <w:rPr>
                <w:sz w:val="4"/>
                <w:szCs w:val="4"/>
              </w:rPr>
            </w:r>
          </w:p>
        </w:tc>
        <w:tc>
          <w:tcPr>
            <w:tcW w:w="121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Page</w:t>
            </w:r>
          </w:p>
        </w:tc>
      </w:tr>
      <w:tr>
        <w:trPr/>
        <w:tc>
          <w:tcPr>
            <w:tcW w:w="7981" w:type="dxa"/>
            <w:tcBorders/>
            <w:shd w:fill="auto" w:val="clear"/>
            <w:vAlign w:val="center"/>
          </w:tcPr>
          <w:p>
            <w:pPr>
              <w:pStyle w:val="TableContents"/>
              <w:spacing w:before="0" w:after="0"/>
              <w:ind w:left="0" w:right="0" w:hanging="0"/>
              <w:jc w:val="left"/>
              <w:rPr/>
            </w:pPr>
            <w:hyperlink w:anchor="part_ifinancial_information">
              <w:r>
                <w:rPr>
                  <w:rStyle w:val="InternetLink"/>
                  <w:rFonts w:ascii="Times New Roman;serif" w:hAnsi="Times New Roman;serif"/>
                  <w:b/>
                  <w:sz w:val="20"/>
                  <w:u w:val="single"/>
                </w:rPr>
                <w:t>PART I—FINANCIAL INFORMATION</w:t>
              </w:r>
            </w:hyperlink>
            <w:r>
              <w:rPr>
                <w:rFonts w:ascii="Times New Roman" w:hAnsi="Times New Roman"/>
                <w:sz w:val="20"/>
              </w:rPr>
              <w:t xml:space="preserve"> </w:t>
            </w:r>
          </w:p>
        </w:tc>
        <w:tc>
          <w:tcPr>
            <w:tcW w:w="1216" w:type="dxa"/>
            <w:tcBorders/>
            <w:shd w:fill="auto" w:val="clear"/>
            <w:vAlign w:val="center"/>
          </w:tcPr>
          <w:p>
            <w:pPr>
              <w:pStyle w:val="TableContents"/>
              <w:spacing w:before="0" w:after="0"/>
              <w:ind w:left="0" w:right="0" w:firstLine="480"/>
              <w:jc w:val="right"/>
              <w:rPr>
                <w:rFonts w:ascii="Times New Roman;serif" w:hAnsi="Times New Roman;serif"/>
                <w:b w:val="false"/>
                <w:sz w:val="20"/>
              </w:rPr>
            </w:pPr>
            <w:r>
              <w:rPr>
                <w:rFonts w:ascii="Times New Roman;serif" w:hAnsi="Times New Roman;serif"/>
                <w:b w:val="false"/>
                <w:sz w:val="20"/>
              </w:rPr>
              <w:t>3</w:t>
            </w:r>
          </w:p>
        </w:tc>
      </w:tr>
      <w:tr>
        <w:trPr/>
        <w:tc>
          <w:tcPr>
            <w:tcW w:w="7981" w:type="dxa"/>
            <w:tcBorders/>
            <w:shd w:fill="auto" w:val="clear"/>
            <w:vAlign w:val="center"/>
          </w:tcPr>
          <w:p>
            <w:pPr>
              <w:pStyle w:val="TableContents"/>
              <w:spacing w:before="0" w:after="0"/>
              <w:ind w:left="480" w:right="0" w:hanging="0"/>
              <w:jc w:val="left"/>
              <w:rPr/>
            </w:pPr>
            <w:hyperlink w:anchor="item1_financial_statements">
              <w:r>
                <w:rPr>
                  <w:rStyle w:val="InternetLink"/>
                  <w:rFonts w:ascii="Times New Roman;serif" w:hAnsi="Times New Roman;serif"/>
                  <w:b w:val="false"/>
                  <w:sz w:val="20"/>
                  <w:u w:val="single"/>
                </w:rPr>
                <w:t>Item 1. Financial Statements</w:t>
              </w:r>
            </w:hyperlink>
          </w:p>
        </w:tc>
        <w:tc>
          <w:tcPr>
            <w:tcW w:w="1216" w:type="dxa"/>
            <w:tcBorders/>
            <w:shd w:fill="auto" w:val="clear"/>
            <w:vAlign w:val="center"/>
          </w:tcPr>
          <w:p>
            <w:pPr>
              <w:pStyle w:val="TableContents"/>
              <w:spacing w:before="0" w:after="0"/>
              <w:ind w:left="0" w:right="0" w:firstLine="960"/>
              <w:jc w:val="right"/>
              <w:rPr>
                <w:rFonts w:ascii="Times New Roman;serif" w:hAnsi="Times New Roman;serif"/>
                <w:b w:val="false"/>
                <w:sz w:val="20"/>
              </w:rPr>
            </w:pPr>
            <w:r>
              <w:rPr>
                <w:rFonts w:ascii="Times New Roman;serif" w:hAnsi="Times New Roman;serif"/>
                <w:b w:val="false"/>
                <w:sz w:val="20"/>
              </w:rPr>
              <w:t>3</w:t>
            </w:r>
          </w:p>
        </w:tc>
      </w:tr>
      <w:tr>
        <w:trPr/>
        <w:tc>
          <w:tcPr>
            <w:tcW w:w="7981" w:type="dxa"/>
            <w:tcBorders/>
            <w:shd w:fill="auto" w:val="clear"/>
            <w:vAlign w:val="center"/>
          </w:tcPr>
          <w:p>
            <w:pPr>
              <w:pStyle w:val="TableContents"/>
              <w:spacing w:before="0" w:after="0"/>
              <w:ind w:left="960" w:right="0" w:hanging="0"/>
              <w:jc w:val="left"/>
              <w:rPr/>
            </w:pPr>
            <w:hyperlink w:anchor="condensed_consolidated_balance_sheets">
              <w:r>
                <w:rPr>
                  <w:rStyle w:val="InternetLink"/>
                  <w:rFonts w:ascii="Times New Roman;serif" w:hAnsi="Times New Roman;serif"/>
                  <w:b w:val="false"/>
                  <w:sz w:val="20"/>
                  <w:u w:val="single"/>
                </w:rPr>
                <w:t>Condensed Consolidated Balance Sheets (unaudited)</w:t>
              </w:r>
            </w:hyperlink>
          </w:p>
        </w:tc>
        <w:tc>
          <w:tcPr>
            <w:tcW w:w="1216" w:type="dxa"/>
            <w:tcBorders/>
            <w:shd w:fill="auto" w:val="clear"/>
            <w:vAlign w:val="center"/>
          </w:tcPr>
          <w:p>
            <w:pPr>
              <w:pStyle w:val="TableContents"/>
              <w:spacing w:before="0" w:after="0"/>
              <w:ind w:left="0" w:right="0" w:firstLine="960"/>
              <w:jc w:val="right"/>
              <w:rPr>
                <w:rFonts w:ascii="Times New Roman;serif" w:hAnsi="Times New Roman;serif"/>
                <w:b w:val="false"/>
                <w:sz w:val="20"/>
              </w:rPr>
            </w:pPr>
            <w:r>
              <w:rPr>
                <w:rFonts w:ascii="Times New Roman;serif" w:hAnsi="Times New Roman;serif"/>
                <w:b w:val="false"/>
                <w:sz w:val="20"/>
              </w:rPr>
              <w:t>3</w:t>
            </w:r>
          </w:p>
        </w:tc>
      </w:tr>
      <w:tr>
        <w:trPr/>
        <w:tc>
          <w:tcPr>
            <w:tcW w:w="7981" w:type="dxa"/>
            <w:tcBorders/>
            <w:shd w:fill="auto" w:val="clear"/>
            <w:vAlign w:val="center"/>
          </w:tcPr>
          <w:p>
            <w:pPr>
              <w:pStyle w:val="TableContents"/>
              <w:spacing w:before="0" w:after="0"/>
              <w:ind w:left="960" w:right="0" w:hanging="0"/>
              <w:jc w:val="left"/>
              <w:rPr/>
            </w:pPr>
            <w:hyperlink w:anchor="cndnsd_cnsldtd_stmnt_oprns_comprehensive">
              <w:r>
                <w:rPr>
                  <w:rStyle w:val="InternetLink"/>
                  <w:rFonts w:ascii="Times New Roman;serif" w:hAnsi="Times New Roman;serif"/>
                  <w:b w:val="false"/>
                  <w:sz w:val="20"/>
                  <w:u w:val="single"/>
                </w:rPr>
                <w:t>Condensed Consolidated Statements of Operations and Comprehensive Loss (unaudited)</w:t>
              </w:r>
            </w:hyperlink>
            <w:hyperlink w:anchor="cndnsd_cnsldtd_stmnt_oprns_comprehensive">
              <w:r>
                <w:rPr>
                  <w:rStyle w:val="InternetLink"/>
                  <w:rFonts w:ascii="Times New Roman" w:hAnsi="Times New Roman"/>
                  <w:sz w:val="20"/>
                </w:rPr>
                <w:t xml:space="preserve"> </w:t>
              </w:r>
            </w:hyperlink>
          </w:p>
        </w:tc>
        <w:tc>
          <w:tcPr>
            <w:tcW w:w="1216" w:type="dxa"/>
            <w:tcBorders/>
            <w:shd w:fill="auto" w:val="clear"/>
            <w:vAlign w:val="center"/>
          </w:tcPr>
          <w:p>
            <w:pPr>
              <w:pStyle w:val="TableContents"/>
              <w:spacing w:before="0" w:after="0"/>
              <w:ind w:left="0" w:right="0" w:firstLine="960"/>
              <w:jc w:val="right"/>
              <w:rPr>
                <w:rFonts w:ascii="Times New Roman;serif" w:hAnsi="Times New Roman;serif"/>
                <w:b w:val="false"/>
                <w:sz w:val="20"/>
              </w:rPr>
            </w:pPr>
            <w:r>
              <w:rPr>
                <w:rFonts w:ascii="Times New Roman;serif" w:hAnsi="Times New Roman;serif"/>
                <w:b w:val="false"/>
                <w:sz w:val="20"/>
              </w:rPr>
              <w:t>4</w:t>
            </w:r>
          </w:p>
        </w:tc>
      </w:tr>
      <w:tr>
        <w:trPr/>
        <w:tc>
          <w:tcPr>
            <w:tcW w:w="7981" w:type="dxa"/>
            <w:tcBorders/>
            <w:shd w:fill="auto" w:val="clear"/>
            <w:vAlign w:val="center"/>
          </w:tcPr>
          <w:p>
            <w:pPr>
              <w:pStyle w:val="TableContents"/>
              <w:spacing w:before="0" w:after="0"/>
              <w:ind w:left="960" w:right="0" w:hanging="0"/>
              <w:jc w:val="left"/>
              <w:rPr/>
            </w:pPr>
            <w:hyperlink w:anchor="condensed_consolidated_statements_stockh">
              <w:r>
                <w:rPr>
                  <w:rStyle w:val="InternetLink"/>
                  <w:rFonts w:ascii="Times New Roman;serif" w:hAnsi="Times New Roman;serif"/>
                  <w:b w:val="false"/>
                  <w:sz w:val="20"/>
                  <w:u w:val="single"/>
                </w:rPr>
                <w:t>Condensed Consolidated Statements of Stockholders’ Equity (unaudited)</w:t>
              </w:r>
            </w:hyperlink>
          </w:p>
        </w:tc>
        <w:tc>
          <w:tcPr>
            <w:tcW w:w="1216" w:type="dxa"/>
            <w:tcBorders/>
            <w:shd w:fill="auto" w:val="clear"/>
            <w:vAlign w:val="center"/>
          </w:tcPr>
          <w:p>
            <w:pPr>
              <w:pStyle w:val="TableContents"/>
              <w:spacing w:before="0" w:after="0"/>
              <w:ind w:left="0" w:right="0" w:firstLine="960"/>
              <w:jc w:val="right"/>
              <w:rPr>
                <w:rFonts w:ascii="Times New Roman;serif" w:hAnsi="Times New Roman;serif"/>
                <w:b w:val="false"/>
                <w:sz w:val="20"/>
              </w:rPr>
            </w:pPr>
            <w:r>
              <w:rPr>
                <w:rFonts w:ascii="Times New Roman;serif" w:hAnsi="Times New Roman;serif"/>
                <w:b w:val="false"/>
                <w:sz w:val="20"/>
              </w:rPr>
              <w:t>5</w:t>
            </w:r>
          </w:p>
        </w:tc>
      </w:tr>
      <w:tr>
        <w:trPr/>
        <w:tc>
          <w:tcPr>
            <w:tcW w:w="7981" w:type="dxa"/>
            <w:tcBorders/>
            <w:shd w:fill="auto" w:val="clear"/>
            <w:vAlign w:val="center"/>
          </w:tcPr>
          <w:p>
            <w:pPr>
              <w:pStyle w:val="TableContents"/>
              <w:spacing w:before="0" w:after="0"/>
              <w:ind w:left="960" w:right="0" w:hanging="0"/>
              <w:jc w:val="left"/>
              <w:rPr/>
            </w:pPr>
            <w:hyperlink w:anchor="cndnsd_cnsolidated_statements_cash_flows">
              <w:r>
                <w:rPr>
                  <w:rStyle w:val="InternetLink"/>
                  <w:rFonts w:ascii="Times New Roman;serif" w:hAnsi="Times New Roman;serif"/>
                  <w:b w:val="false"/>
                  <w:sz w:val="20"/>
                  <w:u w:val="single"/>
                </w:rPr>
                <w:t>Condensed Consolidated Statements of Cash Flows (unaudited)</w:t>
              </w:r>
            </w:hyperlink>
            <w:hyperlink w:anchor="cndnsd_cnsolidated_statements_cash_flows">
              <w:r>
                <w:rPr>
                  <w:rStyle w:val="InternetLink"/>
                  <w:rFonts w:ascii="Times New Roman" w:hAnsi="Times New Roman"/>
                  <w:sz w:val="20"/>
                </w:rPr>
                <w:t xml:space="preserve"> </w:t>
              </w:r>
            </w:hyperlink>
          </w:p>
        </w:tc>
        <w:tc>
          <w:tcPr>
            <w:tcW w:w="1216" w:type="dxa"/>
            <w:tcBorders/>
            <w:shd w:fill="auto" w:val="clear"/>
            <w:vAlign w:val="center"/>
          </w:tcPr>
          <w:p>
            <w:pPr>
              <w:pStyle w:val="TableContents"/>
              <w:spacing w:before="0" w:after="0"/>
              <w:ind w:left="0" w:right="0" w:firstLine="960"/>
              <w:jc w:val="right"/>
              <w:rPr>
                <w:rFonts w:ascii="Times New Roman;serif" w:hAnsi="Times New Roman;serif"/>
                <w:b w:val="false"/>
                <w:sz w:val="20"/>
              </w:rPr>
            </w:pPr>
            <w:r>
              <w:rPr>
                <w:rFonts w:ascii="Times New Roman;serif" w:hAnsi="Times New Roman;serif"/>
                <w:b w:val="false"/>
                <w:sz w:val="20"/>
              </w:rPr>
              <w:t>6</w:t>
            </w:r>
          </w:p>
        </w:tc>
      </w:tr>
      <w:tr>
        <w:trPr/>
        <w:tc>
          <w:tcPr>
            <w:tcW w:w="7981" w:type="dxa"/>
            <w:tcBorders/>
            <w:shd w:fill="auto" w:val="clear"/>
            <w:vAlign w:val="center"/>
          </w:tcPr>
          <w:p>
            <w:pPr>
              <w:pStyle w:val="TableContents"/>
              <w:spacing w:before="0" w:after="0"/>
              <w:ind w:left="960" w:right="0" w:hanging="0"/>
              <w:jc w:val="left"/>
              <w:rPr/>
            </w:pPr>
            <w:hyperlink w:anchor="notes_consolidated_financial_statements">
              <w:r>
                <w:rPr>
                  <w:rStyle w:val="InternetLink"/>
                  <w:rFonts w:ascii="Times New Roman;serif" w:hAnsi="Times New Roman;serif"/>
                  <w:b w:val="false"/>
                  <w:sz w:val="20"/>
                  <w:u w:val="single"/>
                </w:rPr>
                <w:t>Notes to Condensed Consolidated Financial Statements (unaudited)</w:t>
              </w:r>
            </w:hyperlink>
          </w:p>
        </w:tc>
        <w:tc>
          <w:tcPr>
            <w:tcW w:w="1216" w:type="dxa"/>
            <w:tcBorders/>
            <w:shd w:fill="auto" w:val="clear"/>
            <w:vAlign w:val="center"/>
          </w:tcPr>
          <w:p>
            <w:pPr>
              <w:pStyle w:val="TableContents"/>
              <w:spacing w:before="0" w:after="0"/>
              <w:ind w:left="0" w:right="0" w:firstLine="480"/>
              <w:jc w:val="right"/>
              <w:rPr>
                <w:rFonts w:ascii="Times New Roman;serif" w:hAnsi="Times New Roman;serif"/>
                <w:b w:val="false"/>
                <w:sz w:val="20"/>
              </w:rPr>
            </w:pPr>
            <w:r>
              <w:rPr>
                <w:rFonts w:ascii="Times New Roman;serif" w:hAnsi="Times New Roman;serif"/>
                <w:b w:val="false"/>
                <w:sz w:val="20"/>
              </w:rPr>
              <w:t>7</w:t>
            </w:r>
          </w:p>
        </w:tc>
      </w:tr>
      <w:tr>
        <w:trPr/>
        <w:tc>
          <w:tcPr>
            <w:tcW w:w="7981" w:type="dxa"/>
            <w:tcBorders/>
            <w:shd w:fill="auto" w:val="clear"/>
            <w:vAlign w:val="center"/>
          </w:tcPr>
          <w:p>
            <w:pPr>
              <w:pStyle w:val="TableContents"/>
              <w:spacing w:before="0" w:after="0"/>
              <w:ind w:left="480" w:right="0" w:hanging="0"/>
              <w:jc w:val="left"/>
              <w:rPr/>
            </w:pPr>
            <w:hyperlink w:anchor="item_2_managements_discussion_analysis_f">
              <w:r>
                <w:rPr>
                  <w:rStyle w:val="InternetLink"/>
                  <w:rFonts w:ascii="Times New Roman;serif" w:hAnsi="Times New Roman;serif"/>
                  <w:b w:val="false"/>
                  <w:sz w:val="20"/>
                  <w:u w:val="single"/>
                </w:rPr>
                <w:t>Item 2. Management’s Discussion and Analysis of Financial Condition and Results of Operations</w:t>
              </w:r>
            </w:hyperlink>
          </w:p>
        </w:tc>
        <w:tc>
          <w:tcPr>
            <w:tcW w:w="1216" w:type="dxa"/>
            <w:tcBorders/>
            <w:shd w:fill="auto" w:val="clear"/>
            <w:vAlign w:val="center"/>
          </w:tcPr>
          <w:p>
            <w:pPr>
              <w:pStyle w:val="TableContents"/>
              <w:spacing w:before="0" w:after="0"/>
              <w:ind w:left="0" w:right="0" w:firstLine="480"/>
              <w:jc w:val="right"/>
              <w:rPr>
                <w:rFonts w:ascii="Times New Roman;serif" w:hAnsi="Times New Roman;serif"/>
                <w:b w:val="false"/>
                <w:sz w:val="20"/>
              </w:rPr>
            </w:pPr>
            <w:r>
              <w:rPr>
                <w:rFonts w:ascii="Times New Roman;serif" w:hAnsi="Times New Roman;serif"/>
                <w:b w:val="false"/>
                <w:sz w:val="20"/>
              </w:rPr>
              <w:t>16</w:t>
            </w:r>
          </w:p>
        </w:tc>
      </w:tr>
      <w:tr>
        <w:trPr/>
        <w:tc>
          <w:tcPr>
            <w:tcW w:w="7981" w:type="dxa"/>
            <w:tcBorders/>
            <w:shd w:fill="auto" w:val="clear"/>
            <w:vAlign w:val="center"/>
          </w:tcPr>
          <w:p>
            <w:pPr>
              <w:pStyle w:val="TableContents"/>
              <w:spacing w:before="0" w:after="0"/>
              <w:ind w:left="480" w:right="0" w:hanging="0"/>
              <w:jc w:val="left"/>
              <w:rPr/>
            </w:pPr>
            <w:hyperlink w:anchor="item_3_quantitative_and_qualitative">
              <w:r>
                <w:rPr>
                  <w:rStyle w:val="InternetLink"/>
                  <w:rFonts w:ascii="Times New Roman;serif" w:hAnsi="Times New Roman;serif"/>
                  <w:b w:val="false"/>
                  <w:sz w:val="20"/>
                  <w:u w:val="single"/>
                </w:rPr>
                <w:t>Item 3. Quantitative and Qualitative Disclosures About Market Risk</w:t>
              </w:r>
            </w:hyperlink>
          </w:p>
        </w:tc>
        <w:tc>
          <w:tcPr>
            <w:tcW w:w="1216" w:type="dxa"/>
            <w:tcBorders/>
            <w:shd w:fill="auto" w:val="clear"/>
            <w:vAlign w:val="center"/>
          </w:tcPr>
          <w:p>
            <w:pPr>
              <w:pStyle w:val="TableContents"/>
              <w:spacing w:before="0" w:after="0"/>
              <w:ind w:left="0" w:right="0" w:firstLine="480"/>
              <w:jc w:val="right"/>
              <w:rPr>
                <w:rFonts w:ascii="Times New Roman;serif" w:hAnsi="Times New Roman;serif"/>
                <w:b w:val="false"/>
                <w:sz w:val="20"/>
              </w:rPr>
            </w:pPr>
            <w:r>
              <w:rPr>
                <w:rFonts w:ascii="Times New Roman;serif" w:hAnsi="Times New Roman;serif"/>
                <w:b w:val="false"/>
                <w:sz w:val="20"/>
              </w:rPr>
              <w:t>19</w:t>
            </w:r>
          </w:p>
        </w:tc>
      </w:tr>
      <w:tr>
        <w:trPr/>
        <w:tc>
          <w:tcPr>
            <w:tcW w:w="7981" w:type="dxa"/>
            <w:tcBorders/>
            <w:shd w:fill="auto" w:val="clear"/>
            <w:vAlign w:val="center"/>
          </w:tcPr>
          <w:p>
            <w:pPr>
              <w:pStyle w:val="TableContents"/>
              <w:spacing w:before="0" w:after="0"/>
              <w:ind w:left="480" w:right="0" w:hanging="0"/>
              <w:jc w:val="left"/>
              <w:rPr/>
            </w:pPr>
            <w:hyperlink w:anchor="controls_and_procedures">
              <w:r>
                <w:rPr>
                  <w:rStyle w:val="InternetLink"/>
                  <w:rFonts w:ascii="Times New Roman;serif" w:hAnsi="Times New Roman;serif"/>
                  <w:b w:val="false"/>
                  <w:sz w:val="20"/>
                  <w:u w:val="single"/>
                </w:rPr>
                <w:t>Item 4. Controls and Procedures</w:t>
              </w:r>
            </w:hyperlink>
          </w:p>
        </w:tc>
        <w:tc>
          <w:tcPr>
            <w:tcW w:w="12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r>
      <w:tr>
        <w:trPr/>
        <w:tc>
          <w:tcPr>
            <w:tcW w:w="7981" w:type="dxa"/>
            <w:tcBorders/>
            <w:shd w:fill="auto" w:val="clear"/>
            <w:vAlign w:val="center"/>
          </w:tcPr>
          <w:p>
            <w:pPr>
              <w:pStyle w:val="TableContents"/>
              <w:spacing w:before="0" w:after="0"/>
              <w:ind w:left="0" w:right="0" w:hanging="0"/>
              <w:jc w:val="left"/>
              <w:rPr/>
            </w:pPr>
            <w:hyperlink w:anchor="part_ii_other_information">
              <w:r>
                <w:rPr>
                  <w:rStyle w:val="InternetLink"/>
                  <w:rFonts w:ascii="Times New Roman;serif" w:hAnsi="Times New Roman;serif"/>
                  <w:b/>
                  <w:sz w:val="20"/>
                  <w:u w:val="single"/>
                </w:rPr>
                <w:t>PART II—OTHER INFORMATION</w:t>
              </w:r>
            </w:hyperlink>
          </w:p>
        </w:tc>
        <w:tc>
          <w:tcPr>
            <w:tcW w:w="1216" w:type="dxa"/>
            <w:tcBorders/>
            <w:shd w:fill="auto" w:val="clear"/>
            <w:vAlign w:val="center"/>
          </w:tcPr>
          <w:p>
            <w:pPr>
              <w:pStyle w:val="TableContents"/>
              <w:spacing w:before="0" w:after="0"/>
              <w:ind w:left="0" w:right="0" w:firstLine="480"/>
              <w:jc w:val="right"/>
              <w:rPr>
                <w:rFonts w:ascii="Times New Roman;serif" w:hAnsi="Times New Roman;serif"/>
                <w:b w:val="false"/>
                <w:sz w:val="20"/>
              </w:rPr>
            </w:pPr>
            <w:r>
              <w:rPr>
                <w:rFonts w:ascii="Times New Roman;serif" w:hAnsi="Times New Roman;serif"/>
                <w:b w:val="false"/>
                <w:sz w:val="20"/>
              </w:rPr>
              <w:t>20</w:t>
            </w:r>
          </w:p>
        </w:tc>
      </w:tr>
      <w:tr>
        <w:trPr/>
        <w:tc>
          <w:tcPr>
            <w:tcW w:w="7981" w:type="dxa"/>
            <w:tcBorders/>
            <w:shd w:fill="auto" w:val="clear"/>
            <w:vAlign w:val="center"/>
          </w:tcPr>
          <w:p>
            <w:pPr>
              <w:pStyle w:val="TableContents"/>
              <w:spacing w:before="0" w:after="0"/>
              <w:ind w:left="480" w:right="0" w:hanging="0"/>
              <w:jc w:val="left"/>
              <w:rPr/>
            </w:pPr>
            <w:hyperlink w:anchor="item_1_legal_proceedings">
              <w:r>
                <w:rPr>
                  <w:rStyle w:val="InternetLink"/>
                  <w:rFonts w:ascii="Times New Roman;serif" w:hAnsi="Times New Roman;serif"/>
                  <w:b w:val="false"/>
                  <w:sz w:val="20"/>
                  <w:u w:val="single"/>
                </w:rPr>
                <w:t>Item 1. Legal Proceedings</w:t>
              </w:r>
            </w:hyperlink>
          </w:p>
        </w:tc>
        <w:tc>
          <w:tcPr>
            <w:tcW w:w="1216" w:type="dxa"/>
            <w:tcBorders/>
            <w:shd w:fill="auto" w:val="clear"/>
            <w:vAlign w:val="center"/>
          </w:tcPr>
          <w:p>
            <w:pPr>
              <w:pStyle w:val="TableContents"/>
              <w:spacing w:before="0" w:after="0"/>
              <w:ind w:left="0" w:right="0" w:firstLine="480"/>
              <w:jc w:val="right"/>
              <w:rPr>
                <w:rFonts w:ascii="Times New Roman;serif" w:hAnsi="Times New Roman;serif"/>
                <w:b w:val="false"/>
                <w:sz w:val="20"/>
              </w:rPr>
            </w:pPr>
            <w:r>
              <w:rPr>
                <w:rFonts w:ascii="Times New Roman;serif" w:hAnsi="Times New Roman;serif"/>
                <w:b w:val="false"/>
                <w:sz w:val="20"/>
              </w:rPr>
              <w:t>20</w:t>
            </w:r>
          </w:p>
        </w:tc>
      </w:tr>
      <w:tr>
        <w:trPr/>
        <w:tc>
          <w:tcPr>
            <w:tcW w:w="7981" w:type="dxa"/>
            <w:tcBorders/>
            <w:shd w:fill="auto" w:val="clear"/>
            <w:vAlign w:val="center"/>
          </w:tcPr>
          <w:p>
            <w:pPr>
              <w:pStyle w:val="TableContents"/>
              <w:spacing w:before="0" w:after="0"/>
              <w:ind w:left="480" w:right="0" w:hanging="0"/>
              <w:jc w:val="left"/>
              <w:rPr/>
            </w:pPr>
            <w:hyperlink w:anchor="item_1a_risk_factors">
              <w:r>
                <w:rPr>
                  <w:rStyle w:val="InternetLink"/>
                  <w:rFonts w:ascii="Times New Roman;serif" w:hAnsi="Times New Roman;serif"/>
                  <w:b w:val="false"/>
                  <w:sz w:val="20"/>
                  <w:u w:val="single"/>
                </w:rPr>
                <w:t>Item 1A. Risk Factors</w:t>
              </w:r>
            </w:hyperlink>
          </w:p>
        </w:tc>
        <w:tc>
          <w:tcPr>
            <w:tcW w:w="1216" w:type="dxa"/>
            <w:tcBorders/>
            <w:shd w:fill="auto" w:val="clear"/>
            <w:vAlign w:val="center"/>
          </w:tcPr>
          <w:p>
            <w:pPr>
              <w:pStyle w:val="TableContents"/>
              <w:spacing w:before="0" w:after="0"/>
              <w:ind w:left="0" w:right="0" w:firstLine="480"/>
              <w:jc w:val="right"/>
              <w:rPr>
                <w:rFonts w:ascii="Times New Roman;serif" w:hAnsi="Times New Roman;serif"/>
                <w:b w:val="false"/>
                <w:sz w:val="20"/>
              </w:rPr>
            </w:pPr>
            <w:r>
              <w:rPr>
                <w:rFonts w:ascii="Times New Roman;serif" w:hAnsi="Times New Roman;serif"/>
                <w:b w:val="false"/>
                <w:sz w:val="20"/>
              </w:rPr>
              <w:t>20</w:t>
            </w:r>
          </w:p>
        </w:tc>
      </w:tr>
      <w:tr>
        <w:trPr/>
        <w:tc>
          <w:tcPr>
            <w:tcW w:w="7981" w:type="dxa"/>
            <w:tcBorders/>
            <w:shd w:fill="auto" w:val="clear"/>
            <w:vAlign w:val="center"/>
          </w:tcPr>
          <w:p>
            <w:pPr>
              <w:pStyle w:val="TableContents"/>
              <w:spacing w:before="0" w:after="0"/>
              <w:ind w:left="480" w:right="0" w:hanging="0"/>
              <w:jc w:val="left"/>
              <w:rPr/>
            </w:pPr>
            <w:hyperlink w:anchor="item_2_unregistered_sales_equity_securit">
              <w:r>
                <w:rPr>
                  <w:rStyle w:val="InternetLink"/>
                  <w:rFonts w:ascii="Times New Roman;serif" w:hAnsi="Times New Roman;serif"/>
                  <w:b w:val="false"/>
                  <w:sz w:val="20"/>
                  <w:u w:val="single"/>
                </w:rPr>
                <w:t>Item 2. Unregistered Sales of Equity Securities and Use of Proceeds</w:t>
              </w:r>
            </w:hyperlink>
          </w:p>
        </w:tc>
        <w:tc>
          <w:tcPr>
            <w:tcW w:w="1216" w:type="dxa"/>
            <w:tcBorders/>
            <w:shd w:fill="auto" w:val="clear"/>
            <w:vAlign w:val="center"/>
          </w:tcPr>
          <w:p>
            <w:pPr>
              <w:pStyle w:val="TableContents"/>
              <w:spacing w:before="0" w:after="0"/>
              <w:ind w:left="0" w:right="0" w:firstLine="480"/>
              <w:jc w:val="right"/>
              <w:rPr>
                <w:rFonts w:ascii="Times New Roman;serif" w:hAnsi="Times New Roman;serif"/>
                <w:b w:val="false"/>
                <w:sz w:val="20"/>
              </w:rPr>
            </w:pPr>
            <w:r>
              <w:rPr>
                <w:rFonts w:ascii="Times New Roman;serif" w:hAnsi="Times New Roman;serif"/>
                <w:b w:val="false"/>
                <w:sz w:val="20"/>
              </w:rPr>
              <w:t>20</w:t>
            </w:r>
          </w:p>
        </w:tc>
      </w:tr>
      <w:tr>
        <w:trPr/>
        <w:tc>
          <w:tcPr>
            <w:tcW w:w="7981" w:type="dxa"/>
            <w:tcBorders/>
            <w:shd w:fill="auto" w:val="clear"/>
            <w:vAlign w:val="center"/>
          </w:tcPr>
          <w:p>
            <w:pPr>
              <w:pStyle w:val="TableContents"/>
              <w:spacing w:before="0" w:after="0"/>
              <w:ind w:left="480" w:right="0" w:hanging="0"/>
              <w:jc w:val="left"/>
              <w:rPr/>
            </w:pPr>
            <w:hyperlink w:anchor="item_3_defaults_upon_senior_securities">
              <w:r>
                <w:rPr>
                  <w:rStyle w:val="InternetLink"/>
                  <w:rFonts w:ascii="Times New Roman;serif" w:hAnsi="Times New Roman;serif"/>
                  <w:b w:val="false"/>
                  <w:sz w:val="20"/>
                  <w:u w:val="single"/>
                </w:rPr>
                <w:t>Item 3. Defaults Upon Senior Securities</w:t>
              </w:r>
            </w:hyperlink>
          </w:p>
        </w:tc>
        <w:tc>
          <w:tcPr>
            <w:tcW w:w="1216" w:type="dxa"/>
            <w:tcBorders/>
            <w:shd w:fill="auto" w:val="clear"/>
            <w:vAlign w:val="center"/>
          </w:tcPr>
          <w:p>
            <w:pPr>
              <w:pStyle w:val="TableContents"/>
              <w:spacing w:before="0" w:after="0"/>
              <w:ind w:left="0" w:right="0" w:firstLine="480"/>
              <w:jc w:val="right"/>
              <w:rPr>
                <w:rFonts w:ascii="Times New Roman;serif" w:hAnsi="Times New Roman;serif"/>
                <w:b w:val="false"/>
                <w:sz w:val="20"/>
              </w:rPr>
            </w:pPr>
            <w:r>
              <w:rPr>
                <w:rFonts w:ascii="Times New Roman;serif" w:hAnsi="Times New Roman;serif"/>
                <w:b w:val="false"/>
                <w:sz w:val="20"/>
              </w:rPr>
              <w:t>20</w:t>
            </w:r>
          </w:p>
        </w:tc>
      </w:tr>
      <w:tr>
        <w:trPr/>
        <w:tc>
          <w:tcPr>
            <w:tcW w:w="7981" w:type="dxa"/>
            <w:tcBorders/>
            <w:shd w:fill="auto" w:val="clear"/>
            <w:vAlign w:val="center"/>
          </w:tcPr>
          <w:p>
            <w:pPr>
              <w:pStyle w:val="TableContents"/>
              <w:spacing w:before="0" w:after="0"/>
              <w:ind w:left="480" w:right="0" w:hanging="0"/>
              <w:jc w:val="left"/>
              <w:rPr/>
            </w:pPr>
            <w:hyperlink w:anchor="item_4_mine_safety_disclosures">
              <w:r>
                <w:rPr>
                  <w:rStyle w:val="InternetLink"/>
                  <w:rFonts w:ascii="Times New Roman;serif" w:hAnsi="Times New Roman;serif"/>
                  <w:b w:val="false"/>
                  <w:sz w:val="20"/>
                  <w:u w:val="single"/>
                </w:rPr>
                <w:t>Item 4. Mine Safety Disclosures</w:t>
              </w:r>
            </w:hyperlink>
          </w:p>
        </w:tc>
        <w:tc>
          <w:tcPr>
            <w:tcW w:w="1216" w:type="dxa"/>
            <w:tcBorders/>
            <w:shd w:fill="auto" w:val="clear"/>
            <w:vAlign w:val="center"/>
          </w:tcPr>
          <w:p>
            <w:pPr>
              <w:pStyle w:val="TableContents"/>
              <w:spacing w:before="0" w:after="0"/>
              <w:ind w:left="0" w:right="0" w:firstLine="480"/>
              <w:jc w:val="right"/>
              <w:rPr>
                <w:rFonts w:ascii="Times New Roman;serif" w:hAnsi="Times New Roman;serif"/>
                <w:b w:val="false"/>
                <w:sz w:val="20"/>
              </w:rPr>
            </w:pPr>
            <w:r>
              <w:rPr>
                <w:rFonts w:ascii="Times New Roman;serif" w:hAnsi="Times New Roman;serif"/>
                <w:b w:val="false"/>
                <w:sz w:val="20"/>
              </w:rPr>
              <w:t>20</w:t>
            </w:r>
          </w:p>
        </w:tc>
      </w:tr>
      <w:tr>
        <w:trPr/>
        <w:tc>
          <w:tcPr>
            <w:tcW w:w="7981" w:type="dxa"/>
            <w:tcBorders/>
            <w:shd w:fill="auto" w:val="clear"/>
            <w:vAlign w:val="center"/>
          </w:tcPr>
          <w:p>
            <w:pPr>
              <w:pStyle w:val="TableContents"/>
              <w:spacing w:before="0" w:after="0"/>
              <w:ind w:left="480" w:right="0" w:hanging="0"/>
              <w:jc w:val="left"/>
              <w:rPr/>
            </w:pPr>
            <w:hyperlink w:anchor="item_5_or_information">
              <w:r>
                <w:rPr>
                  <w:rStyle w:val="InternetLink"/>
                  <w:rFonts w:ascii="Times New Roman;serif" w:hAnsi="Times New Roman;serif"/>
                  <w:b w:val="false"/>
                  <w:sz w:val="20"/>
                  <w:u w:val="single"/>
                </w:rPr>
                <w:t>Item 5. Other Information</w:t>
              </w:r>
            </w:hyperlink>
          </w:p>
        </w:tc>
        <w:tc>
          <w:tcPr>
            <w:tcW w:w="1216" w:type="dxa"/>
            <w:tcBorders/>
            <w:shd w:fill="auto" w:val="clear"/>
            <w:vAlign w:val="center"/>
          </w:tcPr>
          <w:p>
            <w:pPr>
              <w:pStyle w:val="TableContents"/>
              <w:spacing w:before="0" w:after="0"/>
              <w:ind w:left="0" w:right="0" w:firstLine="480"/>
              <w:jc w:val="right"/>
              <w:rPr>
                <w:rFonts w:ascii="Times New Roman;serif" w:hAnsi="Times New Roman;serif"/>
                <w:b w:val="false"/>
                <w:sz w:val="20"/>
              </w:rPr>
            </w:pPr>
            <w:r>
              <w:rPr>
                <w:rFonts w:ascii="Times New Roman;serif" w:hAnsi="Times New Roman;serif"/>
                <w:b w:val="false"/>
                <w:sz w:val="20"/>
              </w:rPr>
              <w:t>20</w:t>
            </w:r>
          </w:p>
        </w:tc>
      </w:tr>
      <w:tr>
        <w:trPr/>
        <w:tc>
          <w:tcPr>
            <w:tcW w:w="7981" w:type="dxa"/>
            <w:tcBorders/>
            <w:shd w:fill="auto" w:val="clear"/>
            <w:vAlign w:val="center"/>
          </w:tcPr>
          <w:p>
            <w:pPr>
              <w:pStyle w:val="TableContents"/>
              <w:spacing w:before="0" w:after="0"/>
              <w:ind w:left="480" w:right="0" w:hanging="0"/>
              <w:jc w:val="left"/>
              <w:rPr/>
            </w:pPr>
            <w:hyperlink w:anchor="item_6_exhibits">
              <w:r>
                <w:rPr>
                  <w:rStyle w:val="InternetLink"/>
                  <w:rFonts w:ascii="Times New Roman;serif" w:hAnsi="Times New Roman;serif"/>
                  <w:b w:val="false"/>
                  <w:sz w:val="20"/>
                  <w:u w:val="single"/>
                </w:rPr>
                <w:t>Item 6. Exhibits</w:t>
              </w:r>
            </w:hyperlink>
          </w:p>
        </w:tc>
        <w:tc>
          <w:tcPr>
            <w:tcW w:w="12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r>
      <w:tr>
        <w:trPr/>
        <w:tc>
          <w:tcPr>
            <w:tcW w:w="7981" w:type="dxa"/>
            <w:tcBorders/>
            <w:shd w:fill="auto" w:val="clear"/>
            <w:vAlign w:val="center"/>
          </w:tcPr>
          <w:p>
            <w:pPr>
              <w:pStyle w:val="TableContents"/>
              <w:spacing w:before="0" w:after="0"/>
              <w:ind w:left="0" w:right="0" w:hanging="0"/>
              <w:jc w:val="left"/>
              <w:rPr/>
            </w:pPr>
            <w:hyperlink w:anchor="exhibit_index">
              <w:r>
                <w:rPr>
                  <w:rStyle w:val="InternetLink"/>
                  <w:rFonts w:ascii="Times New Roman;serif" w:hAnsi="Times New Roman;serif"/>
                  <w:b/>
                  <w:sz w:val="20"/>
                  <w:u w:val="single"/>
                </w:rPr>
                <w:t>EXHIBIT INDEX</w:t>
              </w:r>
            </w:hyperlink>
          </w:p>
        </w:tc>
        <w:tc>
          <w:tcPr>
            <w:tcW w:w="12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r>
      <w:tr>
        <w:trPr/>
        <w:tc>
          <w:tcPr>
            <w:tcW w:w="7981" w:type="dxa"/>
            <w:tcBorders/>
            <w:shd w:fill="auto" w:val="clear"/>
            <w:vAlign w:val="center"/>
          </w:tcPr>
          <w:p>
            <w:pPr>
              <w:pStyle w:val="TableContents"/>
              <w:spacing w:before="0" w:after="0"/>
              <w:ind w:left="0" w:right="0" w:hanging="0"/>
              <w:jc w:val="left"/>
              <w:rPr/>
            </w:pPr>
            <w:hyperlink w:anchor="signatures">
              <w:r>
                <w:rPr>
                  <w:rStyle w:val="InternetLink"/>
                  <w:rFonts w:ascii="Times New Roman;serif" w:hAnsi="Times New Roman;serif"/>
                  <w:b/>
                  <w:sz w:val="20"/>
                  <w:u w:val="single"/>
                </w:rPr>
                <w:t>SIGNATURES</w:t>
              </w:r>
            </w:hyperlink>
          </w:p>
        </w:tc>
        <w:tc>
          <w:tcPr>
            <w:tcW w:w="12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3" w:name="part_ifinancial_information"/>
      <w:bookmarkEnd w:id="3"/>
      <w:r>
        <w:rPr>
          <w:rFonts w:ascii="Times New Roman;serif" w:hAnsi="Times New Roman;serif"/>
          <w:b/>
          <w:sz w:val="20"/>
        </w:rPr>
        <w:t>PART I—FINANCIAL INFORMATION</w:t>
      </w:r>
    </w:p>
    <w:p>
      <w:pPr>
        <w:pStyle w:val="TextBody"/>
        <w:spacing w:before="120" w:after="0"/>
        <w:jc w:val="left"/>
        <w:rPr>
          <w:rFonts w:ascii="Times New Roman" w:hAnsi="Times New Roman"/>
          <w:sz w:val="20"/>
        </w:rPr>
      </w:pPr>
      <w:bookmarkStart w:id="4" w:name="item1_financial_statements"/>
      <w:bookmarkEnd w:id="4"/>
      <w:r>
        <w:rPr>
          <w:rFonts w:ascii="Times New Roman;serif" w:hAnsi="Times New Roman;serif"/>
          <w:b/>
          <w:sz w:val="20"/>
        </w:rPr>
        <w:t>Item 1.</w:t>
      </w:r>
      <w:r>
        <w:rPr>
          <w:rFonts w:ascii="Times New Roman" w:hAnsi="Times New Roman"/>
          <w:sz w:val="20"/>
        </w:rPr>
        <w:t xml:space="preserve"> </w:t>
      </w:r>
      <w:r>
        <w:rPr>
          <w:rFonts w:ascii="Times New Roman;serif" w:hAnsi="Times New Roman;serif"/>
          <w:b/>
          <w:sz w:val="20"/>
        </w:rPr>
        <w:t>Financial Statements</w:t>
      </w:r>
      <w:r>
        <w:rPr>
          <w:rFonts w:ascii="Times New Roman" w:hAnsi="Times New Roman"/>
          <w:sz w:val="20"/>
        </w:rPr>
        <w:t xml:space="preserve"> </w:t>
      </w:r>
    </w:p>
    <w:p>
      <w:pPr>
        <w:pStyle w:val="TextBody"/>
        <w:spacing w:before="120" w:after="0"/>
        <w:jc w:val="center"/>
        <w:rPr>
          <w:rFonts w:ascii="Times New Roman" w:hAnsi="Times New Roman"/>
          <w:sz w:val="20"/>
        </w:rPr>
      </w:pPr>
      <w:r>
        <w:rPr>
          <w:rFonts w:ascii="Times New Roman;serif" w:hAnsi="Times New Roman;serif"/>
          <w:b/>
          <w:sz w:val="20"/>
        </w:rPr>
        <w:t>Soleno Therapeutics, Inc.</w:t>
      </w:r>
      <w:r>
        <w:rPr>
          <w:rFonts w:ascii="Times New Roman" w:hAnsi="Times New Roman"/>
          <w:sz w:val="20"/>
        </w:rPr>
        <w:t xml:space="preserve"> </w:t>
      </w:r>
    </w:p>
    <w:p>
      <w:pPr>
        <w:pStyle w:val="TextBody"/>
        <w:spacing w:before="0" w:after="0"/>
        <w:jc w:val="center"/>
        <w:rPr>
          <w:rFonts w:ascii="Times New Roman" w:hAnsi="Times New Roman"/>
          <w:sz w:val="20"/>
        </w:rPr>
      </w:pPr>
      <w:bookmarkStart w:id="5" w:name="condensed_consolidated_balance_sheets"/>
      <w:bookmarkEnd w:id="5"/>
      <w:r>
        <w:rPr>
          <w:rFonts w:ascii="Times New Roman;serif" w:hAnsi="Times New Roman;serif"/>
          <w:b/>
          <w:sz w:val="20"/>
        </w:rPr>
        <w:t>Condensed Consolidated Balance Sheets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val="false"/>
          <w:i/>
          <w:sz w:val="20"/>
        </w:rPr>
        <w:t>(in thousands, except share and per share data)</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584"/>
        <w:gridCol w:w="146"/>
        <w:gridCol w:w="217"/>
        <w:gridCol w:w="868"/>
        <w:gridCol w:w="166"/>
        <w:gridCol w:w="146"/>
        <w:gridCol w:w="217"/>
        <w:gridCol w:w="868"/>
        <w:gridCol w:w="993"/>
      </w:tblGrid>
      <w:tr>
        <w:trPr/>
        <w:tc>
          <w:tcPr>
            <w:tcW w:w="658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r>
      <w:tr>
        <w:trPr/>
        <w:tc>
          <w:tcPr>
            <w:tcW w:w="658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9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584"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1085"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(Unaudited)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5" w:type="dxa"/>
            <w:gridSpan w:val="2"/>
            <w:tcBorders/>
            <w:shd w:fill="auto" w:val="clear"/>
            <w:vAlign w:val="center"/>
          </w:tcPr>
          <w:p>
            <w:pPr>
              <w:pStyle w:val="TableContents"/>
              <w:spacing w:before="0" w:after="0"/>
              <w:ind w:left="0" w:right="0" w:hanging="0"/>
              <w:jc w:val="right"/>
              <w:rPr/>
            </w:pPr>
            <w:r>
              <w:rPr/>
              <w:t> </w:t>
            </w:r>
          </w:p>
        </w:tc>
        <w:tc>
          <w:tcPr>
            <w:tcW w:w="993" w:type="dxa"/>
            <w:tcBorders/>
            <w:shd w:fill="auto" w:val="clear"/>
            <w:vAlign w:val="center"/>
          </w:tcPr>
          <w:p>
            <w:pPr>
              <w:pStyle w:val="TableContents"/>
              <w:spacing w:before="0" w:after="0"/>
              <w:ind w:left="0" w:right="0" w:hanging="0"/>
              <w:jc w:val="right"/>
              <w:rPr/>
            </w:pPr>
            <w:r>
              <w:rPr/>
              <w:t> </w:t>
            </w:r>
          </w:p>
        </w:tc>
      </w:tr>
      <w:tr>
        <w:trPr/>
        <w:tc>
          <w:tcPr>
            <w:tcW w:w="658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08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5" w:type="dxa"/>
            <w:gridSpan w:val="2"/>
            <w:tcBorders/>
            <w:shd w:fill="auto" w:val="clear"/>
            <w:vAlign w:val="center"/>
          </w:tcPr>
          <w:p>
            <w:pPr>
              <w:pStyle w:val="TableContents"/>
              <w:spacing w:before="0" w:after="0"/>
              <w:ind w:left="0" w:right="0" w:hanging="0"/>
              <w:jc w:val="right"/>
              <w:rPr/>
            </w:pPr>
            <w:r>
              <w:rPr/>
              <w:t> </w:t>
            </w:r>
          </w:p>
        </w:tc>
        <w:tc>
          <w:tcPr>
            <w:tcW w:w="993" w:type="dxa"/>
            <w:tcBorders/>
            <w:shd w:fill="auto" w:val="clear"/>
            <w:vAlign w:val="center"/>
          </w:tcPr>
          <w:p>
            <w:pPr>
              <w:pStyle w:val="TableContents"/>
              <w:spacing w:before="0" w:after="0"/>
              <w:ind w:left="0" w:right="0" w:firstLine="600"/>
              <w:jc w:val="right"/>
              <w:rPr/>
            </w:pPr>
            <w:r>
              <w:rPr/>
              <w:t> </w:t>
            </w:r>
          </w:p>
        </w:tc>
      </w:tr>
      <w:tr>
        <w:trPr/>
        <w:tc>
          <w:tcPr>
            <w:tcW w:w="6584"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7,874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14,602</w:t>
            </w:r>
          </w:p>
        </w:tc>
        <w:tc>
          <w:tcPr>
            <w:tcW w:w="993" w:type="dxa"/>
            <w:tcBorders/>
            <w:shd w:fill="auto" w:val="clear"/>
            <w:vAlign w:val="center"/>
          </w:tcPr>
          <w:p>
            <w:pPr>
              <w:pStyle w:val="TableContents"/>
              <w:spacing w:before="0" w:after="0"/>
              <w:ind w:left="0" w:right="0" w:firstLine="600"/>
              <w:jc w:val="left"/>
              <w:rPr/>
            </w:pPr>
            <w:r>
              <w:rPr/>
              <w:t> </w:t>
            </w:r>
          </w:p>
        </w:tc>
      </w:tr>
      <w:tr>
        <w:trPr/>
        <w:tc>
          <w:tcPr>
            <w:tcW w:w="6584"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1,045</w:t>
            </w:r>
          </w:p>
        </w:tc>
        <w:tc>
          <w:tcPr>
            <w:tcW w:w="9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00"/>
              <w:jc w:val="left"/>
              <w:rPr/>
            </w:pPr>
            <w:r>
              <w:rPr/>
              <w:t> </w:t>
            </w:r>
          </w:p>
        </w:tc>
      </w:tr>
      <w:tr>
        <w:trPr/>
        <w:tc>
          <w:tcPr>
            <w:tcW w:w="6584"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15,647</w:t>
            </w:r>
          </w:p>
        </w:tc>
        <w:tc>
          <w:tcPr>
            <w:tcW w:w="993" w:type="dxa"/>
            <w:tcBorders/>
            <w:shd w:fill="auto" w:val="clear"/>
            <w:vAlign w:val="center"/>
          </w:tcPr>
          <w:p>
            <w:pPr>
              <w:pStyle w:val="TableContents"/>
              <w:spacing w:before="0" w:after="0"/>
              <w:ind w:left="0" w:right="0" w:hanging="0"/>
              <w:jc w:val="left"/>
              <w:rPr/>
            </w:pPr>
            <w:r>
              <w:rPr/>
              <w:t> </w:t>
            </w:r>
          </w:p>
        </w:tc>
      </w:tr>
      <w:tr>
        <w:trPr/>
        <w:tc>
          <w:tcPr>
            <w:tcW w:w="658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assets</w:t>
            </w:r>
          </w:p>
        </w:tc>
        <w:tc>
          <w:tcPr>
            <w:tcW w:w="146" w:type="dxa"/>
            <w:tcBorders/>
            <w:shd w:fill="auto" w:val="clear"/>
            <w:vAlign w:val="center"/>
          </w:tcPr>
          <w:p>
            <w:pPr>
              <w:pStyle w:val="TableContents"/>
              <w:spacing w:before="0" w:after="0"/>
              <w:ind w:left="0" w:right="0" w:hanging="0"/>
              <w:jc w:val="left"/>
              <w:rPr/>
            </w:pPr>
            <w:r>
              <w:rPr/>
              <w:t> </w:t>
            </w:r>
          </w:p>
        </w:tc>
        <w:tc>
          <w:tcPr>
            <w:tcW w:w="108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5" w:type="dxa"/>
            <w:gridSpan w:val="2"/>
            <w:tcBorders/>
            <w:shd w:fill="auto" w:val="clear"/>
            <w:vAlign w:val="center"/>
          </w:tcPr>
          <w:p>
            <w:pPr>
              <w:pStyle w:val="TableContents"/>
              <w:spacing w:before="0" w:after="0"/>
              <w:ind w:left="0" w:right="0" w:hanging="0"/>
              <w:jc w:val="right"/>
              <w:rPr/>
            </w:pPr>
            <w:r>
              <w:rPr/>
              <w:t> </w:t>
            </w:r>
          </w:p>
        </w:tc>
        <w:tc>
          <w:tcPr>
            <w:tcW w:w="993" w:type="dxa"/>
            <w:tcBorders/>
            <w:shd w:fill="auto" w:val="clear"/>
            <w:vAlign w:val="center"/>
          </w:tcPr>
          <w:p>
            <w:pPr>
              <w:pStyle w:val="TableContents"/>
              <w:spacing w:before="0" w:after="0"/>
              <w:ind w:left="0" w:right="0" w:firstLine="600"/>
              <w:jc w:val="right"/>
              <w:rPr/>
            </w:pPr>
            <w:r>
              <w:rPr/>
              <w:t> </w:t>
            </w:r>
          </w:p>
        </w:tc>
      </w:tr>
      <w:tr>
        <w:trPr/>
        <w:tc>
          <w:tcPr>
            <w:tcW w:w="6584"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993" w:type="dxa"/>
            <w:tcBorders/>
            <w:shd w:fill="auto" w:val="clear"/>
            <w:vAlign w:val="center"/>
          </w:tcPr>
          <w:p>
            <w:pPr>
              <w:pStyle w:val="TableContents"/>
              <w:spacing w:before="0" w:after="0"/>
              <w:ind w:left="0" w:right="0" w:firstLine="600"/>
              <w:jc w:val="left"/>
              <w:rPr/>
            </w:pPr>
            <w:r>
              <w:rPr/>
              <w:t> </w:t>
            </w:r>
          </w:p>
        </w:tc>
      </w:tr>
      <w:tr>
        <w:trPr/>
        <w:tc>
          <w:tcPr>
            <w:tcW w:w="6584"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993" w:type="dxa"/>
            <w:tcBorders/>
            <w:shd w:fill="auto" w:val="clear"/>
            <w:vAlign w:val="center"/>
          </w:tcPr>
          <w:p>
            <w:pPr>
              <w:pStyle w:val="TableContents"/>
              <w:spacing w:before="0" w:after="0"/>
              <w:ind w:left="0" w:right="0" w:firstLine="600"/>
              <w:jc w:val="left"/>
              <w:rPr/>
            </w:pPr>
            <w:r>
              <w:rPr/>
              <w:t> </w:t>
            </w:r>
          </w:p>
        </w:tc>
      </w:tr>
      <w:tr>
        <w:trPr/>
        <w:tc>
          <w:tcPr>
            <w:tcW w:w="6584"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10,207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10,693</w:t>
            </w:r>
          </w:p>
        </w:tc>
        <w:tc>
          <w:tcPr>
            <w:tcW w:w="993" w:type="dxa"/>
            <w:tcBorders/>
            <w:shd w:fill="auto" w:val="clear"/>
            <w:vAlign w:val="center"/>
          </w:tcPr>
          <w:p>
            <w:pPr>
              <w:pStyle w:val="TableContents"/>
              <w:spacing w:before="0" w:after="0"/>
              <w:ind w:left="0" w:right="0" w:firstLine="600"/>
              <w:jc w:val="left"/>
              <w:rPr/>
            </w:pPr>
            <w:r>
              <w:rPr/>
              <w:t> </w:t>
            </w:r>
          </w:p>
        </w:tc>
      </w:tr>
      <w:tr>
        <w:trPr/>
        <w:tc>
          <w:tcPr>
            <w:tcW w:w="6584"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Other long-term assets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9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00"/>
              <w:jc w:val="left"/>
              <w:rPr/>
            </w:pPr>
            <w:r>
              <w:rPr/>
              <w:t> </w:t>
            </w:r>
          </w:p>
        </w:tc>
      </w:tr>
      <w:tr>
        <w:trPr/>
        <w:tc>
          <w:tcPr>
            <w:tcW w:w="6584"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19,535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26,497</w:t>
            </w:r>
          </w:p>
        </w:tc>
        <w:tc>
          <w:tcPr>
            <w:tcW w:w="9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584"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108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5" w:type="dxa"/>
            <w:gridSpan w:val="2"/>
            <w:tcBorders/>
            <w:shd w:fill="auto" w:val="clear"/>
            <w:vAlign w:val="center"/>
          </w:tcPr>
          <w:p>
            <w:pPr>
              <w:pStyle w:val="TableContents"/>
              <w:spacing w:before="0" w:after="0"/>
              <w:ind w:left="0" w:right="0" w:hanging="0"/>
              <w:jc w:val="right"/>
              <w:rPr/>
            </w:pPr>
            <w:r>
              <w:rPr/>
              <w:t> </w:t>
            </w:r>
          </w:p>
        </w:tc>
        <w:tc>
          <w:tcPr>
            <w:tcW w:w="993" w:type="dxa"/>
            <w:tcBorders/>
            <w:shd w:fill="auto" w:val="clear"/>
            <w:vAlign w:val="center"/>
          </w:tcPr>
          <w:p>
            <w:pPr>
              <w:pStyle w:val="TableContents"/>
              <w:spacing w:before="0" w:after="0"/>
              <w:ind w:left="0" w:right="0" w:hanging="0"/>
              <w:jc w:val="right"/>
              <w:rPr/>
            </w:pPr>
            <w:r>
              <w:rPr/>
              <w:t> </w:t>
            </w:r>
          </w:p>
        </w:tc>
      </w:tr>
      <w:tr>
        <w:trPr/>
        <w:tc>
          <w:tcPr>
            <w:tcW w:w="658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08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5" w:type="dxa"/>
            <w:gridSpan w:val="2"/>
            <w:tcBorders/>
            <w:shd w:fill="auto" w:val="clear"/>
            <w:vAlign w:val="center"/>
          </w:tcPr>
          <w:p>
            <w:pPr>
              <w:pStyle w:val="TableContents"/>
              <w:spacing w:before="0" w:after="0"/>
              <w:ind w:left="0" w:right="0" w:hanging="0"/>
              <w:jc w:val="right"/>
              <w:rPr/>
            </w:pPr>
            <w:r>
              <w:rPr/>
              <w:t> </w:t>
            </w:r>
          </w:p>
        </w:tc>
        <w:tc>
          <w:tcPr>
            <w:tcW w:w="993" w:type="dxa"/>
            <w:tcBorders/>
            <w:shd w:fill="auto" w:val="clear"/>
            <w:vAlign w:val="center"/>
          </w:tcPr>
          <w:p>
            <w:pPr>
              <w:pStyle w:val="TableContents"/>
              <w:spacing w:before="0" w:after="0"/>
              <w:ind w:left="0" w:right="0" w:firstLine="600"/>
              <w:jc w:val="right"/>
              <w:rPr/>
            </w:pPr>
            <w:r>
              <w:rPr/>
              <w:t> </w:t>
            </w:r>
          </w:p>
        </w:tc>
      </w:tr>
      <w:tr>
        <w:trPr/>
        <w:tc>
          <w:tcPr>
            <w:tcW w:w="6584"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1,777</w:t>
            </w:r>
          </w:p>
        </w:tc>
        <w:tc>
          <w:tcPr>
            <w:tcW w:w="993" w:type="dxa"/>
            <w:tcBorders/>
            <w:shd w:fill="auto" w:val="clear"/>
            <w:vAlign w:val="center"/>
          </w:tcPr>
          <w:p>
            <w:pPr>
              <w:pStyle w:val="TableContents"/>
              <w:spacing w:before="0" w:after="0"/>
              <w:ind w:left="0" w:right="0" w:firstLine="600"/>
              <w:jc w:val="left"/>
              <w:rPr/>
            </w:pPr>
            <w:r>
              <w:rPr/>
              <w:t> </w:t>
            </w:r>
          </w:p>
        </w:tc>
      </w:tr>
      <w:tr>
        <w:trPr/>
        <w:tc>
          <w:tcPr>
            <w:tcW w:w="6584"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Accrued compensation</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1,675</w:t>
            </w:r>
          </w:p>
        </w:tc>
        <w:tc>
          <w:tcPr>
            <w:tcW w:w="993" w:type="dxa"/>
            <w:tcBorders/>
            <w:shd w:fill="auto" w:val="clear"/>
            <w:vAlign w:val="center"/>
          </w:tcPr>
          <w:p>
            <w:pPr>
              <w:pStyle w:val="TableContents"/>
              <w:spacing w:before="0" w:after="0"/>
              <w:ind w:left="0" w:right="0" w:firstLine="600"/>
              <w:jc w:val="left"/>
              <w:rPr/>
            </w:pPr>
            <w:r>
              <w:rPr/>
              <w:t> </w:t>
            </w:r>
          </w:p>
        </w:tc>
      </w:tr>
      <w:tr>
        <w:trPr/>
        <w:tc>
          <w:tcPr>
            <w:tcW w:w="6584"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Accrued clinical trial site costs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3,531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3,222</w:t>
            </w:r>
          </w:p>
        </w:tc>
        <w:tc>
          <w:tcPr>
            <w:tcW w:w="993" w:type="dxa"/>
            <w:tcBorders/>
            <w:shd w:fill="auto" w:val="clear"/>
            <w:vAlign w:val="center"/>
          </w:tcPr>
          <w:p>
            <w:pPr>
              <w:pStyle w:val="TableContents"/>
              <w:spacing w:before="0" w:after="0"/>
              <w:ind w:left="0" w:right="0" w:firstLine="600"/>
              <w:jc w:val="left"/>
              <w:rPr/>
            </w:pPr>
            <w:r>
              <w:rPr/>
              <w:t> </w:t>
            </w:r>
          </w:p>
        </w:tc>
      </w:tr>
      <w:tr>
        <w:trPr/>
        <w:tc>
          <w:tcPr>
            <w:tcW w:w="6584"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w:t>
            </w:r>
          </w:p>
        </w:tc>
        <w:tc>
          <w:tcPr>
            <w:tcW w:w="993" w:type="dxa"/>
            <w:tcBorders/>
            <w:shd w:fill="auto" w:val="clear"/>
            <w:vAlign w:val="center"/>
          </w:tcPr>
          <w:p>
            <w:pPr>
              <w:pStyle w:val="TableContents"/>
              <w:spacing w:before="0" w:after="0"/>
              <w:ind w:left="0" w:right="0" w:firstLine="600"/>
              <w:jc w:val="left"/>
              <w:rPr/>
            </w:pPr>
            <w:r>
              <w:rPr/>
              <w:t> </w:t>
            </w:r>
          </w:p>
        </w:tc>
      </w:tr>
      <w:tr>
        <w:trPr/>
        <w:tc>
          <w:tcPr>
            <w:tcW w:w="6584"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484</w:t>
            </w:r>
          </w:p>
        </w:tc>
        <w:tc>
          <w:tcPr>
            <w:tcW w:w="9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00"/>
              <w:jc w:val="left"/>
              <w:rPr/>
            </w:pPr>
            <w:r>
              <w:rPr/>
              <w:t> </w:t>
            </w:r>
          </w:p>
        </w:tc>
      </w:tr>
      <w:tr>
        <w:trPr/>
        <w:tc>
          <w:tcPr>
            <w:tcW w:w="6584"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7,761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7,313</w:t>
            </w:r>
          </w:p>
        </w:tc>
        <w:tc>
          <w:tcPr>
            <w:tcW w:w="993" w:type="dxa"/>
            <w:tcBorders/>
            <w:shd w:fill="auto" w:val="clear"/>
            <w:vAlign w:val="center"/>
          </w:tcPr>
          <w:p>
            <w:pPr>
              <w:pStyle w:val="TableContents"/>
              <w:spacing w:before="0" w:after="0"/>
              <w:ind w:left="0" w:right="0" w:hanging="0"/>
              <w:jc w:val="left"/>
              <w:rPr/>
            </w:pPr>
            <w:r>
              <w:rPr/>
              <w:t> </w:t>
            </w:r>
          </w:p>
        </w:tc>
      </w:tr>
      <w:tr>
        <w:trPr/>
        <w:tc>
          <w:tcPr>
            <w:tcW w:w="658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liabilities</w:t>
            </w:r>
          </w:p>
        </w:tc>
        <w:tc>
          <w:tcPr>
            <w:tcW w:w="146" w:type="dxa"/>
            <w:tcBorders/>
            <w:shd w:fill="auto" w:val="clear"/>
            <w:vAlign w:val="center"/>
          </w:tcPr>
          <w:p>
            <w:pPr>
              <w:pStyle w:val="TableContents"/>
              <w:spacing w:before="0" w:after="0"/>
              <w:ind w:left="0" w:right="0" w:hanging="0"/>
              <w:jc w:val="left"/>
              <w:rPr/>
            </w:pPr>
            <w:r>
              <w:rPr/>
              <w:t> </w:t>
            </w:r>
          </w:p>
        </w:tc>
        <w:tc>
          <w:tcPr>
            <w:tcW w:w="108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5" w:type="dxa"/>
            <w:gridSpan w:val="2"/>
            <w:tcBorders/>
            <w:shd w:fill="auto" w:val="clear"/>
            <w:vAlign w:val="center"/>
          </w:tcPr>
          <w:p>
            <w:pPr>
              <w:pStyle w:val="TableContents"/>
              <w:spacing w:before="0" w:after="0"/>
              <w:ind w:left="0" w:right="0" w:hanging="0"/>
              <w:jc w:val="right"/>
              <w:rPr/>
            </w:pPr>
            <w:r>
              <w:rPr/>
              <w:t> </w:t>
            </w:r>
          </w:p>
        </w:tc>
        <w:tc>
          <w:tcPr>
            <w:tcW w:w="993" w:type="dxa"/>
            <w:tcBorders/>
            <w:shd w:fill="auto" w:val="clear"/>
            <w:vAlign w:val="center"/>
          </w:tcPr>
          <w:p>
            <w:pPr>
              <w:pStyle w:val="TableContents"/>
              <w:spacing w:before="0" w:after="0"/>
              <w:ind w:left="0" w:right="0" w:firstLine="600"/>
              <w:jc w:val="right"/>
              <w:rPr/>
            </w:pPr>
            <w:r>
              <w:rPr/>
              <w:t> </w:t>
            </w:r>
          </w:p>
        </w:tc>
      </w:tr>
      <w:tr>
        <w:trPr/>
        <w:tc>
          <w:tcPr>
            <w:tcW w:w="6584"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2018 PIPE Warrant liability</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993" w:type="dxa"/>
            <w:tcBorders/>
            <w:shd w:fill="auto" w:val="clear"/>
            <w:vAlign w:val="center"/>
          </w:tcPr>
          <w:p>
            <w:pPr>
              <w:pStyle w:val="TableContents"/>
              <w:spacing w:before="0" w:after="0"/>
              <w:ind w:left="0" w:right="0" w:firstLine="600"/>
              <w:jc w:val="left"/>
              <w:rPr/>
            </w:pPr>
            <w:r>
              <w:rPr/>
              <w:t> </w:t>
            </w:r>
          </w:p>
        </w:tc>
      </w:tr>
      <w:tr>
        <w:trPr/>
        <w:tc>
          <w:tcPr>
            <w:tcW w:w="6584"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Contingent liability for Essentialis purchase price</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9,134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8,835</w:t>
            </w:r>
          </w:p>
        </w:tc>
        <w:tc>
          <w:tcPr>
            <w:tcW w:w="9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00"/>
              <w:jc w:val="left"/>
              <w:rPr/>
            </w:pPr>
            <w:r>
              <w:rPr/>
              <w:t> </w:t>
            </w:r>
          </w:p>
        </w:tc>
      </w:tr>
      <w:tr>
        <w:trPr/>
        <w:tc>
          <w:tcPr>
            <w:tcW w:w="6584" w:type="dxa"/>
            <w:tcBorders/>
            <w:shd w:fill="auto" w:val="clear"/>
            <w:vAlign w:val="center"/>
          </w:tcPr>
          <w:p>
            <w:pPr>
              <w:pStyle w:val="TableContents"/>
              <w:spacing w:before="0" w:after="0"/>
              <w:ind w:left="8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16,896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16,149</w:t>
            </w:r>
          </w:p>
        </w:tc>
        <w:tc>
          <w:tcPr>
            <w:tcW w:w="9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58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6)</w:t>
            </w:r>
          </w:p>
        </w:tc>
        <w:tc>
          <w:tcPr>
            <w:tcW w:w="146" w:type="dxa"/>
            <w:tcBorders/>
            <w:shd w:fill="auto" w:val="clear"/>
            <w:vAlign w:val="center"/>
          </w:tcPr>
          <w:p>
            <w:pPr>
              <w:pStyle w:val="TableContents"/>
              <w:spacing w:before="0" w:after="0"/>
              <w:ind w:left="0" w:right="0" w:hanging="0"/>
              <w:jc w:val="left"/>
              <w:rPr/>
            </w:pPr>
            <w:r>
              <w:rPr/>
              <w:t> </w:t>
            </w:r>
          </w:p>
        </w:tc>
        <w:tc>
          <w:tcPr>
            <w:tcW w:w="108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5" w:type="dxa"/>
            <w:gridSpan w:val="2"/>
            <w:tcBorders/>
            <w:shd w:fill="auto" w:val="clear"/>
            <w:vAlign w:val="center"/>
          </w:tcPr>
          <w:p>
            <w:pPr>
              <w:pStyle w:val="TableContents"/>
              <w:spacing w:before="0" w:after="0"/>
              <w:ind w:left="0" w:right="0" w:hanging="0"/>
              <w:jc w:val="right"/>
              <w:rPr/>
            </w:pPr>
            <w:r>
              <w:rPr/>
              <w:t> </w:t>
            </w:r>
          </w:p>
        </w:tc>
        <w:tc>
          <w:tcPr>
            <w:tcW w:w="993" w:type="dxa"/>
            <w:tcBorders/>
            <w:shd w:fill="auto" w:val="clear"/>
            <w:vAlign w:val="center"/>
          </w:tcPr>
          <w:p>
            <w:pPr>
              <w:pStyle w:val="TableContents"/>
              <w:spacing w:before="0" w:after="0"/>
              <w:ind w:left="0" w:right="0" w:hanging="0"/>
              <w:jc w:val="right"/>
              <w:rPr/>
            </w:pPr>
            <w:r>
              <w:rPr/>
              <w:t> </w:t>
            </w:r>
          </w:p>
        </w:tc>
      </w:tr>
      <w:tr>
        <w:trPr/>
        <w:tc>
          <w:tcPr>
            <w:tcW w:w="658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shd w:fill="auto" w:val="clear"/>
            <w:vAlign w:val="center"/>
          </w:tcPr>
          <w:p>
            <w:pPr>
              <w:pStyle w:val="TableContents"/>
              <w:spacing w:before="0" w:after="0"/>
              <w:ind w:left="0" w:right="0" w:hanging="0"/>
              <w:jc w:val="left"/>
              <w:rPr/>
            </w:pPr>
            <w:r>
              <w:rPr/>
              <w:t> </w:t>
            </w:r>
          </w:p>
        </w:tc>
        <w:tc>
          <w:tcPr>
            <w:tcW w:w="108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5" w:type="dxa"/>
            <w:gridSpan w:val="2"/>
            <w:tcBorders/>
            <w:shd w:fill="auto" w:val="clear"/>
            <w:vAlign w:val="center"/>
          </w:tcPr>
          <w:p>
            <w:pPr>
              <w:pStyle w:val="TableContents"/>
              <w:spacing w:before="0" w:after="0"/>
              <w:ind w:left="0" w:right="0" w:hanging="0"/>
              <w:jc w:val="right"/>
              <w:rPr/>
            </w:pPr>
            <w:r>
              <w:rPr/>
              <w:t> </w:t>
            </w:r>
          </w:p>
        </w:tc>
        <w:tc>
          <w:tcPr>
            <w:tcW w:w="993" w:type="dxa"/>
            <w:tcBorders/>
            <w:shd w:fill="auto" w:val="clear"/>
            <w:vAlign w:val="center"/>
          </w:tcPr>
          <w:p>
            <w:pPr>
              <w:pStyle w:val="TableContents"/>
              <w:spacing w:before="0" w:after="0"/>
              <w:ind w:left="0" w:right="0" w:hanging="0"/>
              <w:jc w:val="right"/>
              <w:rPr/>
            </w:pPr>
            <w:r>
              <w:rPr/>
              <w:t> </w:t>
            </w:r>
          </w:p>
        </w:tc>
      </w:tr>
      <w:tr>
        <w:trPr/>
        <w:tc>
          <w:tcPr>
            <w:tcW w:w="6584"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Preferred stock, $0.001</w:t>
            </w:r>
            <w:r>
              <w:rPr>
                <w:rFonts w:ascii="Times New Roman" w:hAnsi="Times New Roman"/>
                <w:sz w:val="20"/>
              </w:rPr>
              <w:t> </w:t>
            </w:r>
            <w:r>
              <w:rPr>
                <w:rFonts w:ascii="Times New Roman;serif" w:hAnsi="Times New Roman;serif"/>
                <w:b w:val="false"/>
                <w:sz w:val="20"/>
              </w:rPr>
              <w:t>par value; 10,000,000</w:t>
            </w:r>
            <w:r>
              <w:rPr>
                <w:rFonts w:ascii="Times New Roman" w:hAnsi="Times New Roman"/>
                <w:sz w:val="20"/>
              </w:rPr>
              <w:t> </w:t>
            </w:r>
            <w:r>
              <w:rPr>
                <w:rFonts w:ascii="Times New Roman;serif" w:hAnsi="Times New Roman;serif"/>
                <w:b w:val="false"/>
                <w:sz w:val="20"/>
              </w:rPr>
              <w:t>shares authorized, no</w:t>
            </w:r>
            <w:r>
              <w:rPr>
                <w:rFonts w:ascii="Times New Roman" w:hAnsi="Times New Roman"/>
                <w:sz w:val="20"/>
              </w:rPr>
              <w:t> </w:t>
            </w:r>
            <w:r>
              <w:rPr>
                <w:rFonts w:ascii="Times New Roman;serif" w:hAnsi="Times New Roman;serif"/>
                <w:b w:val="false"/>
                <w:sz w:val="20"/>
              </w:rPr>
              <w:t>shares issued and outstanding</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993" w:type="dxa"/>
            <w:tcBorders/>
            <w:shd w:fill="auto" w:val="clear"/>
            <w:vAlign w:val="center"/>
          </w:tcPr>
          <w:p>
            <w:pPr>
              <w:pStyle w:val="TableContents"/>
              <w:spacing w:before="0" w:after="0"/>
              <w:ind w:left="0" w:right="0" w:hanging="0"/>
              <w:jc w:val="left"/>
              <w:rPr/>
            </w:pPr>
            <w:r>
              <w:rPr/>
              <w:t> </w:t>
            </w:r>
          </w:p>
        </w:tc>
      </w:tr>
      <w:tr>
        <w:trPr/>
        <w:tc>
          <w:tcPr>
            <w:tcW w:w="6584"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Common stock, $0.001</w:t>
            </w:r>
            <w:r>
              <w:rPr>
                <w:rFonts w:ascii="Times New Roman" w:hAnsi="Times New Roman"/>
                <w:sz w:val="20"/>
              </w:rPr>
              <w:t> </w:t>
            </w:r>
            <w:r>
              <w:rPr>
                <w:rFonts w:ascii="Times New Roman;serif" w:hAnsi="Times New Roman;serif"/>
                <w:b w:val="false"/>
                <w:sz w:val="20"/>
              </w:rPr>
              <w:t>par value, 100,000,000</w:t>
            </w:r>
            <w:r>
              <w:rPr>
                <w:rFonts w:ascii="Times New Roman" w:hAnsi="Times New Roman"/>
                <w:sz w:val="20"/>
              </w:rPr>
              <w:t> </w:t>
            </w:r>
            <w:r>
              <w:rPr>
                <w:rFonts w:ascii="Times New Roman;serif" w:hAnsi="Times New Roman;serif"/>
                <w:b w:val="false"/>
                <w:sz w:val="20"/>
              </w:rPr>
              <w:t>shares authorized,</w:t>
              <w:br/>
              <w:t> 8,168,788</w:t>
            </w:r>
            <w:r>
              <w:rPr>
                <w:rFonts w:ascii="Times New Roman" w:hAnsi="Times New Roman"/>
                <w:sz w:val="20"/>
              </w:rPr>
              <w:t> </w:t>
            </w:r>
            <w:r>
              <w:rPr>
                <w:rFonts w:ascii="Times New Roman;serif" w:hAnsi="Times New Roman;serif"/>
                <w:b w:val="false"/>
                <w:sz w:val="20"/>
              </w:rPr>
              <w:t>and 8,159,382</w:t>
            </w:r>
            <w:r>
              <w:rPr>
                <w:rFonts w:ascii="Times New Roman" w:hAnsi="Times New Roman"/>
                <w:sz w:val="20"/>
              </w:rPr>
              <w:t> </w:t>
            </w:r>
            <w:r>
              <w:rPr>
                <w:rFonts w:ascii="Times New Roman;serif" w:hAnsi="Times New Roman;serif"/>
                <w:b w:val="false"/>
                <w:sz w:val="20"/>
              </w:rPr>
              <w:t>shares issued and outstanding at</w:t>
              <w:br/>
              <w:t>   March 31, 2023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993" w:type="dxa"/>
            <w:tcBorders/>
            <w:shd w:fill="auto" w:val="clear"/>
            <w:vAlign w:val="center"/>
          </w:tcPr>
          <w:p>
            <w:pPr>
              <w:pStyle w:val="TableContents"/>
              <w:spacing w:before="0" w:after="0"/>
              <w:ind w:left="0" w:right="0" w:hanging="0"/>
              <w:jc w:val="left"/>
              <w:rPr/>
            </w:pPr>
            <w:r>
              <w:rPr/>
              <w:t> </w:t>
            </w:r>
          </w:p>
        </w:tc>
      </w:tr>
      <w:tr>
        <w:trPr/>
        <w:tc>
          <w:tcPr>
            <w:tcW w:w="658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Additional paid-in-capital</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248,393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247,762</w:t>
            </w:r>
          </w:p>
        </w:tc>
        <w:tc>
          <w:tcPr>
            <w:tcW w:w="993" w:type="dxa"/>
            <w:tcBorders/>
            <w:shd w:fill="auto" w:val="clear"/>
            <w:vAlign w:val="center"/>
          </w:tcPr>
          <w:p>
            <w:pPr>
              <w:pStyle w:val="TableContents"/>
              <w:spacing w:before="0" w:after="0"/>
              <w:ind w:left="0" w:right="0" w:hanging="0"/>
              <w:jc w:val="left"/>
              <w:rPr/>
            </w:pPr>
            <w:r>
              <w:rPr/>
              <w:t> </w:t>
            </w:r>
          </w:p>
        </w:tc>
      </w:tr>
      <w:tr>
        <w:trPr/>
        <w:tc>
          <w:tcPr>
            <w:tcW w:w="658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(245,778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(237,422</w:t>
            </w:r>
          </w:p>
        </w:tc>
        <w:tc>
          <w:tcPr>
            <w:tcW w:w="9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58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other comprehensive income</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9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584"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10,348</w:t>
            </w:r>
          </w:p>
        </w:tc>
        <w:tc>
          <w:tcPr>
            <w:tcW w:w="9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584"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19,535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26,497</w:t>
            </w:r>
          </w:p>
        </w:tc>
        <w:tc>
          <w:tcPr>
            <w:tcW w:w="9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val="false"/>
          <w:i/>
          <w:sz w:val="20"/>
        </w:rPr>
        <w:t>See accompanying notes to condensed consolidated financial statements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Soleno Therapeutics, Inc.</w:t>
      </w:r>
    </w:p>
    <w:p>
      <w:pPr>
        <w:pStyle w:val="TextBody"/>
        <w:spacing w:before="0" w:after="0"/>
        <w:jc w:val="center"/>
        <w:rPr>
          <w:rFonts w:ascii="Times New Roman;serif" w:hAnsi="Times New Roman;serif"/>
          <w:b/>
          <w:sz w:val="20"/>
        </w:rPr>
      </w:pPr>
      <w:bookmarkStart w:id="6" w:name="cndnsd_cnsldtd_stmnt_oprns_comprehensive"/>
      <w:bookmarkEnd w:id="6"/>
      <w:r>
        <w:rPr>
          <w:rFonts w:ascii="Times New Roman;serif" w:hAnsi="Times New Roman;serif"/>
          <w:b/>
          <w:sz w:val="20"/>
        </w:rPr>
        <w:t>Condensed Consolidated Statements of Operations and Comprehensive Loss</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val="false"/>
          <w:i/>
          <w:sz w:val="20"/>
        </w:rPr>
        <w:t>(in thousands, except share and per share data)</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472"/>
        <w:gridCol w:w="211"/>
        <w:gridCol w:w="931"/>
        <w:gridCol w:w="166"/>
        <w:gridCol w:w="146"/>
        <w:gridCol w:w="211"/>
        <w:gridCol w:w="931"/>
        <w:gridCol w:w="546"/>
        <w:gridCol w:w="591"/>
      </w:tblGrid>
      <w:tr>
        <w:trPr/>
        <w:tc>
          <w:tcPr>
            <w:tcW w:w="647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6472" w:type="dxa"/>
            <w:tcBorders/>
            <w:shd w:fill="auto" w:val="clear"/>
            <w:vAlign w:val="center"/>
          </w:tcPr>
          <w:p>
            <w:pPr>
              <w:pStyle w:val="TableContents"/>
              <w:spacing w:before="0" w:after="0"/>
              <w:ind w:left="0" w:right="0" w:hanging="0"/>
              <w:jc w:val="center"/>
              <w:rPr/>
            </w:pPr>
            <w:r>
              <w:rPr/>
              <w:t> </w:t>
            </w:r>
          </w:p>
        </w:tc>
        <w:tc>
          <w:tcPr>
            <w:tcW w:w="25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5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6472" w:type="dxa"/>
            <w:tcBorders/>
            <w:shd w:fill="auto" w:val="clear"/>
            <w:vAlign w:val="center"/>
          </w:tcPr>
          <w:p>
            <w:pPr>
              <w:pStyle w:val="TableContents"/>
              <w:spacing w:before="0" w:after="0"/>
              <w:ind w:left="0" w:right="0" w:hanging="0"/>
              <w:jc w:val="center"/>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64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1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54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647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5,316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3,988</w:t>
            </w:r>
          </w:p>
        </w:tc>
        <w:tc>
          <w:tcPr>
            <w:tcW w:w="546" w:type="dxa"/>
            <w:tcBorders/>
            <w:shd w:fill="auto" w:val="clear"/>
            <w:vAlign w:val="center"/>
          </w:tcPr>
          <w:p>
            <w:pPr>
              <w:pStyle w:val="TableContents"/>
              <w:spacing w:before="0" w:after="0"/>
              <w:ind w:left="0" w:right="0" w:firstLine="20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647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2,643</w:t>
            </w:r>
          </w:p>
        </w:tc>
        <w:tc>
          <w:tcPr>
            <w:tcW w:w="546" w:type="dxa"/>
            <w:tcBorders/>
            <w:shd w:fill="auto" w:val="clear"/>
            <w:vAlign w:val="center"/>
          </w:tcPr>
          <w:p>
            <w:pPr>
              <w:pStyle w:val="TableContents"/>
              <w:spacing w:before="0" w:after="0"/>
              <w:ind w:left="0" w:right="0" w:firstLine="20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647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fair value of contingent consideration</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(858</w:t>
            </w:r>
          </w:p>
        </w:tc>
        <w:tc>
          <w:tcPr>
            <w:tcW w:w="5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firstLine="400"/>
              <w:jc w:val="left"/>
              <w:rPr/>
            </w:pPr>
            <w:r>
              <w:rPr/>
              <w:t> </w:t>
            </w:r>
          </w:p>
        </w:tc>
      </w:tr>
      <w:tr>
        <w:trPr/>
        <w:tc>
          <w:tcPr>
            <w:tcW w:w="6472"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8,469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5,773</w:t>
            </w:r>
          </w:p>
        </w:tc>
        <w:tc>
          <w:tcPr>
            <w:tcW w:w="5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c>
          <w:tcPr>
            <w:tcW w:w="591" w:type="dxa"/>
            <w:tcBorders/>
            <w:shd w:fill="auto" w:val="clear"/>
            <w:vAlign w:val="center"/>
          </w:tcPr>
          <w:p>
            <w:pPr>
              <w:pStyle w:val="TableContents"/>
              <w:spacing w:before="0" w:after="0"/>
              <w:ind w:left="400" w:right="0" w:hanging="0"/>
              <w:jc w:val="left"/>
              <w:rPr/>
            </w:pPr>
            <w:r>
              <w:rPr/>
              <w:t> </w:t>
            </w:r>
          </w:p>
        </w:tc>
      </w:tr>
      <w:tr>
        <w:trPr/>
        <w:tc>
          <w:tcPr>
            <w:tcW w:w="64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(8,469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(5,773</w:t>
            </w:r>
          </w:p>
        </w:tc>
        <w:tc>
          <w:tcPr>
            <w:tcW w:w="5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64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54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647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fair value of warrants liabilities</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546" w:type="dxa"/>
            <w:tcBorders/>
            <w:shd w:fill="auto" w:val="clear"/>
            <w:vAlign w:val="center"/>
          </w:tcPr>
          <w:p>
            <w:pPr>
              <w:pStyle w:val="TableContents"/>
              <w:spacing w:before="0" w:after="0"/>
              <w:ind w:left="0" w:right="0" w:firstLine="20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647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5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6472"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income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5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c>
          <w:tcPr>
            <w:tcW w:w="591" w:type="dxa"/>
            <w:tcBorders/>
            <w:shd w:fill="auto" w:val="clear"/>
            <w:vAlign w:val="center"/>
          </w:tcPr>
          <w:p>
            <w:pPr>
              <w:pStyle w:val="TableContents"/>
              <w:spacing w:before="0" w:after="0"/>
              <w:ind w:left="400" w:right="0" w:hanging="0"/>
              <w:jc w:val="left"/>
              <w:rPr/>
            </w:pPr>
            <w:r>
              <w:rPr/>
              <w:t> </w:t>
            </w:r>
          </w:p>
        </w:tc>
      </w:tr>
      <w:tr>
        <w:trPr/>
        <w:tc>
          <w:tcPr>
            <w:tcW w:w="64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(8,356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(5,724</w:t>
            </w:r>
          </w:p>
        </w:tc>
        <w:tc>
          <w:tcPr>
            <w:tcW w:w="5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6472"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54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4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54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647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translation adjustment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5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200" w:right="0" w:hanging="0"/>
              <w:jc w:val="left"/>
              <w:rPr/>
            </w:pPr>
            <w:r>
              <w:rPr/>
              <w:t> </w:t>
            </w:r>
          </w:p>
        </w:tc>
      </w:tr>
      <w:tr>
        <w:trPr/>
        <w:tc>
          <w:tcPr>
            <w:tcW w:w="64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comprehensive loss</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(8,340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(5,726</w:t>
            </w:r>
          </w:p>
        </w:tc>
        <w:tc>
          <w:tcPr>
            <w:tcW w:w="5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6472"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54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4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common share, basic and diluted</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(0.88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5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64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common shares outstanding used to calculate basic and diluted net loss per common share</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9,447,350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5,334,712</w:t>
            </w:r>
          </w:p>
        </w:tc>
        <w:tc>
          <w:tcPr>
            <w:tcW w:w="5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472"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54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val="false"/>
          <w:i/>
          <w:sz w:val="20"/>
        </w:rPr>
        <w:t>See accompanying notes to condensed consolidated financial statements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Soleno Therapeutics, Inc.</w:t>
      </w:r>
      <w:r>
        <w:rPr>
          <w:rFonts w:ascii="Times New Roman" w:hAnsi="Times New Roman"/>
          <w:sz w:val="20"/>
        </w:rPr>
        <w:t xml:space="preserve"> </w:t>
      </w:r>
    </w:p>
    <w:p>
      <w:pPr>
        <w:pStyle w:val="TextBody"/>
        <w:spacing w:before="0" w:after="0"/>
        <w:jc w:val="center"/>
        <w:rPr>
          <w:rFonts w:ascii="Times New Roman;serif" w:hAnsi="Times New Roman;serif"/>
          <w:b/>
          <w:sz w:val="20"/>
        </w:rPr>
      </w:pPr>
      <w:bookmarkStart w:id="7" w:name="condensed_consolidated_statements_stockh"/>
      <w:bookmarkEnd w:id="7"/>
      <w:r>
        <w:rPr>
          <w:rFonts w:ascii="Times New Roman;serif" w:hAnsi="Times New Roman;serif"/>
          <w:b/>
          <w:sz w:val="20"/>
        </w:rPr>
        <w:t>Condensed Consolidated Statements of Stockholders’ Equity</w:t>
      </w:r>
    </w:p>
    <w:p>
      <w:pPr>
        <w:pStyle w:val="TextBody"/>
        <w:spacing w:before="0" w:after="0"/>
        <w:jc w:val="center"/>
        <w:rPr>
          <w:rFonts w:ascii="Times New Roman" w:hAnsi="Times New Roman"/>
          <w:sz w:val="20"/>
        </w:rPr>
      </w:pPr>
      <w:r>
        <w:rPr>
          <w:rFonts w:ascii="Times New Roman;serif" w:hAnsi="Times New Roman;serif"/>
          <w:b/>
          <w:sz w:val="20"/>
        </w:rPr>
        <w:t>For the Three Months Ended March 31, 2023 and 2022</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val="false"/>
          <w:i/>
          <w:sz w:val="20"/>
        </w:rPr>
        <w:t>(in thousands, except share data)</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036"/>
        <w:gridCol w:w="146"/>
        <w:gridCol w:w="146"/>
        <w:gridCol w:w="931"/>
        <w:gridCol w:w="166"/>
        <w:gridCol w:w="146"/>
        <w:gridCol w:w="345"/>
        <w:gridCol w:w="346"/>
        <w:gridCol w:w="146"/>
        <w:gridCol w:w="146"/>
        <w:gridCol w:w="211"/>
        <w:gridCol w:w="781"/>
        <w:gridCol w:w="166"/>
        <w:gridCol w:w="146"/>
        <w:gridCol w:w="211"/>
        <w:gridCol w:w="841"/>
        <w:gridCol w:w="166"/>
        <w:gridCol w:w="146"/>
        <w:gridCol w:w="485"/>
        <w:gridCol w:w="731"/>
        <w:gridCol w:w="166"/>
        <w:gridCol w:w="146"/>
        <w:gridCol w:w="247"/>
        <w:gridCol w:w="795"/>
        <w:gridCol w:w="413"/>
      </w:tblGrid>
      <w:tr>
        <w:trPr/>
        <w:tc>
          <w:tcPr>
            <w:tcW w:w="2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20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80" w:type="dxa"/>
            <w:gridSpan w:val="6"/>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gridSpan w:val="2"/>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left"/>
              <w:rPr/>
            </w:pPr>
            <w:r>
              <w:rPr/>
              <w:t> </w:t>
            </w:r>
          </w:p>
        </w:tc>
      </w:tr>
      <w:tr>
        <w:trPr/>
        <w:tc>
          <w:tcPr>
            <w:tcW w:w="20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413" w:type="dxa"/>
            <w:tcBorders/>
            <w:shd w:fill="auto" w:val="clear"/>
            <w:vAlign w:val="center"/>
          </w:tcPr>
          <w:p>
            <w:pPr>
              <w:pStyle w:val="TableContents"/>
              <w:spacing w:before="0" w:after="0"/>
              <w:ind w:left="0" w:right="0" w:hanging="0"/>
              <w:jc w:val="center"/>
              <w:rPr/>
            </w:pPr>
            <w:r>
              <w:rPr/>
              <w:t> </w:t>
            </w:r>
          </w:p>
        </w:tc>
      </w:tr>
      <w:tr>
        <w:trPr/>
        <w:tc>
          <w:tcPr>
            <w:tcW w:w="20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8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Stockholders’</w:t>
            </w:r>
          </w:p>
        </w:tc>
        <w:tc>
          <w:tcPr>
            <w:tcW w:w="413" w:type="dxa"/>
            <w:tcBorders/>
            <w:shd w:fill="auto" w:val="clear"/>
            <w:vAlign w:val="center"/>
          </w:tcPr>
          <w:p>
            <w:pPr>
              <w:pStyle w:val="TableContents"/>
              <w:spacing w:before="0" w:after="0"/>
              <w:ind w:left="0" w:right="0" w:hanging="0"/>
              <w:jc w:val="center"/>
              <w:rPr/>
            </w:pPr>
            <w:r>
              <w:rPr/>
              <w:t> </w:t>
            </w:r>
          </w:p>
        </w:tc>
      </w:tr>
      <w:tr>
        <w:trPr/>
        <w:tc>
          <w:tcPr>
            <w:tcW w:w="20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Income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4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Balances at January 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8,159,382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247,762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(237,422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4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10,348</w:t>
            </w:r>
          </w:p>
        </w:tc>
        <w:tc>
          <w:tcPr>
            <w:tcW w:w="413" w:type="dxa"/>
            <w:tcBorders/>
            <w:shd w:fill="auto" w:val="clear"/>
            <w:vAlign w:val="center"/>
          </w:tcPr>
          <w:p>
            <w:pPr>
              <w:pStyle w:val="TableContents"/>
              <w:spacing w:before="0" w:after="0"/>
              <w:ind w:left="0" w:right="0" w:firstLine="200"/>
              <w:jc w:val="left"/>
              <w:rPr/>
            </w:pPr>
            <w:r>
              <w:rPr/>
              <w:t> </w:t>
            </w:r>
          </w:p>
        </w:tc>
      </w:tr>
      <w:tr>
        <w:trPr/>
        <w:tc>
          <w:tcPr>
            <w:tcW w:w="20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85"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495</w:t>
            </w:r>
          </w:p>
        </w:tc>
        <w:tc>
          <w:tcPr>
            <w:tcW w:w="413" w:type="dxa"/>
            <w:tcBorders/>
            <w:shd w:fill="auto" w:val="clear"/>
            <w:vAlign w:val="center"/>
          </w:tcPr>
          <w:p>
            <w:pPr>
              <w:pStyle w:val="TableContents"/>
              <w:spacing w:before="0" w:after="0"/>
              <w:ind w:left="0" w:right="0" w:firstLine="200"/>
              <w:jc w:val="left"/>
              <w:rPr/>
            </w:pPr>
            <w:r>
              <w:rPr/>
              <w:t> </w:t>
            </w:r>
          </w:p>
        </w:tc>
      </w:tr>
      <w:tr>
        <w:trPr/>
        <w:tc>
          <w:tcPr>
            <w:tcW w:w="20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restricted stock units under equity incentive plan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85"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413" w:type="dxa"/>
            <w:tcBorders/>
            <w:shd w:fill="auto" w:val="clear"/>
            <w:vAlign w:val="center"/>
          </w:tcPr>
          <w:p>
            <w:pPr>
              <w:pStyle w:val="TableContents"/>
              <w:spacing w:before="0" w:after="0"/>
              <w:ind w:left="0" w:right="0" w:firstLine="200"/>
              <w:jc w:val="left"/>
              <w:rPr/>
            </w:pPr>
            <w:r>
              <w:rPr/>
              <w:t> </w:t>
            </w:r>
          </w:p>
        </w:tc>
      </w:tr>
      <w:tr>
        <w:trPr/>
        <w:tc>
          <w:tcPr>
            <w:tcW w:w="20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Tax withholding payments for net share-settled equity awards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85"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13" w:type="dxa"/>
            <w:tcBorders/>
            <w:shd w:fill="auto" w:val="clear"/>
            <w:vAlign w:val="center"/>
          </w:tcPr>
          <w:p>
            <w:pPr>
              <w:pStyle w:val="TableContents"/>
              <w:spacing w:before="0" w:after="0"/>
              <w:ind w:left="0" w:right="0" w:firstLine="200"/>
              <w:jc w:val="left"/>
              <w:rPr/>
            </w:pPr>
            <w:r>
              <w:rPr/>
              <w:t> </w:t>
            </w:r>
          </w:p>
        </w:tc>
      </w:tr>
      <w:tr>
        <w:trPr/>
        <w:tc>
          <w:tcPr>
            <w:tcW w:w="20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translation adjustment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85"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413" w:type="dxa"/>
            <w:tcBorders/>
            <w:shd w:fill="auto" w:val="clear"/>
            <w:vAlign w:val="center"/>
          </w:tcPr>
          <w:p>
            <w:pPr>
              <w:pStyle w:val="TableContents"/>
              <w:spacing w:before="0" w:after="0"/>
              <w:ind w:left="0" w:right="0" w:firstLine="200"/>
              <w:jc w:val="left"/>
              <w:rPr/>
            </w:pPr>
            <w:r>
              <w:rPr/>
              <w:t> </w:t>
            </w:r>
          </w:p>
        </w:tc>
      </w:tr>
      <w:tr>
        <w:trPr/>
        <w:tc>
          <w:tcPr>
            <w:tcW w:w="20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(8,356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(8,356</w:t>
            </w:r>
          </w:p>
        </w:tc>
        <w:tc>
          <w:tcPr>
            <w:tcW w:w="4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Balances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8,168,788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248,393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(245,778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485"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2,639</w:t>
            </w:r>
          </w:p>
        </w:tc>
        <w:tc>
          <w:tcPr>
            <w:tcW w:w="413" w:type="dxa"/>
            <w:tcBorders/>
            <w:shd w:fill="auto" w:val="clear"/>
            <w:vAlign w:val="center"/>
          </w:tcPr>
          <w:p>
            <w:pPr>
              <w:pStyle w:val="TableContents"/>
              <w:spacing w:before="0" w:after="0"/>
              <w:ind w:left="0" w:right="0" w:hanging="0"/>
              <w:jc w:val="left"/>
              <w:rPr/>
            </w:pPr>
            <w:r>
              <w:rPr/>
              <w:t> </w:t>
            </w:r>
          </w:p>
        </w:tc>
      </w:tr>
      <w:tr>
        <w:trPr/>
        <w:tc>
          <w:tcPr>
            <w:tcW w:w="20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1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gridSpan w:val="2"/>
            <w:tcBorders/>
            <w:shd w:fill="auto" w:val="clear"/>
            <w:vAlign w:val="center"/>
          </w:tcPr>
          <w:p>
            <w:pPr>
              <w:pStyle w:val="TableContents"/>
              <w:spacing w:before="0" w:after="0"/>
              <w:ind w:left="0" w:right="0" w:hanging="0"/>
              <w:jc w:val="right"/>
              <w:rPr/>
            </w:pPr>
            <w:r>
              <w:rPr/>
              <w:t> </w:t>
            </w:r>
          </w:p>
        </w:tc>
        <w:tc>
          <w:tcPr>
            <w:tcW w:w="413" w:type="dxa"/>
            <w:tcBorders/>
            <w:shd w:fill="auto" w:val="clear"/>
            <w:vAlign w:val="center"/>
          </w:tcPr>
          <w:p>
            <w:pPr>
              <w:pStyle w:val="TableContents"/>
              <w:spacing w:before="0" w:after="0"/>
              <w:ind w:left="0" w:right="0" w:firstLine="200"/>
              <w:jc w:val="right"/>
              <w:rPr/>
            </w:pPr>
            <w:r>
              <w:rPr/>
              <w:t> </w:t>
            </w:r>
          </w:p>
        </w:tc>
      </w:tr>
      <w:tr>
        <w:trPr/>
        <w:tc>
          <w:tcPr>
            <w:tcW w:w="2036"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1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gridSpan w:val="2"/>
            <w:tcBorders/>
            <w:shd w:fill="auto" w:val="clear"/>
            <w:vAlign w:val="center"/>
          </w:tcPr>
          <w:p>
            <w:pPr>
              <w:pStyle w:val="TableContents"/>
              <w:spacing w:before="0" w:after="0"/>
              <w:ind w:left="0" w:right="0" w:hanging="0"/>
              <w:jc w:val="right"/>
              <w:rPr/>
            </w:pPr>
            <w:r>
              <w:rPr/>
              <w:t> </w:t>
            </w:r>
          </w:p>
        </w:tc>
        <w:tc>
          <w:tcPr>
            <w:tcW w:w="413" w:type="dxa"/>
            <w:tcBorders/>
            <w:shd w:fill="auto" w:val="clear"/>
            <w:vAlign w:val="center"/>
          </w:tcPr>
          <w:p>
            <w:pPr>
              <w:pStyle w:val="TableContents"/>
              <w:spacing w:before="0" w:after="0"/>
              <w:ind w:left="0" w:right="0" w:firstLine="200"/>
              <w:jc w:val="right"/>
              <w:rPr/>
            </w:pPr>
            <w:r>
              <w:rPr/>
              <w:t> </w:t>
            </w:r>
          </w:p>
        </w:tc>
      </w:tr>
      <w:tr>
        <w:trPr/>
        <w:tc>
          <w:tcPr>
            <w:tcW w:w="2036"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gridSpan w:val="2"/>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firstLine="200"/>
              <w:jc w:val="left"/>
              <w:rPr/>
            </w:pPr>
            <w:r>
              <w:rPr/>
              <w:t> </w:t>
            </w:r>
          </w:p>
        </w:tc>
      </w:tr>
      <w:tr>
        <w:trPr/>
        <w:tc>
          <w:tcPr>
            <w:tcW w:w="2036"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413" w:type="dxa"/>
            <w:tcBorders/>
            <w:shd w:fill="auto" w:val="clear"/>
            <w:vAlign w:val="center"/>
          </w:tcPr>
          <w:p>
            <w:pPr>
              <w:pStyle w:val="TableContents"/>
              <w:spacing w:before="0" w:after="0"/>
              <w:ind w:left="0" w:right="0" w:hanging="0"/>
              <w:jc w:val="center"/>
              <w:rPr/>
            </w:pPr>
            <w:r>
              <w:rPr/>
              <w:t> </w:t>
            </w:r>
          </w:p>
        </w:tc>
      </w:tr>
      <w:tr>
        <w:trPr/>
        <w:tc>
          <w:tcPr>
            <w:tcW w:w="20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8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Stockholders’</w:t>
            </w:r>
          </w:p>
        </w:tc>
        <w:tc>
          <w:tcPr>
            <w:tcW w:w="413" w:type="dxa"/>
            <w:tcBorders/>
            <w:shd w:fill="auto" w:val="clear"/>
            <w:vAlign w:val="center"/>
          </w:tcPr>
          <w:p>
            <w:pPr>
              <w:pStyle w:val="TableContents"/>
              <w:spacing w:before="0" w:after="0"/>
              <w:ind w:left="0" w:right="0" w:hanging="0"/>
              <w:jc w:val="center"/>
              <w:rPr/>
            </w:pPr>
            <w:r>
              <w:rPr/>
              <w:t> </w:t>
            </w:r>
          </w:p>
        </w:tc>
      </w:tr>
      <w:tr>
        <w:trPr/>
        <w:tc>
          <w:tcPr>
            <w:tcW w:w="20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4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Balances at January 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5,324,287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231,143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(213,355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4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17,793</w:t>
            </w:r>
          </w:p>
        </w:tc>
        <w:tc>
          <w:tcPr>
            <w:tcW w:w="413" w:type="dxa"/>
            <w:tcBorders/>
            <w:shd w:fill="auto" w:val="clear"/>
            <w:vAlign w:val="center"/>
          </w:tcPr>
          <w:p>
            <w:pPr>
              <w:pStyle w:val="TableContents"/>
              <w:spacing w:before="0" w:after="0"/>
              <w:ind w:left="0" w:right="0" w:firstLine="200"/>
              <w:jc w:val="left"/>
              <w:rPr/>
            </w:pPr>
            <w:r>
              <w:rPr/>
              <w:t> </w:t>
            </w:r>
          </w:p>
        </w:tc>
      </w:tr>
      <w:tr>
        <w:trPr/>
        <w:tc>
          <w:tcPr>
            <w:tcW w:w="20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85"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464</w:t>
            </w:r>
          </w:p>
        </w:tc>
        <w:tc>
          <w:tcPr>
            <w:tcW w:w="413" w:type="dxa"/>
            <w:tcBorders/>
            <w:shd w:fill="auto" w:val="clear"/>
            <w:vAlign w:val="center"/>
          </w:tcPr>
          <w:p>
            <w:pPr>
              <w:pStyle w:val="TableContents"/>
              <w:spacing w:before="0" w:after="0"/>
              <w:ind w:left="0" w:right="0" w:firstLine="200"/>
              <w:jc w:val="left"/>
              <w:rPr/>
            </w:pPr>
            <w:r>
              <w:rPr/>
              <w:t> </w:t>
            </w:r>
          </w:p>
        </w:tc>
      </w:tr>
      <w:tr>
        <w:trPr/>
        <w:tc>
          <w:tcPr>
            <w:tcW w:w="20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restricted stock units under equity incentive plan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85"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413" w:type="dxa"/>
            <w:tcBorders/>
            <w:shd w:fill="auto" w:val="clear"/>
            <w:vAlign w:val="center"/>
          </w:tcPr>
          <w:p>
            <w:pPr>
              <w:pStyle w:val="TableContents"/>
              <w:spacing w:before="0" w:after="0"/>
              <w:ind w:left="0" w:right="0" w:firstLine="200"/>
              <w:jc w:val="left"/>
              <w:rPr/>
            </w:pPr>
            <w:r>
              <w:rPr/>
              <w:t> </w:t>
            </w:r>
          </w:p>
        </w:tc>
      </w:tr>
      <w:tr>
        <w:trPr/>
        <w:tc>
          <w:tcPr>
            <w:tcW w:w="20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Tax withholding payments for net share-settled equity awards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(3,683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85"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413"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0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Sale of common stock and pre-funded warrants in public offering, net of costs of $1,034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2,666,667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13,763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85"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13,766</w:t>
            </w:r>
          </w:p>
        </w:tc>
        <w:tc>
          <w:tcPr>
            <w:tcW w:w="413" w:type="dxa"/>
            <w:tcBorders/>
            <w:shd w:fill="auto" w:val="clear"/>
            <w:vAlign w:val="center"/>
          </w:tcPr>
          <w:p>
            <w:pPr>
              <w:pStyle w:val="TableContents"/>
              <w:spacing w:before="0" w:after="0"/>
              <w:ind w:left="0" w:right="0" w:firstLine="200"/>
              <w:jc w:val="left"/>
              <w:rPr/>
            </w:pPr>
            <w:r>
              <w:rPr/>
              <w:t> </w:t>
            </w:r>
          </w:p>
        </w:tc>
      </w:tr>
      <w:tr>
        <w:trPr/>
        <w:tc>
          <w:tcPr>
            <w:tcW w:w="20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translation adjustment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85"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413"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0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(5,724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(5,724</w:t>
            </w:r>
          </w:p>
        </w:tc>
        <w:tc>
          <w:tcPr>
            <w:tcW w:w="4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Balances at March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8,005,921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245,534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(219,079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485"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26,461</w:t>
            </w:r>
          </w:p>
        </w:tc>
        <w:tc>
          <w:tcPr>
            <w:tcW w:w="413" w:type="dxa"/>
            <w:tcBorders/>
            <w:shd w:fill="auto" w:val="clear"/>
            <w:vAlign w:val="center"/>
          </w:tcPr>
          <w:p>
            <w:pPr>
              <w:pStyle w:val="TableContents"/>
              <w:spacing w:before="0" w:after="0"/>
              <w:ind w:left="0" w:right="0" w:hanging="0"/>
              <w:jc w:val="left"/>
              <w:rPr/>
            </w:pPr>
            <w:r>
              <w:rPr/>
              <w:t> </w:t>
            </w:r>
          </w:p>
        </w:tc>
      </w:tr>
      <w:tr>
        <w:trPr/>
        <w:tc>
          <w:tcPr>
            <w:tcW w:w="20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1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2" w:type="dxa"/>
            <w:gridSpan w:val="2"/>
            <w:tcBorders/>
            <w:shd w:fill="auto" w:val="clear"/>
            <w:vAlign w:val="center"/>
          </w:tcPr>
          <w:p>
            <w:pPr>
              <w:pStyle w:val="TableContents"/>
              <w:spacing w:before="0" w:after="0"/>
              <w:ind w:left="0" w:right="0" w:hanging="0"/>
              <w:jc w:val="right"/>
              <w:rPr/>
            </w:pPr>
            <w:r>
              <w:rPr/>
              <w:t> </w:t>
            </w:r>
          </w:p>
        </w:tc>
        <w:tc>
          <w:tcPr>
            <w:tcW w:w="413"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val="false"/>
          <w:i/>
          <w:sz w:val="20"/>
        </w:rPr>
        <w:t>See accompanying notes to condensed consolidated financial statements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Soleno Therapeutics, Inc.</w:t>
      </w:r>
      <w:r>
        <w:rPr>
          <w:rFonts w:ascii="Times New Roman" w:hAnsi="Times New Roman"/>
          <w:sz w:val="20"/>
        </w:rPr>
        <w:t xml:space="preserve"> </w:t>
      </w:r>
    </w:p>
    <w:p>
      <w:pPr>
        <w:pStyle w:val="TextBody"/>
        <w:spacing w:before="0" w:after="0"/>
        <w:jc w:val="center"/>
        <w:rPr>
          <w:rFonts w:ascii="Times New Roman" w:hAnsi="Times New Roman"/>
          <w:sz w:val="20"/>
        </w:rPr>
      </w:pPr>
      <w:bookmarkStart w:id="8" w:name="cndnsd_cnsolidated_statements_cash_flows"/>
      <w:bookmarkEnd w:id="8"/>
      <w:r>
        <w:rPr>
          <w:rFonts w:ascii="Times New Roman;serif" w:hAnsi="Times New Roman;serif"/>
          <w:b/>
          <w:sz w:val="20"/>
        </w:rPr>
        <w:t>Condensed Consolidated Statements of Cash Flows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val="false"/>
          <w:i/>
          <w:sz w:val="20"/>
        </w:rPr>
        <w:t>(in thousands)</w:t>
      </w:r>
      <w:r>
        <w:rPr>
          <w:rFonts w:ascii="Times New Roman" w:hAnsi="Times New Roman"/>
          <w:sz w:val="20"/>
        </w:rPr>
        <w:t xml:space="preserve"> </w:t>
      </w:r>
    </w:p>
    <w:p>
      <w:pPr>
        <w:pStyle w:val="TextBody"/>
        <w:spacing w:before="0" w:after="0"/>
        <w:jc w:val="left"/>
        <w:rPr/>
      </w:pPr>
      <w:r>
        <w:rPr/>
        <w:t> </w:t>
      </w:r>
    </w:p>
    <w:tbl>
      <w:tblPr>
        <w:tblW w:w="9417" w:type="dxa"/>
        <w:jc w:val="left"/>
        <w:tblInd w:w="0" w:type="dxa"/>
        <w:tblCellMar>
          <w:top w:w="28" w:type="dxa"/>
          <w:left w:w="28" w:type="dxa"/>
          <w:bottom w:w="28" w:type="dxa"/>
          <w:right w:w="28" w:type="dxa"/>
        </w:tblCellMar>
      </w:tblPr>
      <w:tblGrid>
        <w:gridCol w:w="6061"/>
        <w:gridCol w:w="146"/>
        <w:gridCol w:w="242"/>
        <w:gridCol w:w="778"/>
        <w:gridCol w:w="191"/>
        <w:gridCol w:w="168"/>
        <w:gridCol w:w="242"/>
        <w:gridCol w:w="778"/>
        <w:gridCol w:w="811"/>
      </w:tblGrid>
      <w:tr>
        <w:trPr/>
        <w:tc>
          <w:tcPr>
            <w:tcW w:w="60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r>
      <w:tr>
        <w:trPr/>
        <w:tc>
          <w:tcPr>
            <w:tcW w:w="60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10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hanging="0"/>
              <w:jc w:val="right"/>
              <w:rPr/>
            </w:pPr>
            <w:r>
              <w:rPr/>
              <w:t> </w:t>
            </w:r>
          </w:p>
        </w:tc>
      </w:tr>
      <w:tr>
        <w:trPr/>
        <w:tc>
          <w:tcPr>
            <w:tcW w:w="60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(8,356</w:t>
            </w:r>
          </w:p>
        </w:tc>
        <w:tc>
          <w:tcPr>
            <w:tcW w:w="1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(5,724</w:t>
            </w:r>
          </w:p>
        </w:tc>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firstLine="200"/>
              <w:jc w:val="right"/>
              <w:rPr/>
            </w:pPr>
            <w:r>
              <w:rPr/>
              <w:t> </w:t>
            </w:r>
          </w:p>
        </w:tc>
      </w:tr>
      <w:tr>
        <w:trPr/>
        <w:tc>
          <w:tcPr>
            <w:tcW w:w="60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490</w:t>
            </w:r>
          </w:p>
        </w:tc>
        <w:tc>
          <w:tcPr>
            <w:tcW w:w="191"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492</w:t>
            </w:r>
          </w:p>
        </w:tc>
        <w:tc>
          <w:tcPr>
            <w:tcW w:w="811" w:type="dxa"/>
            <w:tcBorders/>
            <w:shd w:fill="auto" w:val="clear"/>
            <w:vAlign w:val="center"/>
          </w:tcPr>
          <w:p>
            <w:pPr>
              <w:pStyle w:val="TableContents"/>
              <w:spacing w:before="0" w:after="0"/>
              <w:ind w:left="0" w:right="0" w:firstLine="200"/>
              <w:jc w:val="left"/>
              <w:rPr/>
            </w:pPr>
            <w:r>
              <w:rPr/>
              <w:t> </w:t>
            </w:r>
          </w:p>
        </w:tc>
      </w:tr>
      <w:tr>
        <w:trPr/>
        <w:tc>
          <w:tcPr>
            <w:tcW w:w="60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Non-cash lease expense</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191"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811" w:type="dxa"/>
            <w:tcBorders/>
            <w:shd w:fill="auto" w:val="clear"/>
            <w:vAlign w:val="center"/>
          </w:tcPr>
          <w:p>
            <w:pPr>
              <w:pStyle w:val="TableContents"/>
              <w:spacing w:before="0" w:after="0"/>
              <w:ind w:left="0" w:right="0" w:firstLine="200"/>
              <w:jc w:val="left"/>
              <w:rPr/>
            </w:pPr>
            <w:r>
              <w:rPr/>
              <w:t> </w:t>
            </w:r>
          </w:p>
        </w:tc>
      </w:tr>
      <w:tr>
        <w:trPr/>
        <w:tc>
          <w:tcPr>
            <w:tcW w:w="60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631</w:t>
            </w:r>
          </w:p>
        </w:tc>
        <w:tc>
          <w:tcPr>
            <w:tcW w:w="191"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644</w:t>
            </w:r>
          </w:p>
        </w:tc>
        <w:tc>
          <w:tcPr>
            <w:tcW w:w="811" w:type="dxa"/>
            <w:tcBorders/>
            <w:shd w:fill="auto" w:val="clear"/>
            <w:vAlign w:val="center"/>
          </w:tcPr>
          <w:p>
            <w:pPr>
              <w:pStyle w:val="TableContents"/>
              <w:spacing w:before="0" w:after="0"/>
              <w:ind w:left="0" w:right="0" w:firstLine="200"/>
              <w:jc w:val="left"/>
              <w:rPr/>
            </w:pPr>
            <w:r>
              <w:rPr/>
              <w:t> </w:t>
            </w:r>
          </w:p>
        </w:tc>
      </w:tr>
      <w:tr>
        <w:trPr/>
        <w:tc>
          <w:tcPr>
            <w:tcW w:w="60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fair value of stock warrants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8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0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fair value of contingent consideration</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299</w:t>
            </w:r>
          </w:p>
        </w:tc>
        <w:tc>
          <w:tcPr>
            <w:tcW w:w="191"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(858</w:t>
            </w:r>
          </w:p>
        </w:tc>
        <w:tc>
          <w:tcPr>
            <w:tcW w:w="8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0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non-cash reconciling items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91"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8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0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operating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firstLine="400"/>
              <w:jc w:val="right"/>
              <w:rPr/>
            </w:pPr>
            <w:r>
              <w:rPr/>
              <w:t> </w:t>
            </w:r>
          </w:p>
        </w:tc>
      </w:tr>
      <w:tr>
        <w:trPr/>
        <w:tc>
          <w:tcPr>
            <w:tcW w:w="606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expenses, other current assets and other assets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w:t>
            </w:r>
          </w:p>
        </w:tc>
        <w:tc>
          <w:tcPr>
            <w:tcW w:w="1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811" w:type="dxa"/>
            <w:tcBorders/>
            <w:shd w:fill="auto" w:val="clear"/>
            <w:vAlign w:val="center"/>
          </w:tcPr>
          <w:p>
            <w:pPr>
              <w:pStyle w:val="TableContents"/>
              <w:spacing w:before="0" w:after="0"/>
              <w:ind w:left="0" w:right="0" w:firstLine="400"/>
              <w:jc w:val="left"/>
              <w:rPr/>
            </w:pPr>
            <w:r>
              <w:rPr/>
              <w:t> </w:t>
            </w:r>
          </w:p>
        </w:tc>
      </w:tr>
      <w:tr>
        <w:trPr/>
        <w:tc>
          <w:tcPr>
            <w:tcW w:w="606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1,001</w:t>
            </w:r>
          </w:p>
        </w:tc>
        <w:tc>
          <w:tcPr>
            <w:tcW w:w="191"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(1,046</w:t>
            </w:r>
          </w:p>
        </w:tc>
        <w:tc>
          <w:tcPr>
            <w:tcW w:w="81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6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compensation</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(954</w:t>
            </w:r>
          </w:p>
        </w:tc>
        <w:tc>
          <w:tcPr>
            <w:tcW w:w="1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81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6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clinical trial site costs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w:t>
            </w:r>
          </w:p>
        </w:tc>
        <w:tc>
          <w:tcPr>
            <w:tcW w:w="191"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811" w:type="dxa"/>
            <w:tcBorders/>
            <w:shd w:fill="auto" w:val="clear"/>
            <w:vAlign w:val="center"/>
          </w:tcPr>
          <w:p>
            <w:pPr>
              <w:pStyle w:val="TableContents"/>
              <w:spacing w:before="0" w:after="0"/>
              <w:ind w:left="0" w:right="0" w:firstLine="400"/>
              <w:jc w:val="left"/>
              <w:rPr/>
            </w:pPr>
            <w:r>
              <w:rPr/>
              <w:t> </w:t>
            </w:r>
          </w:p>
        </w:tc>
      </w:tr>
      <w:tr>
        <w:trPr/>
        <w:tc>
          <w:tcPr>
            <w:tcW w:w="606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1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81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6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6061" w:type="dxa"/>
            <w:tcBorders/>
            <w:shd w:fill="auto" w:val="clear"/>
            <w:vAlign w:val="center"/>
          </w:tcPr>
          <w:p>
            <w:pPr>
              <w:pStyle w:val="TableContents"/>
              <w:spacing w:before="0" w:after="0"/>
              <w:ind w:left="600" w:right="0" w:hanging="0"/>
              <w:jc w:val="left"/>
              <w:rPr>
                <w:rFonts w:ascii="Times New Roman;serif" w:hAnsi="Times New Roman;serif"/>
                <w:b/>
                <w:sz w:val="20"/>
              </w:rPr>
            </w:pPr>
            <w:r>
              <w:rPr>
                <w:rFonts w:ascii="Times New Roman;serif" w:hAnsi="Times New Roman;serif"/>
                <w:b/>
                <w:sz w:val="20"/>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(6,728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(6,362</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hanging="0"/>
              <w:jc w:val="right"/>
              <w:rPr/>
            </w:pPr>
            <w:r>
              <w:rPr/>
              <w:t> </w:t>
            </w:r>
          </w:p>
        </w:tc>
      </w:tr>
      <w:tr>
        <w:trPr/>
        <w:tc>
          <w:tcPr>
            <w:tcW w:w="60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sale of common stock and pre-funded warrants, net of costs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14,048</w:t>
            </w:r>
          </w:p>
        </w:tc>
        <w:tc>
          <w:tcPr>
            <w:tcW w:w="811" w:type="dxa"/>
            <w:tcBorders/>
            <w:shd w:fill="auto" w:val="clear"/>
            <w:vAlign w:val="center"/>
          </w:tcPr>
          <w:p>
            <w:pPr>
              <w:pStyle w:val="TableContents"/>
              <w:spacing w:before="0" w:after="0"/>
              <w:ind w:left="0" w:right="0" w:hanging="0"/>
              <w:jc w:val="left"/>
              <w:rPr/>
            </w:pPr>
            <w:r>
              <w:rPr/>
              <w:t> </w:t>
            </w:r>
          </w:p>
        </w:tc>
      </w:tr>
      <w:tr>
        <w:trPr/>
        <w:tc>
          <w:tcPr>
            <w:tcW w:w="60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Tax withholding payments for net share-settled equity awards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061" w:type="dxa"/>
            <w:tcBorders/>
            <w:shd w:fill="auto" w:val="clear"/>
            <w:vAlign w:val="center"/>
          </w:tcPr>
          <w:p>
            <w:pPr>
              <w:pStyle w:val="TableContents"/>
              <w:spacing w:before="0" w:after="0"/>
              <w:ind w:left="600" w:right="0" w:hanging="0"/>
              <w:jc w:val="left"/>
              <w:rPr>
                <w:rFonts w:ascii="Times New Roman;serif" w:hAnsi="Times New Roman;serif"/>
                <w:b/>
                <w:sz w:val="20"/>
              </w:rPr>
            </w:pPr>
            <w:r>
              <w:rPr>
                <w:rFonts w:ascii="Times New Roman;serif" w:hAnsi="Times New Roman;serif"/>
                <w:b/>
                <w:sz w:val="20"/>
              </w:rPr>
              <w:t>Net 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14,032</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increase in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(6,728</w:t>
            </w:r>
          </w:p>
        </w:tc>
        <w:tc>
          <w:tcPr>
            <w:tcW w:w="1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7,670</w:t>
            </w:r>
          </w:p>
        </w:tc>
        <w:tc>
          <w:tcPr>
            <w:tcW w:w="811" w:type="dxa"/>
            <w:tcBorders/>
            <w:shd w:fill="auto" w:val="clear"/>
            <w:vAlign w:val="center"/>
          </w:tcPr>
          <w:p>
            <w:pPr>
              <w:pStyle w:val="TableContents"/>
              <w:spacing w:before="0" w:after="0"/>
              <w:ind w:left="0" w:right="0" w:hanging="0"/>
              <w:jc w:val="left"/>
              <w:rPr/>
            </w:pPr>
            <w:r>
              <w:rPr/>
              <w:t> </w:t>
            </w:r>
          </w:p>
        </w:tc>
      </w:tr>
      <w:tr>
        <w:trPr/>
        <w:tc>
          <w:tcPr>
            <w:tcW w:w="60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beginning of period</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14,602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21,304</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and cash equivalents, end of period</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7,874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28,974</w:t>
            </w:r>
          </w:p>
        </w:tc>
        <w:tc>
          <w:tcPr>
            <w:tcW w:w="8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6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hanging="0"/>
              <w:jc w:val="right"/>
              <w:rPr/>
            </w:pPr>
            <w:r>
              <w:rPr/>
              <w:t> </w:t>
            </w:r>
          </w:p>
        </w:tc>
      </w:tr>
      <w:tr>
        <w:trPr/>
        <w:tc>
          <w:tcPr>
            <w:tcW w:w="60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Supplemental disclosure of non-cash financing information</w:t>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firstLine="600"/>
              <w:jc w:val="right"/>
              <w:rPr/>
            </w:pPr>
            <w:r>
              <w:rPr/>
              <w:t> </w:t>
            </w:r>
          </w:p>
        </w:tc>
      </w:tr>
      <w:tr>
        <w:trPr/>
        <w:tc>
          <w:tcPr>
            <w:tcW w:w="606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Unpaid costs for issuing common stock and pre-funded warrants</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w:t>
            </w:r>
          </w:p>
        </w:tc>
        <w:tc>
          <w:tcPr>
            <w:tcW w:w="8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val="false"/>
          <w:i/>
          <w:sz w:val="20"/>
        </w:rPr>
        <w:t>See accompanying notes to condensed consolidated financial statements.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18"/>
        </w:rPr>
        <w:t>Soleno Therapeutics, Inc.</w:t>
      </w:r>
      <w:r>
        <w:rPr>
          <w:rFonts w:ascii="Times New Roman" w:hAnsi="Times New Roman"/>
          <w:sz w:val="20"/>
        </w:rPr>
        <w:t xml:space="preserve"> </w:t>
      </w:r>
    </w:p>
    <w:p>
      <w:pPr>
        <w:pStyle w:val="TextBody"/>
        <w:spacing w:before="0" w:after="0"/>
        <w:jc w:val="center"/>
        <w:rPr>
          <w:rFonts w:ascii="Times New Roman;serif" w:hAnsi="Times New Roman;serif"/>
          <w:b/>
          <w:sz w:val="18"/>
        </w:rPr>
      </w:pPr>
      <w:r>
        <w:rPr>
          <w:rFonts w:ascii="Times New Roman;serif" w:hAnsi="Times New Roman;serif"/>
          <w:b/>
          <w:sz w:val="18"/>
        </w:rPr>
        <w:t>March 31, 2023</w:t>
      </w:r>
    </w:p>
    <w:p>
      <w:pPr>
        <w:pStyle w:val="TextBody"/>
        <w:spacing w:before="0" w:after="0"/>
        <w:jc w:val="center"/>
        <w:rPr>
          <w:rFonts w:ascii="Times New Roman" w:hAnsi="Times New Roman"/>
          <w:sz w:val="20"/>
        </w:rPr>
      </w:pPr>
      <w:bookmarkStart w:id="9" w:name="notes_consolidated_financial_statements"/>
      <w:bookmarkEnd w:id="9"/>
      <w:r>
        <w:rPr>
          <w:rFonts w:ascii="Times New Roman;serif" w:hAnsi="Times New Roman;serif"/>
          <w:b/>
          <w:sz w:val="18"/>
        </w:rPr>
        <w:t>Notes to Condensed Consolidated Financial Statements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18"/>
        </w:rPr>
        <w:t>(unaudited)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Note 1. Overview</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Soleno Therapeutics, Inc. (the Company or Soleno) is focused on the development and commercialization of novel therapeutics for the treatment of rare diseases. Its lead candidate is Diazoxide Choline (DCCR) Extended-Release tablets, a once-daily oral tablet for the treatment of Prader-Willi Syndrome (PWS). DCCR has received orphan designation for the treatment of PWS in the United States (U.S.) as well as in the European Union (E.U.).</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incorporated in the State of Delaware on August 25, 1999, and is located in Redwood City, California. It initially established its operations as Capnia, a diversified healthcare company that developed and commercialized innovative diagnostics, devices and therapeutics addressing unmet medical needs. During 2017, the Company merged with Essentialis, Inc (Essentialis) and subsequently received stockholder approval to amend its Amended and Restated Certificate of Incorporation to change its name from “Capnia, Inc.” to “Soleno Therapeutics, Inc.”. Essentialis was a privately held clinical-stage company focused on the development of breakthrough medicines for the treatment of rare diseases where there is increased mortality and risk of cardiovascular and endocrine complications. After the merger, the Company’s primary focus has been the development and commercialization of novel therapeutics for the treatment of rare diseases and the Company divested all prior business efforts.</w:t>
      </w:r>
    </w:p>
    <w:p>
      <w:pPr>
        <w:pStyle w:val="TextBody"/>
        <w:spacing w:before="360" w:after="0"/>
        <w:jc w:val="left"/>
        <w:rPr>
          <w:rFonts w:ascii="Times New Roman" w:hAnsi="Times New Roman"/>
          <w:sz w:val="20"/>
        </w:rPr>
      </w:pPr>
      <w:r>
        <w:rPr>
          <w:rFonts w:ascii="Times New Roman;serif" w:hAnsi="Times New Roman;serif"/>
          <w:b/>
          <w:sz w:val="20"/>
        </w:rPr>
        <w:t>Note 2. Going Concern and Management’s Plans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had a net loss of $8.4</w:t>
      </w:r>
      <w:r>
        <w:rPr>
          <w:rFonts w:ascii="Times New Roman" w:hAnsi="Times New Roman"/>
          <w:sz w:val="20"/>
        </w:rPr>
        <w:t xml:space="preserve"> </w:t>
      </w:r>
      <w:r>
        <w:rPr>
          <w:rFonts w:ascii="Times New Roman;serif" w:hAnsi="Times New Roman;serif"/>
          <w:b w:val="false"/>
          <w:sz w:val="20"/>
        </w:rPr>
        <w:t>million during the three months ended March 31, 2023 and has an accumulated deficit of $245.8</w:t>
      </w:r>
      <w:r>
        <w:rPr>
          <w:rFonts w:ascii="Times New Roman" w:hAnsi="Times New Roman"/>
          <w:sz w:val="20"/>
        </w:rPr>
        <w:t xml:space="preserve"> </w:t>
      </w:r>
      <w:r>
        <w:rPr>
          <w:rFonts w:ascii="Times New Roman;serif" w:hAnsi="Times New Roman;serif"/>
          <w:b w:val="false"/>
          <w:sz w:val="20"/>
        </w:rPr>
        <w:t>million at March 31, 2023 resulting from having incurred losses since its inception. The Company had $7.9</w:t>
      </w:r>
      <w:r>
        <w:rPr>
          <w:rFonts w:ascii="Times New Roman" w:hAnsi="Times New Roman"/>
          <w:sz w:val="20"/>
        </w:rPr>
        <w:t xml:space="preserve"> </w:t>
      </w:r>
      <w:r>
        <w:rPr>
          <w:rFonts w:ascii="Times New Roman;serif" w:hAnsi="Times New Roman;serif"/>
          <w:b w:val="false"/>
          <w:sz w:val="20"/>
        </w:rPr>
        <w:t>million of cash and cash equivalents on hand at March 31, 2023 and used $6.7</w:t>
      </w:r>
      <w:r>
        <w:rPr>
          <w:rFonts w:ascii="Times New Roman" w:hAnsi="Times New Roman"/>
          <w:sz w:val="20"/>
        </w:rPr>
        <w:t xml:space="preserve"> </w:t>
      </w:r>
      <w:r>
        <w:rPr>
          <w:rFonts w:ascii="Times New Roman;serif" w:hAnsi="Times New Roman;serif"/>
          <w:b w:val="false"/>
          <w:sz w:val="20"/>
        </w:rPr>
        <w:t>million of cash in its operating activities during the three months ended March 31, 2023.</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accompanying condensed consolidated financial statements have been prepared under the assumption the Company will continue to operate as a going concern, which contemplates the realization of assets and the settlement of liabilities in the normal course of business. The condensed consolidated financial statements do not include any adjustments to reflect the possible future effects on the recoverability and classification of assets or the amounts of liabilities that may result from uncertainty related to the Company’s ability to continue as a going concern.</w:t>
      </w:r>
    </w:p>
    <w:p>
      <w:pPr>
        <w:pStyle w:val="TextBody"/>
        <w:spacing w:before="120" w:after="0"/>
        <w:jc w:val="left"/>
        <w:rPr>
          <w:rFonts w:ascii="Times New Roman" w:hAnsi="Times New Roman"/>
          <w:sz w:val="20"/>
        </w:rPr>
      </w:pPr>
      <w:r>
        <w:rPr>
          <w:rFonts w:ascii="Times New Roman;serif" w:hAnsi="Times New Roman;serif"/>
          <w:b w:val="false"/>
          <w:sz w:val="20"/>
        </w:rPr>
        <w:t>The Company expects to continue incurring losses for the foreseeable future and will be required to raise additional capital to complete its clinical trials, pursue product development initiatives, obtain regulatory approval and penetrate markets for the sale of its products. In December 2022, the Company entered into a Securities Purchase Agreement for up to $60.0</w:t>
      </w:r>
      <w:r>
        <w:rPr>
          <w:rFonts w:ascii="Times New Roman" w:hAnsi="Times New Roman"/>
          <w:sz w:val="20"/>
        </w:rPr>
        <w:t xml:space="preserve"> </w:t>
      </w:r>
      <w:r>
        <w:rPr>
          <w:rFonts w:ascii="Times New Roman;serif" w:hAnsi="Times New Roman;serif"/>
          <w:b w:val="false"/>
          <w:sz w:val="20"/>
        </w:rPr>
        <w:t>million in additional funding if certain conditions are met. We completed the closing of the sale and issuance of the warrants for $10.0</w:t>
      </w:r>
      <w:r>
        <w:rPr>
          <w:rFonts w:ascii="Times New Roman" w:hAnsi="Times New Roman"/>
          <w:sz w:val="20"/>
        </w:rPr>
        <w:t xml:space="preserve"> </w:t>
      </w:r>
      <w:r>
        <w:rPr>
          <w:rFonts w:ascii="Times New Roman;serif" w:hAnsi="Times New Roman;serif"/>
          <w:b w:val="false"/>
          <w:sz w:val="20"/>
        </w:rPr>
        <w:t>million in May 2023. The receipt of up to $50.0</w:t>
      </w:r>
      <w:r>
        <w:rPr>
          <w:rFonts w:ascii="Times New Roman" w:hAnsi="Times New Roman"/>
          <w:sz w:val="20"/>
        </w:rPr>
        <w:t xml:space="preserve"> </w:t>
      </w:r>
      <w:r>
        <w:rPr>
          <w:rFonts w:ascii="Times New Roman;serif" w:hAnsi="Times New Roman;serif"/>
          <w:b w:val="false"/>
          <w:sz w:val="20"/>
        </w:rPr>
        <w:t>million is contingent upon the exercise of the warrants and the future performance of the Company.</w:t>
      </w:r>
      <w:r>
        <w:rPr>
          <w:rFonts w:ascii="Times New Roman" w:hAnsi="Times New Roman"/>
          <w:sz w:val="20"/>
        </w:rPr>
        <w:t xml:space="preserve"> </w:t>
      </w:r>
      <w:r>
        <w:rPr>
          <w:rFonts w:ascii="Times New Roman;serif" w:hAnsi="Times New Roman;serif"/>
          <w:b w:val="false"/>
          <w:sz w:val="20"/>
        </w:rPr>
        <w:t>As the remaining funds are contingent, under accounting principles generally accepted in the United States of America (GAAP), management is not able to consider them available when assessing the Company's ability to operate as a going concern. Management believes that the Company will continue to have access to capital resources through possible public or private equity offerings, debt financings, corporate collaborations or other means. However, access to such capital resources is uncertain and not assured. If the Company is unable to secure additional capital, it may be required to curtail its clinical trials and development of new products and take additional measures to reduce expenses in order to conserve its cash in amounts sufficient to sustain operations and meet its obligations. These measures could cause significant delays in the Company’s efforts to complete its clinical trials and commercialize its products, which are critical to the realization of its business plan and the future operations of the Company.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Management believes that the Company does not have sufficient capital resources to sustain operations through at least the next twelve months from the date of this filing. Additionally, in view of the Company’s expectation to incur significant losses for the foreseeable future it will be required to raise additional capital resources in order to fund its operations, although the availability of, and the Company’s access to such resources is not assured. Accordingly, management believes that there is substantial doubt regarding the Company’s ability to continue operating as a going concern through at least the next twelve months from the date of this filing.</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Note 3. Basis of Presentation and Summary of Significant Accounting Policies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Significant Accounting Policies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There have been no material changes to the significant accounting policies during the three months ended March 31, 2023 as compared to the significant accounting policies described in Note 3 of the “Notes to Consolidated Financial Statements” in the Company’s Annual Report on Form 10-K for the year ended December 31, 2022.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Basis of Presentation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accompanying unaudited condensed consolidated financial statements of the Company have been prepared on a going concern basis in accordance with GAAP for interim financial reporting and as required by Regulation S-X, Rule 10-01. Accordingly, they do not include all of the information and footnotes required by GAAP for complete financial statements. In the opinion of management, all adjustments (including those which are normal and recurring) considered necessary for a fair presentation of the interim financial information have been included. When preparing financial statements in conformity with GAAP, the Company must make estimates and assumptions that affect the reported amounts of assets, liabilities, revenues, expenses and related disclosures at the date of the financial statements. Actual results could differ from those estimates. Additionally, operating results for the three months ended March 31, 2023, are not necessarily indicative of the results that may be expected for any other interim period or for the fiscal year ending December 31, 2023. For further information, refer to the financial statements and footnotes included in the Company’s annual financial statements for the fiscal year ended December 31, 2022, which are included in the Company’s annual report on Form 10-K filed with the SEC on March 22, 2023.</w:t>
      </w:r>
    </w:p>
    <w:p>
      <w:pPr>
        <w:pStyle w:val="TextBody"/>
        <w:spacing w:before="240" w:after="0"/>
        <w:jc w:val="left"/>
        <w:rPr>
          <w:rFonts w:ascii="Times New Roman;serif" w:hAnsi="Times New Roman;serif"/>
          <w:b/>
          <w:i/>
          <w:sz w:val="20"/>
        </w:rPr>
      </w:pPr>
      <w:r>
        <w:rPr>
          <w:rFonts w:ascii="Times New Roman;serif" w:hAnsi="Times New Roman;serif"/>
          <w:b/>
          <w:i/>
          <w:sz w:val="20"/>
        </w:rPr>
        <w:t>Reverse Stock Split</w:t>
      </w:r>
    </w:p>
    <w:p>
      <w:pPr>
        <w:pStyle w:val="TextBody"/>
        <w:spacing w:before="120" w:after="0"/>
        <w:jc w:val="left"/>
        <w:rPr>
          <w:rFonts w:ascii="Times New Roman" w:hAnsi="Times New Roman"/>
          <w:sz w:val="20"/>
        </w:rPr>
      </w:pPr>
      <w:r>
        <w:rPr>
          <w:rFonts w:ascii="Times New Roman;serif" w:hAnsi="Times New Roman;serif"/>
          <w:b w:val="false"/>
          <w:sz w:val="20"/>
        </w:rPr>
        <w:t>On August 26, 2022, the Company filed a Certificate of Amendment to its Amended and Restated Certificate of Incorporation in order to effectuate a reverse stock split of the Company’s issued and outstanding common stock on a one-for-fifteen</w:t>
      </w:r>
      <w:r>
        <w:rPr>
          <w:rFonts w:ascii="Times New Roman" w:hAnsi="Times New Roman"/>
          <w:sz w:val="20"/>
        </w:rPr>
        <w:t xml:space="preserve"> </w:t>
      </w:r>
      <w:r>
        <w:rPr>
          <w:rFonts w:ascii="Times New Roman;serif" w:hAnsi="Times New Roman;serif"/>
          <w:b w:val="false"/>
          <w:sz w:val="20"/>
        </w:rPr>
        <w:t>basis. All common share and per share data are retrospectively restated to give effect of the split for all periods presented herein. After giving effect to the reverse stock split, the total number of shares of all classes of capital stock that the Corporation is authorized to issue is 110,000,000</w:t>
      </w:r>
      <w:r>
        <w:rPr>
          <w:rFonts w:ascii="Times New Roman" w:hAnsi="Times New Roman"/>
          <w:sz w:val="20"/>
        </w:rPr>
        <w:t xml:space="preserve"> </w:t>
      </w:r>
      <w:r>
        <w:rPr>
          <w:rFonts w:ascii="Times New Roman;serif" w:hAnsi="Times New Roman;serif"/>
          <w:b w:val="false"/>
          <w:sz w:val="20"/>
        </w:rPr>
        <w:t>shares, consisting of 100,000,000</w:t>
      </w:r>
      <w:r>
        <w:rPr>
          <w:rFonts w:ascii="Times New Roman" w:hAnsi="Times New Roman"/>
          <w:sz w:val="20"/>
        </w:rPr>
        <w:t xml:space="preserve"> </w:t>
      </w:r>
      <w:r>
        <w:rPr>
          <w:rFonts w:ascii="Times New Roman;serif" w:hAnsi="Times New Roman;serif"/>
          <w:b w:val="false"/>
          <w:sz w:val="20"/>
        </w:rPr>
        <w:t>shares of common stock, having a par value of $0.001</w:t>
      </w:r>
      <w:r>
        <w:rPr>
          <w:rFonts w:ascii="Times New Roman" w:hAnsi="Times New Roman"/>
          <w:sz w:val="20"/>
        </w:rPr>
        <w:t xml:space="preserve"> </w:t>
      </w:r>
      <w:r>
        <w:rPr>
          <w:rFonts w:ascii="Times New Roman;serif" w:hAnsi="Times New Roman;serif"/>
          <w:b w:val="false"/>
          <w:sz w:val="20"/>
        </w:rPr>
        <w:t>and 10,000,000</w:t>
      </w:r>
      <w:r>
        <w:rPr>
          <w:rFonts w:ascii="Times New Roman" w:hAnsi="Times New Roman"/>
          <w:sz w:val="20"/>
        </w:rPr>
        <w:t xml:space="preserve"> </w:t>
      </w:r>
      <w:r>
        <w:rPr>
          <w:rFonts w:ascii="Times New Roman;serif" w:hAnsi="Times New Roman;serif"/>
          <w:b w:val="false"/>
          <w:sz w:val="20"/>
        </w:rPr>
        <w:t>shares of preferred stock, having a par value of $0.001.</w:t>
      </w:r>
    </w:p>
    <w:p>
      <w:pPr>
        <w:pStyle w:val="TextBody"/>
        <w:spacing w:before="240" w:after="0"/>
        <w:jc w:val="left"/>
        <w:rPr>
          <w:rFonts w:ascii="Times New Roman" w:hAnsi="Times New Roman"/>
          <w:sz w:val="20"/>
        </w:rPr>
      </w:pPr>
      <w:r>
        <w:rPr>
          <w:rFonts w:ascii="Times New Roman;serif" w:hAnsi="Times New Roman;serif"/>
          <w:b/>
          <w:i/>
          <w:sz w:val="20"/>
        </w:rPr>
        <w:t>Use of Estimates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preparation of condensed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 estimates. Key estimates included in the financial statements include the valuation of deferred income tax assets, the valuation of financial instruments, stock-based compensation, accrued costs for services rendered in connection with third-party contractor clinical trial activities, and the valuation of contingent liabilities for the purchase price of assets obtained through acquisition.</w:t>
      </w:r>
    </w:p>
    <w:p>
      <w:pPr>
        <w:pStyle w:val="TextBody"/>
        <w:spacing w:before="240" w:after="0"/>
        <w:jc w:val="left"/>
        <w:rPr>
          <w:rFonts w:ascii="Times New Roman" w:hAnsi="Times New Roman"/>
          <w:sz w:val="20"/>
        </w:rPr>
      </w:pPr>
      <w:r>
        <w:rPr>
          <w:rFonts w:ascii="Times New Roman;serif" w:hAnsi="Times New Roman;serif"/>
          <w:b/>
          <w:i/>
          <w:sz w:val="20"/>
        </w:rPr>
        <w:t>Recently Adopted Accounting Pronouncements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From time to time, new accounting pronouncements are issued by the Financial Accounting Standards Board (FASB) or other standard setting bodies that are adopted by the Company as of the specified effective date.</w:t>
      </w:r>
    </w:p>
    <w:p>
      <w:pPr>
        <w:pStyle w:val="TextBody"/>
        <w:spacing w:before="120" w:after="0"/>
        <w:jc w:val="left"/>
        <w:rPr>
          <w:rFonts w:ascii="Times New Roman" w:hAnsi="Times New Roman"/>
          <w:sz w:val="20"/>
        </w:rPr>
      </w:pPr>
      <w:r>
        <w:rPr>
          <w:rFonts w:ascii="Times New Roman;serif" w:hAnsi="Times New Roman;serif"/>
          <w:b w:val="false"/>
          <w:sz w:val="20"/>
        </w:rPr>
        <w:t xml:space="preserve">In June 2016, the FASB issued ASU No. 2016-13, </w:t>
      </w:r>
      <w:r>
        <w:rPr>
          <w:rFonts w:ascii="Times New Roman;serif" w:hAnsi="Times New Roman;serif"/>
          <w:b w:val="false"/>
          <w:i/>
          <w:sz w:val="20"/>
        </w:rPr>
        <w:t>Financial Instruments - Credit Losses (Topic 326): Measurement of Credit Losses of Financial Instruments</w:t>
      </w:r>
      <w:r>
        <w:rPr>
          <w:rFonts w:ascii="Times New Roman;serif" w:hAnsi="Times New Roman;serif"/>
          <w:b w:val="false"/>
          <w:sz w:val="20"/>
        </w:rPr>
        <w:t>, which, together with subsequent amendments, amends the requirement on the measurement and recognition of expected credit losses for financial assets held. ASU 2016-13 is effective for the Company for the annual periods beginning after December 15, 2022, including interim periods within those fiscal years, with early adoption permitted. The Company adopted this ASU effective January 1, 2023. There was no</w:t>
      </w:r>
      <w:r>
        <w:rPr>
          <w:rFonts w:ascii="Times New Roman" w:hAnsi="Times New Roman"/>
          <w:sz w:val="20"/>
        </w:rPr>
        <w:t xml:space="preserve"> </w:t>
      </w:r>
      <w:r>
        <w:rPr>
          <w:rFonts w:ascii="Times New Roman;serif" w:hAnsi="Times New Roman;serif"/>
          <w:b w:val="false"/>
          <w:sz w:val="20"/>
        </w:rPr>
        <w:t>impact on the Company's financial statements upon the adoption</w:t>
      </w:r>
      <w:r>
        <w:rPr>
          <w:rFonts w:ascii="Times New Roman" w:hAnsi="Times New Roman"/>
          <w:sz w:val="20"/>
        </w:rPr>
        <w:t xml:space="preserve"> </w:t>
      </w:r>
      <w:r>
        <w:rPr>
          <w:rFonts w:ascii="Times New Roman;serif" w:hAnsi="Times New Roman;serif"/>
          <w:b w:val="false"/>
          <w:sz w:val="20"/>
        </w:rPr>
        <w:t>of this ASU.</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 accounting standards that have been issued or proposed by FASB or other standards-setting bodies that do not require adoption until a future date are not currently expected to have a material impact on the Company’s financial statements upon adoption.</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Note 4. Fair Value of Financial Instruments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carrying value of the Company’s cash, cash equivalents and accounts payable, approximate fair value due to the short-term nature of these items.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fair value hierarchy defines a three-level valuation hierarchy for disclosure of fair value measurements as follows:</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Level I — Unadjusted quoted prices in active markets for identical assets or liabilities;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Level III — Unobservable inputs that are supported by little or no market activity for the related assets or liabilities. </w:t>
      </w:r>
    </w:p>
    <w:p>
      <w:pPr>
        <w:pStyle w:val="TextBody"/>
        <w:spacing w:before="120" w:after="0"/>
        <w:jc w:val="left"/>
        <w:rPr>
          <w:rFonts w:ascii="Times New Roman" w:hAnsi="Times New Roman"/>
          <w:sz w:val="20"/>
        </w:rPr>
      </w:pPr>
      <w:r>
        <w:rPr>
          <w:rFonts w:ascii="Times New Roman;serif" w:hAnsi="Times New Roman;serif"/>
          <w:b w:val="false"/>
          <w:sz w:val="20"/>
        </w:rPr>
        <w:t>The categorization of a financial instrument within the valuation hierarchy is based upon the lowest level of input that is significant to the fair value measurement.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following table sets forth the Company’s financial instruments that were measured at fair value on a recurring basis by level within the fair value hierarchy (in thousands):</w:t>
      </w:r>
      <w:r>
        <w:rPr>
          <w:rFonts w:ascii="Times New Roman" w:hAnsi="Times New Roman"/>
          <w:sz w:val="20"/>
        </w:rPr>
        <w:t xml:space="preserve"> </w:t>
      </w:r>
    </w:p>
    <w:p>
      <w:pPr>
        <w:pStyle w:val="TextBody"/>
        <w:spacing w:before="0" w:after="0"/>
        <w:jc w:val="left"/>
        <w:rPr/>
      </w:pPr>
      <w:r>
        <w:rPr/>
        <w:t> </w:t>
      </w:r>
    </w:p>
    <w:tbl>
      <w:tblPr>
        <w:tblW w:w="8213" w:type="dxa"/>
        <w:jc w:val="left"/>
        <w:tblInd w:w="0" w:type="dxa"/>
        <w:tblCellMar>
          <w:top w:w="28" w:type="dxa"/>
          <w:left w:w="28" w:type="dxa"/>
          <w:bottom w:w="28" w:type="dxa"/>
          <w:right w:w="28" w:type="dxa"/>
        </w:tblCellMar>
      </w:tblPr>
      <w:tblGrid>
        <w:gridCol w:w="3976"/>
        <w:gridCol w:w="146"/>
        <w:gridCol w:w="211"/>
        <w:gridCol w:w="571"/>
        <w:gridCol w:w="146"/>
        <w:gridCol w:w="146"/>
        <w:gridCol w:w="239"/>
        <w:gridCol w:w="391"/>
        <w:gridCol w:w="146"/>
        <w:gridCol w:w="146"/>
        <w:gridCol w:w="239"/>
        <w:gridCol w:w="391"/>
        <w:gridCol w:w="146"/>
        <w:gridCol w:w="146"/>
        <w:gridCol w:w="211"/>
        <w:gridCol w:w="571"/>
        <w:gridCol w:w="391"/>
      </w:tblGrid>
      <w:tr>
        <w:trPr/>
        <w:tc>
          <w:tcPr>
            <w:tcW w:w="39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9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00"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 Measurements at March 31, 2023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2018 PIPE warrant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91" w:type="dxa"/>
            <w:tcBorders/>
            <w:shd w:fill="auto" w:val="clear"/>
            <w:vAlign w:val="center"/>
          </w:tcPr>
          <w:p>
            <w:pPr>
              <w:pStyle w:val="TableContents"/>
              <w:spacing w:before="0" w:after="0"/>
              <w:ind w:left="0" w:right="0" w:hanging="0"/>
              <w:jc w:val="left"/>
              <w:rPr/>
            </w:pPr>
            <w:r>
              <w:rPr/>
              <w:t> </w:t>
            </w:r>
          </w:p>
        </w:tc>
      </w:tr>
      <w:tr>
        <w:trPr/>
        <w:tc>
          <w:tcPr>
            <w:tcW w:w="3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Essentialis purchase price contingency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9,134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9,134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9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common stock warrant and contingent</w:t>
              <w:br/>
              <w:t>   consideration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9,135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9,135</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8237" w:type="dxa"/>
        <w:jc w:val="left"/>
        <w:tblInd w:w="0" w:type="dxa"/>
        <w:tblCellMar>
          <w:top w:w="28" w:type="dxa"/>
          <w:left w:w="28" w:type="dxa"/>
          <w:bottom w:w="28" w:type="dxa"/>
          <w:right w:w="28" w:type="dxa"/>
        </w:tblCellMar>
      </w:tblPr>
      <w:tblGrid>
        <w:gridCol w:w="3976"/>
        <w:gridCol w:w="146"/>
        <w:gridCol w:w="213"/>
        <w:gridCol w:w="578"/>
        <w:gridCol w:w="147"/>
        <w:gridCol w:w="147"/>
        <w:gridCol w:w="238"/>
        <w:gridCol w:w="392"/>
        <w:gridCol w:w="147"/>
        <w:gridCol w:w="147"/>
        <w:gridCol w:w="238"/>
        <w:gridCol w:w="392"/>
        <w:gridCol w:w="147"/>
        <w:gridCol w:w="147"/>
        <w:gridCol w:w="213"/>
        <w:gridCol w:w="578"/>
        <w:gridCol w:w="391"/>
      </w:tblGrid>
      <w:tr>
        <w:trPr/>
        <w:tc>
          <w:tcPr>
            <w:tcW w:w="39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9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24"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 Measurements at 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7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shd w:fill="auto" w:val="clear"/>
            <w:vAlign w:val="center"/>
          </w:tcPr>
          <w:p>
            <w:pPr>
              <w:pStyle w:val="TableContents"/>
              <w:spacing w:before="0" w:after="0"/>
              <w:ind w:left="0" w:right="0" w:hanging="0"/>
              <w:jc w:val="left"/>
              <w:rPr/>
            </w:pPr>
            <w:r>
              <w:rPr/>
              <w:t> </w:t>
            </w:r>
          </w:p>
        </w:tc>
        <w:tc>
          <w:tcPr>
            <w:tcW w:w="791" w:type="dxa"/>
            <w:gridSpan w:val="2"/>
            <w:tcBorders/>
            <w:shd w:fill="auto" w:val="clear"/>
            <w:vAlign w:val="center"/>
          </w:tcPr>
          <w:p>
            <w:pPr>
              <w:pStyle w:val="TableContents"/>
              <w:spacing w:before="0" w:after="0"/>
              <w:ind w:left="0" w:right="0" w:hanging="0"/>
              <w:jc w:val="right"/>
              <w:rPr/>
            </w:pPr>
            <w:r>
              <w:rPr/>
              <w:t> </w:t>
            </w:r>
          </w:p>
        </w:tc>
        <w:tc>
          <w:tcPr>
            <w:tcW w:w="147" w:type="dxa"/>
            <w:tcBorders/>
            <w:shd w:fill="auto" w:val="clear"/>
            <w:vAlign w:val="center"/>
          </w:tcPr>
          <w:p>
            <w:pPr>
              <w:pStyle w:val="TableContents"/>
              <w:spacing w:before="0" w:after="0"/>
              <w:ind w:left="0" w:right="0" w:hanging="0"/>
              <w:jc w:val="righ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7" w:type="dxa"/>
            <w:tcBorders/>
            <w:shd w:fill="auto" w:val="clear"/>
            <w:vAlign w:val="center"/>
          </w:tcPr>
          <w:p>
            <w:pPr>
              <w:pStyle w:val="TableContents"/>
              <w:spacing w:before="0" w:after="0"/>
              <w:ind w:left="0" w:right="0" w:hanging="0"/>
              <w:jc w:val="righ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7" w:type="dxa"/>
            <w:tcBorders/>
            <w:shd w:fill="auto" w:val="clear"/>
            <w:vAlign w:val="center"/>
          </w:tcPr>
          <w:p>
            <w:pPr>
              <w:pStyle w:val="TableContents"/>
              <w:spacing w:before="0" w:after="0"/>
              <w:ind w:left="0" w:right="0" w:hanging="0"/>
              <w:jc w:val="righ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791"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2018 PIPE warrant liability</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7"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2" w:type="dxa"/>
            <w:tcBorders/>
            <w:shd w:fill="auto" w:val="clear"/>
            <w:vAlign w:val="center"/>
          </w:tcPr>
          <w:p>
            <w:pPr>
              <w:pStyle w:val="TableContents"/>
              <w:spacing w:before="0" w:after="0"/>
              <w:ind w:left="0" w:right="0" w:hanging="0"/>
              <w:jc w:val="right"/>
              <w:rPr/>
            </w:pPr>
            <w:r>
              <w:rPr/>
              <w:t>—</w:t>
            </w:r>
          </w:p>
        </w:tc>
        <w:tc>
          <w:tcPr>
            <w:tcW w:w="147"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2" w:type="dxa"/>
            <w:tcBorders/>
            <w:shd w:fill="auto" w:val="clear"/>
            <w:vAlign w:val="center"/>
          </w:tcPr>
          <w:p>
            <w:pPr>
              <w:pStyle w:val="TableContents"/>
              <w:spacing w:before="0" w:after="0"/>
              <w:ind w:left="0" w:right="0" w:hanging="0"/>
              <w:jc w:val="right"/>
              <w:rPr/>
            </w:pPr>
            <w:r>
              <w:rPr/>
              <w:t>—</w:t>
            </w:r>
          </w:p>
        </w:tc>
        <w:tc>
          <w:tcPr>
            <w:tcW w:w="147"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91" w:type="dxa"/>
            <w:tcBorders/>
            <w:shd w:fill="auto" w:val="clear"/>
            <w:vAlign w:val="center"/>
          </w:tcPr>
          <w:p>
            <w:pPr>
              <w:pStyle w:val="TableContents"/>
              <w:spacing w:before="0" w:after="0"/>
              <w:ind w:left="0" w:right="0" w:hanging="0"/>
              <w:jc w:val="left"/>
              <w:rPr/>
            </w:pPr>
            <w:r>
              <w:rPr/>
              <w:t> </w:t>
            </w:r>
          </w:p>
        </w:tc>
      </w:tr>
      <w:tr>
        <w:trPr/>
        <w:tc>
          <w:tcPr>
            <w:tcW w:w="3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Essentialis purchase price contingency liability</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8,835</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8,835</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9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common stock warrant and contingent</w:t>
              <w:br/>
              <w:t>   consideration liability</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8,836</w:t>
            </w:r>
          </w:p>
        </w:tc>
        <w:tc>
          <w:tcPr>
            <w:tcW w:w="1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8,836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The Company’s estimated fair value of the 2018 PIPE Warrants was calculated using a Black-Scholes pricing model. The Black-Scholes pricing model requires the input of highly subjective assumptions including the expected stock price volatility, the expected term, the expected dividend yield and the risk-free interest rate.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Based on the terms of the Company’s completed merger with Essentialis on March 7, 2017, the Company is obligated to make cash earnout payments of up to a maximum of $21.2</w:t>
      </w:r>
      <w:r>
        <w:rPr>
          <w:rFonts w:ascii="Times New Roman" w:hAnsi="Times New Roman"/>
          <w:sz w:val="20"/>
        </w:rPr>
        <w:t xml:space="preserve"> </w:t>
      </w:r>
      <w:r>
        <w:rPr>
          <w:rFonts w:ascii="Times New Roman;serif" w:hAnsi="Times New Roman;serif"/>
          <w:b w:val="false"/>
          <w:sz w:val="20"/>
        </w:rPr>
        <w:t>million to the former Essentialis stockholders. The fair value of the Essentialis purchase price contingent liability is estimated using scenario-based methods based upon the Company’s analysis of the likelihood of obtaining specified approvals from the U.S. Food and Drug Administration (FDA) as well as reaching cumulative revenue milestones. The Level 3 estimates are based, in part, on subjective assumptions. In determining the likelihood of this occurring, the analysis relied on published research relating to clinical development success rates. Based on management’s assessment, a 72% probability of achieving each milestone was determined to be reasonable as of each of March 31, 2023 and December 31, 2022. During the periods presented, the Company has not changed the manner in which it values its Essentialis purchase price contingent liability.</w:t>
      </w:r>
    </w:p>
    <w:p>
      <w:pPr>
        <w:pStyle w:val="TextBody"/>
        <w:spacing w:before="120" w:after="0"/>
        <w:jc w:val="left"/>
        <w:rPr>
          <w:rFonts w:ascii="Times New Roman" w:hAnsi="Times New Roman"/>
          <w:sz w:val="20"/>
        </w:rPr>
      </w:pPr>
      <w:r>
        <w:rPr>
          <w:rFonts w:ascii="Times New Roman;serif" w:hAnsi="Times New Roman;serif"/>
          <w:b w:val="false"/>
          <w:sz w:val="20"/>
        </w:rPr>
        <w:t>The Company recognizes transfers between levels of the fair value hierarchy as of the end of the reporting period. There were no transfers between levels within the hierarchy during the periods presented.</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The following table sets forth a summary of the changes in the fair value of the Company’s Level 3 liabilities for the three months ended March 31, 2023 and 2022 (dollars in thousands):</w:t>
      </w:r>
      <w:r>
        <w:rPr>
          <w:rFonts w:ascii="Times New Roman" w:hAnsi="Times New Roman"/>
          <w:sz w:val="20"/>
        </w:rPr>
        <w:t xml:space="preserve"> </w:t>
      </w:r>
    </w:p>
    <w:p>
      <w:pPr>
        <w:pStyle w:val="TextBody"/>
        <w:spacing w:before="0" w:after="0"/>
        <w:jc w:val="left"/>
        <w:rPr/>
      </w:pPr>
      <w:r>
        <w:rPr/>
        <w:t> </w:t>
      </w:r>
    </w:p>
    <w:tbl>
      <w:tblPr>
        <w:tblW w:w="7083" w:type="dxa"/>
        <w:jc w:val="left"/>
        <w:tblInd w:w="0" w:type="dxa"/>
        <w:tblCellMar>
          <w:top w:w="28" w:type="dxa"/>
          <w:left w:w="28" w:type="dxa"/>
          <w:bottom w:w="28" w:type="dxa"/>
          <w:right w:w="28" w:type="dxa"/>
        </w:tblCellMar>
      </w:tblPr>
      <w:tblGrid>
        <w:gridCol w:w="3331"/>
        <w:gridCol w:w="146"/>
        <w:gridCol w:w="157"/>
        <w:gridCol w:w="728"/>
        <w:gridCol w:w="146"/>
        <w:gridCol w:w="146"/>
        <w:gridCol w:w="259"/>
        <w:gridCol w:w="462"/>
        <w:gridCol w:w="166"/>
        <w:gridCol w:w="146"/>
        <w:gridCol w:w="320"/>
        <w:gridCol w:w="865"/>
        <w:gridCol w:w="211"/>
      </w:tblGrid>
      <w:tr>
        <w:trPr/>
        <w:tc>
          <w:tcPr>
            <w:tcW w:w="3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3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2018 PIPE Warrants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Purchase Price</w:t>
            </w:r>
          </w:p>
        </w:tc>
        <w:tc>
          <w:tcPr>
            <w:tcW w:w="211" w:type="dxa"/>
            <w:tcBorders/>
            <w:shd w:fill="auto" w:val="clear"/>
            <w:vAlign w:val="center"/>
          </w:tcPr>
          <w:p>
            <w:pPr>
              <w:pStyle w:val="TableContents"/>
              <w:spacing w:before="0" w:after="0"/>
              <w:ind w:left="0" w:right="0" w:hanging="0"/>
              <w:jc w:val="center"/>
              <w:rPr/>
            </w:pPr>
            <w:r>
              <w:rPr/>
              <w:t> </w:t>
            </w:r>
          </w:p>
        </w:tc>
      </w:tr>
      <w:tr>
        <w:trPr/>
        <w:tc>
          <w:tcPr>
            <w:tcW w:w="33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br/>
              <w:t>Warrants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Liability</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Contingent</w:t>
              <w:br/>
              <w:t>Liability</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January 1, 2023</w:t>
            </w:r>
          </w:p>
        </w:tc>
        <w:tc>
          <w:tcPr>
            <w:tcW w:w="146" w:type="dxa"/>
            <w:tcBorders/>
            <w:shd w:fill="auto" w:val="clear"/>
            <w:vAlign w:val="center"/>
          </w:tcPr>
          <w:p>
            <w:pPr>
              <w:pStyle w:val="TableContents"/>
              <w:spacing w:before="0" w:after="0"/>
              <w:ind w:left="0" w:right="0" w:hanging="0"/>
              <w:jc w:val="right"/>
              <w:rPr/>
            </w:pPr>
            <w:r>
              <w:rPr/>
              <w:t> </w:t>
            </w:r>
          </w:p>
        </w:tc>
        <w:tc>
          <w:tcPr>
            <w:tcW w:w="157" w:type="dxa"/>
            <w:tcBorders/>
            <w:shd w:fill="auto" w:val="clear"/>
            <w:vAlign w:val="center"/>
          </w:tcPr>
          <w:p>
            <w:pPr>
              <w:pStyle w:val="TableContents"/>
              <w:spacing w:before="0" w:after="0"/>
              <w:ind w:left="0" w:right="0" w:hanging="0"/>
              <w:jc w:val="left"/>
              <w:rPr/>
            </w:pPr>
            <w:r>
              <w:rPr/>
              <w:t> </w:t>
            </w:r>
          </w:p>
        </w:tc>
        <w:tc>
          <w:tcPr>
            <w:tcW w:w="7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34,241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8,835</w:t>
            </w:r>
          </w:p>
        </w:tc>
        <w:tc>
          <w:tcPr>
            <w:tcW w:w="211" w:type="dxa"/>
            <w:tcBorders/>
            <w:shd w:fill="auto" w:val="clear"/>
            <w:vAlign w:val="center"/>
          </w:tcPr>
          <w:p>
            <w:pPr>
              <w:pStyle w:val="TableContents"/>
              <w:spacing w:before="0" w:after="0"/>
              <w:ind w:left="0" w:right="0" w:hanging="0"/>
              <w:jc w:val="left"/>
              <w:rPr/>
            </w:pPr>
            <w:r>
              <w:rPr/>
              <w:t> </w:t>
            </w:r>
          </w:p>
        </w:tc>
      </w:tr>
      <w:tr>
        <w:trPr/>
        <w:tc>
          <w:tcPr>
            <w:tcW w:w="3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value of 2018 PIPE Warrants</w:t>
            </w:r>
          </w:p>
        </w:tc>
        <w:tc>
          <w:tcPr>
            <w:tcW w:w="146" w:type="dxa"/>
            <w:tcBorders/>
            <w:shd w:fill="auto" w:val="clear"/>
            <w:vAlign w:val="center"/>
          </w:tcPr>
          <w:p>
            <w:pPr>
              <w:pStyle w:val="TableContents"/>
              <w:spacing w:before="0" w:after="0"/>
              <w:ind w:left="0" w:right="0" w:hanging="0"/>
              <w:jc w:val="right"/>
              <w:rPr/>
            </w:pPr>
            <w:r>
              <w:rPr/>
              <w:t> </w:t>
            </w:r>
          </w:p>
        </w:tc>
        <w:tc>
          <w:tcPr>
            <w:tcW w:w="157" w:type="dxa"/>
            <w:tcBorders/>
            <w:shd w:fill="auto" w:val="clear"/>
            <w:vAlign w:val="center"/>
          </w:tcPr>
          <w:p>
            <w:pPr>
              <w:pStyle w:val="TableContents"/>
              <w:spacing w:before="0" w:after="0"/>
              <w:ind w:left="0" w:right="0" w:hanging="0"/>
              <w:jc w:val="left"/>
              <w:rPr/>
            </w:pPr>
            <w:r>
              <w:rPr/>
              <w:t> </w:t>
            </w:r>
          </w:p>
        </w:tc>
        <w:tc>
          <w:tcPr>
            <w:tcW w:w="72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46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3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value of contingent liability</w:t>
            </w:r>
          </w:p>
        </w:tc>
        <w:tc>
          <w:tcPr>
            <w:tcW w:w="146" w:type="dxa"/>
            <w:tcBorders/>
            <w:shd w:fill="auto" w:val="clear"/>
            <w:vAlign w:val="center"/>
          </w:tcPr>
          <w:p>
            <w:pPr>
              <w:pStyle w:val="TableContents"/>
              <w:spacing w:before="0" w:after="0"/>
              <w:ind w:left="0" w:right="0" w:hanging="0"/>
              <w:jc w:val="right"/>
              <w:rPr/>
            </w:pPr>
            <w:r>
              <w:rPr/>
              <w:t> </w:t>
            </w:r>
          </w:p>
        </w:tc>
        <w:tc>
          <w:tcPr>
            <w:tcW w:w="1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299</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March 31, 2023</w:t>
            </w:r>
          </w:p>
        </w:tc>
        <w:tc>
          <w:tcPr>
            <w:tcW w:w="146" w:type="dxa"/>
            <w:tcBorders/>
            <w:shd w:fill="auto" w:val="clear"/>
            <w:vAlign w:val="center"/>
          </w:tcPr>
          <w:p>
            <w:pPr>
              <w:pStyle w:val="TableContents"/>
              <w:spacing w:before="0" w:after="0"/>
              <w:ind w:left="0" w:right="0" w:hanging="0"/>
              <w:jc w:val="right"/>
              <w:rPr/>
            </w:pPr>
            <w:r>
              <w:rPr/>
              <w:t> </w:t>
            </w:r>
          </w:p>
        </w:tc>
        <w:tc>
          <w:tcPr>
            <w:tcW w:w="1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34,241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9,134</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5"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33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2018 PIPE Warrants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Purchase Price</w:t>
            </w:r>
          </w:p>
        </w:tc>
        <w:tc>
          <w:tcPr>
            <w:tcW w:w="211" w:type="dxa"/>
            <w:tcBorders/>
            <w:shd w:fill="auto" w:val="clear"/>
            <w:vAlign w:val="center"/>
          </w:tcPr>
          <w:p>
            <w:pPr>
              <w:pStyle w:val="TableContents"/>
              <w:spacing w:before="0" w:after="0"/>
              <w:ind w:left="0" w:right="0" w:hanging="0"/>
              <w:jc w:val="center"/>
              <w:rPr/>
            </w:pPr>
            <w:r>
              <w:rPr/>
              <w:t> </w:t>
            </w:r>
          </w:p>
        </w:tc>
      </w:tr>
      <w:tr>
        <w:trPr/>
        <w:tc>
          <w:tcPr>
            <w:tcW w:w="33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br/>
              <w:t>Warrants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Liability</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Contingent</w:t>
              <w:br/>
              <w:t>Liability</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January 1, 2022</w:t>
            </w:r>
          </w:p>
        </w:tc>
        <w:tc>
          <w:tcPr>
            <w:tcW w:w="146" w:type="dxa"/>
            <w:tcBorders/>
            <w:shd w:fill="auto" w:val="clear"/>
            <w:vAlign w:val="center"/>
          </w:tcPr>
          <w:p>
            <w:pPr>
              <w:pStyle w:val="TableContents"/>
              <w:spacing w:before="0" w:after="0"/>
              <w:ind w:left="0" w:right="0" w:hanging="0"/>
              <w:jc w:val="left"/>
              <w:rPr/>
            </w:pPr>
            <w:r>
              <w:rPr/>
              <w:t> </w:t>
            </w:r>
          </w:p>
        </w:tc>
        <w:tc>
          <w:tcPr>
            <w:tcW w:w="157" w:type="dxa"/>
            <w:tcBorders/>
            <w:shd w:fill="auto" w:val="clear"/>
            <w:vAlign w:val="center"/>
          </w:tcPr>
          <w:p>
            <w:pPr>
              <w:pStyle w:val="TableContents"/>
              <w:spacing w:before="0" w:after="0"/>
              <w:ind w:left="0" w:right="0" w:hanging="0"/>
              <w:jc w:val="left"/>
              <w:rPr/>
            </w:pPr>
            <w:r>
              <w:rPr/>
              <w:t> </w:t>
            </w:r>
          </w:p>
        </w:tc>
        <w:tc>
          <w:tcPr>
            <w:tcW w:w="7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34,241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9,547</w:t>
            </w:r>
          </w:p>
        </w:tc>
        <w:tc>
          <w:tcPr>
            <w:tcW w:w="211" w:type="dxa"/>
            <w:tcBorders/>
            <w:shd w:fill="auto" w:val="clear"/>
            <w:vAlign w:val="center"/>
          </w:tcPr>
          <w:p>
            <w:pPr>
              <w:pStyle w:val="TableContents"/>
              <w:spacing w:before="0" w:after="0"/>
              <w:ind w:left="0" w:right="0" w:hanging="0"/>
              <w:jc w:val="left"/>
              <w:rPr/>
            </w:pPr>
            <w:r>
              <w:rPr/>
              <w:t> </w:t>
            </w:r>
          </w:p>
        </w:tc>
      </w:tr>
      <w:tr>
        <w:trPr/>
        <w:tc>
          <w:tcPr>
            <w:tcW w:w="3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value of 2018 PIPE Warrants</w:t>
            </w:r>
          </w:p>
        </w:tc>
        <w:tc>
          <w:tcPr>
            <w:tcW w:w="146" w:type="dxa"/>
            <w:tcBorders/>
            <w:shd w:fill="auto" w:val="clear"/>
            <w:vAlign w:val="center"/>
          </w:tcPr>
          <w:p>
            <w:pPr>
              <w:pStyle w:val="TableContents"/>
              <w:spacing w:before="0" w:after="0"/>
              <w:ind w:left="0" w:right="0" w:hanging="0"/>
              <w:jc w:val="left"/>
              <w:rPr/>
            </w:pPr>
            <w:r>
              <w:rPr/>
              <w:t> </w:t>
            </w:r>
          </w:p>
        </w:tc>
        <w:tc>
          <w:tcPr>
            <w:tcW w:w="157" w:type="dxa"/>
            <w:tcBorders/>
            <w:shd w:fill="auto" w:val="clear"/>
            <w:vAlign w:val="center"/>
          </w:tcPr>
          <w:p>
            <w:pPr>
              <w:pStyle w:val="TableContents"/>
              <w:spacing w:before="0" w:after="0"/>
              <w:ind w:left="0" w:right="0" w:hanging="0"/>
              <w:jc w:val="left"/>
              <w:rPr/>
            </w:pPr>
            <w:r>
              <w:rPr/>
              <w:t> </w:t>
            </w:r>
          </w:p>
        </w:tc>
        <w:tc>
          <w:tcPr>
            <w:tcW w:w="72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4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3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value of contingent liability</w:t>
            </w:r>
          </w:p>
        </w:tc>
        <w:tc>
          <w:tcPr>
            <w:tcW w:w="146" w:type="dxa"/>
            <w:tcBorders/>
            <w:shd w:fill="auto" w:val="clear"/>
            <w:vAlign w:val="center"/>
          </w:tcPr>
          <w:p>
            <w:pPr>
              <w:pStyle w:val="TableContents"/>
              <w:spacing w:before="0" w:after="0"/>
              <w:ind w:left="0" w:right="0" w:hanging="0"/>
              <w:jc w:val="left"/>
              <w:rPr/>
            </w:pPr>
            <w:r>
              <w:rPr/>
              <w:t> </w:t>
            </w:r>
          </w:p>
        </w:tc>
        <w:tc>
          <w:tcPr>
            <w:tcW w:w="1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(858</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March 31, 2022</w:t>
            </w:r>
          </w:p>
        </w:tc>
        <w:tc>
          <w:tcPr>
            <w:tcW w:w="146" w:type="dxa"/>
            <w:tcBorders/>
            <w:shd w:fill="auto" w:val="clear"/>
            <w:vAlign w:val="center"/>
          </w:tcPr>
          <w:p>
            <w:pPr>
              <w:pStyle w:val="TableContents"/>
              <w:spacing w:before="0" w:after="0"/>
              <w:ind w:left="0" w:right="0" w:hanging="0"/>
              <w:jc w:val="left"/>
              <w:rPr/>
            </w:pPr>
            <w:r>
              <w:rPr/>
              <w:t> </w:t>
            </w:r>
          </w:p>
        </w:tc>
        <w:tc>
          <w:tcPr>
            <w:tcW w:w="1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34,241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8,689</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left"/>
        <w:rPr>
          <w:rFonts w:ascii="Times New Roman;serif" w:hAnsi="Times New Roman;serif"/>
          <w:b/>
          <w:sz w:val="20"/>
        </w:rPr>
      </w:pPr>
      <w:r>
        <w:rPr>
          <w:rFonts w:ascii="Times New Roman;serif" w:hAnsi="Times New Roman;serif"/>
          <w:b/>
          <w:sz w:val="20"/>
        </w:rPr>
        <w:t>Note 5. Warrants</w:t>
      </w:r>
    </w:p>
    <w:p>
      <w:pPr>
        <w:pStyle w:val="TextBody"/>
        <w:spacing w:before="120" w:after="0"/>
        <w:jc w:val="left"/>
        <w:rPr>
          <w:rFonts w:ascii="Times New Roman" w:hAnsi="Times New Roman"/>
          <w:sz w:val="20"/>
        </w:rPr>
      </w:pPr>
      <w:r>
        <w:rPr>
          <w:rFonts w:ascii="Times New Roman;serif" w:hAnsi="Times New Roman;serif"/>
          <w:b w:val="false"/>
          <w:sz w:val="20"/>
        </w:rPr>
        <w:t xml:space="preserve">The Company has issued multiple warrant series, of which the 2018 PIPE Warrants were determined to be liabilities pursuant to the guidance established by </w:t>
      </w:r>
      <w:r>
        <w:rPr>
          <w:rFonts w:ascii="Times New Roman;serif" w:hAnsi="Times New Roman;serif"/>
          <w:b w:val="false"/>
          <w:i/>
          <w:sz w:val="20"/>
        </w:rPr>
        <w:t>ASC 815 Derivatives and Hedging.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Warrants Issued as Part of the Units in the 2018 PIPE Offering</w:t>
      </w:r>
      <w:r>
        <w:rPr>
          <w:rFonts w:ascii="Times New Roman" w:hAnsi="Times New Roman"/>
          <w:sz w:val="20"/>
        </w:rPr>
        <w:t xml:space="preserve"> </w:t>
      </w:r>
    </w:p>
    <w:p>
      <w:pPr>
        <w:pStyle w:val="TextBody"/>
        <w:spacing w:before="120" w:after="0"/>
        <w:jc w:val="left"/>
        <w:rPr>
          <w:rFonts w:ascii="Times New Roman;serif" w:hAnsi="Times New Roman;serif"/>
          <w:sz w:val="20"/>
        </w:rPr>
      </w:pPr>
      <w:r>
        <w:rPr>
          <w:rFonts w:ascii="Times New Roman;serif" w:hAnsi="Times New Roman;serif"/>
          <w:b w:val="false"/>
          <w:sz w:val="20"/>
        </w:rPr>
        <w:t>The 2018 PIPE Warrants were issued on December 19, 2018 in the 2018 PIPE Offering, pursuant to a Warrant Agreement with each of the investors in the 2018 PIPE Offering, and entitle the holders to purchase 34,241</w:t>
      </w:r>
      <w:r>
        <w:rPr>
          <w:rFonts w:ascii="Times New Roman;serif" w:hAnsi="Times New Roman;serif"/>
          <w:sz w:val="20"/>
        </w:rPr>
        <w:t xml:space="preserve"> </w:t>
      </w:r>
      <w:r>
        <w:rPr>
          <w:rFonts w:ascii="Times New Roman;serif" w:hAnsi="Times New Roman;serif"/>
          <w:b w:val="false"/>
          <w:sz w:val="20"/>
        </w:rPr>
        <w:t>shares of the Company’s common stock at an exercise price equal to $30.00</w:t>
      </w:r>
      <w:r>
        <w:rPr>
          <w:rFonts w:ascii="Times New Roman;serif" w:hAnsi="Times New Roman;serif"/>
          <w:sz w:val="20"/>
        </w:rPr>
        <w:t xml:space="preserve"> </w:t>
      </w:r>
      <w:r>
        <w:rPr>
          <w:rFonts w:ascii="Times New Roman;serif" w:hAnsi="Times New Roman;serif"/>
          <w:b w:val="false"/>
          <w:sz w:val="20"/>
        </w:rPr>
        <w:t xml:space="preserve">per share, subject to adjustment as discussed below, at any time commencing upon issuance of the 2018 PIPE Warrants and terminating on December 21, 2023. </w:t>
      </w:r>
    </w:p>
    <w:p>
      <w:pPr>
        <w:pStyle w:val="TextBody"/>
        <w:spacing w:before="120" w:after="0"/>
        <w:jc w:val="left"/>
        <w:rPr>
          <w:rFonts w:ascii="Times New Roman" w:hAnsi="Times New Roman"/>
          <w:sz w:val="20"/>
        </w:rPr>
      </w:pPr>
      <w:r>
        <w:rPr>
          <w:rFonts w:ascii="Times New Roman;serif" w:hAnsi="Times New Roman;serif"/>
          <w:b w:val="false"/>
          <w:sz w:val="20"/>
        </w:rPr>
        <w:t>The exercise price and number of shares of common stock issuable upon exercise of the 2018 PIPE Warrants may be adjusted in certain circumstances, including the event of a stock split, stock dividend, extraordinary dividend, or recapitalization, reorganization, merger or consolidation. However, the exercise price of the 2018 PIPE Warrants will not be reduced below $30.00.</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Since the Company may be obligated to settle the 2018 PIPE Warrants in cash, the Company classified the 2018 PIPE Warrants as long-term liabilities at their fair value and will re-measure the warrants at each balance sheet date until they are exercised or expire. Any change in the fair value is recognized as Other income (expense) in the Company’s condensed consolidated statements of operations and comprehensive loss.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March 31, 2023 and December 31, 2022, the fair value of the 2018 PIPE Warrants was estimated at approximately $1,000.</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Company has calculated the fair value of the 2018 PIPE Warrants using a Black-Scholes pricing model. The following summarizes certain key assumptions used in estimating the fair value: </w:t>
      </w:r>
    </w:p>
    <w:p>
      <w:pPr>
        <w:pStyle w:val="TextBody"/>
        <w:spacing w:before="0" w:after="0"/>
        <w:jc w:val="left"/>
        <w:rPr/>
      </w:pPr>
      <w:r>
        <w:rPr/>
        <w:t> </w:t>
      </w:r>
    </w:p>
    <w:tbl>
      <w:tblPr>
        <w:tblW w:w="4960" w:type="dxa"/>
        <w:jc w:val="left"/>
        <w:tblInd w:w="0" w:type="dxa"/>
        <w:tblCellMar>
          <w:top w:w="28" w:type="dxa"/>
          <w:left w:w="28" w:type="dxa"/>
          <w:bottom w:w="28" w:type="dxa"/>
          <w:right w:w="28" w:type="dxa"/>
        </w:tblCellMar>
      </w:tblPr>
      <w:tblGrid>
        <w:gridCol w:w="2131"/>
        <w:gridCol w:w="146"/>
        <w:gridCol w:w="204"/>
        <w:gridCol w:w="651"/>
        <w:gridCol w:w="271"/>
        <w:gridCol w:w="146"/>
        <w:gridCol w:w="261"/>
        <w:gridCol w:w="834"/>
        <w:gridCol w:w="316"/>
      </w:tblGrid>
      <w:tr>
        <w:trPr/>
        <w:tc>
          <w:tcPr>
            <w:tcW w:w="21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1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Volatility</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6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Contractual term (years)</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6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16" w:type="dxa"/>
            <w:tcBorders/>
            <w:shd w:fill="auto" w:val="clear"/>
            <w:vAlign w:val="center"/>
          </w:tcPr>
          <w:p>
            <w:pPr>
              <w:pStyle w:val="TableContents"/>
              <w:spacing w:before="0" w:after="0"/>
              <w:ind w:left="0" w:right="0" w:hanging="0"/>
              <w:jc w:val="left"/>
              <w:rPr/>
            </w:pPr>
            <w:r>
              <w:rPr/>
              <w:t> </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651" w:type="dxa"/>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rate</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6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5.02</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4.74</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The Black-Scholes pricing model requires the use of highly subjective assumptions to estimate the fair value of stock-based awards. These assumptions include the following estimates:</w:t>
      </w:r>
    </w:p>
    <w:p>
      <w:pPr>
        <w:pStyle w:val="TextBody"/>
        <w:spacing w:before="120" w:after="0"/>
        <w:jc w:val="left"/>
        <w:rPr/>
      </w:pPr>
      <w:r>
        <w:rPr/>
        <w:t>•</w:t>
      </w:r>
    </w:p>
    <w:p>
      <w:pPr>
        <w:pStyle w:val="TextBody"/>
        <w:spacing w:before="120" w:after="0"/>
        <w:jc w:val="left"/>
        <w:rPr/>
      </w:pPr>
      <w:r>
        <w:rPr>
          <w:rFonts w:ascii="Times New Roman;serif" w:hAnsi="Times New Roman;serif"/>
          <w:b w:val="false"/>
          <w:i/>
          <w:sz w:val="20"/>
        </w:rPr>
        <w:t>Volatility:</w:t>
      </w:r>
      <w:r>
        <w:rPr/>
        <w:t xml:space="preserve"> </w:t>
      </w:r>
      <w:r>
        <w:rPr>
          <w:rFonts w:ascii="Times New Roman;serif" w:hAnsi="Times New Roman;serif"/>
          <w:b w:val="false"/>
          <w:sz w:val="20"/>
        </w:rPr>
        <w:t xml:space="preserve">The Company calculated the estimated volatility rate based on its historical volatility over the expected life of the warrants. </w:t>
      </w:r>
    </w:p>
    <w:p>
      <w:pPr>
        <w:pStyle w:val="TextBody"/>
        <w:spacing w:before="120" w:after="0"/>
        <w:jc w:val="left"/>
        <w:rPr/>
      </w:pPr>
      <w:r>
        <w:rPr/>
        <w:t>•</w:t>
      </w:r>
    </w:p>
    <w:p>
      <w:pPr>
        <w:pStyle w:val="TextBody"/>
        <w:spacing w:before="120" w:after="283"/>
        <w:jc w:val="left"/>
        <w:rPr/>
      </w:pPr>
      <w:r>
        <w:rPr>
          <w:rFonts w:ascii="Times New Roman;serif" w:hAnsi="Times New Roman;serif"/>
          <w:b w:val="false"/>
          <w:i/>
          <w:sz w:val="20"/>
        </w:rPr>
        <w:t>Contractual term:</w:t>
      </w:r>
      <w:r>
        <w:rPr/>
        <w:t xml:space="preserve"> </w:t>
      </w:r>
      <w:r>
        <w:rPr>
          <w:rFonts w:ascii="Times New Roman;serif" w:hAnsi="Times New Roman;serif"/>
          <w:b w:val="false"/>
          <w:sz w:val="20"/>
        </w:rPr>
        <w:t>The expected life of the warrants, which is based on the contractual term of the warrants.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pPr>
      <w:r>
        <w:rPr>
          <w:rFonts w:ascii="Times New Roman;serif" w:hAnsi="Times New Roman;serif"/>
          <w:b w:val="false"/>
          <w:i/>
          <w:sz w:val="20"/>
        </w:rPr>
        <w:t>Expected dividend yield:</w:t>
      </w:r>
      <w:r>
        <w:rPr/>
        <w:t xml:space="preserve"> </w:t>
      </w:r>
      <w:r>
        <w:rPr>
          <w:rFonts w:ascii="Times New Roman;serif" w:hAnsi="Times New Roman;serif"/>
          <w:b w:val="false"/>
          <w:sz w:val="20"/>
        </w:rPr>
        <w:t>The Company has never declared or paid any cash dividends and does not currently plan to pay cash dividends in the foreseeable future. Consequently, the Company used an expected dividend yield of zero.</w:t>
      </w:r>
    </w:p>
    <w:p>
      <w:pPr>
        <w:pStyle w:val="TextBody"/>
        <w:spacing w:before="120" w:after="0"/>
        <w:jc w:val="left"/>
        <w:rPr/>
      </w:pPr>
      <w:r>
        <w:rPr/>
        <w:t>•</w:t>
      </w:r>
    </w:p>
    <w:p>
      <w:pPr>
        <w:pStyle w:val="TextBody"/>
        <w:spacing w:before="120" w:after="283"/>
        <w:jc w:val="left"/>
        <w:rPr/>
      </w:pPr>
      <w:r>
        <w:rPr>
          <w:rFonts w:ascii="Times New Roman;serif" w:hAnsi="Times New Roman;serif"/>
          <w:b w:val="false"/>
          <w:i/>
          <w:sz w:val="20"/>
        </w:rPr>
        <w:t>Risk-free rate:</w:t>
      </w:r>
      <w:r>
        <w:rPr/>
        <w:t xml:space="preserve"> </w:t>
      </w:r>
      <w:r>
        <w:rPr>
          <w:rFonts w:ascii="Times New Roman;serif" w:hAnsi="Times New Roman;serif"/>
          <w:b w:val="false"/>
          <w:sz w:val="20"/>
        </w:rPr>
        <w:t>The risk-free interest rate is based on the U.S. Treasury rate for similar periods as the expected life of the warrants.</w:t>
      </w:r>
    </w:p>
    <w:p>
      <w:pPr>
        <w:pStyle w:val="TextBody"/>
        <w:spacing w:before="0" w:after="0"/>
        <w:jc w:val="left"/>
        <w:rPr/>
      </w:pPr>
      <w:r>
        <w:rPr/>
        <w:t> </w:t>
      </w:r>
    </w:p>
    <w:p>
      <w:pPr>
        <w:pStyle w:val="TextBody"/>
        <w:spacing w:before="160" w:after="0"/>
        <w:jc w:val="left"/>
        <w:rPr>
          <w:rFonts w:ascii="Times New Roman" w:hAnsi="Times New Roman"/>
          <w:sz w:val="20"/>
        </w:rPr>
      </w:pPr>
      <w:r>
        <w:rPr>
          <w:rFonts w:ascii="Times New Roman;serif" w:hAnsi="Times New Roman;serif"/>
          <w:b/>
          <w:sz w:val="20"/>
        </w:rPr>
        <w:t>Note 6. Commitments and Contingencies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Facility Leases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Company’s operating lease for its headquarters facility office space in Redwood City, California began in June 2021</w:t>
      </w:r>
      <w:r>
        <w:rPr>
          <w:rFonts w:ascii="Times New Roman;serif" w:hAnsi="Times New Roman;serif"/>
          <w:sz w:val="20"/>
        </w:rPr>
        <w:t xml:space="preserve"> </w:t>
      </w:r>
      <w:r>
        <w:rPr>
          <w:rFonts w:ascii="Times New Roman;serif" w:hAnsi="Times New Roman;serif"/>
          <w:b w:val="false"/>
          <w:sz w:val="20"/>
        </w:rPr>
        <w:t>and expires in May 2023.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lease was recognized at inception with a right-of-use asset equal to $0.6</w:t>
      </w:r>
      <w:r>
        <w:rPr>
          <w:rFonts w:ascii="Times New Roman" w:hAnsi="Times New Roman"/>
          <w:sz w:val="20"/>
        </w:rPr>
        <w:t xml:space="preserve"> </w:t>
      </w:r>
      <w:r>
        <w:rPr>
          <w:rFonts w:ascii="Times New Roman;serif" w:hAnsi="Times New Roman;serif"/>
          <w:b w:val="false"/>
          <w:sz w:val="20"/>
        </w:rPr>
        <w:t>million and a liability for $0.5</w:t>
      </w:r>
      <w:r>
        <w:rPr>
          <w:rFonts w:ascii="Times New Roman" w:hAnsi="Times New Roman"/>
          <w:sz w:val="20"/>
        </w:rPr>
        <w:t xml:space="preserve"> </w:t>
      </w:r>
      <w:r>
        <w:rPr>
          <w:rFonts w:ascii="Times New Roman;serif" w:hAnsi="Times New Roman;serif"/>
          <w:b w:val="false"/>
          <w:sz w:val="20"/>
        </w:rPr>
        <w:t>million. The short-term liability was equal to $39,000</w:t>
      </w:r>
      <w:r>
        <w:rPr>
          <w:rFonts w:ascii="Times New Roman" w:hAnsi="Times New Roman"/>
          <w:sz w:val="20"/>
        </w:rPr>
        <w:t xml:space="preserve"> </w:t>
      </w:r>
      <w:r>
        <w:rPr>
          <w:rFonts w:ascii="Times New Roman;serif" w:hAnsi="Times New Roman;serif"/>
          <w:b w:val="false"/>
          <w:sz w:val="20"/>
        </w:rPr>
        <w:t>and $155,000</w:t>
      </w:r>
      <w:r>
        <w:rPr>
          <w:rFonts w:ascii="Times New Roman" w:hAnsi="Times New Roman"/>
          <w:sz w:val="20"/>
        </w:rPr>
        <w:t xml:space="preserve"> </w:t>
      </w:r>
      <w:r>
        <w:rPr>
          <w:rFonts w:ascii="Times New Roman;serif" w:hAnsi="Times New Roman;serif"/>
          <w:b w:val="false"/>
          <w:sz w:val="20"/>
        </w:rPr>
        <w:t>as of March 31, 2023 and December 31, 2022, respectively. The weighted average discount rate was 9% over a remaining term of 2</w:t>
      </w:r>
      <w:r>
        <w:rPr>
          <w:rFonts w:ascii="Times New Roman" w:hAnsi="Times New Roman"/>
          <w:sz w:val="20"/>
        </w:rPr>
        <w:t xml:space="preserve"> </w:t>
      </w:r>
      <w:r>
        <w:rPr>
          <w:rFonts w:ascii="Times New Roman;serif" w:hAnsi="Times New Roman;serif"/>
          <w:b w:val="false"/>
          <w:sz w:val="20"/>
        </w:rPr>
        <w:t>months. The discount rate was determined based on estimates of the Company’s incremental borrowing rate, as the discount rate implicit in the lease cannot be readily determined.</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components of lease expense during the three months ended March 31, 2023 and 2022 were as follows (in thousands):</w:t>
      </w:r>
    </w:p>
    <w:p>
      <w:pPr>
        <w:pStyle w:val="TextBody"/>
        <w:spacing w:before="120" w:after="0"/>
        <w:jc w:val="left"/>
        <w:rPr/>
      </w:pPr>
      <w:r>
        <w:rPr/>
        <w:t> </w:t>
      </w:r>
    </w:p>
    <w:tbl>
      <w:tblPr>
        <w:tblW w:w="4201" w:type="dxa"/>
        <w:jc w:val="left"/>
        <w:tblInd w:w="0" w:type="dxa"/>
        <w:tblCellMar>
          <w:top w:w="28" w:type="dxa"/>
          <w:left w:w="28" w:type="dxa"/>
          <w:bottom w:w="28" w:type="dxa"/>
          <w:right w:w="28" w:type="dxa"/>
        </w:tblCellMar>
      </w:tblPr>
      <w:tblGrid>
        <w:gridCol w:w="2206"/>
        <w:gridCol w:w="251"/>
        <w:gridCol w:w="377"/>
        <w:gridCol w:w="174"/>
        <w:gridCol w:w="174"/>
        <w:gridCol w:w="251"/>
        <w:gridCol w:w="377"/>
        <w:gridCol w:w="391"/>
      </w:tblGrid>
      <w:tr>
        <w:trPr/>
        <w:tc>
          <w:tcPr>
            <w:tcW w:w="2206"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206" w:type="dxa"/>
            <w:tcBorders/>
            <w:shd w:fill="auto" w:val="clear"/>
            <w:vAlign w:val="center"/>
          </w:tcPr>
          <w:p>
            <w:pPr>
              <w:pStyle w:val="TableContents"/>
              <w:spacing w:before="0" w:after="0"/>
              <w:ind w:left="0" w:right="0" w:hanging="0"/>
              <w:jc w:val="left"/>
              <w:rPr/>
            </w:pPr>
            <w:r>
              <w:rPr/>
              <w:t> </w:t>
            </w:r>
          </w:p>
        </w:tc>
        <w:tc>
          <w:tcPr>
            <w:tcW w:w="160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06" w:type="dxa"/>
            <w:tcBorders/>
            <w:shd w:fill="auto" w:val="clear"/>
            <w:vAlign w:val="center"/>
          </w:tcPr>
          <w:p>
            <w:pPr>
              <w:pStyle w:val="TableContents"/>
              <w:spacing w:before="0" w:after="0"/>
              <w:ind w:left="0" w:right="0" w:hanging="0"/>
              <w:jc w:val="left"/>
              <w:rPr/>
            </w:pPr>
            <w:r>
              <w:rPr/>
              <w:t> </w:t>
            </w:r>
          </w:p>
        </w:tc>
        <w:tc>
          <w:tcPr>
            <w:tcW w:w="62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4" w:type="dxa"/>
            <w:tcBorders/>
            <w:shd w:fill="auto" w:val="clear"/>
            <w:vAlign w:val="center"/>
          </w:tcPr>
          <w:p>
            <w:pPr>
              <w:pStyle w:val="TableContents"/>
              <w:spacing w:before="0" w:after="0"/>
              <w:ind w:left="0" w:right="0" w:hanging="0"/>
              <w:jc w:val="center"/>
              <w:rPr/>
            </w:pPr>
            <w:r>
              <w:rPr/>
              <w:t> </w:t>
            </w:r>
          </w:p>
        </w:tc>
        <w:tc>
          <w:tcPr>
            <w:tcW w:w="62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w:t>
            </w:r>
          </w:p>
        </w:tc>
        <w:tc>
          <w:tcPr>
            <w:tcW w:w="628" w:type="dxa"/>
            <w:gridSpan w:val="2"/>
            <w:tcBorders/>
            <w:shd w:fill="auto" w:val="clear"/>
            <w:vAlign w:val="center"/>
          </w:tcPr>
          <w:p>
            <w:pPr>
              <w:pStyle w:val="TableContents"/>
              <w:spacing w:before="0" w:after="0"/>
              <w:ind w:left="0" w:right="0" w:hanging="0"/>
              <w:jc w:val="right"/>
              <w:rPr/>
            </w:pPr>
            <w:r>
              <w:rPr/>
              <w:t> </w:t>
            </w:r>
          </w:p>
        </w:tc>
        <w:tc>
          <w:tcPr>
            <w:tcW w:w="174" w:type="dxa"/>
            <w:tcBorders/>
            <w:shd w:fill="auto" w:val="clear"/>
            <w:vAlign w:val="center"/>
          </w:tcPr>
          <w:p>
            <w:pPr>
              <w:pStyle w:val="TableContents"/>
              <w:spacing w:before="0" w:after="0"/>
              <w:ind w:left="0" w:right="0" w:hanging="0"/>
              <w:jc w:val="righ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628"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2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cost</w:t>
            </w:r>
          </w:p>
        </w:tc>
        <w:tc>
          <w:tcPr>
            <w:tcW w:w="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174" w:type="dxa"/>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391" w:type="dxa"/>
            <w:tcBorders/>
            <w:shd w:fill="auto" w:val="clear"/>
            <w:vAlign w:val="center"/>
          </w:tcPr>
          <w:p>
            <w:pPr>
              <w:pStyle w:val="TableContents"/>
              <w:spacing w:before="0" w:after="0"/>
              <w:ind w:left="0" w:right="0" w:firstLine="200"/>
              <w:jc w:val="left"/>
              <w:rPr/>
            </w:pPr>
            <w:r>
              <w:rPr/>
              <w:t> </w:t>
            </w:r>
          </w:p>
        </w:tc>
      </w:tr>
      <w:tr>
        <w:trPr/>
        <w:tc>
          <w:tcPr>
            <w:tcW w:w="22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lease cost</w:t>
            </w:r>
          </w:p>
        </w:tc>
        <w:tc>
          <w:tcPr>
            <w:tcW w:w="2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2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2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lease cost</w:t>
            </w:r>
          </w:p>
        </w:tc>
        <w:tc>
          <w:tcPr>
            <w:tcW w:w="2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c>
          <w:tcPr>
            <w:tcW w:w="1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2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206" w:type="dxa"/>
            <w:tcBorders/>
            <w:shd w:fill="auto" w:val="clear"/>
            <w:vAlign w:val="center"/>
          </w:tcPr>
          <w:p>
            <w:pPr>
              <w:pStyle w:val="TableContents"/>
              <w:spacing w:before="0" w:after="0"/>
              <w:ind w:left="0" w:right="0" w:hanging="0"/>
              <w:jc w:val="left"/>
              <w:rPr/>
            </w:pPr>
            <w:r>
              <w:rPr/>
              <w:t> </w:t>
            </w:r>
          </w:p>
        </w:tc>
        <w:tc>
          <w:tcPr>
            <w:tcW w:w="628" w:type="dxa"/>
            <w:gridSpan w:val="2"/>
            <w:tcBorders/>
            <w:shd w:fill="auto" w:val="clear"/>
            <w:vAlign w:val="center"/>
          </w:tcPr>
          <w:p>
            <w:pPr>
              <w:pStyle w:val="TableContents"/>
              <w:spacing w:before="0" w:after="0"/>
              <w:ind w:left="0" w:right="0" w:hanging="0"/>
              <w:jc w:val="right"/>
              <w:rPr/>
            </w:pPr>
            <w:r>
              <w:rPr/>
              <w:t> </w:t>
            </w:r>
          </w:p>
        </w:tc>
        <w:tc>
          <w:tcPr>
            <w:tcW w:w="174" w:type="dxa"/>
            <w:tcBorders/>
            <w:shd w:fill="auto" w:val="clear"/>
            <w:vAlign w:val="center"/>
          </w:tcPr>
          <w:p>
            <w:pPr>
              <w:pStyle w:val="TableContents"/>
              <w:spacing w:before="0" w:after="0"/>
              <w:ind w:left="0" w:right="0" w:hanging="0"/>
              <w:jc w:val="righ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628"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bl>
    <w:p>
      <w:pPr>
        <w:pStyle w:val="TextBody"/>
        <w:spacing w:before="360" w:after="0"/>
        <w:jc w:val="left"/>
        <w:rPr>
          <w:rFonts w:ascii="Times New Roman" w:hAnsi="Times New Roman"/>
          <w:sz w:val="20"/>
        </w:rPr>
      </w:pPr>
      <w:r>
        <w:rPr>
          <w:rFonts w:ascii="Times New Roman;serif" w:hAnsi="Times New Roman;serif"/>
          <w:b/>
          <w:i/>
          <w:sz w:val="20"/>
        </w:rPr>
        <w:t>Contingencies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Note 7. Stockholders’ Equity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Convertible Preferred Stock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is authorized to issue 10,000,000</w:t>
      </w:r>
      <w:r>
        <w:rPr>
          <w:rFonts w:ascii="Times New Roman" w:hAnsi="Times New Roman"/>
          <w:sz w:val="20"/>
        </w:rPr>
        <w:t xml:space="preserve"> </w:t>
      </w:r>
      <w:r>
        <w:rPr>
          <w:rFonts w:ascii="Times New Roman;serif" w:hAnsi="Times New Roman;serif"/>
          <w:b w:val="false"/>
          <w:sz w:val="20"/>
        </w:rPr>
        <w:t>shares of Preferred Stock.</w:t>
      </w:r>
      <w:r>
        <w:rPr>
          <w:rFonts w:ascii="Times New Roman" w:hAnsi="Times New Roman"/>
          <w:sz w:val="20"/>
        </w:rPr>
        <w:t xml:space="preserve"> </w:t>
      </w:r>
    </w:p>
    <w:p>
      <w:pPr>
        <w:pStyle w:val="TextBody"/>
        <w:spacing w:before="240" w:after="240"/>
        <w:jc w:val="left"/>
        <w:rPr>
          <w:rFonts w:ascii="Times New Roman;serif" w:hAnsi="Times New Roman;serif"/>
          <w:b/>
          <w:i/>
          <w:sz w:val="20"/>
        </w:rPr>
      </w:pPr>
      <w:r>
        <w:rPr>
          <w:rFonts w:ascii="Times New Roman;serif" w:hAnsi="Times New Roman;serif"/>
          <w:b/>
          <w:i/>
          <w:sz w:val="20"/>
        </w:rPr>
        <w:t>Securities Purchase Agreement</w:t>
      </w:r>
    </w:p>
    <w:p>
      <w:pPr>
        <w:pStyle w:val="TextBody"/>
        <w:spacing w:before="120" w:after="0"/>
        <w:jc w:val="left"/>
        <w:rPr>
          <w:rFonts w:ascii="Times New Roman" w:hAnsi="Times New Roman"/>
          <w:sz w:val="20"/>
        </w:rPr>
      </w:pPr>
      <w:r>
        <w:rPr>
          <w:rFonts w:ascii="Times New Roman;serif" w:hAnsi="Times New Roman;serif"/>
          <w:b w:val="false"/>
          <w:sz w:val="20"/>
        </w:rPr>
        <w:t>On December 16, 2022, the Company entered into a Securities Purchase Agreement for a private placement (“Private Placement”) with certain entities and members of management (collectively, “Purchasers”). Pursuant to the Securities Purchase Agreement, the Company agreed to sell to the Purchasers warrants to purchase up to an aggregate of 22,598,870</w:t>
      </w:r>
      <w:r>
        <w:rPr>
          <w:rFonts w:ascii="Times New Roman" w:hAnsi="Times New Roman"/>
          <w:sz w:val="20"/>
        </w:rPr>
        <w:t xml:space="preserve"> </w:t>
      </w:r>
      <w:r>
        <w:rPr>
          <w:rFonts w:ascii="Times New Roman;serif" w:hAnsi="Times New Roman;serif"/>
          <w:b w:val="false"/>
          <w:sz w:val="20"/>
        </w:rPr>
        <w:t>shares of the Company’s common stock, at a purchase price of $0.4425</w:t>
      </w:r>
      <w:r>
        <w:rPr>
          <w:rFonts w:ascii="Times New Roman" w:hAnsi="Times New Roman"/>
          <w:sz w:val="20"/>
        </w:rPr>
        <w:t xml:space="preserve"> </w:t>
      </w:r>
      <w:r>
        <w:rPr>
          <w:rFonts w:ascii="Times New Roman;serif" w:hAnsi="Times New Roman;serif"/>
          <w:b w:val="false"/>
          <w:sz w:val="20"/>
        </w:rPr>
        <w:t>per warrant. The closing of the Private Placement occurred on May 8, 2023 (the "Issue Date"), following the satisfaction of certain closing conditions, including the completion of enrollment in the randomized withdrawal period of Study C602, an ongoing open-label extension study of DCCR for the treatment of PWS.</w:t>
      </w:r>
    </w:p>
    <w:p>
      <w:pPr>
        <w:pStyle w:val="TextBody"/>
        <w:spacing w:before="120" w:after="0"/>
        <w:jc w:val="left"/>
        <w:rPr>
          <w:rFonts w:ascii="Times New Roman" w:hAnsi="Times New Roman"/>
          <w:sz w:val="20"/>
        </w:rPr>
      </w:pPr>
      <w:r>
        <w:rPr>
          <w:rFonts w:ascii="Times New Roman;serif" w:hAnsi="Times New Roman;serif"/>
          <w:b w:val="false"/>
          <w:sz w:val="20"/>
        </w:rPr>
        <w:t>The warrants are separated into two tranches with 8,598,870</w:t>
      </w:r>
      <w:r>
        <w:rPr>
          <w:rFonts w:ascii="Times New Roman" w:hAnsi="Times New Roman"/>
          <w:sz w:val="20"/>
        </w:rPr>
        <w:t xml:space="preserve"> </w:t>
      </w:r>
      <w:r>
        <w:rPr>
          <w:rFonts w:ascii="Times New Roman;serif" w:hAnsi="Times New Roman;serif"/>
          <w:b w:val="false"/>
          <w:sz w:val="20"/>
        </w:rPr>
        <w:t>Tranche A Warrants and 14,000,000</w:t>
      </w:r>
      <w:r>
        <w:rPr>
          <w:rFonts w:ascii="Times New Roman" w:hAnsi="Times New Roman"/>
          <w:sz w:val="20"/>
        </w:rPr>
        <w:t xml:space="preserve"> </w:t>
      </w:r>
      <w:r>
        <w:rPr>
          <w:rFonts w:ascii="Times New Roman;serif" w:hAnsi="Times New Roman;serif"/>
          <w:b w:val="false"/>
          <w:sz w:val="20"/>
        </w:rPr>
        <w:t>Tranche B Warrants. The Tranche A warrants are exercisable for $1.75</w:t>
      </w:r>
      <w:r>
        <w:rPr>
          <w:rFonts w:ascii="Times New Roman" w:hAnsi="Times New Roman"/>
          <w:sz w:val="20"/>
        </w:rPr>
        <w:t xml:space="preserve"> </w:t>
      </w:r>
      <w:r>
        <w:rPr>
          <w:rFonts w:ascii="Times New Roman;serif" w:hAnsi="Times New Roman;serif"/>
          <w:b w:val="false"/>
          <w:sz w:val="20"/>
        </w:rPr>
        <w:t>per share, with an aggregate exercise price of up to approximately $15.0</w:t>
      </w:r>
      <w:r>
        <w:rPr>
          <w:rFonts w:ascii="Times New Roman" w:hAnsi="Times New Roman"/>
          <w:sz w:val="20"/>
        </w:rPr>
        <w:t xml:space="preserve"> </w:t>
      </w:r>
      <w:r>
        <w:rPr>
          <w:rFonts w:ascii="Times New Roman;serif" w:hAnsi="Times New Roman;serif"/>
          <w:b w:val="false"/>
          <w:sz w:val="20"/>
        </w:rPr>
        <w:t>million, and the Tranche B warrants are exercisable for $2.50</w:t>
      </w:r>
      <w:r>
        <w:rPr>
          <w:rFonts w:ascii="Times New Roman" w:hAnsi="Times New Roman"/>
          <w:sz w:val="20"/>
        </w:rPr>
        <w:t xml:space="preserve"> </w:t>
      </w:r>
      <w:r>
        <w:rPr>
          <w:rFonts w:ascii="Times New Roman;serif" w:hAnsi="Times New Roman;serif"/>
          <w:b w:val="false"/>
          <w:sz w:val="20"/>
        </w:rPr>
        <w:t>per share, with an aggregate exercise price of up to $35.0</w:t>
      </w:r>
      <w:r>
        <w:rPr>
          <w:rFonts w:ascii="Times New Roman" w:hAnsi="Times New Roman"/>
          <w:sz w:val="20"/>
        </w:rPr>
        <w:t xml:space="preserve"> </w:t>
      </w:r>
      <w:r>
        <w:rPr>
          <w:rFonts w:ascii="Times New Roman;serif" w:hAnsi="Times New Roman;serif"/>
          <w:b w:val="false"/>
          <w:sz w:val="20"/>
        </w:rPr>
        <w:t>million. The Tranche A warrants are immediately exercisable and must be exercised within 30</w:t>
      </w:r>
      <w:r>
        <w:rPr>
          <w:rFonts w:ascii="Times New Roman" w:hAnsi="Times New Roman"/>
          <w:sz w:val="20"/>
        </w:rPr>
        <w:t xml:space="preserve"> </w:t>
      </w:r>
      <w:r>
        <w:rPr>
          <w:rFonts w:ascii="Times New Roman;serif" w:hAnsi="Times New Roman;serif"/>
          <w:b w:val="false"/>
          <w:sz w:val="20"/>
        </w:rPr>
        <w:t>days of announcement of positive top-line data from the randomized withdrawal period of Study C602 and will expire if positive top-line data is not announced prior to the 3.5</w:t>
      </w:r>
      <w:r>
        <w:rPr>
          <w:rFonts w:ascii="Times New Roman" w:hAnsi="Times New Roman"/>
          <w:sz w:val="20"/>
        </w:rPr>
        <w:t xml:space="preserve"> </w:t>
      </w:r>
      <w:r>
        <w:rPr>
          <w:rFonts w:ascii="Times New Roman;serif" w:hAnsi="Times New Roman;serif"/>
          <w:b w:val="false"/>
          <w:sz w:val="20"/>
        </w:rPr>
        <w:t>year anniversary of the date of issuance. The Tranche B warrants are also immediately exercisable and expire upon the earlier of 3.5</w:t>
      </w:r>
      <w:r>
        <w:rPr>
          <w:rFonts w:ascii="Times New Roman" w:hAnsi="Times New Roman"/>
          <w:sz w:val="20"/>
        </w:rPr>
        <w:t xml:space="preserve"> </w:t>
      </w:r>
      <w:r>
        <w:rPr>
          <w:rFonts w:ascii="Times New Roman;serif" w:hAnsi="Times New Roman;serif"/>
          <w:b w:val="false"/>
          <w:sz w:val="20"/>
        </w:rPr>
        <w:t>years from the date of issuance or 30</w:t>
      </w:r>
      <w:r>
        <w:rPr>
          <w:rFonts w:ascii="Times New Roman" w:hAnsi="Times New Roman"/>
          <w:sz w:val="20"/>
        </w:rPr>
        <w:t xml:space="preserve"> </w:t>
      </w:r>
      <w:r>
        <w:rPr>
          <w:rFonts w:ascii="Times New Roman;serif" w:hAnsi="Times New Roman;serif"/>
          <w:b w:val="false"/>
          <w:sz w:val="20"/>
        </w:rPr>
        <w:t>days following receipt of U.S. Food and Drug Administration approval of DCCR for the treatment of PWS.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i/>
          <w:sz w:val="20"/>
        </w:rPr>
        <w:t>Underwritten Public Offering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On March 31, 2022, the Company sold 2,666,667</w:t>
      </w:r>
      <w:r>
        <w:rPr>
          <w:rFonts w:ascii="Times New Roman" w:hAnsi="Times New Roman"/>
          <w:sz w:val="20"/>
        </w:rPr>
        <w:t xml:space="preserve"> </w:t>
      </w:r>
      <w:r>
        <w:rPr>
          <w:rFonts w:ascii="Times New Roman;serif" w:hAnsi="Times New Roman;serif"/>
          <w:b w:val="false"/>
          <w:sz w:val="20"/>
        </w:rPr>
        <w:t>shares of its common stock at a public offering price of $3.75, and for certain investors, in lieu of common stock, pre-funded warrants (the 2022 pre-funded warrants) to purchase 1,333,333</w:t>
      </w:r>
      <w:r>
        <w:rPr>
          <w:rFonts w:ascii="Times New Roman" w:hAnsi="Times New Roman"/>
          <w:sz w:val="20"/>
        </w:rPr>
        <w:t xml:space="preserve"> </w:t>
      </w:r>
      <w:r>
        <w:rPr>
          <w:rFonts w:ascii="Times New Roman;serif" w:hAnsi="Times New Roman;serif"/>
          <w:b w:val="false"/>
          <w:sz w:val="20"/>
        </w:rPr>
        <w:t>shares of its common stock at a public offering price $3.60</w:t>
      </w:r>
      <w:r>
        <w:rPr>
          <w:rFonts w:ascii="Times New Roman" w:hAnsi="Times New Roman"/>
          <w:sz w:val="20"/>
        </w:rPr>
        <w:t xml:space="preserve"> </w:t>
      </w:r>
      <w:r>
        <w:rPr>
          <w:rFonts w:ascii="Times New Roman;serif" w:hAnsi="Times New Roman;serif"/>
          <w:b w:val="false"/>
          <w:sz w:val="20"/>
        </w:rPr>
        <w:t>per pre-funded warrant, which represents the per share public offering price for the common stock less the $0.15</w:t>
      </w:r>
      <w:r>
        <w:rPr>
          <w:rFonts w:ascii="Times New Roman" w:hAnsi="Times New Roman"/>
          <w:sz w:val="20"/>
        </w:rPr>
        <w:t xml:space="preserve"> </w:t>
      </w:r>
      <w:r>
        <w:rPr>
          <w:rFonts w:ascii="Times New Roman;serif" w:hAnsi="Times New Roman;serif"/>
          <w:b w:val="false"/>
          <w:sz w:val="20"/>
        </w:rPr>
        <w:t>per share exercise price for each 2022 pre-funded warrant. The 2022 pre-funded warrants are immediately exercisable and may be exercised at any time until all 2022 pre-funded warrants are exercised in full. Each share of common stock or 2022 pre-funded warrant was sold together with one, immediately exercisable, common warrant (the 2022 common warrants) with a five-year</w:t>
      </w:r>
      <w:r>
        <w:rPr>
          <w:rFonts w:ascii="Times New Roman" w:hAnsi="Times New Roman"/>
          <w:sz w:val="20"/>
        </w:rPr>
        <w:t xml:space="preserve"> </w:t>
      </w:r>
      <w:r>
        <w:rPr>
          <w:rFonts w:ascii="Times New Roman;serif" w:hAnsi="Times New Roman;serif"/>
          <w:b w:val="false"/>
          <w:sz w:val="20"/>
        </w:rPr>
        <w:t>term to purchase one share of common stock at an exercise price of $4.50</w:t>
      </w:r>
      <w:r>
        <w:rPr>
          <w:rFonts w:ascii="Times New Roman" w:hAnsi="Times New Roman"/>
          <w:sz w:val="20"/>
        </w:rPr>
        <w:t xml:space="preserve"> </w:t>
      </w:r>
      <w:r>
        <w:rPr>
          <w:rFonts w:ascii="Times New Roman;serif" w:hAnsi="Times New Roman;serif"/>
          <w:b w:val="false"/>
          <w:sz w:val="20"/>
        </w:rPr>
        <w:t>per share. The net proceeds of the offering were $13.8</w:t>
      </w:r>
      <w:r>
        <w:rPr>
          <w:rFonts w:ascii="Times New Roman" w:hAnsi="Times New Roman"/>
          <w:sz w:val="20"/>
        </w:rPr>
        <w:t xml:space="preserve"> </w:t>
      </w:r>
      <w:r>
        <w:rPr>
          <w:rFonts w:ascii="Times New Roman;serif" w:hAnsi="Times New Roman;serif"/>
          <w:b w:val="false"/>
          <w:sz w:val="20"/>
        </w:rPr>
        <w:t>million, after deducting the underwriting discount and other offering expenses.</w:t>
      </w:r>
      <w:r>
        <w:rPr>
          <w:rFonts w:ascii="Times New Roman" w:hAnsi="Times New Roman"/>
          <w:sz w:val="20"/>
        </w:rPr>
        <w:t xml:space="preserve"> </w:t>
      </w:r>
      <w:r>
        <w:rPr>
          <w:rFonts w:ascii="Times New Roman;serif" w:hAnsi="Times New Roman;serif"/>
          <w:b w:val="false"/>
          <w:sz w:val="20"/>
        </w:rPr>
        <w:t>The Company is not required under any circumstance to settle any of the 2022 pre-funded warrants or the 2022 common warrants for cash, and therefore classified both types of warrants as permanent equity.</w:t>
      </w:r>
    </w:p>
    <w:p>
      <w:pPr>
        <w:pStyle w:val="TextBody"/>
        <w:spacing w:before="240" w:after="0"/>
        <w:jc w:val="left"/>
        <w:rPr>
          <w:rFonts w:ascii="Times New Roman" w:hAnsi="Times New Roman"/>
          <w:sz w:val="20"/>
        </w:rPr>
      </w:pPr>
      <w:r>
        <w:rPr>
          <w:rFonts w:ascii="Times New Roman;serif" w:hAnsi="Times New Roman;serif"/>
          <w:b/>
          <w:i/>
          <w:sz w:val="20"/>
        </w:rPr>
        <w:t>At the Market Offering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July 2021, the Company entered into a Controlled Equity Offering Sales Agreement under which the Company may sell shares of its common stock having an aggregate offering price of up to $25.0</w:t>
      </w:r>
      <w:r>
        <w:rPr>
          <w:rFonts w:ascii="Times New Roman" w:hAnsi="Times New Roman"/>
          <w:sz w:val="20"/>
        </w:rPr>
        <w:t xml:space="preserve"> </w:t>
      </w:r>
      <w:r>
        <w:rPr>
          <w:rFonts w:ascii="Times New Roman;serif" w:hAnsi="Times New Roman;serif"/>
          <w:b w:val="false"/>
          <w:sz w:val="20"/>
        </w:rPr>
        <w:t>million from time to time in any method permitted by law deemed to be an “at the market” Rule 415 under the Securities Act of 1933, as amended. As of March 31, 2023, we have sold an aggregate of 104,773</w:t>
      </w:r>
      <w:r>
        <w:rPr>
          <w:rFonts w:ascii="Times New Roman" w:hAnsi="Times New Roman"/>
          <w:sz w:val="20"/>
        </w:rPr>
        <w:t xml:space="preserve"> </w:t>
      </w:r>
      <w:r>
        <w:rPr>
          <w:rFonts w:ascii="Times New Roman;serif" w:hAnsi="Times New Roman;serif"/>
          <w:b w:val="false"/>
          <w:sz w:val="20"/>
        </w:rPr>
        <w:t>shares of common stock through the at the market program, totaling $0.3</w:t>
      </w:r>
      <w:r>
        <w:rPr>
          <w:rFonts w:ascii="Times New Roman" w:hAnsi="Times New Roman"/>
          <w:sz w:val="20"/>
        </w:rPr>
        <w:t xml:space="preserve"> </w:t>
      </w:r>
      <w:r>
        <w:rPr>
          <w:rFonts w:ascii="Times New Roman;serif" w:hAnsi="Times New Roman;serif"/>
          <w:b w:val="false"/>
          <w:sz w:val="20"/>
        </w:rPr>
        <w:t>million in net proceeds.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Other Common Stock Warrants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March 31, 2023, the Company had 6,804</w:t>
      </w:r>
      <w:r>
        <w:rPr>
          <w:rFonts w:ascii="Times New Roman" w:hAnsi="Times New Roman"/>
          <w:sz w:val="20"/>
        </w:rPr>
        <w:t xml:space="preserve"> </w:t>
      </w:r>
      <w:r>
        <w:rPr>
          <w:rFonts w:ascii="Times New Roman;serif" w:hAnsi="Times New Roman;serif"/>
          <w:b w:val="false"/>
          <w:sz w:val="20"/>
        </w:rPr>
        <w:t>common stock warrants outstanding from the 2010/2012 convertible notes, with an exercise price of $365.25</w:t>
      </w:r>
      <w:r>
        <w:rPr>
          <w:rFonts w:ascii="Times New Roman" w:hAnsi="Times New Roman"/>
          <w:sz w:val="20"/>
        </w:rPr>
        <w:t xml:space="preserve"> </w:t>
      </w:r>
      <w:r>
        <w:rPr>
          <w:rFonts w:ascii="Times New Roman;serif" w:hAnsi="Times New Roman;serif"/>
          <w:b w:val="false"/>
          <w:sz w:val="20"/>
        </w:rPr>
        <w:t>and a term of 10</w:t>
      </w:r>
      <w:r>
        <w:rPr>
          <w:rFonts w:ascii="Times New Roman" w:hAnsi="Times New Roman"/>
          <w:sz w:val="20"/>
        </w:rPr>
        <w:t xml:space="preserve"> </w:t>
      </w:r>
      <w:r>
        <w:rPr>
          <w:rFonts w:ascii="Times New Roman;serif" w:hAnsi="Times New Roman;serif"/>
          <w:b w:val="false"/>
          <w:sz w:val="20"/>
        </w:rPr>
        <w:t>years expiring in November 2024. The Company also had 1,100</w:t>
      </w:r>
      <w:r>
        <w:rPr>
          <w:rFonts w:ascii="Times New Roman" w:hAnsi="Times New Roman"/>
          <w:sz w:val="20"/>
        </w:rPr>
        <w:t xml:space="preserve"> </w:t>
      </w:r>
      <w:r>
        <w:rPr>
          <w:rFonts w:ascii="Times New Roman;serif" w:hAnsi="Times New Roman;serif"/>
          <w:b w:val="false"/>
          <w:sz w:val="20"/>
        </w:rPr>
        <w:t>common stock warrants issued to the underwriter in the Company’s IPO, with an exercise price of $535.50</w:t>
      </w:r>
      <w:r>
        <w:rPr>
          <w:rFonts w:ascii="Times New Roman" w:hAnsi="Times New Roman"/>
          <w:sz w:val="20"/>
        </w:rPr>
        <w:t xml:space="preserve"> </w:t>
      </w:r>
      <w:r>
        <w:rPr>
          <w:rFonts w:ascii="Times New Roman;serif" w:hAnsi="Times New Roman;serif"/>
          <w:b w:val="false"/>
          <w:sz w:val="20"/>
        </w:rPr>
        <w:t>and a term of 10</w:t>
      </w:r>
      <w:r>
        <w:rPr>
          <w:rFonts w:ascii="Times New Roman" w:hAnsi="Times New Roman"/>
          <w:sz w:val="20"/>
        </w:rPr>
        <w:t xml:space="preserve"> </w:t>
      </w:r>
      <w:r>
        <w:rPr>
          <w:rFonts w:ascii="Times New Roman;serif" w:hAnsi="Times New Roman;serif"/>
          <w:b w:val="false"/>
          <w:sz w:val="20"/>
        </w:rPr>
        <w:t>years, expiring in November 2024.</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Equity Incentive Plans</w:t>
      </w:r>
      <w:r>
        <w:rPr>
          <w:rFonts w:ascii="Times New Roman" w:hAnsi="Times New Roman"/>
          <w:sz w:val="20"/>
        </w:rPr>
        <w:t xml:space="preserve"> </w:t>
      </w:r>
    </w:p>
    <w:p>
      <w:pPr>
        <w:pStyle w:val="TextBody"/>
        <w:spacing w:before="120" w:after="0"/>
        <w:jc w:val="left"/>
        <w:rPr>
          <w:rFonts w:ascii="Times New Roman;serif" w:hAnsi="Times New Roman;serif"/>
          <w:b/>
          <w:sz w:val="20"/>
        </w:rPr>
      </w:pPr>
      <w:r>
        <w:rPr>
          <w:rFonts w:ascii="Times New Roman;serif" w:hAnsi="Times New Roman;serif"/>
          <w:b/>
          <w:sz w:val="20"/>
        </w:rPr>
        <w:t>2014 Plan</w:t>
      </w:r>
    </w:p>
    <w:p>
      <w:pPr>
        <w:pStyle w:val="TextBody"/>
        <w:spacing w:before="120" w:after="0"/>
        <w:jc w:val="left"/>
        <w:rPr>
          <w:rFonts w:ascii="Times New Roman" w:hAnsi="Times New Roman"/>
          <w:sz w:val="20"/>
        </w:rPr>
      </w:pPr>
      <w:r>
        <w:rPr>
          <w:rFonts w:ascii="Times New Roman;serif" w:hAnsi="Times New Roman;serif"/>
          <w:b w:val="false"/>
          <w:sz w:val="20"/>
        </w:rPr>
        <w:t>The Company maintains the 2014 Equity Incentive Plan (the 2014 Plan).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Board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The vesting period for service-based stock options is normally monthly over a period of 4</w:t>
      </w:r>
      <w:r>
        <w:rPr>
          <w:rFonts w:ascii="Times New Roman" w:hAnsi="Times New Roman"/>
          <w:sz w:val="20"/>
        </w:rPr>
        <w:t xml:space="preserve"> </w:t>
      </w:r>
      <w:r>
        <w:rPr>
          <w:rFonts w:ascii="Times New Roman;serif" w:hAnsi="Times New Roman;serif"/>
          <w:b w:val="false"/>
          <w:sz w:val="20"/>
        </w:rPr>
        <w:t>years from the vesting date. Performance-based grants have vesting contingent upon the achievement of certain performance criteria related to the Company’s commercialization of its therapeutics. The contractual term of an option is no longer than five years</w:t>
      </w:r>
      <w:r>
        <w:rPr>
          <w:rFonts w:ascii="Times New Roman" w:hAnsi="Times New Roman"/>
          <w:sz w:val="20"/>
        </w:rPr>
        <w:t xml:space="preserve"> </w:t>
      </w:r>
      <w:r>
        <w:rPr>
          <w:rFonts w:ascii="Times New Roman;serif" w:hAnsi="Times New Roman;serif"/>
          <w:b w:val="false"/>
          <w:sz w:val="20"/>
        </w:rPr>
        <w:t>for ISOs for which the grantee owns greater than 10% of the voting power of all classes of stock and no longer than ten years</w:t>
      </w:r>
      <w:r>
        <w:rPr>
          <w:rFonts w:ascii="Times New Roman" w:hAnsi="Times New Roman"/>
          <w:sz w:val="20"/>
        </w:rPr>
        <w:t xml:space="preserve"> </w:t>
      </w:r>
      <w:r>
        <w:rPr>
          <w:rFonts w:ascii="Times New Roman;serif" w:hAnsi="Times New Roman;serif"/>
          <w:b w:val="false"/>
          <w:sz w:val="20"/>
        </w:rPr>
        <w:t>for all other options. The terms and conditions governing restricted stock units is at the sole discretion of the Board. On March 23, 2023, the Company filed a Registration Statement on Form S-8 which registered 238,329</w:t>
      </w:r>
      <w:r>
        <w:rPr>
          <w:rFonts w:ascii="Times New Roman" w:hAnsi="Times New Roman"/>
          <w:sz w:val="20"/>
        </w:rPr>
        <w:t xml:space="preserve"> </w:t>
      </w:r>
      <w:r>
        <w:rPr>
          <w:rFonts w:ascii="Times New Roman;serif" w:hAnsi="Times New Roman;serif"/>
          <w:b w:val="false"/>
          <w:sz w:val="20"/>
        </w:rPr>
        <w:t>shares available for grant and issuance under the 2014 Plan, all of which became available for grant and issuance under the 2014 Plan on January 1, 2023.</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March 31, 2023, a total of 15,508</w:t>
      </w:r>
      <w:r>
        <w:rPr>
          <w:rFonts w:ascii="Times New Roman" w:hAnsi="Times New Roman"/>
          <w:sz w:val="20"/>
        </w:rPr>
        <w:t xml:space="preserve"> </w:t>
      </w:r>
      <w:r>
        <w:rPr>
          <w:rFonts w:ascii="Times New Roman;serif" w:hAnsi="Times New Roman;serif"/>
          <w:b w:val="false"/>
          <w:sz w:val="20"/>
        </w:rPr>
        <w:t>shares are available for future grant under the 2014 Plan.</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Inducement Plan</w:t>
      </w:r>
    </w:p>
    <w:p>
      <w:pPr>
        <w:pStyle w:val="TextBody"/>
        <w:spacing w:before="120" w:after="0"/>
        <w:jc w:val="left"/>
        <w:rPr>
          <w:rFonts w:ascii="Times New Roman" w:hAnsi="Times New Roman"/>
          <w:sz w:val="20"/>
        </w:rPr>
      </w:pPr>
      <w:r>
        <w:rPr>
          <w:rFonts w:ascii="Times New Roman;serif" w:hAnsi="Times New Roman;serif"/>
          <w:b w:val="false"/>
          <w:sz w:val="20"/>
        </w:rPr>
        <w:t>The Company maintains the</w:t>
      </w:r>
      <w:r>
        <w:rPr>
          <w:rFonts w:ascii="Times New Roman" w:hAnsi="Times New Roman"/>
          <w:sz w:val="20"/>
        </w:rPr>
        <w:t xml:space="preserve"> </w:t>
      </w:r>
      <w:r>
        <w:rPr>
          <w:rFonts w:ascii="Times New Roman;serif" w:hAnsi="Times New Roman;serif"/>
          <w:b w:val="false"/>
          <w:sz w:val="20"/>
        </w:rPr>
        <w:t>2020 Inducement Equity Incentive Plan (the Inducement Plan). The Inducement Plan provides for the grant of equity-based awards, including non-statutory stock options, restricted stock units, restricted stock, stock appreciation rights, performance shares and performance units, and its terms are substantially similar to the 2014 Plan.</w:t>
      </w:r>
    </w:p>
    <w:p>
      <w:pPr>
        <w:pStyle w:val="TextBody"/>
        <w:spacing w:before="120" w:after="0"/>
        <w:jc w:val="left"/>
        <w:rPr>
          <w:rFonts w:ascii="Times New Roman" w:hAnsi="Times New Roman"/>
          <w:sz w:val="20"/>
        </w:rPr>
      </w:pPr>
      <w:r>
        <w:rPr>
          <w:rFonts w:ascii="Times New Roman;serif" w:hAnsi="Times New Roman;serif"/>
          <w:b w:val="false"/>
          <w:sz w:val="20"/>
        </w:rPr>
        <w:t>In accordance with Rule 5635(c)(4) and Rule 5635(c)(3)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to the extent permitted by Rule 5635(c)(3) of the Nasdaq Listing Rules, in connection with a merger or acquisition. On March 23, 2023, the Company filed a Registration Statement on Form S-8 which registered 500,000</w:t>
      </w:r>
      <w:r>
        <w:rPr>
          <w:rFonts w:ascii="Times New Roman" w:hAnsi="Times New Roman"/>
          <w:sz w:val="20"/>
        </w:rPr>
        <w:t xml:space="preserve"> </w:t>
      </w:r>
      <w:r>
        <w:rPr>
          <w:rFonts w:ascii="Times New Roman;serif" w:hAnsi="Times New Roman;serif"/>
          <w:b w:val="false"/>
          <w:sz w:val="20"/>
        </w:rPr>
        <w:t>shares available for issuance under the Inducement Plan, all of which became available for grant and issuance under the Inducement Plan on February 17, 2023.</w:t>
      </w:r>
    </w:p>
    <w:p>
      <w:pPr>
        <w:pStyle w:val="TextBody"/>
        <w:spacing w:before="120" w:after="0"/>
        <w:jc w:val="left"/>
        <w:rPr>
          <w:rFonts w:ascii="Times New Roman" w:hAnsi="Times New Roman"/>
          <w:sz w:val="20"/>
        </w:rPr>
      </w:pPr>
      <w:r>
        <w:rPr>
          <w:rFonts w:ascii="Times New Roman;serif" w:hAnsi="Times New Roman;serif"/>
          <w:b w:val="false"/>
          <w:sz w:val="20"/>
        </w:rPr>
        <w:t>As of March 31, 2023, a total of 585,668</w:t>
      </w:r>
      <w:r>
        <w:rPr>
          <w:rFonts w:ascii="Times New Roman" w:hAnsi="Times New Roman"/>
          <w:sz w:val="20"/>
        </w:rPr>
        <w:t xml:space="preserve"> </w:t>
      </w:r>
      <w:r>
        <w:rPr>
          <w:rFonts w:ascii="Times New Roman;serif" w:hAnsi="Times New Roman;serif"/>
          <w:b w:val="false"/>
          <w:sz w:val="20"/>
        </w:rPr>
        <w:t>shares are available for future grant under the Inducement Plan.</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sz w:val="20"/>
        </w:rPr>
      </w:pPr>
      <w:r>
        <w:rPr>
          <w:rFonts w:ascii="Times New Roman;serif" w:hAnsi="Times New Roman;serif"/>
          <w:b/>
          <w:sz w:val="20"/>
        </w:rPr>
        <w:t>Stock-based compensation expense</w:t>
      </w:r>
    </w:p>
    <w:p>
      <w:pPr>
        <w:pStyle w:val="TextBody"/>
        <w:spacing w:before="120" w:after="0"/>
        <w:jc w:val="left"/>
        <w:rPr>
          <w:rFonts w:ascii="Times New Roman" w:hAnsi="Times New Roman"/>
          <w:sz w:val="20"/>
        </w:rPr>
      </w:pPr>
      <w:r>
        <w:rPr>
          <w:rFonts w:ascii="Times New Roman;serif" w:hAnsi="Times New Roman;serif"/>
          <w:b w:val="false"/>
          <w:sz w:val="20"/>
        </w:rPr>
        <w:t>The Company recognizes stock-based compensation expense related to options and restricted stock units granted to employees, directors and consultants. The compensation expense is allocated on a departmental basis, based on the classification of the award holder. No</w:t>
      </w:r>
      <w:r>
        <w:rPr>
          <w:rFonts w:ascii="Times New Roman" w:hAnsi="Times New Roman"/>
          <w:sz w:val="20"/>
        </w:rPr>
        <w:t xml:space="preserve"> </w:t>
      </w:r>
      <w:r>
        <w:rPr>
          <w:rFonts w:ascii="Times New Roman;serif" w:hAnsi="Times New Roman;serif"/>
          <w:b w:val="false"/>
          <w:sz w:val="20"/>
        </w:rPr>
        <w:t>income tax benefits have been recognized in the condensed consolidated statements of operations and comprehensive loss for stock-based compensation arrangements during any of the periods presented.</w:t>
      </w:r>
    </w:p>
    <w:p>
      <w:pPr>
        <w:pStyle w:val="TextBody"/>
        <w:spacing w:before="120" w:after="0"/>
        <w:jc w:val="left"/>
        <w:rPr>
          <w:rFonts w:ascii="Times New Roman" w:hAnsi="Times New Roman"/>
          <w:sz w:val="20"/>
        </w:rPr>
      </w:pPr>
      <w:r>
        <w:rPr>
          <w:rFonts w:ascii="Times New Roman;serif" w:hAnsi="Times New Roman;serif"/>
          <w:b w:val="false"/>
          <w:sz w:val="20"/>
        </w:rPr>
        <w:t>Stock-based compensation expense was recognized in the condensed consolidated statements of operations and comprehensive loss as follows (in thousands):</w:t>
      </w:r>
      <w:r>
        <w:rPr>
          <w:rFonts w:ascii="Times New Roman" w:hAnsi="Times New Roman"/>
          <w:sz w:val="20"/>
        </w:rPr>
        <w:t xml:space="preserve"> </w:t>
      </w:r>
    </w:p>
    <w:tbl>
      <w:tblPr>
        <w:tblW w:w="5100" w:type="dxa"/>
        <w:jc w:val="left"/>
        <w:tblInd w:w="0" w:type="dxa"/>
        <w:tblCellMar>
          <w:top w:w="28" w:type="dxa"/>
          <w:left w:w="28" w:type="dxa"/>
          <w:bottom w:w="28" w:type="dxa"/>
          <w:right w:w="28" w:type="dxa"/>
        </w:tblCellMar>
      </w:tblPr>
      <w:tblGrid>
        <w:gridCol w:w="2311"/>
        <w:gridCol w:w="325"/>
        <w:gridCol w:w="649"/>
        <w:gridCol w:w="225"/>
        <w:gridCol w:w="225"/>
        <w:gridCol w:w="325"/>
        <w:gridCol w:w="649"/>
        <w:gridCol w:w="391"/>
      </w:tblGrid>
      <w:tr>
        <w:trPr/>
        <w:tc>
          <w:tcPr>
            <w:tcW w:w="2311"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before="0" w:after="0"/>
              <w:ind w:left="0" w:right="0" w:hanging="0"/>
              <w:jc w:val="center"/>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center"/>
              <w:rPr/>
            </w:pPr>
            <w:r>
              <w:rPr/>
              <w:t> </w:t>
            </w:r>
          </w:p>
        </w:tc>
        <w:tc>
          <w:tcPr>
            <w:tcW w:w="9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9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w:t>
            </w:r>
          </w:p>
        </w:tc>
        <w:tc>
          <w:tcPr>
            <w:tcW w:w="22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w:t>
            </w:r>
          </w:p>
        </w:tc>
        <w:tc>
          <w:tcPr>
            <w:tcW w:w="39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3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449</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3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3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3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631</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3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644</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sz w:val="20"/>
        </w:rPr>
      </w:pPr>
      <w:r>
        <w:rPr>
          <w:rFonts w:ascii="Times New Roman;serif" w:hAnsi="Times New Roman;serif"/>
          <w:b/>
          <w:sz w:val="20"/>
        </w:rPr>
        <w:t>Stock Options</w:t>
      </w:r>
    </w:p>
    <w:p>
      <w:pPr>
        <w:pStyle w:val="TextBody"/>
        <w:spacing w:before="120" w:after="0"/>
        <w:jc w:val="left"/>
        <w:rPr>
          <w:rFonts w:ascii="Times New Roman" w:hAnsi="Times New Roman"/>
          <w:sz w:val="20"/>
        </w:rPr>
      </w:pPr>
      <w:r>
        <w:rPr>
          <w:rFonts w:ascii="Times New Roman;serif" w:hAnsi="Times New Roman;serif"/>
          <w:b w:val="false"/>
          <w:sz w:val="20"/>
        </w:rPr>
        <w:t>The Company granted options to purchase 240,000</w:t>
      </w:r>
      <w:r>
        <w:rPr>
          <w:rFonts w:ascii="Times New Roman" w:hAnsi="Times New Roman"/>
          <w:sz w:val="20"/>
        </w:rPr>
        <w:t xml:space="preserve"> </w:t>
      </w:r>
      <w:r>
        <w:rPr>
          <w:rFonts w:ascii="Times New Roman;serif" w:hAnsi="Times New Roman;serif"/>
          <w:b w:val="false"/>
          <w:sz w:val="20"/>
        </w:rPr>
        <w:t>and 108,517</w:t>
      </w:r>
      <w:r>
        <w:rPr>
          <w:rFonts w:ascii="Times New Roman" w:hAnsi="Times New Roman"/>
          <w:sz w:val="20"/>
        </w:rPr>
        <w:t xml:space="preserve"> </w:t>
      </w:r>
      <w:r>
        <w:rPr>
          <w:rFonts w:ascii="Times New Roman;serif" w:hAnsi="Times New Roman;serif"/>
          <w:b w:val="false"/>
          <w:sz w:val="20"/>
        </w:rPr>
        <w:t>shares of the Company’s common stock during the three months ended March 31, 2023 and 2022, respectively. There were no performance-based options granted during the three months ended March 31, 2023 and 2022, respectively. The fair value of each award granted was estimated on the date of grant using the Black-Scholes option pricing model with the following assumptions:</w:t>
      </w:r>
    </w:p>
    <w:p>
      <w:pPr>
        <w:pStyle w:val="TextBody"/>
        <w:spacing w:before="0" w:after="0"/>
        <w:jc w:val="left"/>
        <w:rPr/>
      </w:pPr>
      <w:r>
        <w:rPr/>
        <w:t> </w:t>
      </w:r>
    </w:p>
    <w:tbl>
      <w:tblPr>
        <w:tblW w:w="4291" w:type="dxa"/>
        <w:jc w:val="left"/>
        <w:tblInd w:w="0" w:type="dxa"/>
        <w:tblCellMar>
          <w:top w:w="28" w:type="dxa"/>
          <w:left w:w="28" w:type="dxa"/>
          <w:bottom w:w="28" w:type="dxa"/>
          <w:right w:w="28" w:type="dxa"/>
        </w:tblCellMar>
      </w:tblPr>
      <w:tblGrid>
        <w:gridCol w:w="1846"/>
        <w:gridCol w:w="1346"/>
        <w:gridCol w:w="195"/>
        <w:gridCol w:w="904"/>
      </w:tblGrid>
      <w:tr>
        <w:trPr/>
        <w:tc>
          <w:tcPr>
            <w:tcW w:w="1846"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r>
      <w:tr>
        <w:trPr/>
        <w:tc>
          <w:tcPr>
            <w:tcW w:w="1846" w:type="dxa"/>
            <w:tcBorders/>
            <w:shd w:fill="auto" w:val="clear"/>
            <w:vAlign w:val="center"/>
          </w:tcPr>
          <w:p>
            <w:pPr>
              <w:pStyle w:val="TableContents"/>
              <w:spacing w:before="0" w:after="0"/>
              <w:ind w:left="0" w:right="0" w:hanging="0"/>
              <w:jc w:val="left"/>
              <w:rPr/>
            </w:pPr>
            <w:r>
              <w:rPr/>
              <w:t> </w:t>
            </w:r>
          </w:p>
        </w:tc>
        <w:tc>
          <w:tcPr>
            <w:tcW w:w="2445"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r>
      <w:tr>
        <w:trPr/>
        <w:tc>
          <w:tcPr>
            <w:tcW w:w="1846" w:type="dxa"/>
            <w:tcBorders/>
            <w:shd w:fill="auto" w:val="clear"/>
            <w:vAlign w:val="center"/>
          </w:tcPr>
          <w:p>
            <w:pPr>
              <w:pStyle w:val="TableContents"/>
              <w:spacing w:before="0" w:after="0"/>
              <w:ind w:left="0" w:right="0" w:hanging="0"/>
              <w:jc w:val="left"/>
              <w:rPr/>
            </w:pPr>
            <w:r>
              <w:rPr/>
              <w:t> </w:t>
            </w:r>
          </w:p>
        </w:tc>
        <w:tc>
          <w:tcPr>
            <w:tcW w:w="1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life (years)</w:t>
            </w:r>
          </w:p>
        </w:tc>
        <w:tc>
          <w:tcPr>
            <w:tcW w:w="134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6.0</w:t>
            </w:r>
          </w:p>
        </w:tc>
        <w:tc>
          <w:tcPr>
            <w:tcW w:w="195" w:type="dxa"/>
            <w:tcBorders/>
            <w:shd w:fill="auto" w:val="clear"/>
            <w:vAlign w:val="center"/>
          </w:tcPr>
          <w:p>
            <w:pPr>
              <w:pStyle w:val="TableContents"/>
              <w:spacing w:before="0" w:after="0"/>
              <w:ind w:left="0" w:right="0" w:hanging="0"/>
              <w:jc w:val="center"/>
              <w:rPr/>
            </w:pPr>
            <w:r>
              <w:rPr/>
              <w:t> </w:t>
            </w:r>
          </w:p>
        </w:tc>
        <w:tc>
          <w:tcPr>
            <w:tcW w:w="90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6.0</w:t>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34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3.5%-4.0%</w:t>
            </w:r>
          </w:p>
        </w:tc>
        <w:tc>
          <w:tcPr>
            <w:tcW w:w="195" w:type="dxa"/>
            <w:tcBorders/>
            <w:shd w:fill="auto" w:val="clear"/>
            <w:vAlign w:val="center"/>
          </w:tcPr>
          <w:p>
            <w:pPr>
              <w:pStyle w:val="TableContents"/>
              <w:spacing w:before="0" w:after="0"/>
              <w:ind w:left="0" w:right="0" w:hanging="0"/>
              <w:jc w:val="center"/>
              <w:rPr/>
            </w:pPr>
            <w:r>
              <w:rPr/>
              <w:t> </w:t>
            </w:r>
          </w:p>
        </w:tc>
        <w:tc>
          <w:tcPr>
            <w:tcW w:w="90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1.7%</w:t>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Volatility</w:t>
            </w:r>
          </w:p>
        </w:tc>
        <w:tc>
          <w:tcPr>
            <w:tcW w:w="134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98%-99%</w:t>
            </w:r>
          </w:p>
        </w:tc>
        <w:tc>
          <w:tcPr>
            <w:tcW w:w="195" w:type="dxa"/>
            <w:tcBorders/>
            <w:shd w:fill="auto" w:val="clear"/>
            <w:vAlign w:val="center"/>
          </w:tcPr>
          <w:p>
            <w:pPr>
              <w:pStyle w:val="TableContents"/>
              <w:spacing w:before="0" w:after="0"/>
              <w:ind w:left="0" w:right="0" w:hanging="0"/>
              <w:jc w:val="center"/>
              <w:rPr/>
            </w:pPr>
            <w:r>
              <w:rPr/>
              <w:t> </w:t>
            </w:r>
          </w:p>
        </w:tc>
        <w:tc>
          <w:tcPr>
            <w:tcW w:w="90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88%</w:t>
            </w:r>
          </w:p>
        </w:tc>
      </w:tr>
      <w:tr>
        <w:trPr/>
        <w:tc>
          <w:tcPr>
            <w:tcW w:w="1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 rate</w:t>
            </w:r>
          </w:p>
        </w:tc>
        <w:tc>
          <w:tcPr>
            <w:tcW w:w="1346" w:type="dxa"/>
            <w:tcBorders/>
            <w:shd w:fill="auto" w:val="clear"/>
            <w:vAlign w:val="center"/>
          </w:tcPr>
          <w:p>
            <w:pPr>
              <w:pStyle w:val="TableContents"/>
              <w:spacing w:before="0" w:after="0"/>
              <w:ind w:left="0" w:right="0" w:hanging="0"/>
              <w:jc w:val="center"/>
              <w:rPr/>
            </w:pPr>
            <w:r>
              <w:rPr/>
              <w:t>—  </w:t>
            </w:r>
            <w:r>
              <w:rPr>
                <w:rFonts w:ascii="Times New Roman;serif" w:hAnsi="Times New Roman;serif"/>
                <w:b w:val="false"/>
                <w:sz w:val="20"/>
              </w:rPr>
              <w:t>%</w:t>
            </w:r>
          </w:p>
        </w:tc>
        <w:tc>
          <w:tcPr>
            <w:tcW w:w="195" w:type="dxa"/>
            <w:tcBorders/>
            <w:shd w:fill="auto" w:val="clear"/>
            <w:vAlign w:val="center"/>
          </w:tcPr>
          <w:p>
            <w:pPr>
              <w:pStyle w:val="TableContents"/>
              <w:spacing w:before="0" w:after="0"/>
              <w:ind w:left="0" w:right="0" w:hanging="0"/>
              <w:jc w:val="center"/>
              <w:rPr/>
            </w:pPr>
            <w:r>
              <w:rPr/>
              <w:t> </w:t>
            </w:r>
          </w:p>
        </w:tc>
        <w:tc>
          <w:tcPr>
            <w:tcW w:w="904" w:type="dxa"/>
            <w:tcBorders/>
            <w:shd w:fill="auto" w:val="clear"/>
            <w:vAlign w:val="center"/>
          </w:tcPr>
          <w:p>
            <w:pPr>
              <w:pStyle w:val="TableContents"/>
              <w:spacing w:before="0" w:after="0"/>
              <w:ind w:left="0" w:right="0" w:hanging="0"/>
              <w:jc w:val="center"/>
              <w:rPr/>
            </w:pPr>
            <w:r>
              <w:rPr/>
              <w:t>—  </w:t>
            </w:r>
            <w:r>
              <w:rPr>
                <w:rFonts w:ascii="Times New Roman;serif" w:hAnsi="Times New Roman;serif"/>
                <w:b w:val="false"/>
                <w:sz w:val="20"/>
              </w:rPr>
              <w:t>%</w:t>
            </w:r>
          </w:p>
        </w:tc>
      </w:tr>
    </w:tbl>
    <w:p>
      <w:pPr>
        <w:pStyle w:val="TextBody"/>
        <w:spacing w:before="120" w:after="0"/>
        <w:jc w:val="left"/>
        <w:rPr>
          <w:rFonts w:ascii="Times New Roman" w:hAnsi="Times New Roman"/>
          <w:sz w:val="20"/>
        </w:rPr>
      </w:pPr>
      <w:r>
        <w:rPr>
          <w:rFonts w:ascii="Times New Roman;serif" w:hAnsi="Times New Roman;serif"/>
          <w:b w:val="false"/>
          <w:sz w:val="20"/>
        </w:rPr>
        <w:t>The Black-Scholes option-pricing model requires the use of highly subjective assumptions to estimate the fair value of stock-based awards. These assumptions include the following estimates:</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pPr>
      <w:r>
        <w:rPr>
          <w:rFonts w:ascii="Times New Roman;serif" w:hAnsi="Times New Roman;serif"/>
          <w:b w:val="false"/>
          <w:i/>
          <w:sz w:val="20"/>
        </w:rPr>
        <w:t>Expected life:</w:t>
      </w:r>
      <w:r>
        <w:rPr/>
        <w:t xml:space="preserve"> </w:t>
      </w:r>
      <w:r>
        <w:rPr>
          <w:rFonts w:ascii="Times New Roman;serif" w:hAnsi="Times New Roman;serif"/>
          <w:b w:val="false"/>
          <w:sz w:val="20"/>
        </w:rPr>
        <w:t>The expected life of stock options represents the period of time that the options are expected to be outstanding. Due to the lack of historical exercise history, the expected life of the Company’s service-based stock options has been determined utilizing the “simplified method”, based on the average of the contractual term of the options and the weighted-average vesting period. The expected life for the performance-based options was determined based on consideration of the contractual term of the stock options, an estimate of the date the performance criteria would be met and expectations of employee behavior.</w:t>
      </w:r>
    </w:p>
    <w:p>
      <w:pPr>
        <w:pStyle w:val="TextBody"/>
        <w:spacing w:before="120" w:after="0"/>
        <w:jc w:val="left"/>
        <w:rPr/>
      </w:pPr>
      <w:r>
        <w:rPr/>
        <w:t>•</w:t>
      </w:r>
    </w:p>
    <w:p>
      <w:pPr>
        <w:pStyle w:val="TextBody"/>
        <w:spacing w:before="120" w:after="0"/>
        <w:jc w:val="left"/>
        <w:rPr/>
      </w:pPr>
      <w:r>
        <w:rPr>
          <w:rFonts w:ascii="Times New Roman;serif" w:hAnsi="Times New Roman;serif"/>
          <w:b w:val="false"/>
          <w:i/>
          <w:sz w:val="20"/>
        </w:rPr>
        <w:t>Risk-free interest rate:</w:t>
      </w:r>
      <w:r>
        <w:rPr/>
        <w:t xml:space="preserve"> </w:t>
      </w:r>
      <w:r>
        <w:rPr>
          <w:rFonts w:ascii="Times New Roman;serif" w:hAnsi="Times New Roman;serif"/>
          <w:b w:val="false"/>
          <w:sz w:val="20"/>
        </w:rPr>
        <w:t>The risk-free interest rate is based on the yields of U.S. Treasury securities with maturities similar to the expected life of the stock options.</w:t>
      </w:r>
    </w:p>
    <w:p>
      <w:pPr>
        <w:pStyle w:val="TextBody"/>
        <w:spacing w:before="120" w:after="0"/>
        <w:jc w:val="left"/>
        <w:rPr/>
      </w:pPr>
      <w:r>
        <w:rPr/>
        <w:t>•</w:t>
      </w:r>
    </w:p>
    <w:p>
      <w:pPr>
        <w:pStyle w:val="TextBody"/>
        <w:spacing w:before="120" w:after="0"/>
        <w:jc w:val="left"/>
        <w:rPr/>
      </w:pPr>
      <w:r>
        <w:rPr>
          <w:rFonts w:ascii="Times New Roman;serif" w:hAnsi="Times New Roman;serif"/>
          <w:b w:val="false"/>
          <w:i/>
          <w:sz w:val="20"/>
        </w:rPr>
        <w:t>Volatility:</w:t>
      </w:r>
      <w:r>
        <w:rPr/>
        <w:t xml:space="preserve"> </w:t>
      </w:r>
      <w:r>
        <w:rPr>
          <w:rFonts w:ascii="Times New Roman;serif" w:hAnsi="Times New Roman;serif"/>
          <w:b w:val="false"/>
          <w:sz w:val="20"/>
        </w:rPr>
        <w:t>The estimated volatility rate is based on the volatilities of the Company’s common stock for a historical period equal to the expected life of the stock options.</w:t>
      </w:r>
    </w:p>
    <w:p>
      <w:pPr>
        <w:pStyle w:val="TextBody"/>
        <w:spacing w:before="120" w:after="0"/>
        <w:jc w:val="left"/>
        <w:rPr/>
      </w:pPr>
      <w:r>
        <w:rPr/>
        <w:t>•</w:t>
      </w:r>
    </w:p>
    <w:p>
      <w:pPr>
        <w:pStyle w:val="TextBody"/>
        <w:spacing w:before="120" w:after="283"/>
        <w:jc w:val="left"/>
        <w:rPr/>
      </w:pPr>
      <w:r>
        <w:rPr>
          <w:rFonts w:ascii="Times New Roman;serif" w:hAnsi="Times New Roman;serif"/>
          <w:b w:val="false"/>
          <w:i/>
          <w:sz w:val="20"/>
        </w:rPr>
        <w:t>Dividend rate:</w:t>
      </w:r>
      <w:r>
        <w:rPr/>
        <w:t xml:space="preserve"> </w:t>
      </w:r>
      <w:r>
        <w:rPr>
          <w:rFonts w:ascii="Times New Roman;serif" w:hAnsi="Times New Roman;serif"/>
          <w:b w:val="false"/>
          <w:sz w:val="20"/>
        </w:rPr>
        <w:t xml:space="preserve">The Company has never declared or paid any cash dividends and does not presently plan to pay cash dividends in the foreseeable future. Consequently, the Company used an expected dividend yield of zero. </w:t>
      </w:r>
    </w:p>
    <w:p>
      <w:pPr>
        <w:pStyle w:val="TextBody"/>
        <w:spacing w:before="120" w:after="0"/>
        <w:jc w:val="left"/>
        <w:rPr>
          <w:rFonts w:ascii="Times New Roman" w:hAnsi="Times New Roman"/>
          <w:sz w:val="20"/>
        </w:rPr>
      </w:pPr>
      <w:r>
        <w:rPr>
          <w:rFonts w:ascii="Times New Roman;serif" w:hAnsi="Times New Roman;serif"/>
          <w:b w:val="false"/>
          <w:sz w:val="20"/>
        </w:rPr>
        <w:t>The following table summarizes stock option transactions for the three months ended March 31, 2023 as issued under the 2014 Plan and the Inducement Plan:</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4090"/>
        <w:gridCol w:w="146"/>
        <w:gridCol w:w="158"/>
        <w:gridCol w:w="848"/>
        <w:gridCol w:w="166"/>
        <w:gridCol w:w="146"/>
        <w:gridCol w:w="230"/>
        <w:gridCol w:w="626"/>
        <w:gridCol w:w="146"/>
        <w:gridCol w:w="146"/>
        <w:gridCol w:w="236"/>
        <w:gridCol w:w="755"/>
        <w:gridCol w:w="146"/>
        <w:gridCol w:w="146"/>
        <w:gridCol w:w="690"/>
        <w:gridCol w:w="1137"/>
        <w:gridCol w:w="393"/>
      </w:tblGrid>
      <w:tr>
        <w:trPr/>
        <w:tc>
          <w:tcPr>
            <w:tcW w:w="40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r>
      <w:tr>
        <w:trPr/>
        <w:tc>
          <w:tcPr>
            <w:tcW w:w="409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br/>
              <w:t>Options</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w:t>
              <w:br/>
              <w:t>Price per</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Remaining</w:t>
              <w:br/>
              <w:t>Contractual</w:t>
              <w:br/>
              <w:t>Term</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Aggregate Intrinsic Value</w:t>
            </w:r>
          </w:p>
        </w:tc>
        <w:tc>
          <w:tcPr>
            <w:tcW w:w="393" w:type="dxa"/>
            <w:tcBorders/>
            <w:shd w:fill="auto" w:val="clear"/>
            <w:vAlign w:val="center"/>
          </w:tcPr>
          <w:p>
            <w:pPr>
              <w:pStyle w:val="TableContents"/>
              <w:spacing w:before="0" w:after="0"/>
              <w:ind w:left="0" w:right="0" w:hanging="0"/>
              <w:jc w:val="center"/>
              <w:rPr/>
            </w:pPr>
            <w:r>
              <w:rPr/>
              <w:t> </w:t>
            </w:r>
          </w:p>
        </w:tc>
      </w:tr>
      <w:tr>
        <w:trPr/>
        <w:tc>
          <w:tcPr>
            <w:tcW w:w="409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Outstanding</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January 1, 2023</w:t>
            </w:r>
          </w:p>
        </w:tc>
        <w:tc>
          <w:tcPr>
            <w:tcW w:w="146"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8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686,574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7" w:type="dxa"/>
            <w:gridSpan w:val="2"/>
            <w:tcBorders/>
            <w:shd w:fill="auto" w:val="clear"/>
            <w:vAlign w:val="center"/>
          </w:tcPr>
          <w:p>
            <w:pPr>
              <w:pStyle w:val="TableContents"/>
              <w:spacing w:before="0" w:after="0"/>
              <w:ind w:left="0" w:right="0" w:hanging="0"/>
              <w:jc w:val="right"/>
              <w:rPr/>
            </w:pPr>
            <w:r>
              <w:rPr/>
              <w:t> </w:t>
            </w:r>
          </w:p>
        </w:tc>
        <w:tc>
          <w:tcPr>
            <w:tcW w:w="393" w:type="dxa"/>
            <w:tcBorders/>
            <w:shd w:fill="auto" w:val="clear"/>
            <w:vAlign w:val="center"/>
          </w:tcPr>
          <w:p>
            <w:pPr>
              <w:pStyle w:val="TableContents"/>
              <w:spacing w:before="0" w:after="0"/>
              <w:ind w:left="0" w:right="0" w:firstLine="200"/>
              <w:jc w:val="right"/>
              <w:rPr/>
            </w:pPr>
            <w:r>
              <w:rPr/>
              <w:t> </w:t>
            </w:r>
          </w:p>
        </w:tc>
      </w:tr>
      <w:tr>
        <w:trPr/>
        <w:tc>
          <w:tcPr>
            <w:tcW w:w="40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Options granted</w:t>
            </w:r>
          </w:p>
        </w:tc>
        <w:tc>
          <w:tcPr>
            <w:tcW w:w="146"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8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6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7" w:type="dxa"/>
            <w:gridSpan w:val="2"/>
            <w:tcBorders/>
            <w:shd w:fill="auto" w:val="clear"/>
            <w:vAlign w:val="center"/>
          </w:tcPr>
          <w:p>
            <w:pPr>
              <w:pStyle w:val="TableContents"/>
              <w:spacing w:before="0" w:after="0"/>
              <w:ind w:left="0" w:right="0" w:hanging="0"/>
              <w:jc w:val="right"/>
              <w:rPr/>
            </w:pPr>
            <w:r>
              <w:rPr/>
              <w:t> </w:t>
            </w:r>
          </w:p>
        </w:tc>
        <w:tc>
          <w:tcPr>
            <w:tcW w:w="393" w:type="dxa"/>
            <w:tcBorders/>
            <w:shd w:fill="auto" w:val="clear"/>
            <w:vAlign w:val="center"/>
          </w:tcPr>
          <w:p>
            <w:pPr>
              <w:pStyle w:val="TableContents"/>
              <w:spacing w:before="0" w:after="0"/>
              <w:ind w:left="0" w:right="0" w:firstLine="200"/>
              <w:jc w:val="right"/>
              <w:rPr/>
            </w:pPr>
            <w:r>
              <w:rPr/>
              <w:t> </w:t>
            </w:r>
          </w:p>
        </w:tc>
      </w:tr>
      <w:tr>
        <w:trPr/>
        <w:tc>
          <w:tcPr>
            <w:tcW w:w="40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Options exercised</w:t>
            </w:r>
          </w:p>
        </w:tc>
        <w:tc>
          <w:tcPr>
            <w:tcW w:w="146"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84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6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7" w:type="dxa"/>
            <w:gridSpan w:val="2"/>
            <w:tcBorders/>
            <w:shd w:fill="auto" w:val="clear"/>
            <w:vAlign w:val="center"/>
          </w:tcPr>
          <w:p>
            <w:pPr>
              <w:pStyle w:val="TableContents"/>
              <w:spacing w:before="0" w:after="0"/>
              <w:ind w:left="0" w:right="0" w:hanging="0"/>
              <w:jc w:val="right"/>
              <w:rPr/>
            </w:pPr>
            <w:r>
              <w:rPr/>
              <w:t> </w:t>
            </w:r>
          </w:p>
        </w:tc>
        <w:tc>
          <w:tcPr>
            <w:tcW w:w="393" w:type="dxa"/>
            <w:tcBorders/>
            <w:shd w:fill="auto" w:val="clear"/>
            <w:vAlign w:val="center"/>
          </w:tcPr>
          <w:p>
            <w:pPr>
              <w:pStyle w:val="TableContents"/>
              <w:spacing w:before="0" w:after="0"/>
              <w:ind w:left="0" w:right="0" w:firstLine="200"/>
              <w:jc w:val="right"/>
              <w:rPr/>
            </w:pPr>
            <w:r>
              <w:rPr/>
              <w:t> </w:t>
            </w:r>
          </w:p>
        </w:tc>
      </w:tr>
      <w:tr>
        <w:trPr/>
        <w:tc>
          <w:tcPr>
            <w:tcW w:w="409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Options canceled/forfeited</w:t>
            </w:r>
          </w:p>
        </w:tc>
        <w:tc>
          <w:tcPr>
            <w:tcW w:w="146" w:type="dxa"/>
            <w:tcBorders/>
            <w:shd w:fill="auto" w:val="clear"/>
            <w:vAlign w:val="center"/>
          </w:tcPr>
          <w:p>
            <w:pPr>
              <w:pStyle w:val="TableContents"/>
              <w:spacing w:before="0" w:after="0"/>
              <w:ind w:left="0" w:right="0" w:hanging="0"/>
              <w:jc w:val="left"/>
              <w:rPr/>
            </w:pPr>
            <w:r>
              <w:rPr/>
              <w:t> </w:t>
            </w:r>
          </w:p>
        </w:tc>
        <w:tc>
          <w:tcPr>
            <w:tcW w:w="1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7" w:type="dxa"/>
            <w:gridSpan w:val="2"/>
            <w:tcBorders/>
            <w:shd w:fill="auto" w:val="clear"/>
            <w:vAlign w:val="center"/>
          </w:tcPr>
          <w:p>
            <w:pPr>
              <w:pStyle w:val="TableContents"/>
              <w:spacing w:before="0" w:after="0"/>
              <w:ind w:left="0" w:right="0" w:hanging="0"/>
              <w:jc w:val="right"/>
              <w:rPr/>
            </w:pPr>
            <w:r>
              <w:rPr/>
              <w:t> </w:t>
            </w:r>
          </w:p>
        </w:tc>
        <w:tc>
          <w:tcPr>
            <w:tcW w:w="393" w:type="dxa"/>
            <w:tcBorders/>
            <w:shd w:fill="auto" w:val="clear"/>
            <w:vAlign w:val="center"/>
          </w:tcPr>
          <w:p>
            <w:pPr>
              <w:pStyle w:val="TableContents"/>
              <w:spacing w:before="0" w:after="0"/>
              <w:ind w:left="0" w:right="0" w:hanging="0"/>
              <w:jc w:val="right"/>
              <w:rPr/>
            </w:pPr>
            <w:r>
              <w:rPr/>
              <w:t> </w:t>
            </w:r>
          </w:p>
        </w:tc>
      </w:tr>
      <w:tr>
        <w:trPr/>
        <w:tc>
          <w:tcPr>
            <w:tcW w:w="40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1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926,325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exercisable at March 31, 2023</w:t>
            </w:r>
          </w:p>
        </w:tc>
        <w:tc>
          <w:tcPr>
            <w:tcW w:w="146" w:type="dxa"/>
            <w:tcBorders/>
            <w:shd w:fill="auto" w:val="clear"/>
            <w:vAlign w:val="center"/>
          </w:tcPr>
          <w:p>
            <w:pPr>
              <w:pStyle w:val="TableContents"/>
              <w:spacing w:before="0" w:after="0"/>
              <w:ind w:left="0" w:right="0" w:hanging="0"/>
              <w:jc w:val="left"/>
              <w:rPr/>
            </w:pPr>
            <w:r>
              <w:rPr/>
              <w:t> </w:t>
            </w:r>
          </w:p>
        </w:tc>
        <w:tc>
          <w:tcPr>
            <w:tcW w:w="1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428,551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34.46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vested and expected to vest at March 31, 2023</w:t>
            </w:r>
          </w:p>
        </w:tc>
        <w:tc>
          <w:tcPr>
            <w:tcW w:w="146" w:type="dxa"/>
            <w:tcBorders/>
            <w:shd w:fill="auto" w:val="clear"/>
            <w:vAlign w:val="center"/>
          </w:tcPr>
          <w:p>
            <w:pPr>
              <w:pStyle w:val="TableContents"/>
              <w:spacing w:before="0" w:after="0"/>
              <w:ind w:left="0" w:right="0" w:hanging="0"/>
              <w:jc w:val="left"/>
              <w:rPr/>
            </w:pPr>
            <w:r>
              <w:rPr/>
              <w:t> </w:t>
            </w:r>
          </w:p>
        </w:tc>
        <w:tc>
          <w:tcPr>
            <w:tcW w:w="1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903,367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The weighted-average grant date fair value of options granted was $1.88</w:t>
      </w:r>
      <w:r>
        <w:rPr>
          <w:rFonts w:ascii="Times New Roman" w:hAnsi="Times New Roman"/>
          <w:sz w:val="20"/>
        </w:rPr>
        <w:t xml:space="preserve"> </w:t>
      </w:r>
      <w:r>
        <w:rPr>
          <w:rFonts w:ascii="Times New Roman;serif" w:hAnsi="Times New Roman;serif"/>
          <w:b w:val="false"/>
          <w:sz w:val="20"/>
        </w:rPr>
        <w:t>and $3.75</w:t>
      </w:r>
      <w:r>
        <w:rPr>
          <w:rFonts w:ascii="Times New Roman" w:hAnsi="Times New Roman"/>
          <w:sz w:val="20"/>
        </w:rPr>
        <w:t xml:space="preserve"> </w:t>
      </w:r>
      <w:r>
        <w:rPr>
          <w:rFonts w:ascii="Times New Roman;serif" w:hAnsi="Times New Roman;serif"/>
          <w:b w:val="false"/>
          <w:sz w:val="20"/>
        </w:rPr>
        <w:t>per share for the three months ended March 31, 2023 and 2022, respectively. At March 31, 2023 total unrecognized employee stock-based compensation related to stock options that are likely to vest was $3.2</w:t>
      </w:r>
      <w:r>
        <w:rPr>
          <w:rFonts w:ascii="Times New Roman" w:hAnsi="Times New Roman"/>
          <w:sz w:val="20"/>
        </w:rPr>
        <w:t xml:space="preserve"> </w:t>
      </w:r>
      <w:r>
        <w:rPr>
          <w:rFonts w:ascii="Times New Roman;serif" w:hAnsi="Times New Roman;serif"/>
          <w:b w:val="false"/>
          <w:sz w:val="20"/>
        </w:rPr>
        <w:t>million, which is expected to be recognized over the weighted-average remaining vesting period of 2.7</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Restricted Stock Units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There were zero</w:t>
      </w:r>
      <w:r>
        <w:rPr>
          <w:rFonts w:ascii="Times New Roman" w:hAnsi="Times New Roman"/>
          <w:sz w:val="20"/>
        </w:rPr>
        <w:t xml:space="preserve"> </w:t>
      </w:r>
      <w:r>
        <w:rPr>
          <w:rFonts w:ascii="Times New Roman;serif" w:hAnsi="Times New Roman;serif"/>
          <w:b w:val="false"/>
          <w:sz w:val="20"/>
        </w:rPr>
        <w:t>and 8,965</w:t>
      </w:r>
      <w:r>
        <w:rPr>
          <w:rFonts w:ascii="Times New Roman" w:hAnsi="Times New Roman"/>
          <w:sz w:val="20"/>
        </w:rPr>
        <w:t xml:space="preserve"> </w:t>
      </w:r>
      <w:r>
        <w:rPr>
          <w:rFonts w:ascii="Times New Roman;serif" w:hAnsi="Times New Roman;serif"/>
          <w:b w:val="false"/>
          <w:sz w:val="20"/>
        </w:rPr>
        <w:t>restricted stock units granted by the Company during the three months ended March 31, 2023 and 2022, respectively, to employees and directors. The restricted stock units granted to directors were 100% vested on the grant date and represent compensation for past board services. The restricted stock units granted to employees typically vest annually over a period of four years. The restricted stock units were valued based on the Company’s common stock price on the grant date.</w:t>
      </w:r>
    </w:p>
    <w:p>
      <w:pPr>
        <w:pStyle w:val="TextBody"/>
        <w:spacing w:before="120" w:after="0"/>
        <w:jc w:val="left"/>
        <w:rPr>
          <w:rFonts w:ascii="Times New Roman" w:hAnsi="Times New Roman"/>
          <w:sz w:val="20"/>
        </w:rPr>
      </w:pPr>
      <w:r>
        <w:rPr>
          <w:rFonts w:ascii="Times New Roman;serif" w:hAnsi="Times New Roman;serif"/>
          <w:b w:val="false"/>
          <w:sz w:val="20"/>
        </w:rPr>
        <w:t>The following table summarizes restricted stock unit transactions for the three months ended March 31, 2023 as issued under the 2014 Plan:</w:t>
      </w:r>
      <w:r>
        <w:rPr>
          <w:rFonts w:ascii="Times New Roman" w:hAnsi="Times New Roman"/>
          <w:sz w:val="20"/>
        </w:rPr>
        <w:t xml:space="preserve"> </w:t>
      </w:r>
    </w:p>
    <w:tbl>
      <w:tblPr>
        <w:tblW w:w="8485" w:type="dxa"/>
        <w:jc w:val="left"/>
        <w:tblInd w:w="0" w:type="dxa"/>
        <w:tblCellMar>
          <w:top w:w="28" w:type="dxa"/>
          <w:left w:w="28" w:type="dxa"/>
          <w:bottom w:w="28" w:type="dxa"/>
          <w:right w:w="28" w:type="dxa"/>
        </w:tblCellMar>
      </w:tblPr>
      <w:tblGrid>
        <w:gridCol w:w="3391"/>
        <w:gridCol w:w="146"/>
        <w:gridCol w:w="303"/>
        <w:gridCol w:w="1407"/>
        <w:gridCol w:w="166"/>
        <w:gridCol w:w="146"/>
        <w:gridCol w:w="683"/>
        <w:gridCol w:w="1852"/>
        <w:gridCol w:w="391"/>
      </w:tblGrid>
      <w:tr>
        <w:trPr/>
        <w:tc>
          <w:tcPr>
            <w:tcW w:w="3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40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852"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3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br/>
              <w:t>Restricted Stock Units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Grant-Date Fair Value per Share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January 1, 2023</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14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57.75</w:t>
            </w:r>
          </w:p>
        </w:tc>
        <w:tc>
          <w:tcPr>
            <w:tcW w:w="391" w:type="dxa"/>
            <w:tcBorders/>
            <w:shd w:fill="auto" w:val="clear"/>
            <w:vAlign w:val="center"/>
          </w:tcPr>
          <w:p>
            <w:pPr>
              <w:pStyle w:val="TableContents"/>
              <w:spacing w:before="0" w:after="0"/>
              <w:ind w:left="0" w:right="0" w:firstLine="200"/>
              <w:jc w:val="left"/>
              <w:rPr/>
            </w:pPr>
            <w:r>
              <w:rPr/>
              <w:t> </w:t>
            </w:r>
          </w:p>
        </w:tc>
      </w:tr>
      <w:tr>
        <w:trPr/>
        <w:tc>
          <w:tcPr>
            <w:tcW w:w="33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stock units granted</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14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0.00</w:t>
            </w:r>
          </w:p>
        </w:tc>
        <w:tc>
          <w:tcPr>
            <w:tcW w:w="391" w:type="dxa"/>
            <w:tcBorders/>
            <w:shd w:fill="auto" w:val="clear"/>
            <w:vAlign w:val="center"/>
          </w:tcPr>
          <w:p>
            <w:pPr>
              <w:pStyle w:val="TableContents"/>
              <w:spacing w:before="0" w:after="0"/>
              <w:ind w:left="0" w:right="0" w:firstLine="200"/>
              <w:jc w:val="left"/>
              <w:rPr/>
            </w:pPr>
            <w:r>
              <w:rPr/>
              <w:t> </w:t>
            </w:r>
          </w:p>
        </w:tc>
      </w:tr>
      <w:tr>
        <w:trPr/>
        <w:tc>
          <w:tcPr>
            <w:tcW w:w="33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stock units vested</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14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(9,534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57.75</w:t>
            </w:r>
          </w:p>
        </w:tc>
        <w:tc>
          <w:tcPr>
            <w:tcW w:w="391" w:type="dxa"/>
            <w:tcBorders/>
            <w:shd w:fill="auto" w:val="clear"/>
            <w:vAlign w:val="center"/>
          </w:tcPr>
          <w:p>
            <w:pPr>
              <w:pStyle w:val="TableContents"/>
              <w:spacing w:before="0" w:after="0"/>
              <w:ind w:left="0" w:right="0" w:firstLine="200"/>
              <w:jc w:val="left"/>
              <w:rPr/>
            </w:pPr>
            <w:r>
              <w:rPr/>
              <w:t> </w:t>
            </w:r>
          </w:p>
        </w:tc>
      </w:tr>
      <w:tr>
        <w:trPr/>
        <w:tc>
          <w:tcPr>
            <w:tcW w:w="33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stock units canceled/forfeited</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0.00</w:t>
            </w:r>
          </w:p>
        </w:tc>
        <w:tc>
          <w:tcPr>
            <w:tcW w:w="391" w:type="dxa"/>
            <w:tcBorders/>
            <w:shd w:fill="auto" w:val="clear"/>
            <w:vAlign w:val="center"/>
          </w:tcPr>
          <w:p>
            <w:pPr>
              <w:pStyle w:val="TableContents"/>
              <w:spacing w:before="0" w:after="0"/>
              <w:ind w:left="0" w:right="0" w:hanging="0"/>
              <w:jc w:val="left"/>
              <w:rPr/>
            </w:pPr>
            <w:r>
              <w:rPr/>
              <w:t> </w:t>
            </w:r>
          </w:p>
        </w:tc>
      </w:tr>
      <w:tr>
        <w:trPr/>
        <w:tc>
          <w:tcPr>
            <w:tcW w:w="3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March 31, 2023</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9,534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57.75</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Times New Roman;serif" w:hAnsi="Times New Roman;serif"/>
          <w:b w:val="false"/>
          <w:sz w:val="20"/>
        </w:rPr>
        <w:t>The weighted-average grant-date fair value of all restricted stock units granted during the three months ended March 31, 2023 and 2022 was zero</w:t>
      </w:r>
      <w:r>
        <w:rPr>
          <w:rFonts w:ascii="Times New Roman" w:hAnsi="Times New Roman"/>
          <w:sz w:val="20"/>
        </w:rPr>
        <w:t xml:space="preserve"> </w:t>
      </w:r>
      <w:r>
        <w:rPr>
          <w:rFonts w:ascii="Times New Roman;serif" w:hAnsi="Times New Roman;serif"/>
          <w:b w:val="false"/>
          <w:sz w:val="20"/>
        </w:rPr>
        <w:t>and $5.40, respectively. The fair value of all restricted stock units vested during the three months ended March 31, 2023 and 2022 was $23,000</w:t>
      </w:r>
      <w:r>
        <w:rPr>
          <w:rFonts w:ascii="Times New Roman" w:hAnsi="Times New Roman"/>
          <w:sz w:val="20"/>
        </w:rPr>
        <w:t xml:space="preserve"> </w:t>
      </w:r>
      <w:r>
        <w:rPr>
          <w:rFonts w:ascii="Times New Roman;serif" w:hAnsi="Times New Roman;serif"/>
          <w:b w:val="false"/>
          <w:sz w:val="20"/>
        </w:rPr>
        <w:t>and $0.1</w:t>
      </w:r>
      <w:r>
        <w:rPr>
          <w:rFonts w:ascii="Times New Roman" w:hAnsi="Times New Roman"/>
          <w:sz w:val="20"/>
        </w:rPr>
        <w:t xml:space="preserve"> </w:t>
      </w:r>
      <w:r>
        <w:rPr>
          <w:rFonts w:ascii="Times New Roman;serif" w:hAnsi="Times New Roman;serif"/>
          <w:b w:val="false"/>
          <w:sz w:val="20"/>
        </w:rPr>
        <w:t>million, respectively. At March 31, 2023, total unrecognized employee stock-based compensation related to restricted stock units was $0.4</w:t>
      </w:r>
      <w:r>
        <w:rPr>
          <w:rFonts w:ascii="Times New Roman" w:hAnsi="Times New Roman"/>
          <w:sz w:val="20"/>
        </w:rPr>
        <w:t xml:space="preserve"> </w:t>
      </w:r>
      <w:r>
        <w:rPr>
          <w:rFonts w:ascii="Times New Roman;serif" w:hAnsi="Times New Roman;serif"/>
          <w:b w:val="false"/>
          <w:sz w:val="20"/>
        </w:rPr>
        <w:t>million, which is expected to be recognized over the weighted-average remaining vesting period of 0.8</w:t>
      </w:r>
      <w:r>
        <w:rPr>
          <w:rFonts w:ascii="Times New Roman" w:hAnsi="Times New Roman"/>
          <w:sz w:val="20"/>
        </w:rPr>
        <w:t xml:space="preserve"> </w:t>
      </w:r>
      <w:r>
        <w:rPr>
          <w:rFonts w:ascii="Times New Roman;serif" w:hAnsi="Times New Roman;serif"/>
          <w:b w:val="false"/>
          <w:sz w:val="20"/>
        </w:rPr>
        <w:t>years.</w:t>
      </w:r>
    </w:p>
    <w:p>
      <w:pPr>
        <w:pStyle w:val="TextBody"/>
        <w:spacing w:before="240" w:after="0"/>
        <w:jc w:val="left"/>
        <w:rPr>
          <w:rFonts w:ascii="Times New Roman" w:hAnsi="Times New Roman"/>
          <w:sz w:val="20"/>
        </w:rPr>
      </w:pPr>
      <w:r>
        <w:rPr>
          <w:rFonts w:ascii="Times New Roman;serif" w:hAnsi="Times New Roman;serif"/>
          <w:b/>
          <w:i/>
          <w:sz w:val="20"/>
        </w:rPr>
        <w:t>2014 Employee Stock Purchase Plan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Company’s board of directors and stockholders have adopted the 2014 Employee Stock Purchase Plan (ESPP). The ESPP has become effective, and the board of directors will implement commencement of offers thereunder in its discretion. A total of 1,864</w:t>
      </w:r>
      <w:r>
        <w:rPr>
          <w:rFonts w:ascii="Times New Roman" w:hAnsi="Times New Roman"/>
          <w:sz w:val="20"/>
        </w:rPr>
        <w:t xml:space="preserve"> </w:t>
      </w:r>
      <w:r>
        <w:rPr>
          <w:rFonts w:ascii="Times New Roman;serif" w:hAnsi="Times New Roman;serif"/>
          <w:b w:val="false"/>
          <w:sz w:val="20"/>
        </w:rPr>
        <w:t>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1.0% of the outstanding shares of the Company’s common stock on the first day of such year;</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3,729</w:t>
      </w:r>
      <w:r>
        <w:rPr/>
        <w:t xml:space="preserve"> </w:t>
      </w:r>
      <w:r>
        <w:rPr>
          <w:rFonts w:ascii="Times New Roman;serif" w:hAnsi="Times New Roman;serif"/>
          <w:b w:val="false"/>
          <w:sz w:val="20"/>
        </w:rPr>
        <w:t xml:space="preserve">shares; or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such amount as determined by the board of directors. </w:t>
      </w:r>
    </w:p>
    <w:p>
      <w:pPr>
        <w:pStyle w:val="TextBody"/>
        <w:spacing w:before="120" w:after="0"/>
        <w:jc w:val="left"/>
        <w:rPr>
          <w:rFonts w:ascii="Times New Roman" w:hAnsi="Times New Roman"/>
          <w:sz w:val="20"/>
        </w:rPr>
      </w:pPr>
      <w:r>
        <w:rPr>
          <w:rFonts w:ascii="Times New Roman;serif" w:hAnsi="Times New Roman;serif"/>
          <w:b w:val="false"/>
          <w:sz w:val="20"/>
        </w:rPr>
        <w:t>As of March 31, 2023, there were no</w:t>
      </w:r>
      <w:r>
        <w:rPr>
          <w:rFonts w:ascii="Times New Roman" w:hAnsi="Times New Roman"/>
          <w:sz w:val="20"/>
        </w:rPr>
        <w:t xml:space="preserve"> </w:t>
      </w:r>
      <w:r>
        <w:rPr>
          <w:rFonts w:ascii="Times New Roman;serif" w:hAnsi="Times New Roman;serif"/>
          <w:b w:val="false"/>
          <w:sz w:val="20"/>
        </w:rPr>
        <w:t>purchases by employees under this plan.</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Note 8. Net loss per share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Basic net loss per share is computed by dividing net loss by the weighted-average number of common stock actually outstanding during the period. Shares of common stock that are potentially issuable for little or no cash consideration at issuance, such as the Company's pre-funded warrants issued in March 2022, are considered outstanding common stock and are included in the calculation of basic and diluted net loss per share in connection with </w:t>
      </w:r>
      <w:r>
        <w:rPr>
          <w:rFonts w:ascii="Times New Roman;serif" w:hAnsi="Times New Roman;serif"/>
          <w:b w:val="false"/>
          <w:i/>
          <w:sz w:val="20"/>
        </w:rPr>
        <w:t>ASC 260 Earnings Per Shares</w:t>
      </w:r>
      <w:r>
        <w:rPr>
          <w:rFonts w:ascii="Times New Roman;serif" w:hAnsi="Times New Roman;serif"/>
          <w:b w:val="false"/>
          <w:sz w:val="20"/>
        </w:rPr>
        <w:t>. Diluted net loss per share is computed by dividing net loss by the weighted-average number of common stock outstanding and dilutive potential common stock that would be issued upon the exercise or vesting of common stock awards and exercise of common stock warrants that are not pre-funded. The Company applies the two-class method to calculate basic and diluted earnings per share as its warrants issued in March 2022 are participating securities. However, the two-class method does not impact the net loss per share of common stock as the 2022 common warrants issued in March 2022 do not participate in losses. For the three months ended March 31, 2023 and 2022, the effect of issuing potential common stock is anti-dilutive due to the net losses in those periods and therefore the number of shares used to compute basic and diluted net loss per share are the same in each of those periods.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securities are the weighted-average common shares outstanding used to calculate basic and diluted net loss per common share:</w:t>
      </w:r>
    </w:p>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tbl>
      <w:tblPr>
        <w:tblW w:w="5174" w:type="dxa"/>
        <w:jc w:val="left"/>
        <w:tblInd w:w="0" w:type="dxa"/>
        <w:tblCellMar>
          <w:top w:w="28" w:type="dxa"/>
          <w:left w:w="28" w:type="dxa"/>
          <w:bottom w:w="28" w:type="dxa"/>
          <w:right w:w="28" w:type="dxa"/>
        </w:tblCellMar>
      </w:tblPr>
      <w:tblGrid>
        <w:gridCol w:w="2191"/>
        <w:gridCol w:w="146"/>
        <w:gridCol w:w="146"/>
        <w:gridCol w:w="931"/>
        <w:gridCol w:w="146"/>
        <w:gridCol w:w="146"/>
        <w:gridCol w:w="146"/>
        <w:gridCol w:w="931"/>
        <w:gridCol w:w="391"/>
      </w:tblGrid>
      <w:tr>
        <w:trPr/>
        <w:tc>
          <w:tcPr>
            <w:tcW w:w="21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1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stock</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8,166,385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5,334,712</w:t>
            </w:r>
          </w:p>
        </w:tc>
        <w:tc>
          <w:tcPr>
            <w:tcW w:w="391" w:type="dxa"/>
            <w:tcBorders/>
            <w:shd w:fill="auto" w:val="clear"/>
            <w:vAlign w:val="center"/>
          </w:tcPr>
          <w:p>
            <w:pPr>
              <w:pStyle w:val="TableContents"/>
              <w:spacing w:before="0" w:after="0"/>
              <w:ind w:left="0" w:right="0" w:hanging="0"/>
              <w:jc w:val="left"/>
              <w:rPr/>
            </w:pPr>
            <w:r>
              <w:rPr/>
              <w:t> </w:t>
            </w:r>
          </w:p>
        </w:tc>
      </w:tr>
      <w:tr>
        <w:trPr/>
        <w:tc>
          <w:tcPr>
            <w:tcW w:w="21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2022 pre-funded warrants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1,280,965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1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9,447,350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5,334,712</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Times New Roman;serif" w:hAnsi="Times New Roman;serif"/>
          <w:b w:val="false"/>
          <w:sz w:val="20"/>
        </w:rPr>
        <w:t>The following potentially dilutive securities outstanding have been excluded from the computations of diluted weighted-average shares outstanding for the periods presented because such securities have an antidilutive impact due to losses reported (in common stock equivalent shares):</w:t>
      </w:r>
      <w:r>
        <w:rPr>
          <w:rFonts w:ascii="Times New Roman" w:hAnsi="Times New Roman"/>
          <w:sz w:val="20"/>
        </w:rPr>
        <w:t xml:space="preserve"> </w:t>
      </w:r>
    </w:p>
    <w:p>
      <w:pPr>
        <w:pStyle w:val="TextBody"/>
        <w:spacing w:before="0" w:after="0"/>
        <w:jc w:val="left"/>
        <w:rPr/>
      </w:pPr>
      <w:r>
        <w:rPr/>
        <w:t> </w:t>
      </w:r>
    </w:p>
    <w:tbl>
      <w:tblPr>
        <w:tblW w:w="7769" w:type="dxa"/>
        <w:jc w:val="left"/>
        <w:tblInd w:w="0" w:type="dxa"/>
        <w:tblCellMar>
          <w:top w:w="28" w:type="dxa"/>
          <w:left w:w="28" w:type="dxa"/>
          <w:bottom w:w="28" w:type="dxa"/>
          <w:right w:w="28" w:type="dxa"/>
        </w:tblCellMar>
      </w:tblPr>
      <w:tblGrid>
        <w:gridCol w:w="4786"/>
        <w:gridCol w:w="146"/>
        <w:gridCol w:w="146"/>
        <w:gridCol w:w="931"/>
        <w:gridCol w:w="146"/>
        <w:gridCol w:w="146"/>
        <w:gridCol w:w="146"/>
        <w:gridCol w:w="931"/>
        <w:gridCol w:w="391"/>
      </w:tblGrid>
      <w:tr>
        <w:trPr/>
        <w:tc>
          <w:tcPr>
            <w:tcW w:w="47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7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Warrants issued to 2010/2012 convertible note</w:t>
              <w:br/>
              <w:t>   holders to purchase common stock</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6,804</w:t>
            </w:r>
          </w:p>
        </w:tc>
        <w:tc>
          <w:tcPr>
            <w:tcW w:w="391" w:type="dxa"/>
            <w:tcBorders/>
            <w:shd w:fill="auto" w:val="cle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to purchase common stock</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926,325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516,445</w:t>
            </w:r>
          </w:p>
        </w:tc>
        <w:tc>
          <w:tcPr>
            <w:tcW w:w="391" w:type="dxa"/>
            <w:tcBorders/>
            <w:shd w:fill="auto" w:val="cle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restricted stock units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19,233</w:t>
            </w:r>
          </w:p>
        </w:tc>
        <w:tc>
          <w:tcPr>
            <w:tcW w:w="391" w:type="dxa"/>
            <w:tcBorders/>
            <w:shd w:fill="auto" w:val="cle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Warrants issued to underwriter to purchase common stock</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1,100</w:t>
            </w:r>
          </w:p>
        </w:tc>
        <w:tc>
          <w:tcPr>
            <w:tcW w:w="391" w:type="dxa"/>
            <w:tcBorders/>
            <w:shd w:fill="auto" w:val="cle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2018 PIPE warrants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34,241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34,241</w:t>
            </w:r>
          </w:p>
        </w:tc>
        <w:tc>
          <w:tcPr>
            <w:tcW w:w="391" w:type="dxa"/>
            <w:tcBorders/>
            <w:shd w:fill="auto" w:val="cle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2022 common warrants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4,000,000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4,000,000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7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4,978,004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4,577,823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Note 9. Subsequent Events</w:t>
      </w:r>
    </w:p>
    <w:p>
      <w:pPr>
        <w:pStyle w:val="TextBody"/>
        <w:spacing w:before="120" w:after="0"/>
        <w:jc w:val="left"/>
        <w:rPr>
          <w:rFonts w:ascii="Times New Roman" w:hAnsi="Times New Roman"/>
          <w:sz w:val="20"/>
        </w:rPr>
      </w:pPr>
      <w:r>
        <w:rPr>
          <w:rFonts w:ascii="Times New Roman;serif" w:hAnsi="Times New Roman;serif"/>
          <w:b w:val="false"/>
          <w:sz w:val="20"/>
        </w:rPr>
        <w:t>On April 24, 2023, the Company entered into a</w:t>
      </w:r>
      <w:r>
        <w:rPr>
          <w:rFonts w:ascii="Times New Roman" w:hAnsi="Times New Roman"/>
          <w:sz w:val="20"/>
        </w:rPr>
        <w:t xml:space="preserve"> </w:t>
      </w:r>
      <w:r>
        <w:rPr>
          <w:rFonts w:ascii="Times New Roman;serif" w:hAnsi="Times New Roman;serif"/>
          <w:b w:val="false"/>
          <w:sz w:val="20"/>
        </w:rPr>
        <w:t>twenty-four month</w:t>
      </w:r>
      <w:r>
        <w:rPr>
          <w:rFonts w:ascii="Times New Roman" w:hAnsi="Times New Roman"/>
          <w:sz w:val="20"/>
        </w:rPr>
        <w:t xml:space="preserve"> </w:t>
      </w:r>
      <w:r>
        <w:rPr>
          <w:rFonts w:ascii="Times New Roman;serif" w:hAnsi="Times New Roman;serif"/>
          <w:b w:val="false"/>
          <w:sz w:val="20"/>
        </w:rPr>
        <w:t>office lease extension commencing on June 1, 2023. The lease extension is for the office where the Company is currently located in Redwood City, California. The term of the new lease expires on May 31, 2025.</w:t>
      </w:r>
    </w:p>
    <w:p>
      <w:pPr>
        <w:pStyle w:val="TextBody"/>
        <w:spacing w:before="120" w:after="0"/>
        <w:jc w:val="left"/>
        <w:rPr>
          <w:rFonts w:ascii="Times New Roman" w:hAnsi="Times New Roman"/>
          <w:sz w:val="20"/>
        </w:rPr>
      </w:pPr>
      <w:r>
        <w:rPr>
          <w:rFonts w:ascii="Times New Roman;serif" w:hAnsi="Times New Roman;serif"/>
          <w:b w:val="false"/>
          <w:sz w:val="20"/>
        </w:rPr>
        <w:t>On May 3, 2023, the Company announced the completion of enrollment in the randomized withdrawal phase of Study 602 and on May 8, 2023, the Company received $10.0</w:t>
      </w:r>
      <w:r>
        <w:rPr>
          <w:rFonts w:ascii="Times New Roman" w:hAnsi="Times New Roman"/>
          <w:sz w:val="20"/>
        </w:rPr>
        <w:t xml:space="preserve"> </w:t>
      </w:r>
      <w:r>
        <w:rPr>
          <w:rFonts w:ascii="Times New Roman;serif" w:hAnsi="Times New Roman;serif"/>
          <w:b w:val="false"/>
          <w:sz w:val="20"/>
        </w:rPr>
        <w:t>million capital in exchange for warrants to purchase common stock under the Securities Purchase Agreement executed in December 2022.</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10" w:name="item_2_managements_discussion_analysis_f"/>
      <w:bookmarkEnd w:id="10"/>
      <w:r>
        <w:rPr>
          <w:rFonts w:ascii="Times New Roman;serif" w:hAnsi="Times New Roman;serif"/>
          <w:b/>
          <w:sz w:val="20"/>
        </w:rPr>
        <w:t>Item 2. Management’s Discussion and Analysis of Financial Condition and Results of Operation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The interim consolidated financial statements included in this Quarterly Report on Form 10-Q and this Management’s Discussion and Analysis of Financial Condition and Results of Operations should be read in conjunction with the financial statements and notes thereto for the year ended December 31, 2022, and the related Management’s Discussion and Analysis of Financial Condition and Results of Operations, contained in the Company’s Form 10-K for the year ended December 31, 2022.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These forward-looking statements are subject to risks and uncertainties, including those set forth in Part II – Other Information, Item 1A. Risk Factors below and elsewhere in this report that could cause actual results to differ materially from historical results or anticipated results.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Business Overview</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are focused on the development and commercialization of novel therapeutics for the treatment of rare diseases. Our lead candidate is Diazoxide Choline (DCCR) Extended Release tablets, a once-daily oral tablet for the treatment of Prader-Willi Syndrome (PWS). DCCR has orphan designation for the treatment of PWS in the United States (U.S.) as well as in the European Union (E.U.). DCCR has been evaluated in a Phase 3 study (C601 or DESTINY PWS), a 3-month randomized, double-blind placebo-controlled study, which completed enrollment in January 2020, with 127 patients at 29 sites in the U.S. and U.K. Patients who completed treatment in DESTINY PWS were eligible to receive DCCR in C602, an open-label extension study. Top line results from DESTINY PWS were announced in June 2020. Although the trial did not meet its primary endpoint of change from baseline in hyperphagia, significant improvements were observed in two of three key secondary endpoints.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February 2021, we announced analysis limited to data collected before the onset of the COVID-19 pandemic. The analysis of the data through March 1, 2020 showed statistical significance in the primary, all key secondary and several other efficacy endpoints. In September 2021, we announced interim results from C602 showing statistically significant reduction in hyperphagia and all other PWS behavioral parameters and statistically significant improvements compared to natural history of PWS from the PATH for PWS Study (PfPWS) over a one year treatment period. The PfPWS study is an ongoing study sponsored by the Foundation for Prader-Willi Research (FPWR) to advance the understanding of the natural history in individuals with PWS. We submitted the data to the FDA in the fourth quarter 2021.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January 2022, we submitted a proposal to add a randomized withdrawal period to Study C602 in order to obtain additional controlled data requested by the FDA to support a New Drug Application (NDA) submission for DCCR. The randomized withdrawal (RW) period of Study C602 is a multi-center, randomized, double-blind, placebo-controlled study of DCCR in approximately 80 patients with PWS at 17 sites in the U.S. and 5 sites in the U.K. This RW period consists only of patients previously enrolled in Study C602 and will not enroll any new patients and we announced the initiation in October 2022 and the completion of enrollment in May 2023. The FDA has acknowledged that data from the study has the potential to support an NDA submission for DCCR.</w:t>
      </w:r>
    </w:p>
    <w:p>
      <w:pPr>
        <w:pStyle w:val="TextBody"/>
        <w:spacing w:before="240" w:after="0"/>
        <w:jc w:val="left"/>
        <w:rPr>
          <w:rFonts w:ascii="Times New Roman" w:hAnsi="Times New Roman"/>
          <w:sz w:val="20"/>
        </w:rPr>
      </w:pPr>
      <w:r>
        <w:rPr>
          <w:rFonts w:ascii="Times New Roman;serif" w:hAnsi="Times New Roman;serif"/>
          <w:b w:val="false"/>
          <w:sz w:val="20"/>
        </w:rPr>
        <w:t>As of March 31, 2023, we had an accumulated deficit of $245.8 million, primarily as a result of research and development and general and administrative expenses. We may never be successful in commercializing our novel therapeutic-lead candidate DCCR. Accordingly, we expect to incur significant losses from operations for the foreseeable future, and there can be no assurance that we will ever generate significant revenue or profits. As of March 31, 2023, we had cash and cash equivalents of $7.9 million.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On May 8, 2023, we sold warrants to purchase common stock for an aggregate of $10.0 million pursuant to the terms of the Securities Purchase Agreement dated December 16, 2022.</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Critical Accounting Policies and Significant Judgments and Estimates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management’s discussion and analysis of financial condition and results of operations are based upon our unaudited condensed consolidated financial statements, which have been prepared in accordance with GAAP. The preparation of these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of our most recent Form 10-K.</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Comparison of the three months ended March 31, 2023 and 2022</w:t>
      </w:r>
      <w:r>
        <w:rPr>
          <w:rFonts w:ascii="Times New Roman" w:hAnsi="Times New Roman"/>
          <w:sz w:val="20"/>
        </w:rPr>
        <w:t xml:space="preserve"> </w:t>
      </w:r>
    </w:p>
    <w:p>
      <w:pPr>
        <w:pStyle w:val="TextBody"/>
        <w:spacing w:before="0" w:after="0"/>
        <w:jc w:val="left"/>
        <w:rPr/>
      </w:pPr>
      <w:r>
        <w:rPr/>
        <w:t> </w:t>
      </w:r>
    </w:p>
    <w:tbl>
      <w:tblPr>
        <w:tblW w:w="9908" w:type="dxa"/>
        <w:jc w:val="left"/>
        <w:tblInd w:w="0" w:type="dxa"/>
        <w:tblCellMar>
          <w:top w:w="28" w:type="dxa"/>
          <w:left w:w="28" w:type="dxa"/>
          <w:bottom w:w="28" w:type="dxa"/>
          <w:right w:w="28" w:type="dxa"/>
        </w:tblCellMar>
      </w:tblPr>
      <w:tblGrid>
        <w:gridCol w:w="4066"/>
        <w:gridCol w:w="146"/>
        <w:gridCol w:w="213"/>
        <w:gridCol w:w="637"/>
        <w:gridCol w:w="551"/>
        <w:gridCol w:w="147"/>
        <w:gridCol w:w="213"/>
        <w:gridCol w:w="637"/>
        <w:gridCol w:w="166"/>
        <w:gridCol w:w="146"/>
        <w:gridCol w:w="211"/>
        <w:gridCol w:w="631"/>
        <w:gridCol w:w="166"/>
        <w:gridCol w:w="146"/>
        <w:gridCol w:w="235"/>
        <w:gridCol w:w="681"/>
        <w:gridCol w:w="916"/>
      </w:tblGrid>
      <w:tr>
        <w:trPr/>
        <w:tc>
          <w:tcPr>
            <w:tcW w:w="40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r>
      <w:tr>
        <w:trPr/>
        <w:tc>
          <w:tcPr>
            <w:tcW w:w="40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Increase (decrease)</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8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Percentage</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shd w:fill="auto" w:val="clear"/>
            <w:vAlign w:val="center"/>
          </w:tcPr>
          <w:p>
            <w:pPr>
              <w:pStyle w:val="TableContents"/>
              <w:spacing w:before="0" w:after="0"/>
              <w:ind w:left="0" w:right="0" w:hanging="0"/>
              <w:jc w:val="center"/>
              <w:rPr/>
            </w:pPr>
            <w:r>
              <w:rPr/>
              <w:t> </w:t>
            </w:r>
          </w:p>
        </w:tc>
        <w:tc>
          <w:tcPr>
            <w:tcW w:w="916" w:type="dxa"/>
            <w:tcBorders/>
            <w:shd w:fill="auto" w:val="clear"/>
            <w:vAlign w:val="center"/>
          </w:tcPr>
          <w:p>
            <w:pPr>
              <w:pStyle w:val="TableContents"/>
              <w:spacing w:before="0" w:after="0"/>
              <w:ind w:left="0" w:right="0" w:hanging="0"/>
              <w:jc w:val="center"/>
              <w:rPr/>
            </w:pPr>
            <w:r>
              <w:rPr/>
              <w:t> </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850" w:type="dxa"/>
            <w:gridSpan w:val="2"/>
            <w:tcBorders/>
            <w:shd w:fill="auto" w:val="clear"/>
            <w:vAlign w:val="center"/>
          </w:tcPr>
          <w:p>
            <w:pPr>
              <w:pStyle w:val="TableContents"/>
              <w:spacing w:before="0" w:after="0"/>
              <w:ind w:left="0" w:right="0" w:hanging="0"/>
              <w:jc w:val="right"/>
              <w:rPr/>
            </w:pPr>
            <w:r>
              <w:rPr/>
              <w:t> </w:t>
            </w:r>
          </w:p>
        </w:tc>
        <w:tc>
          <w:tcPr>
            <w:tcW w:w="551" w:type="dxa"/>
            <w:tcBorders/>
            <w:shd w:fill="auto" w:val="clear"/>
            <w:vAlign w:val="center"/>
          </w:tcPr>
          <w:p>
            <w:pPr>
              <w:pStyle w:val="TableContents"/>
              <w:spacing w:before="0" w:after="0"/>
              <w:ind w:left="0" w:right="0" w:hanging="0"/>
              <w:jc w:val="righ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85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shd w:fill="auto" w:val="clear"/>
            <w:vAlign w:val="center"/>
          </w:tcPr>
          <w:p>
            <w:pPr>
              <w:pStyle w:val="TableContents"/>
              <w:spacing w:before="0" w:after="0"/>
              <w:ind w:left="0" w:right="0" w:hanging="0"/>
              <w:jc w:val="right"/>
              <w:rPr/>
            </w:pPr>
            <w:r>
              <w:rPr/>
              <w:t> </w:t>
            </w:r>
          </w:p>
        </w:tc>
        <w:tc>
          <w:tcPr>
            <w:tcW w:w="916" w:type="dxa"/>
            <w:tcBorders/>
            <w:shd w:fill="auto" w:val="clear"/>
            <w:vAlign w:val="center"/>
          </w:tcPr>
          <w:p>
            <w:pPr>
              <w:pStyle w:val="TableContents"/>
              <w:spacing w:before="0" w:after="0"/>
              <w:ind w:left="0" w:right="0" w:firstLine="200"/>
              <w:jc w:val="right"/>
              <w:rPr/>
            </w:pPr>
            <w:r>
              <w:rPr/>
              <w:t> </w:t>
            </w:r>
          </w:p>
        </w:tc>
      </w:tr>
      <w:tr>
        <w:trPr/>
        <w:tc>
          <w:tcPr>
            <w:tcW w:w="40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5,316</w:t>
            </w:r>
          </w:p>
        </w:tc>
        <w:tc>
          <w:tcPr>
            <w:tcW w:w="551"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3,988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9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6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2,854</w:t>
            </w:r>
          </w:p>
        </w:tc>
        <w:tc>
          <w:tcPr>
            <w:tcW w:w="551"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righ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6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9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fair value of contingent consideration</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299</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c>
          <w:tcPr>
            <w:tcW w:w="147" w:type="dxa"/>
            <w:tcBorders/>
            <w:shd w:fill="auto" w:val="clear"/>
            <w:vAlign w:val="center"/>
          </w:tcPr>
          <w:p>
            <w:pPr>
              <w:pStyle w:val="TableContents"/>
              <w:spacing w:before="0" w:after="0"/>
              <w:ind w:left="40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8,469</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5,773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2,696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6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(8,469</w:t>
            </w:r>
          </w:p>
        </w:tc>
        <w:tc>
          <w:tcPr>
            <w:tcW w:w="5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6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(5,773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(2,696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9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w:t>
            </w:r>
          </w:p>
        </w:tc>
        <w:tc>
          <w:tcPr>
            <w:tcW w:w="146" w:type="dxa"/>
            <w:tcBorders/>
            <w:shd w:fill="auto" w:val="clear"/>
            <w:vAlign w:val="center"/>
          </w:tcPr>
          <w:p>
            <w:pPr>
              <w:pStyle w:val="TableContents"/>
              <w:spacing w:before="0" w:after="0"/>
              <w:ind w:left="0" w:right="0" w:hanging="0"/>
              <w:jc w:val="left"/>
              <w:rPr/>
            </w:pPr>
            <w:r>
              <w:rPr/>
              <w:t> </w:t>
            </w:r>
          </w:p>
        </w:tc>
        <w:tc>
          <w:tcPr>
            <w:tcW w:w="850" w:type="dxa"/>
            <w:gridSpan w:val="2"/>
            <w:tcBorders/>
            <w:shd w:fill="auto" w:val="clear"/>
            <w:vAlign w:val="center"/>
          </w:tcPr>
          <w:p>
            <w:pPr>
              <w:pStyle w:val="TableContents"/>
              <w:spacing w:before="0" w:after="0"/>
              <w:ind w:left="0" w:right="0" w:hanging="0"/>
              <w:jc w:val="right"/>
              <w:rPr/>
            </w:pPr>
            <w:r>
              <w:rPr/>
              <w:t> </w:t>
            </w:r>
          </w:p>
        </w:tc>
        <w:tc>
          <w:tcPr>
            <w:tcW w:w="551" w:type="dxa"/>
            <w:tcBorders/>
            <w:shd w:fill="auto" w:val="clear"/>
            <w:vAlign w:val="center"/>
          </w:tcPr>
          <w:p>
            <w:pPr>
              <w:pStyle w:val="TableContents"/>
              <w:spacing w:before="0" w:after="0"/>
              <w:ind w:left="0" w:right="0" w:hanging="0"/>
              <w:jc w:val="righ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85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gridSpan w:val="2"/>
            <w:tcBorders/>
            <w:shd w:fill="auto" w:val="clear"/>
            <w:vAlign w:val="center"/>
          </w:tcPr>
          <w:p>
            <w:pPr>
              <w:pStyle w:val="TableContents"/>
              <w:spacing w:before="0" w:after="0"/>
              <w:ind w:left="0" w:right="0" w:hanging="0"/>
              <w:jc w:val="right"/>
              <w:rPr/>
            </w:pPr>
            <w:r>
              <w:rPr/>
              <w:t> </w:t>
            </w:r>
          </w:p>
        </w:tc>
        <w:tc>
          <w:tcPr>
            <w:tcW w:w="916" w:type="dxa"/>
            <w:tcBorders/>
            <w:shd w:fill="auto" w:val="clear"/>
            <w:vAlign w:val="center"/>
          </w:tcPr>
          <w:p>
            <w:pPr>
              <w:pStyle w:val="TableContents"/>
              <w:spacing w:before="0" w:after="0"/>
              <w:ind w:left="0" w:right="0" w:firstLine="200"/>
              <w:jc w:val="right"/>
              <w:rPr/>
            </w:pPr>
            <w:r>
              <w:rPr/>
              <w:t> </w:t>
            </w:r>
          </w:p>
        </w:tc>
      </w:tr>
      <w:tr>
        <w:trPr/>
        <w:tc>
          <w:tcPr>
            <w:tcW w:w="40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fair value of warrants liabilities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6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51"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6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9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414</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other income</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(8,356</w:t>
            </w:r>
          </w:p>
        </w:tc>
        <w:tc>
          <w:tcPr>
            <w:tcW w:w="5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(5,724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60" w:after="0"/>
        <w:jc w:val="left"/>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 date, we have earned no revenue from the commercial development and sale of novel therapeutic products.</w:t>
      </w:r>
    </w:p>
    <w:p>
      <w:pPr>
        <w:pStyle w:val="TextBody"/>
        <w:spacing w:before="360" w:after="0"/>
        <w:jc w:val="left"/>
        <w:rPr>
          <w:rFonts w:ascii="Times New Roman" w:hAnsi="Times New Roman"/>
          <w:sz w:val="20"/>
        </w:rPr>
      </w:pPr>
      <w:r>
        <w:rPr>
          <w:rFonts w:ascii="Times New Roman;serif" w:hAnsi="Times New Roman;serif"/>
          <w:b/>
          <w:i/>
          <w:sz w:val="20"/>
        </w:rPr>
        <w:t>Research and development expense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Research and development expense of $5.3 million for the three months ended March 31, 2023, an increase of $1.3 million from the three months ended March 31, 2022. The cadence of our research and development expenditures will fluctuate depending upon the state of our clinical programs and the timing of CMC and other projects necessary to support the submission of an NDA. Clinical trial costs increased $2.2 million as we made progress enrolling patients into the RW period for Study C602, and as patients complete the study period, we are incurring costs supporting them in an open label extension. CMC costs decreased $0.9 million as certain manufacturer processes were completed in the first quarter 2022 and did not repeat in the first quarter of 2023.</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General and administrative expense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General and administrative expense of $2.9 million for the three months ended March 31, 2023, an increase of $0.2 million from the three months ended March 31, 2022. The increase was mainly attributable an increase in professional services expense.</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Change in fair value of contingent consideration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obligated to make cash payments of up to a maximum of $21.2 million to the former Essentialis stockholders upon the achievement of certain future commercial milestones associated with the sales of DCCR in accordance with the terms of our merger agreement with Essentialis. The fair value of the liability for the contingent consideration payable by us achieving two commercial sales milestones of $100 million and $200 million in revenue, respectively, in future years was estimated to be $9.1 million as of March 31, 2023, a $0.3 million increase from the estimate as of December 31, 2022. During the three months ended March 31, 2022, the estimate decreased by $0.8 million from the $9.5 million estimate as of December 31, 2021.</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Other income</w:t>
      </w:r>
    </w:p>
    <w:p>
      <w:pPr>
        <w:pStyle w:val="TextBody"/>
        <w:spacing w:before="120" w:after="0"/>
        <w:jc w:val="left"/>
        <w:rPr>
          <w:rFonts w:ascii="Times New Roman" w:hAnsi="Times New Roman"/>
          <w:sz w:val="20"/>
        </w:rPr>
      </w:pPr>
      <w:r>
        <w:rPr>
          <w:rFonts w:ascii="Times New Roman;serif" w:hAnsi="Times New Roman;serif"/>
          <w:b w:val="false"/>
          <w:sz w:val="20"/>
        </w:rPr>
        <w:t>We had other income of approximately $113,000 in the three months ended March 31, 2023, compared to $49,000 during the three months ended March 31, 2022. The increase was primarily due to an increase in interest income during the three months ended March 31, 2023 compared to the three months ended March 31, 2022.</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had a net loss of $8.4 million during the three months ended March 31, 2023 and an accumulated deficit of $245.8 million at March 31, 2023 as a result of having incurred losses since our inception. We had $7.9 million in cash and cash equivalents and $1.4 million of working capital at March 31, 2023, and used $6.7 million of cash in operating activities during the three months ended March 31, 2023. As of March 31, 2023, we had lease obligations totaling $39,000 to be paid through 2023, consisting of an operating lease for office space in Redwood City, California.</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We have financed our operations principally through issuances of equity securities. In March 2022, we completed a public offering of shares of our common stock and pre-funded warrants and raised $13.8 million in net proceeds after deducting the underwriting discount and other offering expenses. Each share of common stock or pre-funded warrant was sold together with one immediately exercisable common warrant to purchase one share of common stock. In addition, we have an “at-the-market” (ATM) offering for up to $25.0 million. In December 2022, we entered into a Securities Purchase Agreement providing for the sale of up to $60.0 million in warrants and the common stock issuable upon the exercise thereof. We completed the closing of the sale and issuance of the warrants for $10.0 million in May 2023. The receipt of up to $50.0 million is contingent upon the exercise of the warrants and the future performance of the Company.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expect to continue incurring losses for the foreseeable future and will be required to raise additional capital to complete our clinical trials, pursue product development initiatives and penetrate markets for the sale of our products. We believe that we will continue to have access to capital resources through possible public or private equity offerings, debt financings, corporate collaborations or other means, but the access to such capital resources is uncertain and is not assured. If we are unable to secure additional capital, we may be required to curtail our clinical trials and development of new products and take additional measures to reduce costs in order to conserve our cash in amounts sufficient to sustain operations and meet our obligations. These measures could cause significant delays in our efforts to complete clinical trials and commercialize our products, which is critical to the realization of our business plan and our future operations. These matters raise substantial doubt about our ability to continue as a going concern within one year from the date of filing this quarterly report.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accompanying condensed consolidated financial statements have been prepared under the assumption we will continue to operate as a going concern, which contemplates the realization of assets and the settlement of liabilities in the normal course of business. The condensed consolidated financial statements do not include any adjustments to reflect the possible future effects on the recoverability and classification of assets or the amounts of liabilities that may result from uncertainty related to our ability to continue as a going concern.</w:t>
      </w:r>
    </w:p>
    <w:p>
      <w:pPr>
        <w:pStyle w:val="TextBody"/>
        <w:spacing w:before="360" w:after="0"/>
        <w:jc w:val="left"/>
        <w:rPr>
          <w:rFonts w:ascii="Times New Roman" w:hAnsi="Times New Roman"/>
          <w:sz w:val="20"/>
        </w:rPr>
      </w:pPr>
      <w:r>
        <w:rPr>
          <w:rFonts w:ascii="Times New Roman;serif" w:hAnsi="Times New Roman;serif"/>
          <w:b/>
          <w:sz w:val="20"/>
        </w:rPr>
        <w:t>Cash flows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following table sets forth the primary sources and uses of cash and cash equivalents for each of the periods presented below:</w:t>
      </w:r>
      <w:r>
        <w:rPr>
          <w:rFonts w:ascii="Times New Roman" w:hAnsi="Times New Roman"/>
          <w:sz w:val="20"/>
        </w:rPr>
        <w:t xml:space="preserve"> </w:t>
      </w:r>
    </w:p>
    <w:p>
      <w:pPr>
        <w:pStyle w:val="TextBody"/>
        <w:spacing w:before="0" w:after="0"/>
        <w:jc w:val="left"/>
        <w:rPr/>
      </w:pPr>
      <w:r>
        <w:rPr/>
        <w:t> </w:t>
      </w:r>
    </w:p>
    <w:tbl>
      <w:tblPr>
        <w:tblW w:w="7257" w:type="dxa"/>
        <w:jc w:val="left"/>
        <w:tblInd w:w="0" w:type="dxa"/>
        <w:tblCellMar>
          <w:top w:w="28" w:type="dxa"/>
          <w:left w:w="28" w:type="dxa"/>
          <w:bottom w:w="28" w:type="dxa"/>
          <w:right w:w="28" w:type="dxa"/>
        </w:tblCellMar>
      </w:tblPr>
      <w:tblGrid>
        <w:gridCol w:w="4321"/>
        <w:gridCol w:w="146"/>
        <w:gridCol w:w="248"/>
        <w:gridCol w:w="742"/>
        <w:gridCol w:w="195"/>
        <w:gridCol w:w="171"/>
        <w:gridCol w:w="248"/>
        <w:gridCol w:w="795"/>
        <w:gridCol w:w="391"/>
      </w:tblGrid>
      <w:tr>
        <w:trPr/>
        <w:tc>
          <w:tcPr>
            <w:tcW w:w="43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3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104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9" w:type="dxa"/>
            <w:gridSpan w:val="6"/>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(6,728</w:t>
            </w:r>
          </w:p>
        </w:tc>
        <w:tc>
          <w:tcPr>
            <w:tcW w:w="1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1"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(6,362</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742" w:type="dxa"/>
            <w:tcBorders/>
            <w:shd w:fill="auto" w:val="clear"/>
            <w:vAlign w:val="center"/>
          </w:tcPr>
          <w:p>
            <w:pPr>
              <w:pStyle w:val="TableContents"/>
              <w:spacing w:before="0" w:after="0"/>
              <w:ind w:left="0" w:right="0" w:hanging="0"/>
              <w:jc w:val="right"/>
              <w:rPr/>
            </w:pPr>
            <w:r>
              <w:rPr/>
              <w:t>—</w:t>
            </w:r>
          </w:p>
        </w:tc>
        <w:tc>
          <w:tcPr>
            <w:tcW w:w="195"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795"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14,032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(decrease) increase in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(6,728</w:t>
            </w:r>
          </w:p>
        </w:tc>
        <w:tc>
          <w:tcPr>
            <w:tcW w:w="1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1" w:type="dxa"/>
            <w:tcBorders/>
            <w:shd w:fill="auto" w:val="clear"/>
            <w:vAlign w:val="center"/>
          </w:tcPr>
          <w:p>
            <w:pPr>
              <w:pStyle w:val="TableContents"/>
              <w:spacing w:before="0" w:after="0"/>
              <w:ind w:left="0" w:right="0" w:hanging="0"/>
              <w:jc w:val="left"/>
              <w:rPr/>
            </w:pPr>
            <w:r>
              <w:rPr/>
              <w:t> </w:t>
            </w:r>
          </w:p>
        </w:tc>
        <w:tc>
          <w:tcPr>
            <w:tcW w:w="2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7,670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Times New Roman;serif" w:hAnsi="Times New Roman;serif"/>
          <w:b/>
          <w:i/>
          <w:sz w:val="20"/>
        </w:rPr>
        <w:t>Cash used in operating activities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During the three months ended March 31, 2023, operating activities used net cash of $6.7 million, which was primarily due to the net loss of $8.4 million which included non-cash expense of $0.3 million related to the change in fair value of contingent consideration, adjusted for non-cash expense of $0.5 million for depreciation and amortization, $0.6 million for stock-based compensation, and $0.1 million for non-cash lease expense. Additionally, there was a $0.2 million net decrease in usage of cash during the three months ended March 31, 2023 due to changes in operating assets and liabilities.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During the three months ended March 31, 2022, operating activities used net cash of $6.4 million, which was primarily due to the net loss of $5.7 million plus non-cash income of $0.9 million for the change in fair value of common stock warrants and contingent consideration, adjusted for non-cash expense of $0.5 million for depreciation and amortization, $0.6 million for stock-based compensation, and approximately $0.1 million for non-cash lease expense. Additionally, usage of cash during the three months ended March 31, 2022 increased by $1.0 million due to changes in operating assets and liabilities.</w:t>
      </w:r>
    </w:p>
    <w:p>
      <w:pPr>
        <w:pStyle w:val="TextBody"/>
        <w:spacing w:before="360" w:after="0"/>
        <w:jc w:val="left"/>
        <w:rPr>
          <w:rFonts w:ascii="Times New Roman" w:hAnsi="Times New Roman"/>
          <w:sz w:val="20"/>
        </w:rPr>
      </w:pPr>
      <w:r>
        <w:rPr>
          <w:rFonts w:ascii="Times New Roman;serif" w:hAnsi="Times New Roman;serif"/>
          <w:b/>
          <w:i/>
          <w:sz w:val="20"/>
        </w:rPr>
        <w:t>Cash used in investing activities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During the three months ended March 31, 2023 and 2022, there were no purchases of property and equipment.</w:t>
      </w:r>
    </w:p>
    <w:p>
      <w:pPr>
        <w:pStyle w:val="TextBody"/>
        <w:spacing w:before="360" w:after="0"/>
        <w:jc w:val="left"/>
        <w:rPr>
          <w:rFonts w:ascii="Times New Roman" w:hAnsi="Times New Roman"/>
          <w:sz w:val="20"/>
        </w:rPr>
      </w:pPr>
      <w:r>
        <w:rPr>
          <w:rFonts w:ascii="Times New Roman;serif" w:hAnsi="Times New Roman;serif"/>
          <w:b/>
          <w:i/>
          <w:sz w:val="20"/>
        </w:rPr>
        <w:t>Cash provided by financing activities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During the three months ended March 31, 2023, there were no financing activities.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During the three months ended March 31, 2022, we received $14.0 million of net cash proceeds from the sale of 2,666,666 shares of our common stock, and for certain investors, in lieu of common stock, pre-funded warrants to purchase 1,333,333 shares of common stock. Each share of common stock or pre-funded warrant was sold together with one, immediately exercisable common warrant with an exercise price of $4.50 per share. The net proceeds amount was slightly offset by payments for the taxes from net share-settled vesting of restricted stock.</w:t>
      </w:r>
    </w:p>
    <w:p>
      <w:pPr>
        <w:pStyle w:val="TextBody"/>
        <w:spacing w:before="360" w:after="0"/>
        <w:jc w:val="left"/>
        <w:rPr>
          <w:rFonts w:ascii="Times New Roman" w:hAnsi="Times New Roman"/>
          <w:sz w:val="20"/>
        </w:rPr>
      </w:pPr>
      <w:r>
        <w:rPr>
          <w:rFonts w:ascii="Times New Roman;serif" w:hAnsi="Times New Roman;serif"/>
          <w:b/>
          <w:sz w:val="20"/>
        </w:rPr>
        <w:t>Off-Balance Sheet Arrangements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do not have any off-balance sheet arrangements.</w:t>
      </w:r>
      <w:r>
        <w:rPr>
          <w:rFonts w:ascii="Times New Roman" w:hAnsi="Times New Roman"/>
          <w:sz w:val="20"/>
        </w:rPr>
        <w:t xml:space="preserve"> </w:t>
      </w:r>
    </w:p>
    <w:p>
      <w:pPr>
        <w:pStyle w:val="TextBody"/>
        <w:spacing w:before="360" w:after="0"/>
        <w:jc w:val="left"/>
        <w:rPr>
          <w:rFonts w:ascii="Times New Roman" w:hAnsi="Times New Roman"/>
          <w:sz w:val="20"/>
        </w:rPr>
      </w:pPr>
      <w:bookmarkStart w:id="11" w:name="item_3_quantitative_and_qualitative"/>
      <w:bookmarkEnd w:id="11"/>
      <w:r>
        <w:rPr>
          <w:rFonts w:ascii="Times New Roman;serif" w:hAnsi="Times New Roman;serif"/>
          <w:b/>
          <w:sz w:val="20"/>
        </w:rPr>
        <w:t>Item 3. Quantitative and Qualitative Disclosures about Market Risk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There have not been any material changes to our exposure to market risk during the three months ended March 31, 2023. For additional information regarding market risk, refer to the </w:t>
      </w:r>
      <w:r>
        <w:rPr>
          <w:rFonts w:ascii="Times New Roman;serif" w:hAnsi="Times New Roman;serif"/>
          <w:b w:val="false"/>
          <w:i/>
          <w:sz w:val="20"/>
        </w:rPr>
        <w:t>Qualitative and Quantitative Disclosures About Market Risk</w:t>
      </w:r>
      <w:r>
        <w:rPr>
          <w:rFonts w:ascii="Times New Roman" w:hAnsi="Times New Roman"/>
          <w:sz w:val="20"/>
        </w:rPr>
        <w:t xml:space="preserve"> </w:t>
      </w:r>
      <w:r>
        <w:rPr>
          <w:rFonts w:ascii="Times New Roman;serif" w:hAnsi="Times New Roman;serif"/>
          <w:b w:val="false"/>
          <w:sz w:val="20"/>
        </w:rPr>
        <w:t>section of the Form 10-K.</w:t>
      </w:r>
      <w:r>
        <w:rPr>
          <w:rFonts w:ascii="Times New Roman" w:hAnsi="Times New Roman"/>
          <w:sz w:val="20"/>
        </w:rPr>
        <w:t xml:space="preserve"> </w:t>
      </w:r>
    </w:p>
    <w:p>
      <w:pPr>
        <w:pStyle w:val="TextBody"/>
        <w:spacing w:before="360" w:after="0"/>
        <w:jc w:val="left"/>
        <w:rPr>
          <w:rFonts w:ascii="Times New Roman" w:hAnsi="Times New Roman"/>
          <w:sz w:val="20"/>
        </w:rPr>
      </w:pPr>
      <w:bookmarkStart w:id="12" w:name="controls_and_procedures"/>
      <w:bookmarkEnd w:id="12"/>
      <w:r>
        <w:rPr>
          <w:rFonts w:ascii="Times New Roman;serif" w:hAnsi="Times New Roman;serif"/>
          <w:b/>
          <w:sz w:val="20"/>
        </w:rPr>
        <w:t>Item 4. Controls and Procedures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sz w:val="20"/>
        </w:rPr>
        <w:t>(a) Evaluation of Disclosure Controls and Procedures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maintain disclosure controls and procedures that are designed to ensure that information required to be disclosed in reports filed under the Securities Exchange Act of 1934, as amended (Exchange Act), is recorded, processed, summarized and reported within the time periods specified in U.S. Securities and Exchange Commission, or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management, with the participation of our Chief Executive Officer and Chief Financial Officer, has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Chief Financial Officer have concluded that, as of the end of the period covered by this Quarterly Report on Form 10-Q, our disclosure controls and procedures were effective.</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(b) Changes in Internal Control over Financial Reporting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There have been no changes to our internal control over financial reporting that occurred during the three months ended March 31, 2023, that have materially affected, or are reasonably likely to materially affect, our internal control over financial reporting.</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Inherent Limitations on Effectiveness of Controls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designing and evaluating the disclosure controls and procedures, management recognizes that any controls and procedures, even if determined effective and no matter how well designed and operated, can provide only reasonable assurance of achieving the desired control objectives to prevent or detect misstatements.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13" w:name="part_ii_other_information"/>
      <w:bookmarkEnd w:id="13"/>
      <w:r>
        <w:rPr>
          <w:rFonts w:ascii="Times New Roman;serif" w:hAnsi="Times New Roman;serif"/>
          <w:b/>
          <w:sz w:val="20"/>
        </w:rPr>
        <w:t>PART II – OTHER INFORMATION</w:t>
      </w:r>
      <w:r>
        <w:rPr>
          <w:rFonts w:ascii="Times New Roman" w:hAnsi="Times New Roman"/>
          <w:sz w:val="20"/>
        </w:rPr>
        <w:t xml:space="preserve"> </w:t>
      </w:r>
    </w:p>
    <w:p>
      <w:pPr>
        <w:pStyle w:val="TextBody"/>
        <w:spacing w:before="240" w:after="0"/>
        <w:jc w:val="left"/>
        <w:rPr>
          <w:rFonts w:ascii="Times New Roman" w:hAnsi="Times New Roman"/>
          <w:sz w:val="20"/>
        </w:rPr>
      </w:pPr>
      <w:bookmarkStart w:id="14" w:name="item_1_legal_proceedings"/>
      <w:bookmarkEnd w:id="14"/>
      <w:r>
        <w:rPr>
          <w:rFonts w:ascii="Times New Roman;serif" w:hAnsi="Times New Roman;serif"/>
          <w:b/>
          <w:sz w:val="20"/>
        </w:rPr>
        <w:t>Item 1. Legal Proceedings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r>
        <w:rPr>
          <w:rFonts w:ascii="Times New Roman" w:hAnsi="Times New Roman"/>
          <w:sz w:val="20"/>
        </w:rPr>
        <w:t xml:space="preserve"> </w:t>
      </w:r>
    </w:p>
    <w:p>
      <w:pPr>
        <w:pStyle w:val="TextBody"/>
        <w:spacing w:before="360" w:after="0"/>
        <w:jc w:val="left"/>
        <w:rPr>
          <w:rFonts w:ascii="Times New Roman" w:hAnsi="Times New Roman"/>
          <w:sz w:val="20"/>
        </w:rPr>
      </w:pPr>
      <w:bookmarkStart w:id="15" w:name="item_1a_risk_factors"/>
      <w:bookmarkEnd w:id="15"/>
      <w:r>
        <w:rPr>
          <w:rFonts w:ascii="Times New Roman;serif" w:hAnsi="Times New Roman;serif"/>
          <w:b/>
          <w:sz w:val="20"/>
        </w:rPr>
        <w:t>Item 1A. Risk Factors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 We have included in Part I, Item 1A of our Form 10-K, a description of certain risks and uncertainties that could affect our business, future performance or financial condition (the Risk Factors). There are no material changes from the disclosure provided in the Form 10-K with respect to the Risk Factors.</w:t>
      </w:r>
      <w:r>
        <w:rPr>
          <w:rFonts w:ascii="Times New Roman" w:hAnsi="Times New Roman"/>
          <w:sz w:val="20"/>
        </w:rPr>
        <w:t xml:space="preserve"> </w:t>
      </w:r>
    </w:p>
    <w:p>
      <w:pPr>
        <w:pStyle w:val="TextBody"/>
        <w:spacing w:before="360" w:after="0"/>
        <w:jc w:val="left"/>
        <w:rPr>
          <w:rFonts w:ascii="Times New Roman" w:hAnsi="Times New Roman"/>
          <w:sz w:val="20"/>
        </w:rPr>
      </w:pPr>
      <w:bookmarkStart w:id="16" w:name="item_2_unregistered_sales_equity_securit"/>
      <w:bookmarkEnd w:id="16"/>
      <w:r>
        <w:rPr>
          <w:rFonts w:ascii="Times New Roman;serif" w:hAnsi="Times New Roman;serif"/>
          <w:b/>
          <w:sz w:val="20"/>
        </w:rPr>
        <w:t>Item 2. Unregistered Sales of Equity Securities and Use of Proceeds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spacing w:before="360" w:after="0"/>
        <w:jc w:val="left"/>
        <w:rPr>
          <w:rFonts w:ascii="Times New Roman" w:hAnsi="Times New Roman"/>
          <w:sz w:val="20"/>
        </w:rPr>
      </w:pPr>
      <w:bookmarkStart w:id="17" w:name="item_3_defaults_upon_senior_securities"/>
      <w:bookmarkEnd w:id="17"/>
      <w:r>
        <w:rPr>
          <w:rFonts w:ascii="Times New Roman;serif" w:hAnsi="Times New Roman;serif"/>
          <w:b/>
          <w:sz w:val="20"/>
        </w:rPr>
        <w:t>Item 3. Defaults Upon Senior Securities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spacing w:before="360" w:after="0"/>
        <w:jc w:val="left"/>
        <w:rPr>
          <w:rFonts w:ascii="Times New Roman" w:hAnsi="Times New Roman"/>
          <w:sz w:val="20"/>
        </w:rPr>
      </w:pPr>
      <w:bookmarkStart w:id="18" w:name="item_4_mine_safety_disclosures"/>
      <w:bookmarkEnd w:id="18"/>
      <w:r>
        <w:rPr>
          <w:rFonts w:ascii="Times New Roman;serif" w:hAnsi="Times New Roman;serif"/>
          <w:b/>
          <w:sz w:val="20"/>
        </w:rPr>
        <w:t>Item 4. Mine Safety Disclosures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spacing w:before="360" w:after="240"/>
        <w:jc w:val="left"/>
        <w:rPr>
          <w:rFonts w:ascii="Times New Roman" w:hAnsi="Times New Roman"/>
          <w:sz w:val="20"/>
        </w:rPr>
      </w:pPr>
      <w:bookmarkStart w:id="19" w:name="item_5_or_information"/>
      <w:bookmarkEnd w:id="19"/>
      <w:r>
        <w:rPr>
          <w:rFonts w:ascii="Times New Roman;serif" w:hAnsi="Times New Roman;serif"/>
          <w:b/>
          <w:sz w:val="20"/>
        </w:rPr>
        <w:t>Item 5. Other Information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360" w:after="240"/>
        <w:jc w:val="left"/>
        <w:rPr>
          <w:rFonts w:ascii="Times New Roman" w:hAnsi="Times New Roman"/>
          <w:sz w:val="20"/>
        </w:rPr>
      </w:pPr>
      <w:bookmarkStart w:id="20" w:name="item_6_exhibits"/>
      <w:bookmarkEnd w:id="20"/>
      <w:r>
        <w:rPr>
          <w:rFonts w:ascii="Times New Roman;serif" w:hAnsi="Times New Roman;serif"/>
          <w:b/>
          <w:sz w:val="20"/>
        </w:rPr>
        <w:t>Item 6. Exhibits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See the Exhibit Index on the page immediately preceding the exhibits for a list of exhibits filed as part of this Quarterly Report on Form 10-Q, which Exhibit Index is incorporated herein by reference.</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21" w:name="exhibit_index"/>
      <w:bookmarkEnd w:id="21"/>
      <w:r>
        <w:rPr>
          <w:rFonts w:ascii="Times New Roman;serif" w:hAnsi="Times New Roman;serif"/>
          <w:b/>
          <w:sz w:val="20"/>
        </w:rPr>
        <w:t>EXHIBIT</w:t>
      </w:r>
      <w:r>
        <w:rPr>
          <w:rFonts w:ascii="Times New Roman" w:hAnsi="Times New Roman"/>
          <w:sz w:val="20"/>
        </w:rPr>
        <w:t xml:space="preserve"> </w:t>
      </w:r>
      <w:r>
        <w:rPr>
          <w:rFonts w:ascii="Times New Roman;serif" w:hAnsi="Times New Roman;serif"/>
          <w:b/>
          <w:sz w:val="20"/>
        </w:rPr>
        <w:t>INDEX</w:t>
      </w:r>
    </w:p>
    <w:tbl>
      <w:tblPr>
        <w:tblW w:w="10205" w:type="dxa"/>
        <w:jc w:val="left"/>
        <w:tblInd w:w="0" w:type="dxa"/>
        <w:tblCellMar>
          <w:top w:w="28" w:type="dxa"/>
          <w:left w:w="28" w:type="dxa"/>
          <w:bottom w:w="28" w:type="dxa"/>
          <w:right w:w="28" w:type="dxa"/>
        </w:tblCellMar>
      </w:tblPr>
      <w:tblGrid>
        <w:gridCol w:w="756"/>
        <w:gridCol w:w="266"/>
        <w:gridCol w:w="5203"/>
        <w:gridCol w:w="146"/>
        <w:gridCol w:w="991"/>
        <w:gridCol w:w="146"/>
        <w:gridCol w:w="646"/>
        <w:gridCol w:w="226"/>
        <w:gridCol w:w="771"/>
        <w:gridCol w:w="186"/>
        <w:gridCol w:w="868"/>
      </w:tblGrid>
      <w:tr>
        <w:trPr/>
        <w:tc>
          <w:tcPr>
            <w:tcW w:w="756" w:type="dxa"/>
            <w:tcBorders/>
            <w:shd w:fill="FFFFFF" w:val="clear"/>
            <w:vAlign w:val="center"/>
          </w:tcPr>
          <w:p>
            <w:pPr>
              <w:pStyle w:val="TableContents"/>
              <w:spacing w:before="0" w:after="283"/>
              <w:rPr>
                <w:sz w:val="4"/>
                <w:szCs w:val="4"/>
              </w:rPr>
            </w:pPr>
            <w:r>
              <w:rPr>
                <w:sz w:val="4"/>
                <w:szCs w:val="4"/>
              </w:rPr>
            </w:r>
          </w:p>
        </w:tc>
        <w:tc>
          <w:tcPr>
            <w:tcW w:w="266" w:type="dxa"/>
            <w:tcBorders/>
            <w:shd w:fill="FFFFFF" w:val="clear"/>
            <w:vAlign w:val="center"/>
          </w:tcPr>
          <w:p>
            <w:pPr>
              <w:pStyle w:val="TableContents"/>
              <w:spacing w:before="0" w:after="283"/>
              <w:rPr>
                <w:sz w:val="4"/>
                <w:szCs w:val="4"/>
              </w:rPr>
            </w:pPr>
            <w:r>
              <w:rPr>
                <w:sz w:val="4"/>
                <w:szCs w:val="4"/>
              </w:rPr>
            </w:r>
          </w:p>
        </w:tc>
        <w:tc>
          <w:tcPr>
            <w:tcW w:w="5203"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99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646" w:type="dxa"/>
            <w:tcBorders/>
            <w:shd w:fill="FFFFFF" w:val="clear"/>
            <w:vAlign w:val="center"/>
          </w:tcPr>
          <w:p>
            <w:pPr>
              <w:pStyle w:val="TableContents"/>
              <w:spacing w:before="0" w:after="283"/>
              <w:rPr>
                <w:sz w:val="4"/>
                <w:szCs w:val="4"/>
              </w:rPr>
            </w:pPr>
            <w:r>
              <w:rPr>
                <w:sz w:val="4"/>
                <w:szCs w:val="4"/>
              </w:rPr>
            </w:r>
          </w:p>
        </w:tc>
        <w:tc>
          <w:tcPr>
            <w:tcW w:w="226" w:type="dxa"/>
            <w:tcBorders/>
            <w:shd w:fill="FFFFFF" w:val="clear"/>
            <w:vAlign w:val="center"/>
          </w:tcPr>
          <w:p>
            <w:pPr>
              <w:pStyle w:val="TableContents"/>
              <w:spacing w:before="0" w:after="283"/>
              <w:rPr>
                <w:sz w:val="4"/>
                <w:szCs w:val="4"/>
              </w:rPr>
            </w:pPr>
            <w:r>
              <w:rPr>
                <w:sz w:val="4"/>
                <w:szCs w:val="4"/>
              </w:rPr>
            </w:r>
          </w:p>
        </w:tc>
        <w:tc>
          <w:tcPr>
            <w:tcW w:w="771" w:type="dxa"/>
            <w:tcBorders/>
            <w:shd w:fill="FFFFFF" w:val="clear"/>
            <w:vAlign w:val="center"/>
          </w:tcPr>
          <w:p>
            <w:pPr>
              <w:pStyle w:val="TableContents"/>
              <w:spacing w:before="0" w:after="283"/>
              <w:rPr>
                <w:sz w:val="4"/>
                <w:szCs w:val="4"/>
              </w:rPr>
            </w:pPr>
            <w:r>
              <w:rPr>
                <w:sz w:val="4"/>
                <w:szCs w:val="4"/>
              </w:rPr>
            </w:r>
          </w:p>
        </w:tc>
        <w:tc>
          <w:tcPr>
            <w:tcW w:w="186" w:type="dxa"/>
            <w:tcBorders/>
            <w:shd w:fill="FFFFFF" w:val="clear"/>
            <w:vAlign w:val="center"/>
          </w:tcPr>
          <w:p>
            <w:pPr>
              <w:pStyle w:val="TableContents"/>
              <w:spacing w:before="0" w:after="283"/>
              <w:rPr>
                <w:sz w:val="4"/>
                <w:szCs w:val="4"/>
              </w:rPr>
            </w:pPr>
            <w:r>
              <w:rPr>
                <w:sz w:val="4"/>
                <w:szCs w:val="4"/>
              </w:rPr>
            </w:r>
          </w:p>
        </w:tc>
        <w:tc>
          <w:tcPr>
            <w:tcW w:w="868" w:type="dxa"/>
            <w:tcBorders/>
            <w:shd w:fill="FFFFFF" w:val="clear"/>
            <w:vAlign w:val="center"/>
          </w:tcPr>
          <w:p>
            <w:pPr>
              <w:pStyle w:val="TableContents"/>
              <w:spacing w:before="0" w:after="283"/>
              <w:rPr>
                <w:sz w:val="4"/>
                <w:szCs w:val="4"/>
              </w:rPr>
            </w:pPr>
            <w:r>
              <w:rPr>
                <w:sz w:val="4"/>
                <w:szCs w:val="4"/>
              </w:rPr>
            </w:r>
          </w:p>
        </w:tc>
      </w:tr>
      <w:tr>
        <w:trPr/>
        <w:tc>
          <w:tcPr>
            <w:tcW w:w="756" w:type="dxa"/>
            <w:tcBorders/>
            <w:shd w:fill="auto" w:val="clear"/>
            <w:vAlign w:val="center"/>
          </w:tcPr>
          <w:p>
            <w:pPr>
              <w:pStyle w:val="TableContents"/>
              <w:spacing w:before="0" w:after="0"/>
              <w:ind w:left="0" w:right="0" w:hanging="0"/>
              <w:jc w:val="center"/>
              <w:rPr/>
            </w:pPr>
            <w:r>
              <w:rPr/>
              <w:t> </w:t>
            </w:r>
          </w:p>
        </w:tc>
        <w:tc>
          <w:tcPr>
            <w:tcW w:w="266" w:type="dxa"/>
            <w:tcBorders/>
            <w:shd w:fill="auto" w:val="clear"/>
            <w:vAlign w:val="center"/>
          </w:tcPr>
          <w:p>
            <w:pPr>
              <w:pStyle w:val="TableContents"/>
              <w:spacing w:before="0" w:after="0"/>
              <w:ind w:left="0" w:right="0" w:hanging="0"/>
              <w:jc w:val="center"/>
              <w:rPr/>
            </w:pPr>
            <w:r>
              <w:rPr/>
              <w:t> </w:t>
            </w:r>
          </w:p>
        </w:tc>
        <w:tc>
          <w:tcPr>
            <w:tcW w:w="520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834" w:type="dxa"/>
            <w:gridSpan w:val="7"/>
            <w:tcBorders>
              <w:bottom w:val="single" w:sz="4" w:space="0" w:color="000000"/>
            </w:tcBorders>
            <w:shd w:fill="auto" w:val="clear"/>
            <w:tcMar>
              <w:top w:w="0" w:type="dxa"/>
              <w:left w:w="0" w:type="dxa"/>
              <w:right w:w="0" w:type="dxa"/>
            </w:tcMar>
            <w:vAlign w:val="center"/>
          </w:tcPr>
          <w:p>
            <w:pPr>
              <w:pStyle w:val="TableContents"/>
              <w:spacing w:before="0" w:after="0"/>
              <w:ind w:left="0" w:right="40" w:hanging="0"/>
              <w:jc w:val="center"/>
              <w:rPr>
                <w:rFonts w:ascii="Times New Roman;serif" w:hAnsi="Times New Roman;serif"/>
                <w:b/>
                <w:sz w:val="16"/>
              </w:rPr>
            </w:pPr>
            <w:r>
              <w:rPr>
                <w:rFonts w:ascii="Times New Roman;serif" w:hAnsi="Times New Roman;serif"/>
                <w:b/>
                <w:sz w:val="16"/>
              </w:rPr>
              <w:t>Incorporated by Reference from</w:t>
            </w:r>
          </w:p>
        </w:tc>
      </w:tr>
      <w:tr>
        <w:trPr/>
        <w:tc>
          <w:tcPr>
            <w:tcW w:w="7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Description of Document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Registrant’s</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Form</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Date Filed</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with the SEC</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80" w:hanging="0"/>
              <w:jc w:val="center"/>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80" w:hanging="0"/>
              <w:jc w:val="center"/>
              <w:rPr>
                <w:rFonts w:ascii="Times New Roman;serif" w:hAnsi="Times New Roman;serif"/>
                <w:b/>
                <w:sz w:val="16"/>
              </w:rPr>
            </w:pPr>
            <w:r>
              <w:rPr>
                <w:rFonts w:ascii="Times New Roman;serif" w:hAnsi="Times New Roman;serif"/>
                <w:b/>
                <w:sz w:val="16"/>
              </w:rPr>
              <w:t>Exhibit</w:t>
            </w:r>
          </w:p>
          <w:p>
            <w:pPr>
              <w:pStyle w:val="TableContents"/>
              <w:spacing w:before="0" w:after="0"/>
              <w:ind w:left="0" w:right="80" w:hanging="0"/>
              <w:jc w:val="center"/>
              <w:rPr>
                <w:rFonts w:ascii="Times New Roman;serif" w:hAnsi="Times New Roman;serif"/>
                <w:b/>
                <w:sz w:val="16"/>
              </w:rPr>
            </w:pPr>
            <w:r>
              <w:rPr>
                <w:rFonts w:ascii="Times New Roman;serif" w:hAnsi="Times New Roman;serif"/>
                <w:b/>
                <w:sz w:val="16"/>
              </w:rPr>
              <w:t>Number</w:t>
            </w:r>
          </w:p>
        </w:tc>
        <w:tc>
          <w:tcPr>
            <w:tcW w:w="186" w:type="dxa"/>
            <w:tcBorders>
              <w:bottom w:val="single" w:sz="4" w:space="0" w:color="000000"/>
            </w:tcBorders>
            <w:shd w:fill="auto" w:val="clear"/>
            <w:tcMar>
              <w:top w:w="0" w:type="dxa"/>
              <w:left w:w="0" w:type="dxa"/>
              <w:right w:w="0" w:type="dxa"/>
            </w:tcMar>
            <w:vAlign w:val="center"/>
          </w:tcPr>
          <w:p>
            <w:pPr>
              <w:pStyle w:val="TableContents"/>
              <w:spacing w:before="0" w:after="0"/>
              <w:ind w:left="0" w:right="40" w:hanging="0"/>
              <w:jc w:val="center"/>
              <w:rPr/>
            </w:pPr>
            <w:r>
              <w:rPr/>
              <w:t> </w:t>
            </w:r>
          </w:p>
        </w:tc>
        <w:tc>
          <w:tcPr>
            <w:tcW w:w="868" w:type="dxa"/>
            <w:tcBorders>
              <w:bottom w:val="single" w:sz="4" w:space="0" w:color="000000"/>
            </w:tcBorders>
            <w:shd w:fill="auto" w:val="clear"/>
            <w:tcMar>
              <w:top w:w="0" w:type="dxa"/>
              <w:left w:w="0" w:type="dxa"/>
              <w:right w:w="0" w:type="dxa"/>
            </w:tcMar>
            <w:vAlign w:val="center"/>
          </w:tcPr>
          <w:p>
            <w:pPr>
              <w:pStyle w:val="TableContents"/>
              <w:spacing w:before="0" w:after="0"/>
              <w:ind w:left="0" w:right="40" w:hanging="0"/>
              <w:jc w:val="center"/>
              <w:rPr>
                <w:rFonts w:ascii="Times New Roman;serif" w:hAnsi="Times New Roman;serif"/>
                <w:b/>
                <w:sz w:val="16"/>
              </w:rPr>
            </w:pPr>
            <w:r>
              <w:rPr>
                <w:rFonts w:ascii="Times New Roman;serif" w:hAnsi="Times New Roman;serif"/>
                <w:b/>
                <w:sz w:val="16"/>
              </w:rPr>
              <w:t>Filed</w:t>
            </w:r>
          </w:p>
          <w:p>
            <w:pPr>
              <w:pStyle w:val="TableContents"/>
              <w:spacing w:before="0" w:after="0"/>
              <w:ind w:left="0" w:right="40" w:hanging="0"/>
              <w:jc w:val="center"/>
              <w:rPr>
                <w:rFonts w:ascii="Times New Roman;serif" w:hAnsi="Times New Roman;serif"/>
                <w:b/>
                <w:sz w:val="16"/>
              </w:rPr>
            </w:pPr>
            <w:r>
              <w:rPr>
                <w:rFonts w:ascii="Times New Roman;serif" w:hAnsi="Times New Roman;serif"/>
                <w:b/>
                <w:sz w:val="16"/>
              </w:rPr>
              <w:t>Herewith</w:t>
            </w:r>
          </w:p>
        </w:tc>
      </w:tr>
      <w:tr>
        <w:trPr/>
        <w:tc>
          <w:tcPr>
            <w:tcW w:w="756" w:type="dxa"/>
            <w:tcBorders/>
            <w:shd w:fill="auto" w:val="clear"/>
            <w:vAlign w:val="center"/>
          </w:tcPr>
          <w:p>
            <w:pPr>
              <w:pStyle w:val="TableContents"/>
              <w:spacing w:before="0" w:after="0"/>
              <w:ind w:left="0" w:right="0" w:hanging="0"/>
              <w:jc w:val="center"/>
              <w:rPr/>
            </w:pPr>
            <w:r>
              <w:rPr/>
              <w:t> </w:t>
            </w:r>
          </w:p>
        </w:tc>
        <w:tc>
          <w:tcPr>
            <w:tcW w:w="266" w:type="dxa"/>
            <w:tcBorders/>
            <w:shd w:fill="auto" w:val="clear"/>
            <w:vAlign w:val="center"/>
          </w:tcPr>
          <w:p>
            <w:pPr>
              <w:pStyle w:val="TableContents"/>
              <w:spacing w:before="0" w:after="0"/>
              <w:ind w:left="0" w:right="0" w:hanging="0"/>
              <w:jc w:val="center"/>
              <w:rPr/>
            </w:pPr>
            <w:r>
              <w:rPr/>
              <w:t> </w:t>
            </w:r>
          </w:p>
        </w:tc>
        <w:tc>
          <w:tcPr>
            <w:tcW w:w="520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46" w:type="dxa"/>
            <w:tcBorders/>
            <w:shd w:fill="auto" w:val="clear"/>
            <w:vAlign w:val="center"/>
          </w:tcPr>
          <w:p>
            <w:pPr>
              <w:pStyle w:val="TableContents"/>
              <w:spacing w:before="0" w:after="0"/>
              <w:ind w:left="0" w:right="0" w:hanging="0"/>
              <w:jc w:val="center"/>
              <w:rPr/>
            </w:pPr>
            <w:r>
              <w:rPr/>
              <w:t> </w:t>
            </w:r>
          </w:p>
        </w:tc>
        <w:tc>
          <w:tcPr>
            <w:tcW w:w="226" w:type="dxa"/>
            <w:tcBorders/>
            <w:shd w:fill="auto" w:val="clear"/>
            <w:vAlign w:val="center"/>
          </w:tcPr>
          <w:p>
            <w:pPr>
              <w:pStyle w:val="TableContents"/>
              <w:spacing w:before="0" w:after="0"/>
              <w:ind w:left="0" w:right="80" w:hanging="0"/>
              <w:jc w:val="center"/>
              <w:rPr/>
            </w:pPr>
            <w:r>
              <w:rPr/>
              <w:t> </w:t>
            </w:r>
          </w:p>
        </w:tc>
        <w:tc>
          <w:tcPr>
            <w:tcW w:w="771" w:type="dxa"/>
            <w:tcBorders/>
            <w:shd w:fill="auto" w:val="clear"/>
            <w:vAlign w:val="center"/>
          </w:tcPr>
          <w:p>
            <w:pPr>
              <w:pStyle w:val="TableContents"/>
              <w:spacing w:before="0" w:after="0"/>
              <w:ind w:left="0" w:right="80" w:hanging="0"/>
              <w:jc w:val="center"/>
              <w:rPr/>
            </w:pPr>
            <w:r>
              <w:rPr/>
              <w:t> </w:t>
            </w:r>
          </w:p>
        </w:tc>
        <w:tc>
          <w:tcPr>
            <w:tcW w:w="186" w:type="dxa"/>
            <w:tcBorders/>
            <w:shd w:fill="auto" w:val="clear"/>
            <w:vAlign w:val="center"/>
          </w:tcPr>
          <w:p>
            <w:pPr>
              <w:pStyle w:val="TableContents"/>
              <w:spacing w:before="0" w:after="0"/>
              <w:ind w:left="0" w:right="40" w:hanging="0"/>
              <w:jc w:val="center"/>
              <w:rPr/>
            </w:pPr>
            <w:r>
              <w:rPr/>
              <w:t> </w:t>
            </w:r>
          </w:p>
        </w:tc>
        <w:tc>
          <w:tcPr>
            <w:tcW w:w="868" w:type="dxa"/>
            <w:tcBorders/>
            <w:shd w:fill="auto" w:val="clear"/>
            <w:vAlign w:val="center"/>
          </w:tcPr>
          <w:p>
            <w:pPr>
              <w:pStyle w:val="TableContents"/>
              <w:spacing w:before="0" w:after="0"/>
              <w:ind w:left="0" w:right="0" w:firstLine="200"/>
              <w:jc w:val="center"/>
              <w:rPr/>
            </w:pPr>
            <w:r>
              <w:rPr/>
              <w:t> </w:t>
            </w:r>
          </w:p>
        </w:tc>
      </w:tr>
      <w:tr>
        <w:trPr/>
        <w:tc>
          <w:tcPr>
            <w:tcW w:w="756" w:type="dxa"/>
            <w:tcBorders/>
            <w:shd w:fill="auto" w:val="clear"/>
            <w:vAlign w:val="center"/>
          </w:tcPr>
          <w:p>
            <w:pPr>
              <w:pStyle w:val="TableContents"/>
              <w:spacing w:before="0" w:after="0"/>
              <w:ind w:left="200" w:right="0" w:hanging="0"/>
              <w:jc w:val="left"/>
              <w:rPr/>
            </w:pPr>
            <w:r>
              <w:rPr/>
              <w:t>  </w:t>
            </w:r>
            <w:r>
              <w:rPr>
                <w:rFonts w:ascii="Times New Roman;serif" w:hAnsi="Times New Roman;serif"/>
                <w:b w:val="false"/>
                <w:sz w:val="20"/>
              </w:rPr>
              <w:t>31.1</w:t>
            </w:r>
          </w:p>
        </w:tc>
        <w:tc>
          <w:tcPr>
            <w:tcW w:w="266" w:type="dxa"/>
            <w:tcBorders/>
            <w:shd w:fill="auto" w:val="clear"/>
            <w:vAlign w:val="center"/>
          </w:tcPr>
          <w:p>
            <w:pPr>
              <w:pStyle w:val="TableContents"/>
              <w:spacing w:before="0" w:after="0"/>
              <w:ind w:left="0" w:right="0" w:firstLine="115"/>
              <w:jc w:val="left"/>
              <w:rPr/>
            </w:pPr>
            <w:r>
              <w:rPr/>
              <w:t> </w:t>
            </w:r>
          </w:p>
        </w:tc>
        <w:tc>
          <w:tcPr>
            <w:tcW w:w="5203" w:type="dxa"/>
            <w:tcBorders/>
            <w:shd w:fill="auto" w:val="clear"/>
            <w:vAlign w:val="center"/>
          </w:tcPr>
          <w:p>
            <w:pPr>
              <w:pStyle w:val="TableContents"/>
              <w:spacing w:before="0" w:after="0"/>
              <w:ind w:left="0" w:right="0" w:firstLine="101"/>
              <w:jc w:val="left"/>
              <w:rPr/>
            </w:pPr>
            <w:hyperlink w:anchor="slno-ex31_1.htm">
              <w:r>
                <w:rPr>
                  <w:rStyle w:val="InternetLink"/>
                  <w:rFonts w:ascii="Times New Roman;serif" w:hAnsi="Times New Roman;serif"/>
                  <w:b w:val="false"/>
                  <w:sz w:val="20"/>
                  <w:u w:val="single"/>
                </w:rPr>
                <w:t>Certification of Principal Executive Officer Required Under Rule 13a-14(a) and 15d-14(a) of the Securities and Exchange Act of 1934, as amended</w:t>
              </w:r>
            </w:hyperlink>
            <w:hyperlink w:anchor="slno-ex31_1.htm">
              <w:r>
                <w:rPr>
                  <w:rStyle w:val="InternetLink"/>
                  <w:rFonts w:ascii="Times New Roman" w:hAnsi="Times New Roman"/>
                  <w:sz w:val="20"/>
                </w:rPr>
                <w:t xml:space="preserve"> </w:t>
              </w:r>
            </w:hyperlink>
          </w:p>
        </w:tc>
        <w:tc>
          <w:tcPr>
            <w:tcW w:w="146" w:type="dxa"/>
            <w:tcBorders/>
            <w:shd w:fill="auto" w:val="clear"/>
            <w:vAlign w:val="center"/>
          </w:tcPr>
          <w:p>
            <w:pPr>
              <w:pStyle w:val="TableContents"/>
              <w:spacing w:before="0" w:after="0"/>
              <w:ind w:left="101" w:right="0" w:hanging="0"/>
              <w:jc w:val="left"/>
              <w:rPr/>
            </w:pPr>
            <w:r>
              <w:rPr/>
              <w:t> </w:t>
            </w:r>
          </w:p>
        </w:tc>
        <w:tc>
          <w:tcPr>
            <w:tcW w:w="9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226"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283"/>
              <w:ind w:left="0" w:right="0" w:hanging="0"/>
              <w:rPr>
                <w:sz w:val="4"/>
                <w:szCs w:val="4"/>
              </w:rPr>
            </w:pPr>
            <w:r>
              <w:rPr>
                <w:sz w:val="4"/>
                <w:szCs w:val="4"/>
              </w:rPr>
            </w:r>
          </w:p>
        </w:tc>
        <w:tc>
          <w:tcPr>
            <w:tcW w:w="186"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firstLine="200"/>
              <w:jc w:val="center"/>
              <w:rPr>
                <w:rFonts w:ascii="Times New Roman;serif" w:hAnsi="Times New Roman;serif"/>
                <w:b w:val="false"/>
                <w:sz w:val="20"/>
              </w:rPr>
            </w:pPr>
            <w:r>
              <w:rPr>
                <w:rFonts w:ascii="Times New Roman;serif" w:hAnsi="Times New Roman;serif"/>
                <w:b w:val="false"/>
                <w:sz w:val="20"/>
              </w:rPr>
              <w:t>X</w:t>
            </w:r>
          </w:p>
        </w:tc>
      </w:tr>
      <w:tr>
        <w:trPr/>
        <w:tc>
          <w:tcPr>
            <w:tcW w:w="756" w:type="dxa"/>
            <w:tcBorders/>
            <w:shd w:fill="auto" w:val="clear"/>
            <w:vAlign w:val="center"/>
          </w:tcPr>
          <w:p>
            <w:pPr>
              <w:pStyle w:val="TableContents"/>
              <w:spacing w:before="0" w:after="0"/>
              <w:ind w:left="200" w:right="0" w:hanging="0"/>
              <w:jc w:val="left"/>
              <w:rPr/>
            </w:pPr>
            <w:r>
              <w:rPr/>
              <w:t> </w:t>
            </w:r>
          </w:p>
        </w:tc>
        <w:tc>
          <w:tcPr>
            <w:tcW w:w="266" w:type="dxa"/>
            <w:tcBorders/>
            <w:shd w:fill="auto" w:val="clear"/>
            <w:vAlign w:val="center"/>
          </w:tcPr>
          <w:p>
            <w:pPr>
              <w:pStyle w:val="TableContents"/>
              <w:spacing w:before="0" w:after="0"/>
              <w:ind w:left="0" w:right="0" w:firstLine="120"/>
              <w:jc w:val="left"/>
              <w:rPr/>
            </w:pPr>
            <w:r>
              <w:rPr/>
              <w:t> </w:t>
            </w:r>
          </w:p>
        </w:tc>
        <w:tc>
          <w:tcPr>
            <w:tcW w:w="5203" w:type="dxa"/>
            <w:tcBorders/>
            <w:shd w:fill="auto" w:val="clear"/>
            <w:vAlign w:val="center"/>
          </w:tcPr>
          <w:p>
            <w:pPr>
              <w:pStyle w:val="TableContents"/>
              <w:spacing w:before="0" w:after="0"/>
              <w:ind w:left="0" w:right="0" w:firstLine="101"/>
              <w:jc w:val="left"/>
              <w:rPr/>
            </w:pPr>
            <w:r>
              <w:rPr/>
              <w:t> </w:t>
            </w:r>
          </w:p>
        </w:tc>
        <w:tc>
          <w:tcPr>
            <w:tcW w:w="146" w:type="dxa"/>
            <w:tcBorders/>
            <w:shd w:fill="auto" w:val="clear"/>
            <w:vAlign w:val="center"/>
          </w:tcPr>
          <w:p>
            <w:pPr>
              <w:pStyle w:val="TableContents"/>
              <w:spacing w:before="0" w:after="0"/>
              <w:ind w:left="101" w:right="0" w:hanging="0"/>
              <w:jc w:val="left"/>
              <w:rPr/>
            </w:pPr>
            <w:r>
              <w:rPr/>
              <w:t> </w:t>
            </w:r>
          </w:p>
        </w:tc>
        <w:tc>
          <w:tcPr>
            <w:tcW w:w="9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firstLine="200"/>
              <w:jc w:val="center"/>
              <w:rPr/>
            </w:pPr>
            <w:r>
              <w:rPr/>
              <w:t> </w:t>
            </w:r>
          </w:p>
        </w:tc>
      </w:tr>
      <w:tr>
        <w:trPr/>
        <w:tc>
          <w:tcPr>
            <w:tcW w:w="756" w:type="dxa"/>
            <w:tcBorders/>
            <w:shd w:fill="auto" w:val="clear"/>
            <w:vAlign w:val="center"/>
          </w:tcPr>
          <w:p>
            <w:pPr>
              <w:pStyle w:val="TableContents"/>
              <w:spacing w:before="0" w:after="0"/>
              <w:ind w:left="200" w:right="0" w:hanging="0"/>
              <w:jc w:val="left"/>
              <w:rPr/>
            </w:pPr>
            <w:r>
              <w:rPr/>
              <w:t>  </w:t>
            </w:r>
            <w:r>
              <w:rPr>
                <w:rFonts w:ascii="Times New Roman;serif" w:hAnsi="Times New Roman;serif"/>
                <w:b w:val="false"/>
                <w:sz w:val="20"/>
              </w:rPr>
              <w:t>31.2</w:t>
            </w:r>
          </w:p>
        </w:tc>
        <w:tc>
          <w:tcPr>
            <w:tcW w:w="266" w:type="dxa"/>
            <w:tcBorders/>
            <w:shd w:fill="auto" w:val="clear"/>
            <w:vAlign w:val="center"/>
          </w:tcPr>
          <w:p>
            <w:pPr>
              <w:pStyle w:val="TableContents"/>
              <w:spacing w:before="0" w:after="0"/>
              <w:ind w:left="0" w:right="0" w:firstLine="115"/>
              <w:jc w:val="left"/>
              <w:rPr/>
            </w:pPr>
            <w:r>
              <w:rPr/>
              <w:t> </w:t>
            </w:r>
          </w:p>
        </w:tc>
        <w:tc>
          <w:tcPr>
            <w:tcW w:w="5203" w:type="dxa"/>
            <w:tcBorders/>
            <w:shd w:fill="auto" w:val="clear"/>
            <w:vAlign w:val="center"/>
          </w:tcPr>
          <w:p>
            <w:pPr>
              <w:pStyle w:val="TableContents"/>
              <w:spacing w:before="0" w:after="0"/>
              <w:ind w:left="0" w:right="0" w:firstLine="101"/>
              <w:jc w:val="left"/>
              <w:rPr/>
            </w:pPr>
            <w:hyperlink w:anchor="slno-ex31_2.htm">
              <w:r>
                <w:rPr>
                  <w:rStyle w:val="InternetLink"/>
                  <w:rFonts w:ascii="Times New Roman;serif" w:hAnsi="Times New Roman;serif"/>
                  <w:b w:val="false"/>
                  <w:sz w:val="20"/>
                  <w:u w:val="single"/>
                </w:rPr>
                <w:t>Certification of Principal Financial and Accounting Officer Required Under Rule 13a-14(a) and 15d-14(a) of the Securities and Exchange Act of 1934, as amended</w:t>
              </w:r>
            </w:hyperlink>
            <w:hyperlink w:anchor="slno-ex31_2.htm">
              <w:r>
                <w:rPr>
                  <w:rStyle w:val="InternetLink"/>
                  <w:rFonts w:ascii="Times New Roman" w:hAnsi="Times New Roman"/>
                  <w:sz w:val="20"/>
                </w:rPr>
                <w:t xml:space="preserve"> </w:t>
              </w:r>
            </w:hyperlink>
          </w:p>
        </w:tc>
        <w:tc>
          <w:tcPr>
            <w:tcW w:w="146" w:type="dxa"/>
            <w:tcBorders/>
            <w:shd w:fill="auto" w:val="clear"/>
            <w:vAlign w:val="center"/>
          </w:tcPr>
          <w:p>
            <w:pPr>
              <w:pStyle w:val="TableContents"/>
              <w:spacing w:before="0" w:after="0"/>
              <w:ind w:left="101" w:right="0" w:hanging="0"/>
              <w:jc w:val="left"/>
              <w:rPr/>
            </w:pPr>
            <w:r>
              <w:rPr/>
              <w:t> </w:t>
            </w:r>
          </w:p>
        </w:tc>
        <w:tc>
          <w:tcPr>
            <w:tcW w:w="9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226"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283"/>
              <w:ind w:left="0" w:right="0" w:hanging="0"/>
              <w:rPr>
                <w:sz w:val="4"/>
                <w:szCs w:val="4"/>
              </w:rPr>
            </w:pPr>
            <w:r>
              <w:rPr>
                <w:sz w:val="4"/>
                <w:szCs w:val="4"/>
              </w:rPr>
            </w:r>
          </w:p>
        </w:tc>
        <w:tc>
          <w:tcPr>
            <w:tcW w:w="186"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firstLine="200"/>
              <w:jc w:val="center"/>
              <w:rPr>
                <w:rFonts w:ascii="Times New Roman;serif" w:hAnsi="Times New Roman;serif"/>
                <w:b w:val="false"/>
                <w:sz w:val="20"/>
              </w:rPr>
            </w:pPr>
            <w:r>
              <w:rPr>
                <w:rFonts w:ascii="Times New Roman;serif" w:hAnsi="Times New Roman;serif"/>
                <w:b w:val="false"/>
                <w:sz w:val="20"/>
              </w:rPr>
              <w:t>X</w:t>
            </w:r>
          </w:p>
        </w:tc>
      </w:tr>
      <w:tr>
        <w:trPr/>
        <w:tc>
          <w:tcPr>
            <w:tcW w:w="756" w:type="dxa"/>
            <w:tcBorders/>
            <w:shd w:fill="auto" w:val="clear"/>
            <w:vAlign w:val="center"/>
          </w:tcPr>
          <w:p>
            <w:pPr>
              <w:pStyle w:val="TableContents"/>
              <w:spacing w:before="0" w:after="0"/>
              <w:ind w:left="200" w:right="0" w:hanging="0"/>
              <w:jc w:val="left"/>
              <w:rPr/>
            </w:pPr>
            <w:r>
              <w:rPr/>
              <w:t> </w:t>
            </w:r>
          </w:p>
        </w:tc>
        <w:tc>
          <w:tcPr>
            <w:tcW w:w="266" w:type="dxa"/>
            <w:tcBorders/>
            <w:shd w:fill="auto" w:val="clear"/>
            <w:vAlign w:val="center"/>
          </w:tcPr>
          <w:p>
            <w:pPr>
              <w:pStyle w:val="TableContents"/>
              <w:spacing w:before="0" w:after="0"/>
              <w:ind w:left="0" w:right="0" w:firstLine="120"/>
              <w:jc w:val="left"/>
              <w:rPr/>
            </w:pPr>
            <w:r>
              <w:rPr/>
              <w:t> </w:t>
            </w:r>
          </w:p>
        </w:tc>
        <w:tc>
          <w:tcPr>
            <w:tcW w:w="5203" w:type="dxa"/>
            <w:tcBorders/>
            <w:shd w:fill="auto" w:val="clear"/>
            <w:vAlign w:val="center"/>
          </w:tcPr>
          <w:p>
            <w:pPr>
              <w:pStyle w:val="TableContents"/>
              <w:spacing w:before="0" w:after="0"/>
              <w:ind w:left="0" w:right="0" w:firstLine="101"/>
              <w:jc w:val="left"/>
              <w:rPr/>
            </w:pPr>
            <w:r>
              <w:rPr/>
              <w:t> </w:t>
            </w:r>
          </w:p>
        </w:tc>
        <w:tc>
          <w:tcPr>
            <w:tcW w:w="146" w:type="dxa"/>
            <w:tcBorders/>
            <w:shd w:fill="auto" w:val="clear"/>
            <w:vAlign w:val="center"/>
          </w:tcPr>
          <w:p>
            <w:pPr>
              <w:pStyle w:val="TableContents"/>
              <w:spacing w:before="0" w:after="0"/>
              <w:ind w:left="101" w:right="0" w:hanging="0"/>
              <w:jc w:val="left"/>
              <w:rPr/>
            </w:pPr>
            <w:r>
              <w:rPr/>
              <w:t> </w:t>
            </w:r>
          </w:p>
        </w:tc>
        <w:tc>
          <w:tcPr>
            <w:tcW w:w="9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firstLine="200"/>
              <w:jc w:val="center"/>
              <w:rPr/>
            </w:pPr>
            <w:r>
              <w:rPr/>
              <w:t> </w:t>
            </w:r>
          </w:p>
        </w:tc>
      </w:tr>
      <w:tr>
        <w:trPr/>
        <w:tc>
          <w:tcPr>
            <w:tcW w:w="756" w:type="dxa"/>
            <w:tcBorders/>
            <w:shd w:fill="auto" w:val="clear"/>
            <w:vAlign w:val="center"/>
          </w:tcPr>
          <w:p>
            <w:pPr>
              <w:pStyle w:val="TableContents"/>
              <w:spacing w:before="0" w:after="0"/>
              <w:ind w:left="200" w:right="0" w:hanging="0"/>
              <w:jc w:val="left"/>
              <w:rPr/>
            </w:pPr>
            <w:r>
              <w:rPr/>
              <w:t>  </w:t>
            </w:r>
            <w:r>
              <w:rPr>
                <w:rFonts w:ascii="Times New Roman;serif" w:hAnsi="Times New Roman;serif"/>
                <w:b w:val="false"/>
                <w:sz w:val="20"/>
              </w:rPr>
              <w:t>32.1</w:t>
            </w:r>
          </w:p>
        </w:tc>
        <w:tc>
          <w:tcPr>
            <w:tcW w:w="266" w:type="dxa"/>
            <w:tcBorders/>
            <w:shd w:fill="auto" w:val="clear"/>
            <w:vAlign w:val="center"/>
          </w:tcPr>
          <w:p>
            <w:pPr>
              <w:pStyle w:val="TableContents"/>
              <w:spacing w:before="0" w:after="0"/>
              <w:ind w:left="0" w:right="0" w:firstLine="120"/>
              <w:jc w:val="left"/>
              <w:rPr/>
            </w:pPr>
            <w:r>
              <w:rPr/>
              <w:t> </w:t>
            </w:r>
          </w:p>
        </w:tc>
        <w:tc>
          <w:tcPr>
            <w:tcW w:w="5203" w:type="dxa"/>
            <w:tcBorders/>
            <w:shd w:fill="auto" w:val="clear"/>
            <w:vAlign w:val="center"/>
          </w:tcPr>
          <w:p>
            <w:pPr>
              <w:pStyle w:val="TableContents"/>
              <w:spacing w:before="0" w:after="0"/>
              <w:ind w:left="0" w:right="0" w:firstLine="101"/>
              <w:jc w:val="left"/>
              <w:rPr/>
            </w:pPr>
            <w:hyperlink w:anchor="slno-ex32_1.htm">
              <w:r>
                <w:rPr>
                  <w:rStyle w:val="InternetLink"/>
                  <w:rFonts w:ascii="Times New Roman;serif" w:hAnsi="Times New Roman;serif"/>
                  <w:b w:val="false"/>
                  <w:sz w:val="20"/>
                  <w:u w:val="single"/>
                </w:rPr>
                <w:t>Certification of Principal Executive Officer Required Under Rule 13a-14(b) of the Securities and Exchange Act of 1934, as amended, and 18 U.S.C. §1350</w:t>
              </w:r>
            </w:hyperlink>
            <w:hyperlink w:anchor="slno-ex32_1.htm">
              <w:r>
                <w:rPr>
                  <w:rStyle w:val="InternetLink"/>
                  <w:rFonts w:ascii="Times New Roman" w:hAnsi="Times New Roman"/>
                  <w:sz w:val="20"/>
                </w:rPr>
                <w:t xml:space="preserve"> </w:t>
              </w:r>
            </w:hyperlink>
          </w:p>
        </w:tc>
        <w:tc>
          <w:tcPr>
            <w:tcW w:w="146" w:type="dxa"/>
            <w:tcBorders/>
            <w:shd w:fill="auto" w:val="clear"/>
            <w:vAlign w:val="center"/>
          </w:tcPr>
          <w:p>
            <w:pPr>
              <w:pStyle w:val="TableContents"/>
              <w:spacing w:before="0" w:after="0"/>
              <w:ind w:left="101" w:right="0" w:hanging="0"/>
              <w:jc w:val="left"/>
              <w:rPr/>
            </w:pPr>
            <w:r>
              <w:rPr/>
              <w:t> </w:t>
            </w:r>
          </w:p>
        </w:tc>
        <w:tc>
          <w:tcPr>
            <w:tcW w:w="9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226"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283"/>
              <w:ind w:left="0" w:right="0" w:hanging="0"/>
              <w:rPr>
                <w:sz w:val="4"/>
                <w:szCs w:val="4"/>
              </w:rPr>
            </w:pPr>
            <w:r>
              <w:rPr>
                <w:sz w:val="4"/>
                <w:szCs w:val="4"/>
              </w:rPr>
            </w:r>
          </w:p>
        </w:tc>
        <w:tc>
          <w:tcPr>
            <w:tcW w:w="186"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firstLine="200"/>
              <w:jc w:val="center"/>
              <w:rPr>
                <w:rFonts w:ascii="Times New Roman;serif" w:hAnsi="Times New Roman;serif"/>
                <w:b w:val="false"/>
                <w:sz w:val="20"/>
              </w:rPr>
            </w:pPr>
            <w:r>
              <w:rPr>
                <w:rFonts w:ascii="Times New Roman;serif" w:hAnsi="Times New Roman;serif"/>
                <w:b w:val="false"/>
                <w:sz w:val="20"/>
              </w:rPr>
              <w:t>X</w:t>
            </w:r>
          </w:p>
        </w:tc>
      </w:tr>
      <w:tr>
        <w:trPr/>
        <w:tc>
          <w:tcPr>
            <w:tcW w:w="756" w:type="dxa"/>
            <w:tcBorders/>
            <w:shd w:fill="auto" w:val="clear"/>
            <w:vAlign w:val="center"/>
          </w:tcPr>
          <w:p>
            <w:pPr>
              <w:pStyle w:val="TableContents"/>
              <w:spacing w:before="0" w:after="0"/>
              <w:ind w:left="200" w:right="0" w:hanging="0"/>
              <w:jc w:val="left"/>
              <w:rPr/>
            </w:pPr>
            <w:r>
              <w:rPr/>
              <w:t> </w:t>
            </w:r>
          </w:p>
        </w:tc>
        <w:tc>
          <w:tcPr>
            <w:tcW w:w="266" w:type="dxa"/>
            <w:tcBorders/>
            <w:shd w:fill="auto" w:val="clear"/>
            <w:vAlign w:val="center"/>
          </w:tcPr>
          <w:p>
            <w:pPr>
              <w:pStyle w:val="TableContents"/>
              <w:spacing w:before="0" w:after="0"/>
              <w:ind w:left="0" w:right="0" w:firstLine="120"/>
              <w:jc w:val="left"/>
              <w:rPr/>
            </w:pPr>
            <w:r>
              <w:rPr/>
              <w:t> </w:t>
            </w:r>
          </w:p>
        </w:tc>
        <w:tc>
          <w:tcPr>
            <w:tcW w:w="5203" w:type="dxa"/>
            <w:tcBorders/>
            <w:shd w:fill="auto" w:val="clear"/>
            <w:vAlign w:val="center"/>
          </w:tcPr>
          <w:p>
            <w:pPr>
              <w:pStyle w:val="TableContents"/>
              <w:spacing w:before="0" w:after="0"/>
              <w:ind w:left="0" w:right="0" w:firstLine="101"/>
              <w:jc w:val="left"/>
              <w:rPr/>
            </w:pPr>
            <w:r>
              <w:rPr/>
              <w:t> </w:t>
            </w:r>
          </w:p>
        </w:tc>
        <w:tc>
          <w:tcPr>
            <w:tcW w:w="146" w:type="dxa"/>
            <w:tcBorders/>
            <w:shd w:fill="auto" w:val="clear"/>
            <w:vAlign w:val="center"/>
          </w:tcPr>
          <w:p>
            <w:pPr>
              <w:pStyle w:val="TableContents"/>
              <w:spacing w:before="0" w:after="0"/>
              <w:ind w:left="101" w:right="0" w:hanging="0"/>
              <w:jc w:val="left"/>
              <w:rPr/>
            </w:pPr>
            <w:r>
              <w:rPr/>
              <w:t> </w:t>
            </w:r>
          </w:p>
        </w:tc>
        <w:tc>
          <w:tcPr>
            <w:tcW w:w="9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firstLine="200"/>
              <w:jc w:val="center"/>
              <w:rPr/>
            </w:pPr>
            <w:r>
              <w:rPr/>
              <w:t> </w:t>
            </w:r>
          </w:p>
        </w:tc>
      </w:tr>
      <w:tr>
        <w:trPr/>
        <w:tc>
          <w:tcPr>
            <w:tcW w:w="756" w:type="dxa"/>
            <w:tcBorders/>
            <w:shd w:fill="auto" w:val="clear"/>
            <w:vAlign w:val="center"/>
          </w:tcPr>
          <w:p>
            <w:pPr>
              <w:pStyle w:val="TableContents"/>
              <w:spacing w:before="0" w:after="0"/>
              <w:ind w:left="200" w:right="0" w:hanging="0"/>
              <w:jc w:val="left"/>
              <w:rPr/>
            </w:pPr>
            <w:r>
              <w:rPr/>
              <w:t>  </w:t>
            </w:r>
            <w:r>
              <w:rPr>
                <w:rFonts w:ascii="Times New Roman;serif" w:hAnsi="Times New Roman;serif"/>
                <w:b w:val="false"/>
                <w:sz w:val="20"/>
              </w:rPr>
              <w:t>32.2</w:t>
            </w:r>
          </w:p>
        </w:tc>
        <w:tc>
          <w:tcPr>
            <w:tcW w:w="266" w:type="dxa"/>
            <w:tcBorders/>
            <w:shd w:fill="auto" w:val="clear"/>
            <w:vAlign w:val="center"/>
          </w:tcPr>
          <w:p>
            <w:pPr>
              <w:pStyle w:val="TableContents"/>
              <w:spacing w:before="0" w:after="0"/>
              <w:ind w:left="0" w:right="0" w:firstLine="120"/>
              <w:jc w:val="left"/>
              <w:rPr/>
            </w:pPr>
            <w:r>
              <w:rPr/>
              <w:t> </w:t>
            </w:r>
          </w:p>
        </w:tc>
        <w:tc>
          <w:tcPr>
            <w:tcW w:w="5203" w:type="dxa"/>
            <w:tcBorders/>
            <w:shd w:fill="auto" w:val="clear"/>
            <w:vAlign w:val="center"/>
          </w:tcPr>
          <w:p>
            <w:pPr>
              <w:pStyle w:val="TableContents"/>
              <w:spacing w:before="0" w:after="0"/>
              <w:ind w:left="0" w:right="0" w:firstLine="101"/>
              <w:jc w:val="left"/>
              <w:rPr/>
            </w:pPr>
            <w:hyperlink w:anchor="slno-ex32_2.htm">
              <w:r>
                <w:rPr>
                  <w:rStyle w:val="InternetLink"/>
                  <w:rFonts w:ascii="Times New Roman;serif" w:hAnsi="Times New Roman;serif"/>
                  <w:b w:val="false"/>
                  <w:sz w:val="20"/>
                  <w:u w:val="single"/>
                </w:rPr>
                <w:t>Certification of Principal Financial and Accounting Officer Required Under Rule 13a-14(b) of the Securities and Exchange Act of 1934, as amended, and 18 U.S.C. §1350</w:t>
              </w:r>
            </w:hyperlink>
            <w:hyperlink w:anchor="slno-ex32_2.htm">
              <w:r>
                <w:rPr>
                  <w:rStyle w:val="InternetLink"/>
                  <w:rFonts w:ascii="Times New Roman" w:hAnsi="Times New Roman"/>
                  <w:sz w:val="20"/>
                </w:rPr>
                <w:t xml:space="preserve"> </w:t>
              </w:r>
            </w:hyperlink>
          </w:p>
        </w:tc>
        <w:tc>
          <w:tcPr>
            <w:tcW w:w="146" w:type="dxa"/>
            <w:tcBorders/>
            <w:shd w:fill="auto" w:val="clear"/>
            <w:vAlign w:val="center"/>
          </w:tcPr>
          <w:p>
            <w:pPr>
              <w:pStyle w:val="TableContents"/>
              <w:spacing w:before="0" w:after="0"/>
              <w:ind w:left="101" w:right="0" w:hanging="0"/>
              <w:jc w:val="left"/>
              <w:rPr/>
            </w:pPr>
            <w:r>
              <w:rPr/>
              <w:t> </w:t>
            </w:r>
          </w:p>
        </w:tc>
        <w:tc>
          <w:tcPr>
            <w:tcW w:w="9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226"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283"/>
              <w:ind w:left="0" w:right="0" w:hanging="0"/>
              <w:rPr>
                <w:sz w:val="4"/>
                <w:szCs w:val="4"/>
              </w:rPr>
            </w:pPr>
            <w:r>
              <w:rPr>
                <w:sz w:val="4"/>
                <w:szCs w:val="4"/>
              </w:rPr>
            </w:r>
          </w:p>
        </w:tc>
        <w:tc>
          <w:tcPr>
            <w:tcW w:w="186"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firstLine="200"/>
              <w:jc w:val="center"/>
              <w:rPr>
                <w:rFonts w:ascii="Times New Roman;serif" w:hAnsi="Times New Roman;serif"/>
                <w:b w:val="false"/>
                <w:sz w:val="20"/>
              </w:rPr>
            </w:pPr>
            <w:r>
              <w:rPr>
                <w:rFonts w:ascii="Times New Roman;serif" w:hAnsi="Times New Roman;serif"/>
                <w:b w:val="false"/>
                <w:sz w:val="20"/>
              </w:rPr>
              <w:t>X</w:t>
            </w:r>
          </w:p>
        </w:tc>
      </w:tr>
      <w:tr>
        <w:trPr/>
        <w:tc>
          <w:tcPr>
            <w:tcW w:w="756" w:type="dxa"/>
            <w:tcBorders/>
            <w:shd w:fill="auto" w:val="clear"/>
            <w:vAlign w:val="center"/>
          </w:tcPr>
          <w:p>
            <w:pPr>
              <w:pStyle w:val="TableContents"/>
              <w:spacing w:before="0" w:after="0"/>
              <w:ind w:left="200" w:right="0" w:hanging="0"/>
              <w:jc w:val="left"/>
              <w:rPr/>
            </w:pPr>
            <w:r>
              <w:rPr/>
              <w:t> </w:t>
            </w:r>
          </w:p>
        </w:tc>
        <w:tc>
          <w:tcPr>
            <w:tcW w:w="266" w:type="dxa"/>
            <w:tcBorders/>
            <w:shd w:fill="auto" w:val="clear"/>
            <w:vAlign w:val="center"/>
          </w:tcPr>
          <w:p>
            <w:pPr>
              <w:pStyle w:val="TableContents"/>
              <w:spacing w:before="0" w:after="0"/>
              <w:ind w:left="0" w:right="0" w:firstLine="120"/>
              <w:jc w:val="left"/>
              <w:rPr/>
            </w:pPr>
            <w:r>
              <w:rPr/>
              <w:t> </w:t>
            </w:r>
          </w:p>
        </w:tc>
        <w:tc>
          <w:tcPr>
            <w:tcW w:w="5203" w:type="dxa"/>
            <w:tcBorders/>
            <w:shd w:fill="auto" w:val="clear"/>
            <w:vAlign w:val="center"/>
          </w:tcPr>
          <w:p>
            <w:pPr>
              <w:pStyle w:val="TableContents"/>
              <w:spacing w:before="0" w:after="0"/>
              <w:ind w:left="0" w:right="0" w:firstLine="101"/>
              <w:jc w:val="left"/>
              <w:rPr/>
            </w:pPr>
            <w:r>
              <w:rPr/>
              <w:t> </w:t>
            </w:r>
          </w:p>
        </w:tc>
        <w:tc>
          <w:tcPr>
            <w:tcW w:w="146" w:type="dxa"/>
            <w:tcBorders/>
            <w:shd w:fill="auto" w:val="clear"/>
            <w:vAlign w:val="center"/>
          </w:tcPr>
          <w:p>
            <w:pPr>
              <w:pStyle w:val="TableContents"/>
              <w:spacing w:before="0" w:after="0"/>
              <w:ind w:left="101" w:right="0" w:hanging="0"/>
              <w:jc w:val="left"/>
              <w:rPr/>
            </w:pPr>
            <w:r>
              <w:rPr/>
              <w:t> </w:t>
            </w:r>
          </w:p>
        </w:tc>
        <w:tc>
          <w:tcPr>
            <w:tcW w:w="9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firstLine="200"/>
              <w:jc w:val="center"/>
              <w:rPr/>
            </w:pPr>
            <w:r>
              <w:rPr/>
              <w:t> </w:t>
            </w:r>
          </w:p>
        </w:tc>
      </w:tr>
      <w:tr>
        <w:trPr/>
        <w:tc>
          <w:tcPr>
            <w:tcW w:w="7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101.INS</w:t>
            </w:r>
          </w:p>
        </w:tc>
        <w:tc>
          <w:tcPr>
            <w:tcW w:w="266" w:type="dxa"/>
            <w:tcBorders/>
            <w:shd w:fill="auto" w:val="clear"/>
            <w:vAlign w:val="center"/>
          </w:tcPr>
          <w:p>
            <w:pPr>
              <w:pStyle w:val="TableContents"/>
              <w:spacing w:before="0" w:after="0"/>
              <w:ind w:left="0" w:right="0" w:firstLine="120"/>
              <w:jc w:val="left"/>
              <w:rPr/>
            </w:pPr>
            <w:r>
              <w:rPr/>
              <w:t> </w:t>
            </w:r>
          </w:p>
        </w:tc>
        <w:tc>
          <w:tcPr>
            <w:tcW w:w="5203" w:type="dxa"/>
            <w:tcBorders/>
            <w:shd w:fill="auto" w:val="clear"/>
            <w:vAlign w:val="center"/>
          </w:tcPr>
          <w:p>
            <w:pPr>
              <w:pStyle w:val="TableContents"/>
              <w:spacing w:before="0" w:after="0"/>
              <w:ind w:left="0" w:right="0" w:firstLine="101"/>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c>
          <w:tcPr>
            <w:tcW w:w="146" w:type="dxa"/>
            <w:tcBorders/>
            <w:shd w:fill="auto" w:val="clear"/>
            <w:vAlign w:val="center"/>
          </w:tcPr>
          <w:p>
            <w:pPr>
              <w:pStyle w:val="TableContents"/>
              <w:spacing w:before="0" w:after="0"/>
              <w:ind w:left="101" w:right="0" w:hanging="0"/>
              <w:jc w:val="left"/>
              <w:rPr/>
            </w:pPr>
            <w:r>
              <w:rPr/>
              <w:t> </w:t>
            </w:r>
          </w:p>
        </w:tc>
        <w:tc>
          <w:tcPr>
            <w:tcW w:w="9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226"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283"/>
              <w:ind w:left="0" w:right="0" w:hanging="0"/>
              <w:rPr>
                <w:sz w:val="4"/>
                <w:szCs w:val="4"/>
              </w:rPr>
            </w:pPr>
            <w:r>
              <w:rPr>
                <w:sz w:val="4"/>
                <w:szCs w:val="4"/>
              </w:rPr>
            </w:r>
          </w:p>
        </w:tc>
        <w:tc>
          <w:tcPr>
            <w:tcW w:w="186"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firstLine="200"/>
              <w:jc w:val="center"/>
              <w:rPr>
                <w:rFonts w:ascii="Times New Roman;serif" w:hAnsi="Times New Roman;serif"/>
                <w:b w:val="false"/>
                <w:sz w:val="20"/>
              </w:rPr>
            </w:pPr>
            <w:r>
              <w:rPr>
                <w:rFonts w:ascii="Times New Roman;serif" w:hAnsi="Times New Roman;serif"/>
                <w:b w:val="false"/>
                <w:sz w:val="20"/>
              </w:rPr>
              <w:t>X</w:t>
            </w:r>
          </w:p>
        </w:tc>
      </w:tr>
      <w:tr>
        <w:trPr/>
        <w:tc>
          <w:tcPr>
            <w:tcW w:w="756" w:type="dxa"/>
            <w:tcBorders/>
            <w:shd w:fill="auto" w:val="clear"/>
            <w:vAlign w:val="center"/>
          </w:tcPr>
          <w:p>
            <w:pPr>
              <w:pStyle w:val="TableContents"/>
              <w:spacing w:before="0" w:after="0"/>
              <w:ind w:left="200" w:right="0" w:hanging="0"/>
              <w:jc w:val="left"/>
              <w:rPr/>
            </w:pPr>
            <w:r>
              <w:rPr/>
              <w:t> </w:t>
            </w:r>
          </w:p>
        </w:tc>
        <w:tc>
          <w:tcPr>
            <w:tcW w:w="266" w:type="dxa"/>
            <w:tcBorders/>
            <w:shd w:fill="auto" w:val="clear"/>
            <w:vAlign w:val="center"/>
          </w:tcPr>
          <w:p>
            <w:pPr>
              <w:pStyle w:val="TableContents"/>
              <w:spacing w:before="0" w:after="0"/>
              <w:ind w:left="0" w:right="0" w:firstLine="120"/>
              <w:jc w:val="left"/>
              <w:rPr/>
            </w:pPr>
            <w:r>
              <w:rPr/>
              <w:t> </w:t>
            </w:r>
          </w:p>
        </w:tc>
        <w:tc>
          <w:tcPr>
            <w:tcW w:w="5203" w:type="dxa"/>
            <w:tcBorders/>
            <w:shd w:fill="auto" w:val="clear"/>
            <w:vAlign w:val="center"/>
          </w:tcPr>
          <w:p>
            <w:pPr>
              <w:pStyle w:val="TableContents"/>
              <w:spacing w:before="0" w:after="0"/>
              <w:ind w:left="0" w:right="0" w:firstLine="101"/>
              <w:jc w:val="left"/>
              <w:rPr/>
            </w:pPr>
            <w:r>
              <w:rPr/>
              <w:t> </w:t>
            </w:r>
          </w:p>
        </w:tc>
        <w:tc>
          <w:tcPr>
            <w:tcW w:w="146" w:type="dxa"/>
            <w:tcBorders/>
            <w:shd w:fill="auto" w:val="clear"/>
            <w:vAlign w:val="center"/>
          </w:tcPr>
          <w:p>
            <w:pPr>
              <w:pStyle w:val="TableContents"/>
              <w:spacing w:before="0" w:after="0"/>
              <w:ind w:left="101" w:right="0" w:hanging="0"/>
              <w:jc w:val="left"/>
              <w:rPr/>
            </w:pPr>
            <w:r>
              <w:rPr/>
              <w:t> </w:t>
            </w:r>
          </w:p>
        </w:tc>
        <w:tc>
          <w:tcPr>
            <w:tcW w:w="9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firstLine="200"/>
              <w:jc w:val="center"/>
              <w:rPr/>
            </w:pPr>
            <w:r>
              <w:rPr/>
              <w:t> </w:t>
            </w:r>
          </w:p>
        </w:tc>
      </w:tr>
      <w:tr>
        <w:trPr/>
        <w:tc>
          <w:tcPr>
            <w:tcW w:w="7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101.SCH</w:t>
            </w:r>
          </w:p>
        </w:tc>
        <w:tc>
          <w:tcPr>
            <w:tcW w:w="266" w:type="dxa"/>
            <w:tcBorders/>
            <w:shd w:fill="auto" w:val="clear"/>
            <w:vAlign w:val="center"/>
          </w:tcPr>
          <w:p>
            <w:pPr>
              <w:pStyle w:val="TableContents"/>
              <w:spacing w:before="0" w:after="0"/>
              <w:ind w:left="0" w:right="0" w:firstLine="120"/>
              <w:jc w:val="left"/>
              <w:rPr/>
            </w:pPr>
            <w:r>
              <w:rPr/>
              <w:t> </w:t>
            </w:r>
          </w:p>
        </w:tc>
        <w:tc>
          <w:tcPr>
            <w:tcW w:w="5203" w:type="dxa"/>
            <w:tcBorders/>
            <w:shd w:fill="auto" w:val="clear"/>
            <w:vAlign w:val="center"/>
          </w:tcPr>
          <w:p>
            <w:pPr>
              <w:pStyle w:val="TableContents"/>
              <w:spacing w:before="0" w:after="0"/>
              <w:ind w:left="0" w:right="0" w:firstLine="101"/>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146" w:type="dxa"/>
            <w:tcBorders/>
            <w:shd w:fill="auto" w:val="clear"/>
            <w:vAlign w:val="center"/>
          </w:tcPr>
          <w:p>
            <w:pPr>
              <w:pStyle w:val="TableContents"/>
              <w:spacing w:before="0" w:after="0"/>
              <w:ind w:left="101" w:right="0" w:hanging="0"/>
              <w:jc w:val="left"/>
              <w:rPr/>
            </w:pPr>
            <w:r>
              <w:rPr/>
              <w:t> </w:t>
            </w:r>
          </w:p>
        </w:tc>
        <w:tc>
          <w:tcPr>
            <w:tcW w:w="9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226"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283"/>
              <w:ind w:left="0" w:right="0" w:hanging="0"/>
              <w:rPr>
                <w:sz w:val="4"/>
                <w:szCs w:val="4"/>
              </w:rPr>
            </w:pPr>
            <w:r>
              <w:rPr>
                <w:sz w:val="4"/>
                <w:szCs w:val="4"/>
              </w:rPr>
            </w:r>
          </w:p>
        </w:tc>
        <w:tc>
          <w:tcPr>
            <w:tcW w:w="186"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firstLine="200"/>
              <w:jc w:val="center"/>
              <w:rPr>
                <w:rFonts w:ascii="Times New Roman;serif" w:hAnsi="Times New Roman;serif"/>
                <w:b w:val="false"/>
                <w:sz w:val="20"/>
              </w:rPr>
            </w:pPr>
            <w:r>
              <w:rPr>
                <w:rFonts w:ascii="Times New Roman;serif" w:hAnsi="Times New Roman;serif"/>
                <w:b w:val="false"/>
                <w:sz w:val="20"/>
              </w:rPr>
              <w:t>X</w:t>
            </w:r>
          </w:p>
        </w:tc>
      </w:tr>
      <w:tr>
        <w:trPr/>
        <w:tc>
          <w:tcPr>
            <w:tcW w:w="756" w:type="dxa"/>
            <w:tcBorders/>
            <w:shd w:fill="auto" w:val="clear"/>
            <w:vAlign w:val="center"/>
          </w:tcPr>
          <w:p>
            <w:pPr>
              <w:pStyle w:val="TableContents"/>
              <w:spacing w:before="0" w:after="0"/>
              <w:ind w:left="200" w:right="0" w:hanging="0"/>
              <w:jc w:val="left"/>
              <w:rPr/>
            </w:pPr>
            <w:r>
              <w:rPr/>
              <w:t> </w:t>
            </w:r>
          </w:p>
        </w:tc>
        <w:tc>
          <w:tcPr>
            <w:tcW w:w="266" w:type="dxa"/>
            <w:tcBorders/>
            <w:shd w:fill="auto" w:val="clear"/>
            <w:vAlign w:val="center"/>
          </w:tcPr>
          <w:p>
            <w:pPr>
              <w:pStyle w:val="TableContents"/>
              <w:spacing w:before="0" w:after="0"/>
              <w:ind w:left="0" w:right="0" w:firstLine="120"/>
              <w:jc w:val="left"/>
              <w:rPr/>
            </w:pPr>
            <w:r>
              <w:rPr/>
              <w:t> </w:t>
            </w:r>
          </w:p>
        </w:tc>
        <w:tc>
          <w:tcPr>
            <w:tcW w:w="5203" w:type="dxa"/>
            <w:tcBorders/>
            <w:shd w:fill="auto" w:val="clear"/>
            <w:vAlign w:val="center"/>
          </w:tcPr>
          <w:p>
            <w:pPr>
              <w:pStyle w:val="TableContents"/>
              <w:spacing w:before="0" w:after="0"/>
              <w:ind w:left="0" w:right="0" w:firstLine="101"/>
              <w:jc w:val="left"/>
              <w:rPr/>
            </w:pPr>
            <w:r>
              <w:rPr/>
              <w:t> </w:t>
            </w:r>
          </w:p>
        </w:tc>
        <w:tc>
          <w:tcPr>
            <w:tcW w:w="146" w:type="dxa"/>
            <w:tcBorders/>
            <w:shd w:fill="auto" w:val="clear"/>
            <w:vAlign w:val="center"/>
          </w:tcPr>
          <w:p>
            <w:pPr>
              <w:pStyle w:val="TableContents"/>
              <w:spacing w:before="0" w:after="0"/>
              <w:ind w:left="101" w:right="0" w:hanging="0"/>
              <w:jc w:val="left"/>
              <w:rPr/>
            </w:pPr>
            <w:r>
              <w:rPr/>
              <w:t> </w:t>
            </w:r>
          </w:p>
        </w:tc>
        <w:tc>
          <w:tcPr>
            <w:tcW w:w="9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firstLine="200"/>
              <w:jc w:val="center"/>
              <w:rPr/>
            </w:pPr>
            <w:r>
              <w:rPr/>
              <w:t> </w:t>
            </w:r>
          </w:p>
        </w:tc>
      </w:tr>
      <w:tr>
        <w:trPr/>
        <w:tc>
          <w:tcPr>
            <w:tcW w:w="7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101.CAL</w:t>
            </w:r>
          </w:p>
        </w:tc>
        <w:tc>
          <w:tcPr>
            <w:tcW w:w="266" w:type="dxa"/>
            <w:tcBorders/>
            <w:shd w:fill="auto" w:val="clear"/>
            <w:vAlign w:val="center"/>
          </w:tcPr>
          <w:p>
            <w:pPr>
              <w:pStyle w:val="TableContents"/>
              <w:spacing w:before="0" w:after="0"/>
              <w:ind w:left="0" w:right="0" w:firstLine="120"/>
              <w:jc w:val="left"/>
              <w:rPr/>
            </w:pPr>
            <w:r>
              <w:rPr/>
              <w:t> </w:t>
            </w:r>
          </w:p>
        </w:tc>
        <w:tc>
          <w:tcPr>
            <w:tcW w:w="5203" w:type="dxa"/>
            <w:tcBorders/>
            <w:shd w:fill="auto" w:val="clear"/>
            <w:vAlign w:val="center"/>
          </w:tcPr>
          <w:p>
            <w:pPr>
              <w:pStyle w:val="TableContents"/>
              <w:spacing w:before="0" w:after="0"/>
              <w:ind w:left="0" w:right="0" w:firstLine="101"/>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c>
          <w:tcPr>
            <w:tcW w:w="146" w:type="dxa"/>
            <w:tcBorders/>
            <w:shd w:fill="auto" w:val="clear"/>
            <w:vAlign w:val="center"/>
          </w:tcPr>
          <w:p>
            <w:pPr>
              <w:pStyle w:val="TableContents"/>
              <w:spacing w:before="0" w:after="0"/>
              <w:ind w:left="101" w:right="0" w:hanging="0"/>
              <w:jc w:val="left"/>
              <w:rPr/>
            </w:pPr>
            <w:r>
              <w:rPr/>
              <w:t> </w:t>
            </w:r>
          </w:p>
        </w:tc>
        <w:tc>
          <w:tcPr>
            <w:tcW w:w="9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226"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283"/>
              <w:ind w:left="0" w:right="0" w:hanging="0"/>
              <w:rPr>
                <w:sz w:val="4"/>
                <w:szCs w:val="4"/>
              </w:rPr>
            </w:pPr>
            <w:r>
              <w:rPr>
                <w:sz w:val="4"/>
                <w:szCs w:val="4"/>
              </w:rPr>
            </w:r>
          </w:p>
        </w:tc>
        <w:tc>
          <w:tcPr>
            <w:tcW w:w="186"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firstLine="200"/>
              <w:jc w:val="center"/>
              <w:rPr>
                <w:rFonts w:ascii="Times New Roman;serif" w:hAnsi="Times New Roman;serif"/>
                <w:b w:val="false"/>
                <w:sz w:val="20"/>
              </w:rPr>
            </w:pPr>
            <w:r>
              <w:rPr>
                <w:rFonts w:ascii="Times New Roman;serif" w:hAnsi="Times New Roman;serif"/>
                <w:b w:val="false"/>
                <w:sz w:val="20"/>
              </w:rPr>
              <w:t>X</w:t>
            </w:r>
          </w:p>
        </w:tc>
      </w:tr>
      <w:tr>
        <w:trPr/>
        <w:tc>
          <w:tcPr>
            <w:tcW w:w="756" w:type="dxa"/>
            <w:tcBorders/>
            <w:shd w:fill="auto" w:val="clear"/>
            <w:vAlign w:val="center"/>
          </w:tcPr>
          <w:p>
            <w:pPr>
              <w:pStyle w:val="TableContents"/>
              <w:spacing w:before="0" w:after="0"/>
              <w:ind w:left="200" w:right="0" w:hanging="0"/>
              <w:jc w:val="left"/>
              <w:rPr/>
            </w:pPr>
            <w:r>
              <w:rPr/>
              <w:t> </w:t>
            </w:r>
          </w:p>
        </w:tc>
        <w:tc>
          <w:tcPr>
            <w:tcW w:w="266" w:type="dxa"/>
            <w:tcBorders/>
            <w:shd w:fill="auto" w:val="clear"/>
            <w:vAlign w:val="center"/>
          </w:tcPr>
          <w:p>
            <w:pPr>
              <w:pStyle w:val="TableContents"/>
              <w:spacing w:before="0" w:after="0"/>
              <w:ind w:left="0" w:right="0" w:firstLine="120"/>
              <w:jc w:val="left"/>
              <w:rPr/>
            </w:pPr>
            <w:r>
              <w:rPr/>
              <w:t> </w:t>
            </w:r>
          </w:p>
        </w:tc>
        <w:tc>
          <w:tcPr>
            <w:tcW w:w="5203" w:type="dxa"/>
            <w:tcBorders/>
            <w:shd w:fill="auto" w:val="clear"/>
            <w:vAlign w:val="center"/>
          </w:tcPr>
          <w:p>
            <w:pPr>
              <w:pStyle w:val="TableContents"/>
              <w:spacing w:before="0" w:after="0"/>
              <w:ind w:left="0" w:right="0" w:firstLine="101"/>
              <w:jc w:val="left"/>
              <w:rPr/>
            </w:pPr>
            <w:r>
              <w:rPr/>
              <w:t> </w:t>
            </w:r>
          </w:p>
        </w:tc>
        <w:tc>
          <w:tcPr>
            <w:tcW w:w="146" w:type="dxa"/>
            <w:tcBorders/>
            <w:shd w:fill="auto" w:val="clear"/>
            <w:vAlign w:val="center"/>
          </w:tcPr>
          <w:p>
            <w:pPr>
              <w:pStyle w:val="TableContents"/>
              <w:spacing w:before="0" w:after="0"/>
              <w:ind w:left="101" w:right="0" w:hanging="0"/>
              <w:jc w:val="left"/>
              <w:rPr/>
            </w:pPr>
            <w:r>
              <w:rPr/>
              <w:t> </w:t>
            </w:r>
          </w:p>
        </w:tc>
        <w:tc>
          <w:tcPr>
            <w:tcW w:w="9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firstLine="200"/>
              <w:jc w:val="center"/>
              <w:rPr/>
            </w:pPr>
            <w:r>
              <w:rPr/>
              <w:t> </w:t>
            </w:r>
          </w:p>
        </w:tc>
      </w:tr>
      <w:tr>
        <w:trPr/>
        <w:tc>
          <w:tcPr>
            <w:tcW w:w="7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101.DEF</w:t>
            </w:r>
          </w:p>
        </w:tc>
        <w:tc>
          <w:tcPr>
            <w:tcW w:w="266" w:type="dxa"/>
            <w:tcBorders/>
            <w:shd w:fill="auto" w:val="clear"/>
            <w:vAlign w:val="center"/>
          </w:tcPr>
          <w:p>
            <w:pPr>
              <w:pStyle w:val="TableContents"/>
              <w:spacing w:before="0" w:after="0"/>
              <w:ind w:left="0" w:right="0" w:firstLine="120"/>
              <w:jc w:val="left"/>
              <w:rPr/>
            </w:pPr>
            <w:r>
              <w:rPr/>
              <w:t> </w:t>
            </w:r>
          </w:p>
        </w:tc>
        <w:tc>
          <w:tcPr>
            <w:tcW w:w="5203" w:type="dxa"/>
            <w:tcBorders/>
            <w:shd w:fill="auto" w:val="clear"/>
            <w:vAlign w:val="center"/>
          </w:tcPr>
          <w:p>
            <w:pPr>
              <w:pStyle w:val="TableContents"/>
              <w:spacing w:before="0" w:after="0"/>
              <w:ind w:left="0" w:right="0" w:firstLine="101"/>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146" w:type="dxa"/>
            <w:tcBorders/>
            <w:shd w:fill="auto" w:val="clear"/>
            <w:vAlign w:val="center"/>
          </w:tcPr>
          <w:p>
            <w:pPr>
              <w:pStyle w:val="TableContents"/>
              <w:spacing w:before="0" w:after="0"/>
              <w:ind w:left="101" w:right="0" w:hanging="0"/>
              <w:jc w:val="left"/>
              <w:rPr/>
            </w:pPr>
            <w:r>
              <w:rPr/>
              <w:t> </w:t>
            </w:r>
          </w:p>
        </w:tc>
        <w:tc>
          <w:tcPr>
            <w:tcW w:w="9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226"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283"/>
              <w:ind w:left="0" w:right="0" w:hanging="0"/>
              <w:rPr>
                <w:sz w:val="4"/>
                <w:szCs w:val="4"/>
              </w:rPr>
            </w:pPr>
            <w:r>
              <w:rPr>
                <w:sz w:val="4"/>
                <w:szCs w:val="4"/>
              </w:rPr>
            </w:r>
          </w:p>
        </w:tc>
        <w:tc>
          <w:tcPr>
            <w:tcW w:w="186"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firstLine="200"/>
              <w:jc w:val="center"/>
              <w:rPr>
                <w:rFonts w:ascii="Times New Roman;serif" w:hAnsi="Times New Roman;serif"/>
                <w:b w:val="false"/>
                <w:sz w:val="20"/>
              </w:rPr>
            </w:pPr>
            <w:r>
              <w:rPr>
                <w:rFonts w:ascii="Times New Roman;serif" w:hAnsi="Times New Roman;serif"/>
                <w:b w:val="false"/>
                <w:sz w:val="20"/>
              </w:rPr>
              <w:t>X</w:t>
            </w:r>
          </w:p>
        </w:tc>
      </w:tr>
      <w:tr>
        <w:trPr/>
        <w:tc>
          <w:tcPr>
            <w:tcW w:w="756" w:type="dxa"/>
            <w:tcBorders/>
            <w:shd w:fill="auto" w:val="clear"/>
            <w:vAlign w:val="center"/>
          </w:tcPr>
          <w:p>
            <w:pPr>
              <w:pStyle w:val="TableContents"/>
              <w:spacing w:before="0" w:after="0"/>
              <w:ind w:left="200" w:right="0" w:hanging="0"/>
              <w:jc w:val="left"/>
              <w:rPr/>
            </w:pPr>
            <w:r>
              <w:rPr/>
              <w:t> </w:t>
            </w:r>
          </w:p>
        </w:tc>
        <w:tc>
          <w:tcPr>
            <w:tcW w:w="266" w:type="dxa"/>
            <w:tcBorders/>
            <w:shd w:fill="auto" w:val="clear"/>
            <w:vAlign w:val="center"/>
          </w:tcPr>
          <w:p>
            <w:pPr>
              <w:pStyle w:val="TableContents"/>
              <w:spacing w:before="0" w:after="0"/>
              <w:ind w:left="0" w:right="0" w:firstLine="120"/>
              <w:jc w:val="left"/>
              <w:rPr/>
            </w:pPr>
            <w:r>
              <w:rPr/>
              <w:t> </w:t>
            </w:r>
          </w:p>
        </w:tc>
        <w:tc>
          <w:tcPr>
            <w:tcW w:w="5203" w:type="dxa"/>
            <w:tcBorders/>
            <w:shd w:fill="auto" w:val="clear"/>
            <w:vAlign w:val="center"/>
          </w:tcPr>
          <w:p>
            <w:pPr>
              <w:pStyle w:val="TableContents"/>
              <w:spacing w:before="0" w:after="0"/>
              <w:ind w:left="0" w:right="0" w:firstLine="101"/>
              <w:jc w:val="left"/>
              <w:rPr/>
            </w:pPr>
            <w:r>
              <w:rPr/>
              <w:t> </w:t>
            </w:r>
          </w:p>
        </w:tc>
        <w:tc>
          <w:tcPr>
            <w:tcW w:w="146" w:type="dxa"/>
            <w:tcBorders/>
            <w:shd w:fill="auto" w:val="clear"/>
            <w:vAlign w:val="center"/>
          </w:tcPr>
          <w:p>
            <w:pPr>
              <w:pStyle w:val="TableContents"/>
              <w:spacing w:before="0" w:after="0"/>
              <w:ind w:left="101" w:right="0" w:hanging="0"/>
              <w:jc w:val="left"/>
              <w:rPr/>
            </w:pPr>
            <w:r>
              <w:rPr/>
              <w:t> </w:t>
            </w:r>
          </w:p>
        </w:tc>
        <w:tc>
          <w:tcPr>
            <w:tcW w:w="9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firstLine="200"/>
              <w:jc w:val="center"/>
              <w:rPr/>
            </w:pPr>
            <w:r>
              <w:rPr/>
              <w:t> </w:t>
            </w:r>
          </w:p>
        </w:tc>
      </w:tr>
      <w:tr>
        <w:trPr/>
        <w:tc>
          <w:tcPr>
            <w:tcW w:w="7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101.LAB</w:t>
            </w:r>
          </w:p>
        </w:tc>
        <w:tc>
          <w:tcPr>
            <w:tcW w:w="266" w:type="dxa"/>
            <w:tcBorders/>
            <w:shd w:fill="auto" w:val="clear"/>
            <w:vAlign w:val="center"/>
          </w:tcPr>
          <w:p>
            <w:pPr>
              <w:pStyle w:val="TableContents"/>
              <w:spacing w:before="0" w:after="0"/>
              <w:ind w:left="0" w:right="0" w:firstLine="120"/>
              <w:jc w:val="left"/>
              <w:rPr/>
            </w:pPr>
            <w:r>
              <w:rPr/>
              <w:t> </w:t>
            </w:r>
          </w:p>
        </w:tc>
        <w:tc>
          <w:tcPr>
            <w:tcW w:w="5203" w:type="dxa"/>
            <w:tcBorders/>
            <w:shd w:fill="auto" w:val="clear"/>
            <w:vAlign w:val="center"/>
          </w:tcPr>
          <w:p>
            <w:pPr>
              <w:pStyle w:val="TableContents"/>
              <w:spacing w:before="0" w:after="0"/>
              <w:ind w:left="0" w:right="0" w:firstLine="101"/>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c>
          <w:tcPr>
            <w:tcW w:w="146" w:type="dxa"/>
            <w:tcBorders/>
            <w:shd w:fill="auto" w:val="clear"/>
            <w:vAlign w:val="center"/>
          </w:tcPr>
          <w:p>
            <w:pPr>
              <w:pStyle w:val="TableContents"/>
              <w:spacing w:before="0" w:after="0"/>
              <w:ind w:left="101" w:right="0" w:hanging="0"/>
              <w:jc w:val="left"/>
              <w:rPr/>
            </w:pPr>
            <w:r>
              <w:rPr/>
              <w:t> </w:t>
            </w:r>
          </w:p>
        </w:tc>
        <w:tc>
          <w:tcPr>
            <w:tcW w:w="9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226"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283"/>
              <w:ind w:left="0" w:right="0" w:hanging="0"/>
              <w:rPr>
                <w:sz w:val="4"/>
                <w:szCs w:val="4"/>
              </w:rPr>
            </w:pPr>
            <w:r>
              <w:rPr>
                <w:sz w:val="4"/>
                <w:szCs w:val="4"/>
              </w:rPr>
            </w:r>
          </w:p>
        </w:tc>
        <w:tc>
          <w:tcPr>
            <w:tcW w:w="186"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firstLine="200"/>
              <w:jc w:val="center"/>
              <w:rPr>
                <w:rFonts w:ascii="Times New Roman;serif" w:hAnsi="Times New Roman;serif"/>
                <w:b w:val="false"/>
                <w:sz w:val="20"/>
              </w:rPr>
            </w:pPr>
            <w:r>
              <w:rPr>
                <w:rFonts w:ascii="Times New Roman;serif" w:hAnsi="Times New Roman;serif"/>
                <w:b w:val="false"/>
                <w:sz w:val="20"/>
              </w:rPr>
              <w:t>X</w:t>
            </w:r>
          </w:p>
        </w:tc>
      </w:tr>
      <w:tr>
        <w:trPr/>
        <w:tc>
          <w:tcPr>
            <w:tcW w:w="756" w:type="dxa"/>
            <w:tcBorders/>
            <w:shd w:fill="auto" w:val="clear"/>
            <w:vAlign w:val="center"/>
          </w:tcPr>
          <w:p>
            <w:pPr>
              <w:pStyle w:val="TableContents"/>
              <w:spacing w:before="0" w:after="0"/>
              <w:ind w:left="200" w:right="0" w:hanging="0"/>
              <w:jc w:val="left"/>
              <w:rPr/>
            </w:pPr>
            <w:r>
              <w:rPr/>
              <w:t> </w:t>
            </w:r>
          </w:p>
        </w:tc>
        <w:tc>
          <w:tcPr>
            <w:tcW w:w="266" w:type="dxa"/>
            <w:tcBorders/>
            <w:shd w:fill="auto" w:val="clear"/>
            <w:vAlign w:val="center"/>
          </w:tcPr>
          <w:p>
            <w:pPr>
              <w:pStyle w:val="TableContents"/>
              <w:spacing w:before="0" w:after="0"/>
              <w:ind w:left="0" w:right="0" w:firstLine="120"/>
              <w:jc w:val="left"/>
              <w:rPr/>
            </w:pPr>
            <w:r>
              <w:rPr/>
              <w:t> </w:t>
            </w:r>
          </w:p>
        </w:tc>
        <w:tc>
          <w:tcPr>
            <w:tcW w:w="5203" w:type="dxa"/>
            <w:tcBorders/>
            <w:shd w:fill="auto" w:val="clear"/>
            <w:vAlign w:val="center"/>
          </w:tcPr>
          <w:p>
            <w:pPr>
              <w:pStyle w:val="TableContents"/>
              <w:spacing w:before="0" w:after="0"/>
              <w:ind w:left="0" w:right="0" w:firstLine="101"/>
              <w:jc w:val="left"/>
              <w:rPr/>
            </w:pPr>
            <w:r>
              <w:rPr/>
              <w:t> </w:t>
            </w:r>
          </w:p>
        </w:tc>
        <w:tc>
          <w:tcPr>
            <w:tcW w:w="146" w:type="dxa"/>
            <w:tcBorders/>
            <w:shd w:fill="auto" w:val="clear"/>
            <w:vAlign w:val="center"/>
          </w:tcPr>
          <w:p>
            <w:pPr>
              <w:pStyle w:val="TableContents"/>
              <w:spacing w:before="0" w:after="0"/>
              <w:ind w:left="101" w:right="0" w:hanging="0"/>
              <w:jc w:val="left"/>
              <w:rPr/>
            </w:pPr>
            <w:r>
              <w:rPr/>
              <w:t> </w:t>
            </w:r>
          </w:p>
        </w:tc>
        <w:tc>
          <w:tcPr>
            <w:tcW w:w="9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firstLine="200"/>
              <w:jc w:val="center"/>
              <w:rPr/>
            </w:pPr>
            <w:r>
              <w:rPr/>
              <w:t> </w:t>
            </w:r>
          </w:p>
        </w:tc>
      </w:tr>
      <w:tr>
        <w:trPr/>
        <w:tc>
          <w:tcPr>
            <w:tcW w:w="7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101.PRE</w:t>
            </w:r>
          </w:p>
        </w:tc>
        <w:tc>
          <w:tcPr>
            <w:tcW w:w="266" w:type="dxa"/>
            <w:tcBorders/>
            <w:shd w:fill="auto" w:val="clear"/>
            <w:vAlign w:val="center"/>
          </w:tcPr>
          <w:p>
            <w:pPr>
              <w:pStyle w:val="TableContents"/>
              <w:spacing w:before="0" w:after="0"/>
              <w:ind w:left="0" w:right="0" w:firstLine="120"/>
              <w:jc w:val="left"/>
              <w:rPr/>
            </w:pPr>
            <w:r>
              <w:rPr/>
              <w:t> </w:t>
            </w:r>
          </w:p>
        </w:tc>
        <w:tc>
          <w:tcPr>
            <w:tcW w:w="5203" w:type="dxa"/>
            <w:tcBorders/>
            <w:shd w:fill="auto" w:val="clear"/>
            <w:vAlign w:val="center"/>
          </w:tcPr>
          <w:p>
            <w:pPr>
              <w:pStyle w:val="TableContents"/>
              <w:spacing w:before="0" w:after="0"/>
              <w:ind w:left="12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p>
            <w:pPr>
              <w:pStyle w:val="TableContents"/>
              <w:spacing w:before="0" w:after="0"/>
              <w:ind w:left="120" w:right="0" w:hanging="0"/>
              <w:jc w:val="left"/>
              <w:rPr/>
            </w:pPr>
            <w:r>
              <w:rPr/>
              <w:t> </w:t>
            </w:r>
          </w:p>
          <w:p>
            <w:pPr>
              <w:pStyle w:val="TableContents"/>
              <w:spacing w:before="0" w:after="0"/>
              <w:ind w:left="0" w:right="0" w:firstLine="101"/>
              <w:jc w:val="left"/>
              <w:rPr/>
            </w:pPr>
            <w:r>
              <w:rPr/>
              <w:t> </w:t>
            </w:r>
          </w:p>
        </w:tc>
        <w:tc>
          <w:tcPr>
            <w:tcW w:w="146" w:type="dxa"/>
            <w:tcBorders/>
            <w:shd w:fill="auto" w:val="clear"/>
            <w:vAlign w:val="center"/>
          </w:tcPr>
          <w:p>
            <w:pPr>
              <w:pStyle w:val="TableContents"/>
              <w:spacing w:before="0" w:after="0"/>
              <w:ind w:left="101" w:right="0" w:hanging="0"/>
              <w:jc w:val="left"/>
              <w:rPr/>
            </w:pPr>
            <w:r>
              <w:rPr/>
              <w:t> </w:t>
            </w:r>
          </w:p>
        </w:tc>
        <w:tc>
          <w:tcPr>
            <w:tcW w:w="9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226"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283"/>
              <w:ind w:left="0" w:right="0" w:hanging="0"/>
              <w:rPr>
                <w:sz w:val="4"/>
                <w:szCs w:val="4"/>
              </w:rPr>
            </w:pPr>
            <w:r>
              <w:rPr>
                <w:sz w:val="4"/>
                <w:szCs w:val="4"/>
              </w:rPr>
            </w:r>
          </w:p>
        </w:tc>
        <w:tc>
          <w:tcPr>
            <w:tcW w:w="186"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firstLine="200"/>
              <w:jc w:val="center"/>
              <w:rPr>
                <w:rFonts w:ascii="Times New Roman;serif" w:hAnsi="Times New Roman;serif"/>
                <w:b w:val="false"/>
                <w:sz w:val="20"/>
              </w:rPr>
            </w:pPr>
            <w:r>
              <w:rPr>
                <w:rFonts w:ascii="Times New Roman;serif" w:hAnsi="Times New Roman;serif"/>
                <w:b w:val="false"/>
                <w:sz w:val="20"/>
              </w:rPr>
              <w:t>X</w:t>
            </w:r>
          </w:p>
        </w:tc>
      </w:tr>
      <w:tr>
        <w:trPr/>
        <w:tc>
          <w:tcPr>
            <w:tcW w:w="7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104</w:t>
            </w:r>
          </w:p>
        </w:tc>
        <w:tc>
          <w:tcPr>
            <w:tcW w:w="266" w:type="dxa"/>
            <w:tcBorders/>
            <w:shd w:fill="auto" w:val="clear"/>
            <w:vAlign w:val="center"/>
          </w:tcPr>
          <w:p>
            <w:pPr>
              <w:pStyle w:val="TableContents"/>
              <w:spacing w:before="0" w:after="0"/>
              <w:ind w:left="0" w:right="0" w:firstLine="120"/>
              <w:jc w:val="left"/>
              <w:rPr/>
            </w:pPr>
            <w:r>
              <w:rPr/>
              <w:t> </w:t>
            </w:r>
          </w:p>
        </w:tc>
        <w:tc>
          <w:tcPr>
            <w:tcW w:w="5203" w:type="dxa"/>
            <w:tcBorders/>
            <w:shd w:fill="auto" w:val="clear"/>
            <w:vAlign w:val="center"/>
          </w:tcPr>
          <w:p>
            <w:pPr>
              <w:pStyle w:val="TableContents"/>
              <w:spacing w:before="0" w:after="0"/>
              <w:ind w:left="12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p>
            <w:pPr>
              <w:pStyle w:val="TableContents"/>
              <w:spacing w:before="0" w:after="0"/>
              <w:ind w:left="0" w:right="0" w:firstLine="101"/>
              <w:jc w:val="left"/>
              <w:rPr/>
            </w:pPr>
            <w:r>
              <w:rPr/>
              <w:t> </w:t>
            </w:r>
          </w:p>
        </w:tc>
        <w:tc>
          <w:tcPr>
            <w:tcW w:w="146" w:type="dxa"/>
            <w:tcBorders/>
            <w:shd w:fill="auto" w:val="clear"/>
            <w:vAlign w:val="center"/>
          </w:tcPr>
          <w:p>
            <w:pPr>
              <w:pStyle w:val="TableContents"/>
              <w:spacing w:before="0" w:after="0"/>
              <w:ind w:left="101" w:right="0" w:hanging="0"/>
              <w:jc w:val="left"/>
              <w:rPr/>
            </w:pPr>
            <w:r>
              <w:rPr/>
              <w:t> </w:t>
            </w:r>
          </w:p>
        </w:tc>
        <w:tc>
          <w:tcPr>
            <w:tcW w:w="99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283"/>
              <w:ind w:left="0" w:right="0" w:hanging="0"/>
              <w:rPr>
                <w:sz w:val="4"/>
                <w:szCs w:val="4"/>
              </w:rPr>
            </w:pPr>
            <w:r>
              <w:rPr>
                <w:sz w:val="4"/>
                <w:szCs w:val="4"/>
              </w:rPr>
            </w:r>
          </w:p>
        </w:tc>
        <w:tc>
          <w:tcPr>
            <w:tcW w:w="226"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283"/>
              <w:ind w:left="0" w:right="0" w:hanging="0"/>
              <w:rPr>
                <w:sz w:val="4"/>
                <w:szCs w:val="4"/>
              </w:rPr>
            </w:pPr>
            <w:r>
              <w:rPr>
                <w:sz w:val="4"/>
                <w:szCs w:val="4"/>
              </w:rPr>
            </w:r>
          </w:p>
        </w:tc>
        <w:tc>
          <w:tcPr>
            <w:tcW w:w="186"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bl>
    <w:p>
      <w:pPr>
        <w:pStyle w:val="TextBody"/>
        <w:spacing w:before="0" w:after="0"/>
        <w:jc w:val="left"/>
        <w:rPr/>
      </w:pPr>
      <w:r>
        <w:rPr/>
        <w:t> </w:t>
      </w:r>
    </w:p>
    <w:p>
      <w:pPr>
        <w:pStyle w:val="TextBody"/>
        <w:spacing w:before="0" w:after="0"/>
        <w:jc w:val="center"/>
        <w:rPr>
          <w:rFonts w:ascii="Times New Roman;serif" w:hAnsi="Times New Roman;serif"/>
          <w:b/>
          <w:sz w:val="20"/>
        </w:rPr>
      </w:pPr>
      <w:bookmarkStart w:id="22" w:name="signatures"/>
      <w:bookmarkEnd w:id="22"/>
      <w:r>
        <w:rPr>
          <w:rFonts w:ascii="Times New Roman;serif" w:hAnsi="Times New Roman;serif"/>
          <w:b/>
          <w:sz w:val="20"/>
        </w:rPr>
        <w:t>SIGNATURES</w:t>
      </w:r>
    </w:p>
    <w:p>
      <w:pPr>
        <w:pStyle w:val="TextBody"/>
        <w:spacing w:before="240" w:after="0"/>
        <w:jc w:val="left"/>
        <w:rPr>
          <w:rFonts w:ascii="Times New Roman" w:hAnsi="Times New Roman"/>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r>
        <w:rPr>
          <w:rFonts w:ascii="Times New Roman" w:hAnsi="Times New Roman"/>
          <w:sz w:val="20"/>
        </w:rPr>
        <w:t xml:space="preserve"> </w:t>
      </w:r>
    </w:p>
    <w:p>
      <w:pPr>
        <w:pStyle w:val="TextBody"/>
        <w:spacing w:before="0" w:after="0"/>
        <w:jc w:val="left"/>
        <w:rPr/>
      </w:pPr>
      <w:r>
        <w:rPr/>
        <w:t> </w:t>
      </w:r>
    </w:p>
    <w:tbl>
      <w:tblPr>
        <w:tblW w:w="6153" w:type="dxa"/>
        <w:jc w:val="left"/>
        <w:tblInd w:w="0" w:type="dxa"/>
        <w:tblCellMar>
          <w:top w:w="28" w:type="dxa"/>
          <w:left w:w="28" w:type="dxa"/>
          <w:bottom w:w="28" w:type="dxa"/>
          <w:right w:w="28" w:type="dxa"/>
        </w:tblCellMar>
      </w:tblPr>
      <w:tblGrid>
        <w:gridCol w:w="1636"/>
        <w:gridCol w:w="406"/>
        <w:gridCol w:w="4111"/>
      </w:tblGrid>
      <w:tr>
        <w:trPr/>
        <w:tc>
          <w:tcPr>
            <w:tcW w:w="163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11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9, 2023</w:t>
            </w:r>
          </w:p>
        </w:tc>
        <w:tc>
          <w:tcPr>
            <w:tcW w:w="4517" w:type="dxa"/>
            <w:gridSpan w:val="2"/>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SOLENO THERAPEUTICS, INC.</w:t>
            </w:r>
          </w:p>
        </w:tc>
      </w:tr>
      <w:tr>
        <w:trPr/>
        <w:tc>
          <w:tcPr>
            <w:tcW w:w="163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4111" w:type="dxa"/>
            <w:tcBorders/>
            <w:shd w:fill="auto" w:val="clear"/>
            <w:vAlign w:val="center"/>
          </w:tcPr>
          <w:p>
            <w:pPr>
              <w:pStyle w:val="TableContents"/>
              <w:spacing w:before="0" w:after="0"/>
              <w:ind w:left="0" w:right="0" w:hanging="0"/>
              <w:jc w:val="left"/>
              <w:rPr/>
            </w:pPr>
            <w:r>
              <w:rPr/>
              <w:t> </w:t>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1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James Mackaness</w:t>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4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James Mackaness</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 xml:space="preserve">(authorized officer and principal financial and </w:t>
              <w:br/>
              <w:t>accounting officer)</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r>
        <w:br w:type="page"/>
      </w:r>
    </w:p>
    <w:p>
      <w:pPr>
        <w:pStyle w:val="TextBody"/>
        <w:spacing w:before="0" w:after="0"/>
        <w:jc w:val="left"/>
        <w:rPr/>
      </w:pPr>
      <w:bookmarkStart w:id="23" w:name="slno-ex31_1.htm"/>
      <w:bookmarkStart w:id="24" w:name="ksslnoex31_1"/>
      <w:bookmarkEnd w:id="23"/>
      <w:bookmarkEnd w:id="24"/>
      <w:r>
        <w:rPr/>
        <w:t> </w:t>
      </w:r>
    </w:p>
    <w:p>
      <w:pPr>
        <w:pStyle w:val="TextBody"/>
        <w:spacing w:before="0" w:after="0"/>
        <w:jc w:val="right"/>
        <w:rPr>
          <w:rFonts w:ascii="Times New Roman" w:hAnsi="Times New Roman"/>
          <w:sz w:val="20"/>
        </w:rPr>
      </w:pPr>
      <w:r>
        <w:rPr>
          <w:rFonts w:ascii="Times New Roman;serif" w:hAnsi="Times New Roman;serif"/>
          <w:b/>
          <w:sz w:val="20"/>
        </w:rPr>
        <w:t>Exhibit 31.1</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CERTIFICATION OF THE CHIEF EXECUTIVE OFFICER</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SECURITIES EXCHANGE ACT RULES 13A-14(A) AND 15D-14(A)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 Anish Bhatnagar, M.D., certify that: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1. I have reviewed this quarterly report on Form 10-Q of Soleno Therapeutics, Inc.;</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Date: May 9, 2023</w:t>
      </w:r>
    </w:p>
    <w:p>
      <w:pPr>
        <w:pStyle w:val="TextBody"/>
        <w:spacing w:before="0" w:after="0"/>
        <w:jc w:val="left"/>
        <w:rPr/>
      </w:pPr>
      <w:r>
        <w:rPr/>
        <w:t> </w:t>
      </w:r>
    </w:p>
    <w:tbl>
      <w:tblPr>
        <w:tblW w:w="2926" w:type="dxa"/>
        <w:jc w:val="left"/>
        <w:tblInd w:w="0" w:type="dxa"/>
        <w:tblCellMar>
          <w:top w:w="28" w:type="dxa"/>
          <w:left w:w="28" w:type="dxa"/>
          <w:bottom w:w="28" w:type="dxa"/>
          <w:right w:w="28" w:type="dxa"/>
        </w:tblCellMar>
      </w:tblPr>
      <w:tblGrid>
        <w:gridCol w:w="2926"/>
      </w:tblGrid>
      <w:tr>
        <w:trPr/>
        <w:tc>
          <w:tcPr>
            <w:tcW w:w="2926" w:type="dxa"/>
            <w:tcBorders/>
            <w:shd w:fill="auto" w:val="clear"/>
            <w:vAlign w:val="center"/>
          </w:tcPr>
          <w:p>
            <w:pPr>
              <w:pStyle w:val="TableContents"/>
              <w:spacing w:before="0" w:after="283"/>
              <w:rPr>
                <w:sz w:val="4"/>
                <w:szCs w:val="4"/>
              </w:rPr>
            </w:pPr>
            <w:r>
              <w:rPr>
                <w:sz w:val="4"/>
                <w:szCs w:val="4"/>
              </w:rPr>
            </w:r>
          </w:p>
        </w:tc>
      </w:tr>
      <w:tr>
        <w:trPr/>
        <w:tc>
          <w:tcPr>
            <w:tcW w:w="29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Anish Bhatnagar</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Anish Bhatnagar</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Chief Executive Officer</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5" w:name="slno-ex31_2.htm"/>
      <w:bookmarkStart w:id="26" w:name="ksslnoex31_2"/>
      <w:bookmarkEnd w:id="25"/>
      <w:bookmarkEnd w:id="26"/>
      <w:r>
        <w:rPr/>
        <w:t> </w:t>
      </w:r>
    </w:p>
    <w:p>
      <w:pPr>
        <w:pStyle w:val="TextBody"/>
        <w:spacing w:before="0" w:after="0"/>
        <w:jc w:val="right"/>
        <w:rPr>
          <w:rFonts w:ascii="Times New Roman" w:hAnsi="Times New Roman"/>
          <w:sz w:val="20"/>
        </w:rPr>
      </w:pPr>
      <w:r>
        <w:rPr>
          <w:rFonts w:ascii="Times New Roman;serif" w:hAnsi="Times New Roman;serif"/>
          <w:b/>
          <w:sz w:val="20"/>
        </w:rPr>
        <w:t>Exhibit 31.2</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CERTIFICATION OF THE CHIEF EXECUTIVE OFFICER</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SECURITIES EXCHANGE ACT RULES 13A-14(A) AND 15D-14(A)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 James Mackaness, certify that: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1. I have reviewed this quarterly report on Form 10-Q of Soleno Therapeutics, Inc.;</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left"/>
        <w:rPr>
          <w:rFonts w:ascii="Times New Roman" w:hAnsi="Times New Roman"/>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Date: May 9, 2023</w:t>
      </w:r>
    </w:p>
    <w:p>
      <w:pPr>
        <w:pStyle w:val="TextBody"/>
        <w:spacing w:before="0" w:after="0"/>
        <w:jc w:val="left"/>
        <w:rPr/>
      </w:pPr>
      <w:r>
        <w:rPr/>
        <w:t> </w:t>
      </w:r>
    </w:p>
    <w:tbl>
      <w:tblPr>
        <w:tblW w:w="3661" w:type="dxa"/>
        <w:jc w:val="left"/>
        <w:tblInd w:w="0" w:type="dxa"/>
        <w:tblCellMar>
          <w:top w:w="28" w:type="dxa"/>
          <w:left w:w="28" w:type="dxa"/>
          <w:bottom w:w="28" w:type="dxa"/>
          <w:right w:w="28" w:type="dxa"/>
        </w:tblCellMar>
      </w:tblPr>
      <w:tblGrid>
        <w:gridCol w:w="3661"/>
      </w:tblGrid>
      <w:tr>
        <w:trPr/>
        <w:tc>
          <w:tcPr>
            <w:tcW w:w="3661" w:type="dxa"/>
            <w:tcBorders/>
            <w:shd w:fill="auto" w:val="clear"/>
            <w:vAlign w:val="center"/>
          </w:tcPr>
          <w:p>
            <w:pPr>
              <w:pStyle w:val="TableContents"/>
              <w:spacing w:before="0" w:after="283"/>
              <w:rPr>
                <w:sz w:val="4"/>
                <w:szCs w:val="4"/>
              </w:rPr>
            </w:pPr>
            <w:r>
              <w:rPr>
                <w:sz w:val="4"/>
                <w:szCs w:val="4"/>
              </w:rPr>
            </w:r>
          </w:p>
        </w:tc>
      </w:tr>
      <w:tr>
        <w:trPr/>
        <w:tc>
          <w:tcPr>
            <w:tcW w:w="3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James Mackaness</w:t>
            </w:r>
          </w:p>
        </w:tc>
      </w:tr>
      <w:tr>
        <w:trPr/>
        <w:tc>
          <w:tcPr>
            <w:tcW w:w="36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James Mackaness</w:t>
            </w:r>
          </w:p>
        </w:tc>
      </w:tr>
      <w:tr>
        <w:trPr/>
        <w:tc>
          <w:tcPr>
            <w:tcW w:w="36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36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7" w:name="slno-ex32_1.htm"/>
      <w:bookmarkStart w:id="28" w:name="ksslnoex32_1"/>
      <w:bookmarkEnd w:id="27"/>
      <w:bookmarkEnd w:id="28"/>
      <w:r>
        <w:rPr/>
        <w:t> </w:t>
      </w:r>
    </w:p>
    <w:p>
      <w:pPr>
        <w:pStyle w:val="TextBody"/>
        <w:spacing w:before="0" w:after="0"/>
        <w:jc w:val="right"/>
        <w:rPr>
          <w:rFonts w:ascii="Times New Roman" w:hAnsi="Times New Roman"/>
          <w:sz w:val="20"/>
        </w:rPr>
      </w:pPr>
      <w:r>
        <w:rPr>
          <w:rFonts w:ascii="Times New Roman;serif" w:hAnsi="Times New Roman;serif"/>
          <w:b/>
          <w:sz w:val="20"/>
        </w:rPr>
        <w:t>Exhibit 32.1</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CERTIFICATION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18 U.S.C. SECTION 1350,</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AS ADOPTED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SECTION 906 OF THE SARBANES-OXLEY ACT OF 2002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connection with the Quarterly Report of Soleno Therapeutics, Inc. (the “Company”) on Form 10-Q for the fiscal quarter ended March 31, 2023, as filed with the Securities and Exchange Commission (the “Report”), Anish Bhatnagar, President, Chief Executive Officer of the Company does hereby certify, pursuant to 18 U.S.C. Section 1350, as adopted pursuant to Section 906 of the Sarbanes-Oxley Act of 2002, that:</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Report fully complies with the requirements of Section 13(a) or 15(d) of the Securities Exchange Act of 1934;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information in the Report fairly presents, in all material respects, the financial condition and results of operations of the Company.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Date: May 9, 2023</w:t>
      </w:r>
    </w:p>
    <w:p>
      <w:pPr>
        <w:pStyle w:val="TextBody"/>
        <w:spacing w:before="0" w:after="0"/>
        <w:jc w:val="left"/>
        <w:rPr/>
      </w:pPr>
      <w:r>
        <w:rPr/>
        <w:t> </w:t>
      </w:r>
    </w:p>
    <w:tbl>
      <w:tblPr>
        <w:tblW w:w="2926" w:type="dxa"/>
        <w:jc w:val="left"/>
        <w:tblInd w:w="0" w:type="dxa"/>
        <w:tblCellMar>
          <w:top w:w="28" w:type="dxa"/>
          <w:left w:w="28" w:type="dxa"/>
          <w:bottom w:w="28" w:type="dxa"/>
          <w:right w:w="28" w:type="dxa"/>
        </w:tblCellMar>
      </w:tblPr>
      <w:tblGrid>
        <w:gridCol w:w="2926"/>
      </w:tblGrid>
      <w:tr>
        <w:trPr/>
        <w:tc>
          <w:tcPr>
            <w:tcW w:w="2926" w:type="dxa"/>
            <w:tcBorders/>
            <w:shd w:fill="auto" w:val="clear"/>
            <w:vAlign w:val="center"/>
          </w:tcPr>
          <w:p>
            <w:pPr>
              <w:pStyle w:val="TableContents"/>
              <w:spacing w:before="0" w:after="283"/>
              <w:rPr>
                <w:sz w:val="4"/>
                <w:szCs w:val="4"/>
              </w:rPr>
            </w:pPr>
            <w:r>
              <w:rPr>
                <w:sz w:val="4"/>
                <w:szCs w:val="4"/>
              </w:rPr>
            </w:r>
          </w:p>
        </w:tc>
      </w:tr>
      <w:tr>
        <w:trPr/>
        <w:tc>
          <w:tcPr>
            <w:tcW w:w="29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Anish Bhatnagar</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Anish Bhatnagar</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Chief Executive Officer</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9" w:name="slno-ex32_2.htm"/>
      <w:bookmarkStart w:id="30" w:name="ksslnoex32_2"/>
      <w:bookmarkEnd w:id="29"/>
      <w:bookmarkEnd w:id="30"/>
      <w:r>
        <w:rPr/>
        <w:t> </w:t>
      </w:r>
    </w:p>
    <w:p>
      <w:pPr>
        <w:pStyle w:val="TextBody"/>
        <w:spacing w:before="0" w:after="0"/>
        <w:jc w:val="right"/>
        <w:rPr>
          <w:rFonts w:ascii="Times New Roman" w:hAnsi="Times New Roman"/>
          <w:sz w:val="20"/>
        </w:rPr>
      </w:pPr>
      <w:r>
        <w:rPr>
          <w:rFonts w:ascii="Times New Roman;serif" w:hAnsi="Times New Roman;serif"/>
          <w:b/>
          <w:sz w:val="20"/>
        </w:rPr>
        <w:t>Exhibit 32.2</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CERTIFICATION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18 U.S.C. SECTION 1350,</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AS ADOPTED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SECTION 906 OF THE SARBANES-OXLEY ACT OF 2002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connection with the Quarterly Report of Soleno Therapeutics, Inc. (the “Company”) on Form 10-Q for the fiscal quarter ended March 31, 2023, as filed with the Securities and Exchange Commission (the “Report”), James Mackaness, Chief Financial Officer of the Company does hereby certify, pursuant to 18 U.S.C. Section 1350, as adopted pursuant to Section 906 of the Sarbanes-Oxley Act of 2002, that:</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Report fully complies with the requirements of Section 13(a) or 15(d) of the Securities Exchange Act of 1934;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information in the Report fairly presents, in all material respects, the financial condition and results of operations of the Company.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Date: May 9, 2023</w:t>
      </w:r>
    </w:p>
    <w:p>
      <w:pPr>
        <w:pStyle w:val="TextBody"/>
        <w:spacing w:before="0" w:after="0"/>
        <w:jc w:val="left"/>
        <w:rPr/>
      </w:pPr>
      <w:r>
        <w:rPr/>
        <w:t> </w:t>
      </w:r>
    </w:p>
    <w:tbl>
      <w:tblPr>
        <w:tblW w:w="3661" w:type="dxa"/>
        <w:jc w:val="left"/>
        <w:tblInd w:w="0" w:type="dxa"/>
        <w:tblCellMar>
          <w:top w:w="28" w:type="dxa"/>
          <w:left w:w="28" w:type="dxa"/>
          <w:bottom w:w="28" w:type="dxa"/>
          <w:right w:w="28" w:type="dxa"/>
        </w:tblCellMar>
      </w:tblPr>
      <w:tblGrid>
        <w:gridCol w:w="3661"/>
      </w:tblGrid>
      <w:tr>
        <w:trPr/>
        <w:tc>
          <w:tcPr>
            <w:tcW w:w="3661" w:type="dxa"/>
            <w:tcBorders/>
            <w:shd w:fill="auto" w:val="clear"/>
            <w:vAlign w:val="center"/>
          </w:tcPr>
          <w:p>
            <w:pPr>
              <w:pStyle w:val="TableContents"/>
              <w:spacing w:before="0" w:after="283"/>
              <w:rPr>
                <w:sz w:val="4"/>
                <w:szCs w:val="4"/>
              </w:rPr>
            </w:pPr>
            <w:r>
              <w:rPr>
                <w:sz w:val="4"/>
                <w:szCs w:val="4"/>
              </w:rPr>
            </w:r>
          </w:p>
        </w:tc>
      </w:tr>
      <w:tr>
        <w:trPr/>
        <w:tc>
          <w:tcPr>
            <w:tcW w:w="3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James Mackaness</w:t>
            </w:r>
          </w:p>
        </w:tc>
      </w:tr>
      <w:tr>
        <w:trPr/>
        <w:tc>
          <w:tcPr>
            <w:tcW w:w="36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James Mackaness</w:t>
            </w:r>
          </w:p>
        </w:tc>
      </w:tr>
      <w:tr>
        <w:trPr/>
        <w:tc>
          <w:tcPr>
            <w:tcW w:w="36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36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spacing w:before="0" w:after="0"/>
        <w:jc w:val="left"/>
        <w:rPr/>
      </w:pPr>
      <w:r>
        <w:rPr/>
        <w:t> </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11425</Words>
  <CharactersWithSpaces>74031</CharactersWithSpaces>
  <Paragraphs>2999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