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895985</wp:posOffset>
                </wp:positionH>
                <wp:positionV relativeFrom="page">
                  <wp:posOffset>946150</wp:posOffset>
                </wp:positionV>
                <wp:extent cx="59804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4.5pt" to="541.45pt,74.5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895985</wp:posOffset>
                </wp:positionH>
                <wp:positionV relativeFrom="page">
                  <wp:posOffset>958850</wp:posOffset>
                </wp:positionV>
                <wp:extent cx="59804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5.5pt" to="541.45pt,75.5pt" o:allowincell="f" strokecolor="#000000" strokeweight="0.5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40640</wp:posOffset>
                </wp:positionV>
                <wp:extent cx="11544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3.2pt" to="279.45pt,3.2pt" o:allowincell="f" strokecolor="#000000" strokeweight="1pt"/>
            </w:pict>
          </mc:Fallback>
        </mc:AlternateConten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62230</wp:posOffset>
                </wp:positionV>
                <wp:extent cx="11544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4.9pt" to="279.45pt,4.9pt" o:allowincell="f" strokecolor="#000000" strokeweight="1pt"/>
            </w:pict>
          </mc:Fallback>
        </mc:AlternateConten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140" w:right="1040" w:hanging="3140"/>
        <w:spacing w:after="0" w:line="251" w:lineRule="auto"/>
        <w:tabs>
          <w:tab w:leader="none" w:pos="487" w:val="left"/>
        </w:tabs>
        <w:numPr>
          <w:ilvl w:val="0"/>
          <w:numId w:val="1"/>
        </w:numPr>
        <w:rPr>
          <w:rFonts w:ascii="Segoe UI Symbol" w:cs="Segoe UI Symbol" w:eastAsia="Segoe UI Symbol" w:hAnsi="Segoe UI Symbol"/>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7" w:lineRule="exact"/>
        <w:rPr>
          <w:sz w:val="24"/>
          <w:szCs w:val="24"/>
          <w:color w:val="auto"/>
        </w:rPr>
      </w:pPr>
    </w:p>
    <w:p>
      <w:pPr>
        <w:ind w:left="500" w:hanging="500"/>
        <w:spacing w:after="0"/>
        <w:tabs>
          <w:tab w:leader="none" w:pos="500" w:val="left"/>
        </w:tabs>
        <w:numPr>
          <w:ilvl w:val="0"/>
          <w:numId w:val="2"/>
        </w:numPr>
        <w:rPr>
          <w:rFonts w:ascii="Segoe UI Symbol" w:cs="Segoe UI Symbol" w:eastAsia="Segoe UI Symbol" w:hAnsi="Segoe UI Symbol"/>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2840" w:type="dxa"/>
        <w:tblCellMar>
          <w:top w:w="0" w:type="dxa"/>
          <w:left w:w="0" w:type="dxa"/>
          <w:bottom w:w="0" w:type="dxa"/>
          <w:right w:w="0" w:type="dxa"/>
        </w:tblCellMar>
      </w:tblP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64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64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8"/>
        </w:trPr>
        <w:tc>
          <w:tcPr>
            <w:tcW w:w="29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Commission File No.: 001-36593</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33655</wp:posOffset>
                </wp:positionV>
                <wp:extent cx="11544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2.65pt" to="279.45pt,2.65pt" o:allowincell="f" strokecolor="#000000" strokeweight="1pt"/>
            </w:pict>
          </mc:Fallback>
        </mc:AlternateConten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Soleno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40640</wp:posOffset>
                </wp:positionV>
                <wp:extent cx="11544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3.2pt" to="279.45pt,3.2pt" o:allowincell="f" strokecolor="#000000" strokeweight="1pt"/>
            </w:pict>
          </mc:Fallback>
        </mc:AlternateContent>
      </w:r>
    </w:p>
    <w:p>
      <w:pPr>
        <w:spacing w:after="0" w:line="65"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3940" w:type="dxa"/>
            <w:vAlign w:val="bottom"/>
          </w:tcPr>
          <w:p>
            <w:pPr>
              <w:jc w:val="center"/>
              <w:ind w:right="145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77-0523891</w:t>
            </w:r>
          </w:p>
        </w:tc>
      </w:tr>
      <w:tr>
        <w:trPr>
          <w:trHeight w:val="152"/>
        </w:trPr>
        <w:tc>
          <w:tcPr>
            <w:tcW w:w="3940" w:type="dxa"/>
            <w:vAlign w:val="bottom"/>
          </w:tcPr>
          <w:p>
            <w:pPr>
              <w:jc w:val="center"/>
              <w:ind w:right="1450"/>
              <w:spacing w:after="0" w:line="152"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0" w:type="dxa"/>
            <w:vAlign w:val="bottom"/>
          </w:tcPr>
          <w:p>
            <w:pPr>
              <w:jc w:val="center"/>
              <w:ind w:left="1430"/>
              <w:spacing w:after="0" w:line="152"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1"/>
        </w:trPr>
        <w:tc>
          <w:tcPr>
            <w:tcW w:w="3940" w:type="dxa"/>
            <w:vAlign w:val="bottom"/>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600" w:type="dxa"/>
            <w:vAlign w:val="bottom"/>
          </w:tcPr>
          <w:p>
            <w:pPr>
              <w:jc w:val="center"/>
              <w:ind w:left="143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4"/>
        </w:trPr>
        <w:tc>
          <w:tcPr>
            <w:tcW w:w="3940" w:type="dxa"/>
            <w:vAlign w:val="bottom"/>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rPr>
              <w:t>203 Redwood Shores Parkway, Suite 500</w:t>
            </w:r>
          </w:p>
        </w:tc>
        <w:tc>
          <w:tcPr>
            <w:tcW w:w="2600" w:type="dxa"/>
            <w:vAlign w:val="bottom"/>
          </w:tcPr>
          <w:p>
            <w:pPr>
              <w:spacing w:after="0"/>
              <w:rPr>
                <w:sz w:val="24"/>
                <w:szCs w:val="24"/>
                <w:color w:val="auto"/>
              </w:rPr>
            </w:pPr>
          </w:p>
        </w:tc>
      </w:tr>
      <w:tr>
        <w:trPr>
          <w:trHeight w:val="172"/>
        </w:trPr>
        <w:tc>
          <w:tcPr>
            <w:tcW w:w="3940" w:type="dxa"/>
            <w:vAlign w:val="bottom"/>
          </w:tcPr>
          <w:p>
            <w:pPr>
              <w:jc w:val="center"/>
              <w:ind w:right="1450"/>
              <w:spacing w:after="0"/>
              <w:rPr>
                <w:sz w:val="20"/>
                <w:szCs w:val="20"/>
                <w:color w:val="auto"/>
              </w:rPr>
            </w:pPr>
            <w:r>
              <w:rPr>
                <w:rFonts w:ascii="Times New Roman" w:cs="Times New Roman" w:eastAsia="Times New Roman" w:hAnsi="Times New Roman"/>
                <w:sz w:val="14"/>
                <w:szCs w:val="14"/>
                <w:b w:val="1"/>
                <w:bCs w:val="1"/>
                <w:color w:val="auto"/>
              </w:rPr>
              <w:t>Redwood City, California</w:t>
            </w:r>
          </w:p>
        </w:tc>
        <w:tc>
          <w:tcPr>
            <w:tcW w:w="260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94065</w:t>
            </w:r>
          </w:p>
        </w:tc>
      </w:tr>
      <w:tr>
        <w:trPr>
          <w:trHeight w:val="191"/>
        </w:trPr>
        <w:tc>
          <w:tcPr>
            <w:tcW w:w="3940" w:type="dxa"/>
            <w:vAlign w:val="bottom"/>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0" w:type="dxa"/>
            <w:vAlign w:val="bottom"/>
          </w:tcPr>
          <w:p>
            <w:pPr>
              <w:jc w:val="center"/>
              <w:ind w:left="143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1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(650) 213-8444</w:t>
      </w:r>
    </w:p>
    <w:p>
      <w:pPr>
        <w:spacing w:after="0" w:line="15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414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40" w:type="dxa"/>
            <w:vAlign w:val="bottom"/>
            <w:tcBorders>
              <w:top w:val="single" w:sz="8" w:color="auto"/>
              <w:bottom w:val="single" w:sz="8" w:color="auto"/>
            </w:tcBorders>
          </w:tcPr>
          <w:p>
            <w:pPr>
              <w:spacing w:after="0"/>
              <w:rPr>
                <w:sz w:val="14"/>
                <w:szCs w:val="14"/>
                <w:color w:val="auto"/>
              </w:rPr>
            </w:pPr>
          </w:p>
        </w:tc>
        <w:tc>
          <w:tcPr>
            <w:tcW w:w="3800" w:type="dxa"/>
            <w:vAlign w:val="bottom"/>
            <w:tcBorders>
              <w:top w:val="single" w:sz="8" w:color="auto"/>
              <w:bottom w:val="single" w:sz="8" w:color="auto"/>
              <w:right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51"/>
        </w:trPr>
        <w:tc>
          <w:tcPr>
            <w:tcW w:w="4140" w:type="dxa"/>
            <w:vAlign w:val="bottom"/>
            <w:tcBorders>
              <w:left w:val="single" w:sz="8" w:color="auto"/>
              <w:bottom w:val="single" w:sz="8" w:color="auto"/>
              <w:right w:val="single" w:sz="8" w:color="auto"/>
            </w:tcBorders>
            <w:gridSpan w:val="2"/>
          </w:tcPr>
          <w:p>
            <w:pPr>
              <w:jc w:val="center"/>
              <w:ind w:right="20"/>
              <w:spacing w:after="0" w:line="151" w:lineRule="exact"/>
              <w:rPr>
                <w:sz w:val="20"/>
                <w:szCs w:val="20"/>
                <w:color w:val="auto"/>
              </w:rPr>
            </w:pPr>
            <w:r>
              <w:rPr>
                <w:rFonts w:ascii="Times New Roman" w:cs="Times New Roman" w:eastAsia="Times New Roman" w:hAnsi="Times New Roman"/>
                <w:sz w:val="14"/>
                <w:szCs w:val="14"/>
                <w:color w:val="auto"/>
                <w:w w:val="99"/>
              </w:rPr>
              <w:t>Common Stock, $0.001 par value</w:t>
            </w:r>
          </w:p>
        </w:tc>
        <w:tc>
          <w:tcPr>
            <w:tcW w:w="1300" w:type="dxa"/>
            <w:vAlign w:val="bottom"/>
            <w:tcBorders>
              <w:bottom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w w:val="98"/>
              </w:rPr>
              <w:t>SLNO</w:t>
            </w: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jc w:val="center"/>
              <w:ind w:left="1390"/>
              <w:spacing w:after="0" w:line="151" w:lineRule="exact"/>
              <w:rPr>
                <w:sz w:val="20"/>
                <w:szCs w:val="20"/>
                <w:color w:val="auto"/>
              </w:rPr>
            </w:pPr>
            <w:r>
              <w:rPr>
                <w:rFonts w:ascii="Times New Roman" w:cs="Times New Roman" w:eastAsia="Times New Roman" w:hAnsi="Times New Roman"/>
                <w:sz w:val="14"/>
                <w:szCs w:val="14"/>
                <w:color w:val="auto"/>
                <w:w w:val="99"/>
              </w:rPr>
              <w:t>NASDAQ</w:t>
            </w:r>
          </w:p>
        </w:tc>
        <w:tc>
          <w:tcPr>
            <w:tcW w:w="16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54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800" w:type="dxa"/>
            <w:vAlign w:val="bottom"/>
            <w:tcBorders>
              <w:bottom w:val="single" w:sz="8" w:color="auto"/>
            </w:tcBorders>
            <w:gridSpan w:val="3"/>
          </w:tcPr>
          <w:p>
            <w:pPr>
              <w:spacing w:after="0"/>
              <w:rPr>
                <w:sz w:val="13"/>
                <w:szCs w:val="13"/>
                <w:color w:val="auto"/>
              </w:rPr>
            </w:pPr>
          </w:p>
        </w:tc>
        <w:tc>
          <w:tcPr>
            <w:tcW w:w="1620" w:type="dxa"/>
            <w:vAlign w:val="bottom"/>
          </w:tcPr>
          <w:p>
            <w:pPr>
              <w:spacing w:after="0"/>
              <w:rPr>
                <w:sz w:val="13"/>
                <w:szCs w:val="13"/>
                <w:color w:val="auto"/>
              </w:rPr>
            </w:pPr>
          </w:p>
        </w:tc>
        <w:tc>
          <w:tcPr>
            <w:tcW w:w="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tc>
        <w:tc>
          <w:tcPr>
            <w:tcW w:w="0" w:type="dxa"/>
            <w:vAlign w:val="bottom"/>
          </w:tcPr>
          <w:p>
            <w:pPr>
              <w:spacing w:after="0"/>
              <w:rPr>
                <w:sz w:val="1"/>
                <w:szCs w:val="1"/>
                <w:color w:val="auto"/>
              </w:rPr>
            </w:pPr>
          </w:p>
        </w:tc>
      </w:tr>
      <w:tr>
        <w:trPr>
          <w:trHeight w:val="231"/>
        </w:trPr>
        <w:tc>
          <w:tcPr>
            <w:tcW w:w="72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4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w w:val="99"/>
              </w:rPr>
              <w:t>Indicate by check mark if the registrant is not required to file reports pursuant to Section 13 or Section 15(d) of the Act.</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p>
        </w:tc>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tc>
        <w:tc>
          <w:tcPr>
            <w:tcW w:w="0" w:type="dxa"/>
            <w:vAlign w:val="bottom"/>
          </w:tcPr>
          <w:p>
            <w:pPr>
              <w:spacing w:after="0"/>
              <w:rPr>
                <w:sz w:val="1"/>
                <w:szCs w:val="1"/>
                <w:color w:val="auto"/>
              </w:rPr>
            </w:pPr>
          </w:p>
        </w:tc>
      </w:tr>
    </w:tbl>
    <w:p>
      <w:pPr>
        <w:jc w:val="both"/>
        <w:ind w:right="20" w:firstLine="490"/>
        <w:spacing w:after="0" w:line="246"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tabs>
          <w:tab w:leader="none" w:pos="1060" w:val="left"/>
          <w:tab w:leader="none" w:pos="1600" w:val="left"/>
        </w:tabs>
        <w:rPr>
          <w:sz w:val="20"/>
          <w:szCs w:val="20"/>
          <w:color w:val="auto"/>
        </w:rPr>
      </w:pPr>
      <w:r>
        <w:rPr>
          <w:rFonts w:ascii="Times New Roman" w:cs="Times New Roman" w:eastAsia="Times New Roman" w:hAnsi="Times New Roman"/>
          <w:sz w:val="14"/>
          <w:szCs w:val="14"/>
          <w:color w:val="auto"/>
        </w:rPr>
        <w:t>the past 90 days.</w:t>
        <w:tab/>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ab/>
        <w:t xml:space="preserve">No </w:t>
      </w:r>
      <w:r>
        <w:rPr>
          <w:rFonts w:ascii="Segoe UI Symbol" w:cs="Segoe UI Symbol" w:eastAsia="Segoe UI Symbol" w:hAnsi="Segoe UI Symbol"/>
          <w:sz w:val="14"/>
          <w:szCs w:val="14"/>
          <w:color w:val="auto"/>
        </w:rPr>
        <w:t>☐</w:t>
      </w:r>
    </w:p>
    <w:p>
      <w:pPr>
        <w:spacing w:after="0" w:line="2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w:t>
      </w:r>
    </w:p>
    <w:p>
      <w:pPr>
        <w:ind w:right="120"/>
        <w:spacing w:after="0" w:line="249" w:lineRule="auto"/>
        <w:rPr>
          <w:sz w:val="20"/>
          <w:szCs w:val="20"/>
          <w:color w:val="auto"/>
        </w:rPr>
      </w:pPr>
      <w:r>
        <w:rPr>
          <w:rFonts w:ascii="Times New Roman" w:cs="Times New Roman" w:eastAsia="Times New Roman" w:hAnsi="Times New Roman"/>
          <w:sz w:val="14"/>
          <w:szCs w:val="14"/>
          <w:color w:val="auto"/>
        </w:rPr>
        <w:t xml:space="preserve">Regulation S-T (§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ind w:right="80" w:firstLine="49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40" w:type="dxa"/>
            <w:vAlign w:val="bottom"/>
          </w:tcPr>
          <w:p>
            <w:pPr>
              <w:ind w:left="420"/>
              <w:spacing w:after="0"/>
              <w:rPr>
                <w:sz w:val="20"/>
                <w:szCs w:val="20"/>
                <w:color w:val="auto"/>
              </w:rPr>
            </w:pPr>
            <w:r>
              <w:rPr>
                <w:rFonts w:ascii="Segoe UI Symbol" w:cs="Segoe UI Symbol" w:eastAsia="Segoe UI Symbol" w:hAnsi="Segoe UI Symbol"/>
                <w:sz w:val="14"/>
                <w:szCs w:val="14"/>
                <w:color w:val="auto"/>
              </w:rPr>
              <w:t>☐</w:t>
            </w: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rPr>
                <w:sz w:val="20"/>
                <w:szCs w:val="20"/>
                <w:color w:val="auto"/>
              </w:rPr>
            </w:pPr>
            <w:r>
              <w:rPr>
                <w:rFonts w:ascii="Segoe UI Symbol" w:cs="Segoe UI Symbol" w:eastAsia="Segoe UI Symbol" w:hAnsi="Segoe UI Symbol"/>
                <w:sz w:val="14"/>
                <w:szCs w:val="14"/>
                <w:color w:val="auto"/>
                <w:w w:val="82"/>
              </w:rPr>
              <w:t>☐</w:t>
            </w:r>
          </w:p>
        </w:tc>
      </w:tr>
      <w:tr>
        <w:trPr>
          <w:trHeight w:val="19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40" w:type="dxa"/>
            <w:vAlign w:val="bottom"/>
          </w:tcPr>
          <w:p>
            <w:pPr>
              <w:ind w:left="420"/>
              <w:spacing w:after="0"/>
              <w:rPr>
                <w:sz w:val="20"/>
                <w:szCs w:val="20"/>
                <w:color w:val="auto"/>
              </w:rPr>
            </w:pPr>
            <w:r>
              <w:rPr>
                <w:rFonts w:ascii="Segoe UI Symbol" w:cs="Segoe UI Symbol" w:eastAsia="Segoe UI Symbol" w:hAnsi="Segoe UI Symbol"/>
                <w:sz w:val="14"/>
                <w:szCs w:val="14"/>
                <w:color w:val="auto"/>
              </w:rPr>
              <w:t>☒</w:t>
            </w: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rPr>
                <w:sz w:val="20"/>
                <w:szCs w:val="20"/>
                <w:color w:val="auto"/>
              </w:rPr>
            </w:pPr>
            <w:r>
              <w:rPr>
                <w:rFonts w:ascii="Segoe UI Symbol" w:cs="Segoe UI Symbol" w:eastAsia="Segoe UI Symbol" w:hAnsi="Segoe UI Symbol"/>
                <w:sz w:val="14"/>
                <w:szCs w:val="14"/>
                <w:color w:val="auto"/>
                <w:w w:val="82"/>
              </w:rPr>
              <w:t>☒</w:t>
            </w:r>
          </w:p>
        </w:tc>
      </w:tr>
      <w:tr>
        <w:trPr>
          <w:trHeight w:val="227"/>
        </w:trPr>
        <w:tc>
          <w:tcPr>
            <w:tcW w:w="1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80"/>
              <w:spacing w:after="0"/>
              <w:rPr>
                <w:sz w:val="20"/>
                <w:szCs w:val="20"/>
                <w:color w:val="auto"/>
              </w:rPr>
            </w:pPr>
            <w:r>
              <w:rPr>
                <w:rFonts w:ascii="Segoe UI Symbol" w:cs="Segoe UI Symbol" w:eastAsia="Segoe UI Symbol" w:hAnsi="Segoe UI Symbol"/>
                <w:sz w:val="14"/>
                <w:szCs w:val="14"/>
                <w:color w:val="auto"/>
                <w:w w:val="82"/>
              </w:rPr>
              <w:t>☐</w:t>
            </w:r>
          </w:p>
        </w:tc>
      </w:tr>
    </w:tbl>
    <w:p>
      <w:pPr>
        <w:spacing w:after="0" w:line="143" w:lineRule="exact"/>
        <w:rPr>
          <w:sz w:val="24"/>
          <w:szCs w:val="24"/>
          <w:color w:val="auto"/>
        </w:rPr>
      </w:pPr>
    </w:p>
    <w:p>
      <w:pPr>
        <w:ind w:right="100" w:firstLine="490"/>
        <w:spacing w:after="0" w:line="259"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80" w:firstLine="490"/>
        <w:spacing w:after="0" w:line="246"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report. </w:t>
      </w:r>
      <w:r>
        <w:rPr>
          <w:rFonts w:ascii="Segoe UI Symbol" w:cs="Segoe UI Symbol" w:eastAsia="Segoe UI Symbol" w:hAnsi="Segoe UI Symbol"/>
          <w:sz w:val="14"/>
          <w:szCs w:val="14"/>
          <w:color w:val="auto"/>
        </w:rPr>
        <w:t>☐</w:t>
      </w:r>
    </w:p>
    <w:p>
      <w:pPr>
        <w:spacing w:after="0" w:line="25" w:lineRule="exact"/>
        <w:rPr>
          <w:sz w:val="24"/>
          <w:szCs w:val="24"/>
          <w:color w:val="auto"/>
        </w:rPr>
      </w:pPr>
    </w:p>
    <w:p>
      <w:pPr>
        <w:ind w:right="20" w:firstLine="490"/>
        <w:spacing w:after="0" w:line="25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firstLine="522"/>
        <w:spacing w:after="0" w:line="25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left="500"/>
        <w:spacing w:after="0"/>
        <w:tabs>
          <w:tab w:leader="none" w:pos="6380" w:val="left"/>
          <w:tab w:leader="none" w:pos="69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ab/>
        <w:t xml:space="preserve">No </w:t>
      </w:r>
      <w:r>
        <w:rPr>
          <w:rFonts w:ascii="Segoe UI Symbol" w:cs="Segoe UI Symbol" w:eastAsia="Segoe UI Symbol" w:hAnsi="Segoe UI Symbol"/>
          <w:sz w:val="14"/>
          <w:szCs w:val="14"/>
          <w:color w:val="auto"/>
        </w:rPr>
        <w:t>☒</w:t>
      </w:r>
    </w:p>
    <w:p>
      <w:pPr>
        <w:spacing w:after="0" w:line="29" w:lineRule="exact"/>
        <w:rPr>
          <w:sz w:val="24"/>
          <w:szCs w:val="24"/>
          <w:color w:val="auto"/>
        </w:rPr>
      </w:pPr>
    </w:p>
    <w:p>
      <w:pPr>
        <w:ind w:right="60" w:firstLine="490"/>
        <w:spacing w:after="0" w:line="239" w:lineRule="auto"/>
        <w:rPr>
          <w:sz w:val="20"/>
          <w:szCs w:val="20"/>
          <w:color w:val="auto"/>
        </w:rPr>
      </w:pPr>
      <w:r>
        <w:rPr>
          <w:rFonts w:ascii="Times New Roman" w:cs="Times New Roman" w:eastAsia="Times New Roman" w:hAnsi="Times New Roman"/>
          <w:sz w:val="14"/>
          <w:szCs w:val="14"/>
          <w:color w:val="auto"/>
        </w:rPr>
        <w:t>The aggregate market value of stock held by non-affiliates of the registrant on June 30, 2023, based on the closing price of $4.29 for shares of the registrant’s common stock as reported by the Nasdaq Capital Market, was approximately $33.1 million. Shares of Common Stock held by each executive officer, director and beneficial holder of 5% or more of the outstanding Common Stock have been excluded in that such persons may be deemed affiliates.</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March 1, 2024, there were 32,460,579 shares of the registrant’s Common Stock, par value $0.001 per share, outstanding.</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81280</wp:posOffset>
                </wp:positionV>
                <wp:extent cx="11544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6.4pt" to="279.45pt,6.4pt" o:allowincell="f" strokecolor="#000000" strokeweight="1pt"/>
            </w:pict>
          </mc:Fallback>
        </mc:AlternateConten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3" w:lineRule="exact"/>
        <w:rPr>
          <w:sz w:val="24"/>
          <w:szCs w:val="24"/>
          <w:color w:val="auto"/>
        </w:rPr>
      </w:pPr>
    </w:p>
    <w:p>
      <w:pPr>
        <w:jc w:val="both"/>
        <w:ind w:right="100" w:firstLine="490"/>
        <w:spacing w:after="0" w:line="254"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Commission pursuant to Regulation 14A in connection with the registrant’s 2024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2023.</w:t>
      </w:r>
    </w:p>
    <w:p>
      <w:pPr>
        <w:spacing w:after="0"/>
        <w:rPr>
          <w:sz w:val="20"/>
          <w:szCs w:val="20"/>
          <w:color w:val="auto"/>
        </w:rPr>
      </w:pPr>
      <w:r>
        <w:rPr>
          <w:rFonts w:ascii="Times New Roman" w:cs="Times New Roman" w:eastAsia="Times New Roman" w:hAnsi="Times New Roman"/>
          <w:sz w:val="14"/>
          <w:szCs w:val="14"/>
          <w:color w:val="auto"/>
        </w:rPr>
        <w:t>Except with respect to information specifically incorporated by reference in this Form 10-K, the Proxy Statement is not deemed to be filed as part of this Form 10-K.</w:t>
      </w:r>
    </w:p>
    <w:p>
      <w:pPr>
        <w:spacing w:after="0" w:line="116" w:lineRule="exact"/>
        <w:rPr>
          <w:sz w:val="24"/>
          <w:szCs w:val="24"/>
          <w:color w:val="auto"/>
        </w:rPr>
      </w:pPr>
    </w:p>
    <w:p>
      <w:pPr>
        <w:ind w:left="360"/>
        <w:spacing w:after="0"/>
        <w:tabs>
          <w:tab w:leader="none" w:pos="1360" w:val="left"/>
          <w:tab w:leader="none" w:pos="3940" w:val="left"/>
          <w:tab w:leader="none" w:pos="5160" w:val="left"/>
          <w:tab w:leader="none" w:pos="7540" w:val="left"/>
          <w:tab w:leader="none" w:pos="8720" w:val="left"/>
        </w:tabs>
        <w:rPr>
          <w:sz w:val="20"/>
          <w:szCs w:val="20"/>
          <w:color w:val="auto"/>
        </w:rPr>
      </w:pPr>
      <w:r>
        <w:rPr>
          <w:rFonts w:ascii="Times New Roman" w:cs="Times New Roman" w:eastAsia="Times New Roman" w:hAnsi="Times New Roman"/>
          <w:sz w:val="14"/>
          <w:szCs w:val="14"/>
          <w:color w:val="auto"/>
        </w:rPr>
        <w:t>Auditor Name:</w:t>
        <w:tab/>
        <w:t>Marcum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San Francisco, CA</w:t>
      </w:r>
      <w:r>
        <w:rPr>
          <w:sz w:val="20"/>
          <w:szCs w:val="20"/>
          <w:color w:val="auto"/>
        </w:rPr>
        <w:tab/>
      </w: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3"/>
          <w:szCs w:val="13"/>
          <w:color w:val="auto"/>
        </w:rPr>
        <w:t>688</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90170</wp:posOffset>
                </wp:positionV>
                <wp:extent cx="597979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7.1pt" to="469.45pt,7.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77470</wp:posOffset>
                </wp:positionV>
                <wp:extent cx="59797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6.1pt" to="469.45pt,6.1pt" o:allowincell="f" strokecolor="#000000" strokeweight="0.5pt"/>
            </w:pict>
          </mc:Fallback>
        </mc:AlternateContent>
      </w:r>
    </w:p>
    <w:p>
      <w:pPr>
        <w:sectPr>
          <w:pgSz w:w="12240" w:h="15840" w:orient="portrait"/>
          <w:cols w:equalWidth="0" w:num="1">
            <w:col w:w="9360"/>
          </w:cols>
          <w:pgMar w:left="1440" w:top="1440" w:right="1440" w:bottom="1126" w:gutter="0" w:footer="0" w:header="0"/>
        </w:sectPr>
      </w:pPr>
    </w:p>
    <w:bookmarkStart w:id="1" w:name="page2"/>
    <w:bookmarkEnd w:id="1"/>
    <w:p>
      <w:pPr>
        <w:ind w:left="3600"/>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ind w:left="3000"/>
        <w:spacing w:after="0"/>
        <w:rPr>
          <w:sz w:val="20"/>
          <w:szCs w:val="20"/>
          <w:color w:val="auto"/>
        </w:rPr>
      </w:pPr>
      <w:r>
        <w:rPr>
          <w:rFonts w:ascii="Times New Roman" w:cs="Times New Roman" w:eastAsia="Times New Roman" w:hAnsi="Times New Roman"/>
          <w:sz w:val="20"/>
          <w:szCs w:val="20"/>
          <w:b w:val="1"/>
          <w:bCs w:val="1"/>
          <w:color w:val="auto"/>
        </w:rPr>
        <w:t>For the Year Ended December 31, 2023</w:t>
      </w: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2" w:lineRule="exact"/>
        <w:rPr>
          <w:sz w:val="20"/>
          <w:szCs w:val="20"/>
          <w:color w:val="auto"/>
        </w:rPr>
      </w:pPr>
    </w:p>
    <w:p>
      <w:pPr>
        <w:ind w:left="20"/>
        <w:spacing w:after="0"/>
        <w:tabs>
          <w:tab w:leader="none" w:pos="920" w:val="left"/>
          <w:tab w:leader="dot" w:pos="92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2</w:t>
      </w:r>
    </w:p>
    <w:p>
      <w:pPr>
        <w:spacing w:after="0" w:line="110"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15</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52</w:t>
      </w:r>
    </w:p>
    <w:p>
      <w:pPr>
        <w:spacing w:after="0" w:line="138" w:lineRule="exact"/>
        <w:rPr>
          <w:sz w:val="20"/>
          <w:szCs w:val="20"/>
          <w:color w:val="auto"/>
        </w:rPr>
      </w:pPr>
    </w:p>
    <w:p>
      <w:pPr>
        <w:ind w:left="20"/>
        <w:spacing w:after="0"/>
        <w:tabs>
          <w:tab w:leader="none" w:pos="920" w:val="left"/>
          <w:tab w:leader="none" w:pos="914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53</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54</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54</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54</w:t>
      </w: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4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w:t>
      </w:r>
    </w:p>
    <w:p>
      <w:pPr>
        <w:spacing w:after="0" w:line="28" w:lineRule="exact"/>
        <w:rPr>
          <w:sz w:val="20"/>
          <w:szCs w:val="20"/>
          <w:color w:val="auto"/>
        </w:rPr>
      </w:pPr>
    </w:p>
    <w:p>
      <w:pPr>
        <w:ind w:left="940"/>
        <w:spacing w:after="0"/>
        <w:tabs>
          <w:tab w:leader="dot" w:pos="914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55</w:t>
      </w:r>
    </w:p>
    <w:p>
      <w:pPr>
        <w:spacing w:after="0" w:line="110"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55</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w:t>
      </w:r>
      <w:r>
        <w:rPr>
          <w:sz w:val="20"/>
          <w:szCs w:val="20"/>
          <w:color w:val="auto"/>
        </w:rPr>
        <w:tab/>
      </w:r>
      <w:r>
        <w:rPr>
          <w:rFonts w:ascii="Times New Roman" w:cs="Times New Roman" w:eastAsia="Times New Roman" w:hAnsi="Times New Roman"/>
          <w:sz w:val="20"/>
          <w:szCs w:val="20"/>
          <w:color w:val="auto"/>
        </w:rPr>
        <w:t>56</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w:t>
      </w:r>
      <w:r>
        <w:rPr>
          <w:sz w:val="20"/>
          <w:szCs w:val="20"/>
          <w:color w:val="auto"/>
        </w:rPr>
        <w:tab/>
      </w:r>
      <w:r>
        <w:rPr>
          <w:rFonts w:ascii="Times New Roman" w:cs="Times New Roman" w:eastAsia="Times New Roman" w:hAnsi="Times New Roman"/>
          <w:sz w:val="20"/>
          <w:szCs w:val="20"/>
          <w:color w:val="auto"/>
        </w:rPr>
        <w:t>62</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63</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89</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9A</w:t>
        <w:tab/>
        <w:t>Controls and Procedures</w:t>
      </w:r>
      <w:r>
        <w:rPr>
          <w:sz w:val="20"/>
          <w:szCs w:val="20"/>
          <w:color w:val="auto"/>
        </w:rPr>
        <w:tab/>
      </w:r>
      <w:r>
        <w:rPr>
          <w:rFonts w:ascii="Times New Roman" w:cs="Times New Roman" w:eastAsia="Times New Roman" w:hAnsi="Times New Roman"/>
          <w:sz w:val="20"/>
          <w:szCs w:val="20"/>
          <w:color w:val="auto"/>
        </w:rPr>
        <w:t>89</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9B</w:t>
        <w:tab/>
        <w:t>Other Information</w:t>
      </w:r>
      <w:r>
        <w:rPr>
          <w:sz w:val="20"/>
          <w:szCs w:val="20"/>
          <w:color w:val="auto"/>
        </w:rPr>
        <w:tab/>
      </w:r>
      <w:r>
        <w:rPr>
          <w:rFonts w:ascii="Times New Roman" w:cs="Times New Roman" w:eastAsia="Times New Roman" w:hAnsi="Times New Roman"/>
          <w:sz w:val="20"/>
          <w:szCs w:val="20"/>
          <w:color w:val="auto"/>
        </w:rPr>
        <w:t>90</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90</w:t>
      </w:r>
    </w:p>
    <w:p>
      <w:pPr>
        <w:spacing w:after="0" w:line="3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42"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91</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91</w:t>
      </w:r>
    </w:p>
    <w:p>
      <w:pPr>
        <w:spacing w:after="0" w:line="13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w:t>
      </w:r>
    </w:p>
    <w:p>
      <w:pPr>
        <w:spacing w:after="0" w:line="28" w:lineRule="exact"/>
        <w:rPr>
          <w:sz w:val="20"/>
          <w:szCs w:val="20"/>
          <w:color w:val="auto"/>
        </w:rPr>
      </w:pPr>
    </w:p>
    <w:p>
      <w:pPr>
        <w:ind w:left="940"/>
        <w:spacing w:after="0"/>
        <w:tabs>
          <w:tab w:leader="dot" w:pos="9140" w:val="left"/>
        </w:tabs>
        <w:rPr>
          <w:sz w:val="20"/>
          <w:szCs w:val="20"/>
          <w:color w:val="auto"/>
        </w:rPr>
      </w:pPr>
      <w:r>
        <w:rPr>
          <w:rFonts w:ascii="Times New Roman" w:cs="Times New Roman" w:eastAsia="Times New Roman" w:hAnsi="Times New Roman"/>
          <w:sz w:val="20"/>
          <w:szCs w:val="20"/>
          <w:color w:val="auto"/>
        </w:rPr>
        <w:t>Matters</w:t>
      </w:r>
      <w:r>
        <w:rPr>
          <w:sz w:val="20"/>
          <w:szCs w:val="20"/>
          <w:color w:val="auto"/>
        </w:rPr>
        <w:tab/>
      </w:r>
      <w:r>
        <w:rPr>
          <w:rFonts w:ascii="Times New Roman" w:cs="Times New Roman" w:eastAsia="Times New Roman" w:hAnsi="Times New Roman"/>
          <w:sz w:val="20"/>
          <w:szCs w:val="20"/>
          <w:color w:val="auto"/>
        </w:rPr>
        <w:t>91</w:t>
      </w:r>
    </w:p>
    <w:p>
      <w:pPr>
        <w:spacing w:after="0" w:line="110"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91</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w:t>
      </w:r>
      <w:r>
        <w:rPr>
          <w:sz w:val="20"/>
          <w:szCs w:val="20"/>
          <w:color w:val="auto"/>
        </w:rPr>
        <w:tab/>
      </w:r>
      <w:r>
        <w:rPr>
          <w:rFonts w:ascii="Times New Roman" w:cs="Times New Roman" w:eastAsia="Times New Roman" w:hAnsi="Times New Roman"/>
          <w:sz w:val="20"/>
          <w:szCs w:val="20"/>
          <w:color w:val="auto"/>
        </w:rPr>
        <w:t>91</w:t>
      </w:r>
    </w:p>
    <w:p>
      <w:pPr>
        <w:spacing w:after="0" w:line="2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42"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Financial Statement Schedules</w:t>
      </w:r>
      <w:r>
        <w:rPr>
          <w:sz w:val="20"/>
          <w:szCs w:val="20"/>
          <w:color w:val="auto"/>
        </w:rPr>
        <w:tab/>
      </w:r>
      <w:r>
        <w:rPr>
          <w:rFonts w:ascii="Times New Roman" w:cs="Times New Roman" w:eastAsia="Times New Roman" w:hAnsi="Times New Roman"/>
          <w:sz w:val="20"/>
          <w:szCs w:val="20"/>
          <w:color w:val="auto"/>
        </w:rPr>
        <w:t>92</w:t>
      </w:r>
    </w:p>
    <w:p>
      <w:pPr>
        <w:spacing w:after="0" w:line="138" w:lineRule="exact"/>
        <w:rPr>
          <w:sz w:val="20"/>
          <w:szCs w:val="20"/>
          <w:color w:val="auto"/>
        </w:rPr>
      </w:pPr>
    </w:p>
    <w:p>
      <w:pPr>
        <w:ind w:left="20"/>
        <w:spacing w:after="0"/>
        <w:tabs>
          <w:tab w:leader="dot" w:pos="904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102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ectPr>
          <w:pgSz w:w="12240" w:h="15840" w:orient="portrait"/>
          <w:cols w:equalWidth="0" w:num="1">
            <w:col w:w="9360"/>
          </w:cols>
          <w:pgMar w:left="1440" w:top="141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statements regarding the timing of any regulatory process or ultimate approvals and determining a path forward for DCCR (Diazoxide Choline) Extended-Release tablets for the treatment of Prader-Willi syndrome;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6" w:right="1440" w:bottom="17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22" w:lineRule="exact"/>
        <w:rPr>
          <w:sz w:val="20"/>
          <w:szCs w:val="20"/>
          <w:color w:val="auto"/>
        </w:rPr>
      </w:pPr>
    </w:p>
    <w:p>
      <w:pPr>
        <w:ind w:right="280" w:firstLine="641"/>
        <w:spacing w:after="0" w:line="241" w:lineRule="auto"/>
        <w:rPr>
          <w:sz w:val="20"/>
          <w:szCs w:val="20"/>
          <w:color w:val="auto"/>
        </w:rPr>
      </w:pPr>
      <w:r>
        <w:rPr>
          <w:rFonts w:ascii="Times New Roman" w:cs="Times New Roman" w:eastAsia="Times New Roman" w:hAnsi="Times New Roman"/>
          <w:sz w:val="20"/>
          <w:szCs w:val="20"/>
          <w:color w:val="auto"/>
        </w:rPr>
        <w:t>We are focused on the development and commercialization of novel therapeutics for the treatment of rare diseases. Our lead candidate, DCCR (Diazoxide Choline) Extended-Release tablets, is a potent ATP-sensitive potassium (K</w:t>
      </w:r>
      <w:r>
        <w:rPr>
          <w:rFonts w:ascii="Times New Roman" w:cs="Times New Roman" w:eastAsia="Times New Roman" w:hAnsi="Times New Roman"/>
          <w:sz w:val="22"/>
          <w:szCs w:val="22"/>
          <w:color w:val="auto"/>
          <w:vertAlign w:val="subscript"/>
        </w:rPr>
        <w:t>ATP</w:t>
      </w:r>
      <w:r>
        <w:rPr>
          <w:rFonts w:ascii="Times New Roman" w:cs="Times New Roman" w:eastAsia="Times New Roman" w:hAnsi="Times New Roman"/>
          <w:sz w:val="20"/>
          <w:szCs w:val="20"/>
          <w:color w:val="auto"/>
        </w:rPr>
        <w:t>) channel activator. The K</w:t>
      </w:r>
      <w:r>
        <w:rPr>
          <w:rFonts w:ascii="Times New Roman" w:cs="Times New Roman" w:eastAsia="Times New Roman" w:hAnsi="Times New Roman"/>
          <w:sz w:val="22"/>
          <w:szCs w:val="22"/>
          <w:color w:val="auto"/>
          <w:vertAlign w:val="subscript"/>
        </w:rPr>
        <w:t>ATP</w:t>
      </w:r>
      <w:r>
        <w:rPr>
          <w:rFonts w:ascii="Times New Roman" w:cs="Times New Roman" w:eastAsia="Times New Roman" w:hAnsi="Times New Roman"/>
          <w:sz w:val="20"/>
          <w:szCs w:val="20"/>
          <w:color w:val="auto"/>
        </w:rPr>
        <w:t xml:space="preserve">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89"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20"/>
          <w:szCs w:val="20"/>
          <w:color w:val="auto"/>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designation for the drug in the United States (U.S.) and European Union (E.U.).</w:t>
      </w:r>
    </w:p>
    <w:p>
      <w:pPr>
        <w:spacing w:after="0" w:line="80"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20"/>
          <w:szCs w:val="20"/>
          <w:color w:val="auto"/>
        </w:rPr>
        <w:t>DCCR has been evaluated in a Phase 3 study (C601 or DESTINY PWS), a 13-week randomized, double-blind placebo-controlled study, which completed enrollment in January 2020, with 127 randomized participants at</w:t>
      </w:r>
    </w:p>
    <w:p>
      <w:pPr>
        <w:spacing w:after="0" w:line="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29 sites in the U.S. and United Kingdom (U.K.). Participants who completed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w:t>
      </w:r>
    </w:p>
    <w:p>
      <w:pPr>
        <w:spacing w:after="0" w:line="8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0"/>
          <w:szCs w:val="20"/>
          <w:color w:val="auto"/>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one-year data from C602 showing statistically significant reduction in hyperphagia and all other PWS behavioral parameters and statistically significant improvements compared to natural history of PWS from the PATH for PWS Study (PATH) over a one-year treatment period. The PATH study is an ongoing study sponsored by the Foundation for Prader-Willi Research (FPWR) to advance the understanding of the natural history in individuals with PWS.</w:t>
      </w:r>
    </w:p>
    <w:p>
      <w:pPr>
        <w:spacing w:after="0" w:line="8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The U.S. Food and Drug Administration (FDA) provided official meeting minutes from a Type C meeting in January 2022 that recommended additional controlled data be included in a New Drug Approval (NDA) submission.</w:t>
      </w:r>
    </w:p>
    <w:p>
      <w:pPr>
        <w:spacing w:after="0" w:line="49"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0"/>
          <w:szCs w:val="20"/>
          <w:color w:val="auto"/>
        </w:rPr>
        <w:t>In March 2022, we submitted an amended protocol that incorporated a randomized withdrawal (RW) period to Study C602 to obtain additional controlled data requested by the FDA and the FDA has acknowledged that data from the study has the potential to support an NDA submission for DCCR. The RW period of Study C602 was a multi-center, randomized, double-blind, placebo-controlled study of DCCR in 77 patients with PWS at 17 sites in the U.S. and 5 sites in the U.K. This RW period consisted only of patients previously enrolled in Study C602 and did not enroll any new patients. We announced the initiation of the RW period for Study C602 in October 2022, and completed enrollment in May 2023.</w:t>
      </w:r>
    </w:p>
    <w:p>
      <w:pPr>
        <w:spacing w:after="0" w:line="80"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0"/>
          <w:szCs w:val="20"/>
          <w:color w:val="auto"/>
        </w:rPr>
        <w:t>On September 26, 2023, we announced positive statistically significant top-line results from the RW period of Study C602. Subsequently, we received preliminary comments from the FDA for our pre-NDA meeting, and as we decided not to proceed with the meeting, they are considered the official record of the meeting. The FDA stated that the potential for data from the DCCR clinical program to provide substantial evidence of effectiveness will be a matter of review following the submission of an NDA. We plan to submit our NDA for DCCR to the FDA in mid-2024.</w:t>
      </w:r>
    </w:p>
    <w:p>
      <w:pPr>
        <w:spacing w:after="0" w:line="80" w:lineRule="exact"/>
        <w:rPr>
          <w:sz w:val="20"/>
          <w:szCs w:val="20"/>
          <w:color w:val="auto"/>
        </w:rPr>
      </w:pPr>
    </w:p>
    <w:p>
      <w:pPr>
        <w:ind w:right="180" w:firstLine="641"/>
        <w:spacing w:after="0" w:line="252" w:lineRule="auto"/>
        <w:rPr>
          <w:sz w:val="20"/>
          <w:szCs w:val="20"/>
          <w:color w:val="auto"/>
        </w:rPr>
      </w:pPr>
      <w:r>
        <w:rPr>
          <w:rFonts w:ascii="Times New Roman" w:cs="Times New Roman" w:eastAsia="Times New Roman" w:hAnsi="Times New Roman"/>
          <w:sz w:val="20"/>
          <w:szCs w:val="20"/>
          <w:color w:val="auto"/>
        </w:rPr>
        <w:t>Our current focus is the development of DCCR for PWS. However, other syndromes that may be similarly addressed include SH2B1 deficient obesity, Fragile X Prader-Willi Phenotype, KSR2 deficient obesity and other hyperphagic conditions. Another type of disease where DCCR may be efficacious is where hypoglycemia due to excess insulin secretion is a significant problem. Examples include hyperinsulinemic hypoglycemia and certain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16" w:right="1440" w:bottom="175" w:gutter="0" w:footer="0" w:header="0"/>
          <w:type w:val="continuous"/>
        </w:sectPr>
      </w:pPr>
    </w:p>
    <w:bookmarkStart w:id="4" w:name="page5"/>
    <w:bookmarkEnd w:id="4"/>
    <w:p>
      <w:pPr>
        <w:ind w:right="160"/>
        <w:spacing w:after="0" w:line="277" w:lineRule="auto"/>
        <w:rPr>
          <w:sz w:val="20"/>
          <w:szCs w:val="20"/>
          <w:color w:val="auto"/>
        </w:rPr>
      </w:pPr>
      <w:r>
        <w:rPr>
          <w:rFonts w:ascii="Times New Roman" w:cs="Times New Roman" w:eastAsia="Times New Roman" w:hAnsi="Times New Roman"/>
          <w:sz w:val="20"/>
          <w:szCs w:val="20"/>
          <w:color w:val="auto"/>
        </w:rPr>
        <w:t>Glycogen Storage Diseases. We have orphan drug designation for the treatment of Glycogen Storage Disease Type 1a in the 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Diazoxide Choline Extended-Release Tablets</w:t>
      </w:r>
    </w:p>
    <w:p>
      <w:pPr>
        <w:spacing w:after="0" w:line="122" w:lineRule="exact"/>
        <w:rPr>
          <w:sz w:val="20"/>
          <w:szCs w:val="20"/>
          <w:color w:val="auto"/>
        </w:rPr>
      </w:pPr>
    </w:p>
    <w:p>
      <w:pPr>
        <w:ind w:right="280" w:firstLine="490"/>
        <w:spacing w:after="0" w:line="215" w:lineRule="auto"/>
        <w:rPr>
          <w:sz w:val="20"/>
          <w:szCs w:val="20"/>
          <w:color w:val="auto"/>
        </w:rPr>
      </w:pPr>
      <w:r>
        <w:rPr>
          <w:rFonts w:ascii="Times New Roman" w:cs="Times New Roman" w:eastAsia="Times New Roman" w:hAnsi="Times New Roman"/>
          <w:sz w:val="20"/>
          <w:szCs w:val="20"/>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channels and appears to act on signs and symptoms of PWS in a variety of ways.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 in NPY/AgRP neurons in the hypothalamus may reduce secretion of neuropeptide Y (NPY), Agouti-related peptile (AgRP) and likely gamma-amino butyric acid (GABA) contributing to a reduction in hyperphagia.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 in the dorsal motor nucleus of vagus may potentiate the effects of leptin, insulin and </w:t>
      </w:r>
      <w:r>
        <w:rPr>
          <w:rFonts w:ascii="Arial" w:cs="Arial" w:eastAsia="Arial" w:hAnsi="Arial"/>
          <w:sz w:val="20"/>
          <w:szCs w:val="20"/>
          <w:color w:val="auto"/>
        </w:rPr>
        <w:t>α</w:t>
      </w:r>
      <w:r>
        <w:rPr>
          <w:rFonts w:ascii="Times New Roman" w:cs="Times New Roman" w:eastAsia="Times New Roman" w:hAnsi="Times New Roman"/>
          <w:sz w:val="20"/>
          <w:szCs w:val="20"/>
          <w:color w:val="auto"/>
        </w:rPr>
        <w:t>-melanocortin stimulating hormone to reduce hyperinsulinemia and impact appetite and satiety.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 in adipocytes has the potential to decrease de-novo triglyceride synthesis and increase ß-oxidation of fat, reducing fat mass.</w:t>
      </w:r>
    </w:p>
    <w:p>
      <w:pPr>
        <w:spacing w:after="0" w:line="89" w:lineRule="exact"/>
        <w:rPr>
          <w:sz w:val="20"/>
          <w:szCs w:val="20"/>
          <w:color w:val="auto"/>
        </w:rPr>
      </w:pPr>
    </w:p>
    <w:p>
      <w:pPr>
        <w:ind w:right="440" w:firstLine="490"/>
        <w:spacing w:after="0" w:line="244" w:lineRule="auto"/>
        <w:rPr>
          <w:sz w:val="20"/>
          <w:szCs w:val="20"/>
          <w:color w:val="auto"/>
        </w:rPr>
      </w:pPr>
      <w:r>
        <w:rPr>
          <w:rFonts w:ascii="Times New Roman" w:cs="Times New Roman" w:eastAsia="Times New Roman" w:hAnsi="Times New Roman"/>
          <w:sz w:val="20"/>
          <w:szCs w:val="20"/>
          <w:color w:val="auto"/>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product in the approved ultra-rare indications related to hyperinsulinism. Both the capsule and IV formulations have been withdrawn from the U.S. market for reasons other than safety. There is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198"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auto"/>
        </w:rPr>
        <w:t>DCCR tablets were formulated with the goals of improving the safety and bioavailability of orally-administered diazoxide and reducing the frequency of dosing required by current diazoxide formulations. Diazoxide choline is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Prader-Willi Syndrome (PWS)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PWS is a rare, complex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or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20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In addition to hyperphagia, typical behavioral disturbances associated with PWS include skin picking, difficulty with change in routine, obsessive and compulsive behaviors, anxiety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97" w:lineRule="exact"/>
        <w:rPr>
          <w:sz w:val="20"/>
          <w:szCs w:val="20"/>
          <w:color w:val="auto"/>
        </w:rPr>
      </w:pPr>
    </w:p>
    <w:p>
      <w:pPr>
        <w:ind w:right="180" w:firstLine="490"/>
        <w:spacing w:after="0" w:line="278" w:lineRule="auto"/>
        <w:rPr>
          <w:sz w:val="20"/>
          <w:szCs w:val="20"/>
          <w:color w:val="auto"/>
        </w:rPr>
      </w:pPr>
      <w:r>
        <w:rPr>
          <w:rFonts w:ascii="Times New Roman" w:cs="Times New Roman" w:eastAsia="Times New Roman" w:hAnsi="Times New Roman"/>
          <w:sz w:val="19"/>
          <w:szCs w:val="19"/>
          <w:color w:val="auto"/>
        </w:rPr>
        <w:t>PWS is typically thought of as a genetic obesity. However, many PWS patients today may not be obese because of increasing awareness among families and caregivers leading to significant control of access to food and its intake. However, patients remain hyperphagic and will typically have a higher body fat and lower lean body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20" w:right="1440" w:bottom="175" w:gutter="0" w:footer="0" w:header="0"/>
          <w:type w:val="continuous"/>
        </w:sectPr>
      </w:pPr>
    </w:p>
    <w:bookmarkStart w:id="5" w:name="page6"/>
    <w:bookmarkEnd w:id="5"/>
    <w:p>
      <w:pPr>
        <w:ind w:right="140"/>
        <w:spacing w:after="0" w:line="244" w:lineRule="auto"/>
        <w:rPr>
          <w:sz w:val="20"/>
          <w:szCs w:val="20"/>
          <w:color w:val="auto"/>
        </w:rPr>
      </w:pPr>
      <w:r>
        <w:rPr>
          <w:rFonts w:ascii="Times New Roman" w:cs="Times New Roman" w:eastAsia="Times New Roman" w:hAnsi="Times New Roman"/>
          <w:sz w:val="20"/>
          <w:szCs w:val="20"/>
          <w:color w:val="auto"/>
        </w:rPr>
        <w:t>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Unmet Medical Needs in PWS</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 xml:space="preserve">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 </w:t>
      </w:r>
      <w:r>
        <w:rPr>
          <w:rFonts w:ascii="Arial" w:cs="Arial" w:eastAsia="Arial" w:hAnsi="Arial"/>
          <w:sz w:val="18"/>
          <w:szCs w:val="18"/>
          <w:color w:val="auto"/>
        </w:rPr>
        <w:t>https://www.fpwr.org/pws-patient-voices</w:t>
      </w:r>
      <w:r>
        <w:rPr>
          <w:rFonts w:ascii="Times New Roman" w:cs="Times New Roman" w:eastAsia="Times New Roman" w:hAnsi="Times New Roman"/>
          <w:sz w:val="20"/>
          <w:szCs w:val="20"/>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208"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Clinical Trials of DCCR for PWS</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A Phase 2 clinical trial was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202"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9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w:t>
      </w:r>
    </w:p>
    <w:p>
      <w:pPr>
        <w:spacing w:after="0" w:line="202"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As described above in the Company Overview, a Phase 3 clinical trial, DESTINY PWS, was subsequently conducted to evaluate the efficacy and safety of DCCR in patients with genetically-confirmed PWS. Top-line results were reported in June 2020. Although the trial did not meet its primary endpoint of change from baseline in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20" w:right="1440" w:bottom="175" w:gutter="0" w:footer="0" w:header="0"/>
          <w:type w:val="continuous"/>
        </w:sectPr>
      </w:pPr>
    </w:p>
    <w:bookmarkStart w:id="6" w:name="page7"/>
    <w:bookmarkEnd w:id="6"/>
    <w:p>
      <w:pPr>
        <w:ind w:right="80"/>
        <w:spacing w:after="0" w:line="243" w:lineRule="auto"/>
        <w:rPr>
          <w:sz w:val="20"/>
          <w:szCs w:val="20"/>
          <w:color w:val="auto"/>
        </w:rPr>
      </w:pPr>
      <w:r>
        <w:rPr>
          <w:rFonts w:ascii="Times New Roman" w:cs="Times New Roman" w:eastAsia="Times New Roman" w:hAnsi="Times New Roman"/>
          <w:sz w:val="20"/>
          <w:szCs w:val="20"/>
          <w:color w:val="auto"/>
        </w:rPr>
        <w:t>hyperphagia, significant improvements were observed in two of three key secondary endpoints. Subjects who complete the DESTINY PWS study were allowed to enroll in a long-term, safety extension study (C602). In September 2021, we announced top-line results from the analysis of one-year data from C602 showing statistically significant reduction in hyperphagia and all other PWS behavioral parameters and statistically significant improvements compared to the natural history of PWS from the PATH for PWS Study (PATH) over a one-year treatment period. PATH is an ongoing study sponsored by the Foundation for Prader Willi Research (FPWR) evaluating the natural history of subjects with PWS in more than 700 families. In October 2022 we announced the initiation of the RW period of Study C602, which was a multi-center, randomized, double-blind, placebo-controlled study of DCCR in 77 patients with PWS at 17 sites in the U.S. and 5 sites in the U.K. This RW period consisted only of patients previously enrolled in Study C602 and did not enroll any new patients. In May 2023, we completed enrollment and we announced positive statistically significant top-line results from the RW period of Study C602 in September 2023.</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Safety of DCCR in the Treatment of PWS</w:t>
      </w:r>
    </w:p>
    <w:p>
      <w:pPr>
        <w:spacing w:after="0" w:line="240" w:lineRule="exact"/>
        <w:rPr>
          <w:sz w:val="20"/>
          <w:szCs w:val="20"/>
          <w:color w:val="auto"/>
        </w:rPr>
      </w:pPr>
    </w:p>
    <w:p>
      <w:pPr>
        <w:ind w:right="120" w:firstLine="490"/>
        <w:spacing w:after="0" w:line="270" w:lineRule="auto"/>
        <w:rPr>
          <w:sz w:val="20"/>
          <w:szCs w:val="20"/>
          <w:color w:val="auto"/>
        </w:rPr>
      </w:pPr>
      <w:r>
        <w:rPr>
          <w:rFonts w:ascii="Times New Roman" w:cs="Times New Roman" w:eastAsia="Times New Roman" w:hAnsi="Times New Roman"/>
          <w:sz w:val="19"/>
          <w:szCs w:val="19"/>
          <w:color w:val="auto"/>
        </w:rPr>
        <w:t>Across the combined C601 (DESTINY-PWS), and C602 long-term open-label extension (OLE) studies (which included DCCR treatment durations of up to ~4.5 years), 98.4% of participants reported treatment emergent adverse events (TEAEs). Most were grade 1 or 2 (75.2%), with no grade 4 or higher events. The most common TEAEs were hypertrichosis (68.8%), peripheral edema (34.4%), hirsutism (27.2%) and hyperglycemia (27.2%).</w:t>
      </w:r>
    </w:p>
    <w:p>
      <w:pPr>
        <w:spacing w:after="0" w:line="177"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The majority of participants with hypertrichosis, hirsutism, or hyperglycemia experienced resolution or improvement of their symptoms with continued DCCR dosing through the end of the study. Infrequently, DCCR dose adjustments or glucose-lowering agents (for hyperglycemia) and diuretics (for peripheral edema) were prescribed to manage participants experiencing these TEAEs.</w:t>
      </w:r>
    </w:p>
    <w:p>
      <w:pPr>
        <w:spacing w:after="0" w:line="19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One participant with a known history of psychiatric illness reported a suspected unexpected serious adverse reaction (SUSAR) of aggression in the ongoing C614 open label extension study.</w:t>
      </w:r>
    </w:p>
    <w:p>
      <w:pPr>
        <w:spacing w:after="0" w:line="159" w:lineRule="exact"/>
        <w:rPr>
          <w:sz w:val="20"/>
          <w:szCs w:val="20"/>
          <w:color w:val="auto"/>
        </w:rPr>
      </w:pPr>
    </w:p>
    <w:p>
      <w:pPr>
        <w:ind w:right="780" w:firstLine="490"/>
        <w:spacing w:after="0" w:line="277" w:lineRule="auto"/>
        <w:rPr>
          <w:sz w:val="20"/>
          <w:szCs w:val="20"/>
          <w:color w:val="auto"/>
        </w:rPr>
      </w:pPr>
      <w:r>
        <w:rPr>
          <w:rFonts w:ascii="Times New Roman" w:cs="Times New Roman" w:eastAsia="Times New Roman" w:hAnsi="Times New Roman"/>
          <w:sz w:val="20"/>
          <w:szCs w:val="20"/>
          <w:color w:val="auto"/>
        </w:rPr>
        <w:t>Overall, the safety profile of DCCR in the Phase 3 PWS clinical development program was generally consistent with the known safety profile of diazoxide and prior experience with DCCR.</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Regulatory Status of DCCR for the Treatment of PWS</w:t>
      </w:r>
    </w:p>
    <w:p>
      <w:pPr>
        <w:spacing w:after="0" w:line="242" w:lineRule="exact"/>
        <w:rPr>
          <w:sz w:val="20"/>
          <w:szCs w:val="20"/>
          <w:color w:val="auto"/>
        </w:rPr>
      </w:pPr>
    </w:p>
    <w:p>
      <w:pPr>
        <w:ind w:right="380" w:firstLine="446"/>
        <w:spacing w:after="0" w:line="247" w:lineRule="auto"/>
        <w:rPr>
          <w:sz w:val="20"/>
          <w:szCs w:val="20"/>
          <w:color w:val="auto"/>
        </w:rPr>
      </w:pPr>
      <w:r>
        <w:rPr>
          <w:rFonts w:ascii="Times New Roman" w:cs="Times New Roman" w:eastAsia="Times New Roman" w:hAnsi="Times New Roman"/>
          <w:sz w:val="20"/>
          <w:szCs w:val="20"/>
          <w:color w:val="auto"/>
        </w:rPr>
        <w:t>Diazoxide choline is being developed in the U.S. under a current Investigational New Drug Application (IND) and is designated as an Orphan Drug for the treatment of PWS in the U.S. and Europe and granted Fast Track designation in the U.S. If certain criteria are met, DCCR may be eligible for “Accelerated Approval” and “Priority Review” and also “Rolling Review”, which would allow us to submit to the FDA sections of our NDA as they are finished instead of waiting for all sections to be completed before submitting the marketing application. The current status of our Phase 3 clinical trial is described above in the Company Overview.</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Market opportunity</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An estimated 300,000 to 400,000 individuals worldwide have PWS with a birth incidence ranging from 1:15,000 to 1:25,000. In addition, according to an abstract published in the Journal of Endocrine Society, a 2020 review of medical claims provided by IQVIA Health Plan and CMS Medicare fee-for-service claim data, demonstrated a U.S. diagnosed PWS prevalence of approximately 9,000 patients in the United States in 2018.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2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Newly diagnosed PWS patients are typically treated by a multi-disciplinary team led by a pediatric endocrinologist. Many patients receive care at larger clinics devoted to PWS in university-associated hospitals or at children’s hospitals. This concentration of care may allow us to market DCCR without a partner by assembling a small, dedicated salesforce to target the limited number of major PWS treatment centers in the U.S. We believe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20" w:right="1440" w:bottom="175" w:gutter="0" w:footer="0" w:header="0"/>
          <w:type w:val="continuous"/>
        </w:sectPr>
      </w:pPr>
    </w:p>
    <w:bookmarkStart w:id="7" w:name="page8"/>
    <w:bookmarkEnd w:id="7"/>
    <w:p>
      <w:pPr>
        <w:ind w:right="20"/>
        <w:spacing w:after="0" w:line="277" w:lineRule="auto"/>
        <w:rPr>
          <w:sz w:val="20"/>
          <w:szCs w:val="20"/>
          <w:color w:val="auto"/>
        </w:rPr>
      </w:pPr>
      <w:r>
        <w:rPr>
          <w:rFonts w:ascii="Times New Roman" w:cs="Times New Roman" w:eastAsia="Times New Roman" w:hAnsi="Times New Roman"/>
          <w:sz w:val="20"/>
          <w:szCs w:val="20"/>
          <w:color w:val="auto"/>
        </w:rPr>
        <w:t>similar dynamics exist in Europe. In contrast, we will likely need to identify a marketing partner for DCCR in Japan, and the rest of the world. The final decision on sales and marketing strategy will be made at a later date.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Pricing</w:t>
      </w:r>
    </w:p>
    <w:p>
      <w:pPr>
        <w:spacing w:after="0" w:line="120"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Acadia Pharmaceuticals, Aardvark Therapeutics, Gedeon Richter, and Consynance.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Pharmaceuticals</w:t>
      </w:r>
    </w:p>
    <w:p>
      <w:pPr>
        <w:spacing w:after="0" w:line="120"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Our manufacturing strategy is to contract with third parties to manufacture our clinical and commercial API and drug product supplies.</w:t>
      </w:r>
    </w:p>
    <w:p>
      <w:pPr>
        <w:spacing w:after="0" w:line="16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9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Regulation of Pharmaceutical Manufacturing Processes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manufacturing process for pharmaceutical products is highly regulated and regulators may shut down manufacturing facilities that they believe do not comply with regulations, legislations, and/or guidelines.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DCCR Patent Portfolio</w:t>
      </w:r>
    </w:p>
    <w:p>
      <w:pPr>
        <w:spacing w:after="0" w:line="12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Our patent portfolio consists of issued U.S. patents and pending U.S. applications. The 20-year expiration dates of our issued U.S. patents are between 2025 to 2035. We also have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 Pharmaceuticals</w:t>
      </w:r>
    </w:p>
    <w:p>
      <w:pPr>
        <w:spacing w:after="0" w:line="124"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auto"/>
        </w:rPr>
        <w:t>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20" w:right="1440" w:bottom="175" w:gutter="0" w:footer="0" w:header="0"/>
          <w:type w:val="continuous"/>
        </w:sectPr>
      </w:pPr>
    </w:p>
    <w:bookmarkStart w:id="8" w:name="page9"/>
    <w:bookmarkEnd w:id="8"/>
    <w:p>
      <w:pPr>
        <w:ind w:right="80"/>
        <w:spacing w:after="0" w:line="277" w:lineRule="auto"/>
        <w:rPr>
          <w:sz w:val="20"/>
          <w:szCs w:val="20"/>
          <w:color w:val="auto"/>
        </w:rPr>
      </w:pPr>
      <w:r>
        <w:rPr>
          <w:rFonts w:ascii="Times New Roman" w:cs="Times New Roman" w:eastAsia="Times New Roman" w:hAnsi="Times New Roman"/>
          <w:sz w:val="20"/>
          <w:szCs w:val="20"/>
          <w:color w:val="auto"/>
        </w:rPr>
        <w:t>efficacy, labeling, storage, record keeping, approval, advertising and promotion of our products. As a result of these regulations, product development and product approval processes are very expensive and time consuming.</w:t>
      </w:r>
    </w:p>
    <w:p>
      <w:pPr>
        <w:spacing w:after="0" w:line="169"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A country’s regulatory agency, such as the FDA in the U.S., or a region’s agency, such as the EMA for the E.U., must approve a drug before it can be sold in the respective country or countries. The general process for drug approval in the U.S. is summarized below. Many other countries, including countries in the E.U., U.K. and Japan, have very similar regulatory approval processes.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Nonclinical Testing</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Before a drug candidate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Investigational New Drug Exemption Application (IND)</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120" w:lineRule="exact"/>
        <w:rPr>
          <w:sz w:val="20"/>
          <w:szCs w:val="20"/>
          <w:color w:val="auto"/>
        </w:rPr>
      </w:pPr>
    </w:p>
    <w:p>
      <w:pPr>
        <w:ind w:right="680" w:firstLine="490"/>
        <w:spacing w:after="0" w:line="277" w:lineRule="auto"/>
        <w:rPr>
          <w:sz w:val="20"/>
          <w:szCs w:val="20"/>
          <w:color w:val="auto"/>
        </w:rPr>
      </w:pPr>
      <w:r>
        <w:rPr>
          <w:rFonts w:ascii="Times New Roman" w:cs="Times New Roman" w:eastAsia="Times New Roman" w:hAnsi="Times New Roman"/>
          <w:sz w:val="20"/>
          <w:szCs w:val="20"/>
          <w:color w:val="auto"/>
        </w:rPr>
        <w:t>These clinical trials involve three separate phases that often overlap, can take many years and are very expensive. These three phases, which are subject to considerable regulation, are as follows:</w:t>
      </w:r>
    </w:p>
    <w:p>
      <w:pPr>
        <w:spacing w:after="0" w:line="16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Phase 1 Studies</w:t>
      </w:r>
      <w:r>
        <w:rPr>
          <w:rFonts w:ascii="Times New Roman" w:cs="Times New Roman" w:eastAsia="Times New Roman" w:hAnsi="Times New Roman"/>
          <w:sz w:val="20"/>
          <w:szCs w:val="20"/>
          <w:color w:val="auto"/>
        </w:rPr>
        <w:t>. During Phase 1 studies, researchers test a new drug in healthy volunteers. In most cases, 20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80 healthy volunteers participate in 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Phase 2 Studies</w:t>
      </w:r>
      <w:r>
        <w:rPr>
          <w:rFonts w:ascii="Times New Roman" w:cs="Times New Roman" w:eastAsia="Times New Roman" w:hAnsi="Times New Roman"/>
          <w:sz w:val="20"/>
          <w:szCs w:val="20"/>
          <w:color w:val="auto"/>
        </w:rPr>
        <w:t>. In Phase 2 studies, researchers administer the drug to a group of people with the disease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 for which the drug is being 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Phase 3 Studies</w:t>
      </w:r>
      <w:r>
        <w:rPr>
          <w:rFonts w:ascii="Times New Roman" w:cs="Times New Roman" w:eastAsia="Times New Roman" w:hAnsi="Times New Roman"/>
          <w:sz w:val="20"/>
          <w:szCs w:val="20"/>
          <w:color w:val="auto"/>
        </w:rPr>
        <w:t>. Researchers design Phase 3 studies to demonstrate whether or not a product offers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treatment benefit to a specific population. 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w:t>
      </w:r>
    </w:p>
    <w:p>
      <w:pPr>
        <w:spacing w:after="0" w:line="197" w:lineRule="exact"/>
        <w:rPr>
          <w:sz w:val="20"/>
          <w:szCs w:val="20"/>
          <w:color w:val="auto"/>
        </w:rPr>
      </w:pPr>
    </w:p>
    <w:p>
      <w:pPr>
        <w:ind w:right="200" w:firstLine="490"/>
        <w:spacing w:after="0" w:line="263" w:lineRule="auto"/>
        <w:rPr>
          <w:sz w:val="20"/>
          <w:szCs w:val="20"/>
          <w:color w:val="auto"/>
        </w:rPr>
      </w:pPr>
      <w:r>
        <w:rPr>
          <w:rFonts w:ascii="Times New Roman" w:cs="Times New Roman" w:eastAsia="Times New Roman" w:hAnsi="Times New Roman"/>
          <w:sz w:val="19"/>
          <w:szCs w:val="19"/>
          <w:color w:val="auto"/>
        </w:rPr>
        <w:t>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20" w:right="1440" w:bottom="175" w:gutter="0" w:footer="0" w:header="0"/>
          <w:type w:val="continuous"/>
        </w:sectPr>
      </w:pPr>
    </w:p>
    <w:bookmarkStart w:id="9" w:name="page10"/>
    <w:bookmarkEnd w:id="9"/>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97"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FDA Approval Process</w:t>
      </w:r>
    </w:p>
    <w:p>
      <w:pPr>
        <w:spacing w:after="0" w:line="24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211"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w:t>
      </w:r>
    </w:p>
    <w:p>
      <w:pPr>
        <w:spacing w:after="0" w:line="194"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9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 xml:space="preserve">Drugs that are developed for rare diseases (i.e., in the U.S., the disease or condition has a prevalence of less than 200,000 persons; in the E.U., the prevalence of the condition must be not more than 5 in 10,000) can be designated as “Orphan Drugs”. In the U.S., orphan-designated drugs are granted up to 7-year market exclusivity. In response to the court decision in </w:t>
      </w:r>
      <w:r>
        <w:rPr>
          <w:rFonts w:ascii="Times New Roman" w:cs="Times New Roman" w:eastAsia="Times New Roman" w:hAnsi="Times New Roman"/>
          <w:sz w:val="20"/>
          <w:szCs w:val="20"/>
          <w:i w:val="1"/>
          <w:iCs w:val="1"/>
          <w:color w:val="auto"/>
        </w:rPr>
        <w:t>Catalyst Pharms., Inc. v. Becerra</w:t>
      </w:r>
      <w:r>
        <w:rPr>
          <w:rFonts w:ascii="Times New Roman" w:cs="Times New Roman" w:eastAsia="Times New Roman" w:hAnsi="Times New Roman"/>
          <w:sz w:val="20"/>
          <w:szCs w:val="20"/>
          <w:color w:val="auto"/>
        </w:rPr>
        <w:t xml:space="preserve">, 14 F.4th 1299 (11th Cir. 2021), in January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the FDA intends to continue to apply its longstanding interpretation of the regulations to matters outside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scope of the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Ongoing Regulation</w:t>
      </w:r>
    </w:p>
    <w:p>
      <w:pPr>
        <w:spacing w:after="0" w:line="120"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71"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ind w:left="980" w:right="8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33" w:lineRule="exact"/>
        <w:rPr>
          <w:rFonts w:ascii="Arial" w:cs="Arial" w:eastAsia="Arial" w:hAnsi="Arial"/>
          <w:sz w:val="20"/>
          <w:szCs w:val="20"/>
          <w:color w:val="auto"/>
        </w:rPr>
      </w:pPr>
    </w:p>
    <w:p>
      <w:pPr>
        <w:ind w:left="980" w:right="72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approvals;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0" w:right="1440" w:bottom="175" w:gutter="0" w:footer="0" w:header="0"/>
          <w:type w:val="continuous"/>
        </w:sectPr>
      </w:pPr>
    </w:p>
    <w:bookmarkStart w:id="11" w:name="page12"/>
    <w:bookmarkEnd w:id="11"/>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FDA strictly regulates the marketing, labeling, advertising and promotion of drug and device products that are placed on the market. The Federal Trade Commission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20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Drugs are also subject to extensive regulation outside of the U.S. In the E.U., there is a centralized approval procedure that authorizes marketing of a product in all countries of the E.U. through a single application and review process.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European regulatory authorities.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Government Regulations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HIPAA and Other Privacy Laws</w:t>
      </w:r>
    </w:p>
    <w:p>
      <w:pPr>
        <w:spacing w:after="0" w:line="24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203"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20" w:right="1440" w:bottom="175" w:gutter="0" w:footer="0" w:header="0"/>
          <w:type w:val="continuous"/>
        </w:sectPr>
      </w:pPr>
    </w:p>
    <w:bookmarkStart w:id="12" w:name="page13"/>
    <w:bookmarkEnd w:id="12"/>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Billing and Fraud and Abuse Laws</w:t>
      </w:r>
    </w:p>
    <w:p>
      <w:pPr>
        <w:spacing w:after="0" w:line="101" w:lineRule="exact"/>
        <w:rPr>
          <w:sz w:val="20"/>
          <w:szCs w:val="20"/>
          <w:color w:val="auto"/>
        </w:rPr>
      </w:pPr>
    </w:p>
    <w:p>
      <w:pPr>
        <w:ind w:right="180" w:firstLine="490"/>
        <w:spacing w:after="0" w:line="231" w:lineRule="auto"/>
        <w:rPr>
          <w:sz w:val="20"/>
          <w:szCs w:val="20"/>
          <w:color w:val="auto"/>
        </w:rPr>
      </w:pPr>
      <w:r>
        <w:rPr>
          <w:rFonts w:ascii="Times New Roman" w:cs="Times New Roman" w:eastAsia="Times New Roman" w:hAnsi="Times New Roman"/>
          <w:sz w:val="20"/>
          <w:szCs w:val="20"/>
          <w:i w:val="1"/>
          <w:iCs w:val="1"/>
          <w:color w:val="auto"/>
        </w:rPr>
        <w:t>Antifraud Laws/Overpayments</w:t>
      </w:r>
      <w:r>
        <w:rPr>
          <w:rFonts w:ascii="Times New Roman" w:cs="Times New Roman" w:eastAsia="Times New Roman" w:hAnsi="Times New Roman"/>
          <w:sz w:val="20"/>
          <w:szCs w:val="20"/>
          <w:color w:val="auto"/>
        </w:rPr>
        <w:t>. As participants in federal and state healthcare programs, we are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numerous federal and state antifraud and abuse laws. Many of these antifraud laws are broad in scope, and neither the courts nor government agencies have extensively interpreted these laws. Prohibitions under some of these laws include:</w:t>
      </w:r>
    </w:p>
    <w:p>
      <w:pPr>
        <w:spacing w:after="0" w:line="77" w:lineRule="exact"/>
        <w:rPr>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submission, or causing the submission of, false claims or false information to government programs;</w:t>
      </w:r>
    </w:p>
    <w:p>
      <w:pPr>
        <w:spacing w:after="0" w:line="110" w:lineRule="exact"/>
        <w:rPr>
          <w:rFonts w:ascii="Arial" w:cs="Arial" w:eastAsia="Arial" w:hAnsi="Arial"/>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deceptive or fraudulent conduct;</w:t>
      </w:r>
    </w:p>
    <w:p>
      <w:pPr>
        <w:spacing w:after="0" w:line="110" w:lineRule="exact"/>
        <w:rPr>
          <w:rFonts w:ascii="Arial" w:cs="Arial" w:eastAsia="Arial" w:hAnsi="Arial"/>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performing medically unnecessary procedures; and</w:t>
      </w:r>
    </w:p>
    <w:p>
      <w:pPr>
        <w:spacing w:after="0" w:line="110" w:lineRule="exact"/>
        <w:rPr>
          <w:rFonts w:ascii="Arial" w:cs="Arial" w:eastAsia="Arial" w:hAnsi="Arial"/>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prohibitions in defrauding private sector health insurers.</w:t>
      </w:r>
    </w:p>
    <w:p>
      <w:pPr>
        <w:spacing w:after="0" w:line="235"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$13,508 to $27,018 per false claim, adjusted each year for inflation,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209"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“Self-Referral” and “Anti-Kickback” Restrictions</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Self-Referral law</w:t>
      </w:r>
      <w:r>
        <w:rPr>
          <w:rFonts w:ascii="Times New Roman" w:cs="Times New Roman" w:eastAsia="Times New Roman" w:hAnsi="Times New Roman"/>
          <w:sz w:val="20"/>
          <w:szCs w:val="20"/>
          <w:color w:val="auto"/>
        </w:rPr>
        <w:t>. We are subject to a federal “self-referral” law, commonly referred to as the “Stark” law,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provides that physicians who, 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20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20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0" w:right="1440" w:bottom="175" w:gutter="0" w:footer="0" w:header="0"/>
          <w:type w:val="continuous"/>
        </w:sectPr>
      </w:pPr>
    </w:p>
    <w:bookmarkStart w:id="13" w:name="page14"/>
    <w:bookmarkEnd w:id="13"/>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$13,508 to $27,018 for each separate false claim. Similarly, sanctions for violations under the North Carolina self-referral laws include refunds and monetary penalties.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Anti-Kickback Statute</w:t>
      </w:r>
      <w:r>
        <w:rPr>
          <w:rFonts w:ascii="Times New Roman" w:cs="Times New Roman" w:eastAsia="Times New Roman" w:hAnsi="Times New Roman"/>
          <w:sz w:val="20"/>
          <w:szCs w:val="20"/>
          <w:color w:val="auto"/>
        </w:rPr>
        <w:t>. The federal Anti-Kickback Statute prohibits persons from knowingly and willfully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20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9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94"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right="60"/>
        <w:spacing w:after="0" w:line="277" w:lineRule="auto"/>
        <w:rPr>
          <w:sz w:val="20"/>
          <w:szCs w:val="20"/>
          <w:color w:val="auto"/>
        </w:rPr>
      </w:pPr>
      <w:r>
        <w:rPr>
          <w:rFonts w:ascii="Times New Roman" w:cs="Times New Roman" w:eastAsia="Times New Roman" w:hAnsi="Times New Roman"/>
          <w:sz w:val="20"/>
          <w:szCs w:val="20"/>
          <w:color w:val="auto"/>
        </w:rPr>
        <w:t>operation of our business. Moreover, achieving and sustaining compliance with applicable federal and state privacy, security and fraud laws may prove costly.</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The Foreign Corrupt Practices Act</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Corporate Transactions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Underwritten Public Offerings and Concurrent Private Placement</w:t>
      </w:r>
    </w:p>
    <w:p>
      <w:pPr>
        <w:spacing w:after="0" w:line="102" w:lineRule="exact"/>
        <w:rPr>
          <w:sz w:val="20"/>
          <w:szCs w:val="20"/>
          <w:color w:val="auto"/>
        </w:rPr>
      </w:pPr>
    </w:p>
    <w:p>
      <w:pPr>
        <w:ind w:right="60" w:firstLine="490"/>
        <w:spacing w:after="0" w:line="229" w:lineRule="auto"/>
        <w:rPr>
          <w:sz w:val="20"/>
          <w:szCs w:val="20"/>
          <w:color w:val="auto"/>
        </w:rPr>
      </w:pPr>
      <w:r>
        <w:rPr>
          <w:rFonts w:ascii="Times New Roman" w:cs="Times New Roman" w:eastAsia="Times New Roman" w:hAnsi="Times New Roman"/>
          <w:sz w:val="20"/>
          <w:szCs w:val="20"/>
          <w:color w:val="auto"/>
        </w:rPr>
        <w:t>On March 31, 2022, we sold 2,666,666 shares of our common stock at a public offering price of $3.75 per share and, for certain investors, in lieu of common stock, pre-funded warrants to purchase 1,333,333 shares of our common stock at a public offering price of $3.60 per pre-funded warrant, which represents the per share public offering price for the common stock less the $0.15 per share exercise price for each pre-funded warrant. Each share of common stock or pre-funded warrant was sold together with one, immediately exercisable, common warrant with a five-year term to purchase one share of common stock at an exercise price of $4.50 per share. The net proceeds of the offering were $13.8 million, after deducting the underwriting discount and other offering expenses.</w:t>
      </w:r>
    </w:p>
    <w:p>
      <w:pPr>
        <w:spacing w:after="0" w:line="66" w:lineRule="exact"/>
        <w:rPr>
          <w:sz w:val="20"/>
          <w:szCs w:val="20"/>
          <w:color w:val="auto"/>
        </w:rPr>
      </w:pPr>
    </w:p>
    <w:p>
      <w:pPr>
        <w:ind w:firstLine="490"/>
        <w:spacing w:after="0" w:line="227" w:lineRule="auto"/>
        <w:rPr>
          <w:sz w:val="20"/>
          <w:szCs w:val="20"/>
          <w:color w:val="auto"/>
        </w:rPr>
      </w:pPr>
      <w:r>
        <w:rPr>
          <w:rFonts w:ascii="Times New Roman" w:cs="Times New Roman" w:eastAsia="Times New Roman" w:hAnsi="Times New Roman"/>
          <w:sz w:val="20"/>
          <w:szCs w:val="20"/>
          <w:color w:val="auto"/>
        </w:rPr>
        <w:t>On October 2,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of approximately $60.0 million of shares of our common stock and pre-funded warrants in a concurrent private offering pursuant to a securities purchase agreement with certain investors, including entities affiliated with existing stockholders, at a price per share of common stock equal to the public offering price of $20.00 and a price per per-funded warrant of $19.99. In aggregate, we received $129.0 million of gross proceeds from the underwritten public offering and concurrent private placement.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Securities Purchase Agreement</w:t>
      </w:r>
    </w:p>
    <w:p>
      <w:pPr>
        <w:spacing w:after="0" w:line="11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In December 2022, we entered into a securities purchase agreement providing for the sale of up to $60.0 million in warrants (divided into two tranches, Tranche A and Tranche B) and the common stock issuable upon the exercise thereof. We issued both tranches of warrants in exchange for an aggregate purchase price of $10.0 million in May 2023. The announcement of positive top-line data from the randomized withdrawal period of Study C602 in September 2023 triggered the mandatory exercise of the Tranche A warrants, and we received $15.0 million in gross proceeds. Between October 2023 and the end of 2023, several investors exercised their Tranche B warrants and we received $18.1 million in gross proceeds. The remaining Tranche B warrants may be exercised for an additional $16.9 million in proceeds to us.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At the Market Offering</w:t>
      </w:r>
    </w:p>
    <w:p>
      <w:pPr>
        <w:spacing w:after="0" w:line="11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In 2022, we sold 104,773 shares of common stock and raised $0.3 million in net proceeds, and in 2023, we sold 1,772,397 shares of common stock and raised $7.1 million in net proceeds pursuant to a Controlled Equity Offering Sales Agreement under which we could sell shares of our common stock having an aggregate offering price of up to $25.0 million from time to time in any method permit by law deemed to be an “at the market” Rule 415 under the Securities Act of 1933, as amended. The Controlled Equity Offering Sales Agreement was terminated in connection with the October 2, 2023 financing.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20" w:right="1440" w:bottom="175" w:gutter="0" w:footer="0" w:header="0"/>
          <w:type w:val="continuous"/>
        </w:sectPr>
      </w:pPr>
    </w:p>
    <w:bookmarkStart w:id="15" w:name="page16"/>
    <w:bookmarkEnd w:id="15"/>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117"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On June 1, 2022, the stockholders of the Company approved a reverse stock split of our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spacing w:after="0" w:line="7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w:t>
      </w:r>
    </w:p>
    <w:p>
      <w:pPr>
        <w:spacing w:after="0" w:line="12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2023, we had 33 full-time employees and 9 full-time or part-time consultants providing services to us. None of our employees is represented by a labor union or covered by collective bargaining agreements. We consider our relationship with our employees to be good.</w:t>
      </w:r>
    </w:p>
    <w:p>
      <w:pPr>
        <w:spacing w:after="0" w:line="6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and Available Information</w:t>
      </w:r>
    </w:p>
    <w:p>
      <w:pPr>
        <w:spacing w:after="0" w:line="124" w:lineRule="exact"/>
        <w:rPr>
          <w:sz w:val="20"/>
          <w:szCs w:val="20"/>
          <w:color w:val="auto"/>
        </w:rPr>
      </w:pPr>
    </w:p>
    <w:p>
      <w:pPr>
        <w:ind w:right="20" w:firstLine="490"/>
        <w:spacing w:after="0" w:line="221" w:lineRule="auto"/>
        <w:rPr>
          <w:sz w:val="20"/>
          <w:szCs w:val="20"/>
          <w:color w:val="auto"/>
        </w:rPr>
      </w:pPr>
      <w:r>
        <w:rPr>
          <w:rFonts w:ascii="Times New Roman" w:cs="Times New Roman" w:eastAsia="Times New Roman" w:hAnsi="Times New Roman"/>
          <w:sz w:val="20"/>
          <w:szCs w:val="20"/>
          <w:color w:val="auto"/>
        </w:rPr>
        <w:t>Our principal corporate offices are located at 203 Redwood Shores Parkway, Suite 500,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ectPr>
          <w:pgSz w:w="12240" w:h="15840" w:orient="portrait"/>
          <w:cols w:equalWidth="0" w:num="1">
            <w:col w:w="9360"/>
          </w:cols>
          <w:pgMar w:left="1440" w:top="140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05" w:right="1440" w:bottom="175" w:gutter="0" w:footer="0" w:header="0"/>
          <w:type w:val="continuous"/>
        </w:sectPr>
      </w:pPr>
    </w:p>
    <w:bookmarkStart w:id="16" w:name="page17"/>
    <w:bookmarkEnd w:id="16"/>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4"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w:t>
      </w:r>
    </w:p>
    <w:p>
      <w:pPr>
        <w:spacing w:after="0" w:line="12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83" w:lineRule="exact"/>
        <w:rPr>
          <w:sz w:val="20"/>
          <w:szCs w:val="20"/>
          <w:color w:val="auto"/>
        </w:rPr>
      </w:pPr>
    </w:p>
    <w:p>
      <w:pPr>
        <w:ind w:left="980" w:right="480" w:hanging="491"/>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a clinical-stage company with no approved products, which makes assessment of our future viability difficult;</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upon the success of DCCR, our sole therapeutic product candidate;</w:t>
      </w:r>
    </w:p>
    <w:p>
      <w:pPr>
        <w:spacing w:after="0" w:line="133" w:lineRule="exact"/>
        <w:rPr>
          <w:rFonts w:ascii="Arial" w:cs="Arial" w:eastAsia="Arial" w:hAnsi="Arial"/>
          <w:sz w:val="20"/>
          <w:szCs w:val="20"/>
          <w:color w:val="auto"/>
        </w:rPr>
      </w:pPr>
    </w:p>
    <w:p>
      <w:pPr>
        <w:ind w:left="980" w:right="300" w:hanging="491"/>
        <w:spacing w:after="0" w:line="252"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87"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obtain regulatory approval for DCCR in the U.S. and Europe, our business will be harmed;</w:t>
      </w:r>
    </w:p>
    <w:p>
      <w:pPr>
        <w:spacing w:after="0" w:line="133" w:lineRule="exact"/>
        <w:rPr>
          <w:rFonts w:ascii="Arial" w:cs="Arial" w:eastAsia="Arial" w:hAnsi="Arial"/>
          <w:sz w:val="20"/>
          <w:szCs w:val="20"/>
          <w:color w:val="auto"/>
        </w:rPr>
      </w:pPr>
    </w:p>
    <w:p>
      <w:pPr>
        <w:ind w:left="980" w:right="300" w:hanging="491"/>
        <w:spacing w:after="0" w:line="269" w:lineRule="auto"/>
        <w:tabs>
          <w:tab w:leader="none" w:pos="98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73" w:lineRule="exact"/>
        <w:rPr>
          <w:rFonts w:ascii="Arial" w:cs="Arial" w:eastAsia="Arial" w:hAnsi="Arial"/>
          <w:sz w:val="19"/>
          <w:szCs w:val="19"/>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successful in commercializing our approved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patent rights may prove to be an inadequate barrier to competition; and</w:t>
      </w:r>
    </w:p>
    <w:p>
      <w:pPr>
        <w:spacing w:after="0" w:line="133" w:lineRule="exact"/>
        <w:rPr>
          <w:rFonts w:ascii="Arial" w:cs="Arial" w:eastAsia="Arial" w:hAnsi="Arial"/>
          <w:sz w:val="20"/>
          <w:szCs w:val="20"/>
          <w:color w:val="auto"/>
        </w:rPr>
      </w:pPr>
    </w:p>
    <w:p>
      <w:pPr>
        <w:ind w:left="980" w:right="80" w:hanging="491"/>
        <w:spacing w:after="0" w:line="249"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requirements</w:t>
      </w:r>
    </w:p>
    <w:p>
      <w:pPr>
        <w:spacing w:after="0" w:line="18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a clinical-stage company with no approved products, which makes assessment of our future viability difficult.</w:t>
      </w:r>
    </w:p>
    <w:p>
      <w:pPr>
        <w:spacing w:after="0" w:line="1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the success of DCCR, our sole therapeutic product candidate.</w:t>
      </w:r>
    </w:p>
    <w:p>
      <w:pPr>
        <w:spacing w:after="0" w:line="1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40" w:right="1440" w:bottom="175" w:gutter="0" w:footer="0" w:header="0"/>
          <w:type w:val="continuous"/>
        </w:sectPr>
      </w:pPr>
    </w:p>
    <w:bookmarkStart w:id="17" w:name="page18"/>
    <w:bookmarkEnd w:id="17"/>
    <w:p>
      <w:pPr>
        <w:spacing w:after="0" w:line="249" w:lineRule="auto"/>
        <w:rPr>
          <w:sz w:val="20"/>
          <w:szCs w:val="20"/>
          <w:color w:val="auto"/>
        </w:rPr>
      </w:pPr>
      <w:r>
        <w:rPr>
          <w:rFonts w:ascii="Times New Roman" w:cs="Times New Roman" w:eastAsia="Times New Roman" w:hAnsi="Times New Roman"/>
          <w:sz w:val="20"/>
          <w:szCs w:val="20"/>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91" w:lineRule="exact"/>
        <w:rPr>
          <w:sz w:val="20"/>
          <w:szCs w:val="20"/>
          <w:color w:val="auto"/>
        </w:rPr>
      </w:pPr>
    </w:p>
    <w:p>
      <w:pPr>
        <w:ind w:left="980" w:right="60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and timely completion of nonclinical and clinical development of DCCR or any future product candidates, as well as the associated costs, including any unforeseen costs;</w:t>
      </w:r>
    </w:p>
    <w:p>
      <w:pPr>
        <w:spacing w:after="0" w:line="64"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making any required post-marketing approval commitments to applicable regulatory authorities and then fulfilling those commitments;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obtain a sufficiently broad label that would not unduly restrict patient access;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marketing approvals for DCCR in the U.S. and Europe;</w:t>
      </w:r>
    </w:p>
    <w:p>
      <w:pPr>
        <w:spacing w:after="0" w:line="133"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building an infrastructure capable of supporting product sales, marketing, and distribution of DCCR in territories where we pursue commercialization directly;</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commercial manufacturing arrangements with third party manufacturers;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commercial distribution agreements with third party distributors;</w:t>
      </w:r>
    </w:p>
    <w:p>
      <w:pPr>
        <w:spacing w:after="0" w:line="133"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launching commercial sales of DCCR, if and when approved, whether alone or in collaboration with others;</w:t>
      </w:r>
    </w:p>
    <w:p>
      <w:pPr>
        <w:spacing w:after="0" w:line="64" w:lineRule="exact"/>
        <w:rPr>
          <w:rFonts w:ascii="Arial" w:cs="Arial" w:eastAsia="Arial" w:hAnsi="Arial"/>
          <w:sz w:val="20"/>
          <w:szCs w:val="20"/>
          <w:color w:val="auto"/>
        </w:rPr>
      </w:pPr>
    </w:p>
    <w:p>
      <w:pPr>
        <w:ind w:left="980" w:right="60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DCCR, if and when approved, by patients, the medical community, and third-party payers;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pathway that we pursue for DCCR in the U.S.;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effectively competing with other therapies;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continued acceptable safety profile of DCCR following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protecting our rights in our intellectual property portfolio;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 commercially viable price for our products.</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DCCR, which would materially harm our business. We have been in discussions with the FDA regarding the clinical data necessary to support the submission of a new drug application (NDA) seeking approval to market DCCR for the treatment of PWS, after our Phase 3 clinical trial, DESTINY PWS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(C601) trial failed to demonstrate statistical significance on the primary efficacy endpoints following which the FDA asked us to conduct a new clinical trial. As part of the ongoing discussions with the FDA, we have provided the agency with data from the C601 clinical trial, the open-label extension study (C602) as well as comparison to the natural history study (PATH for PWS) to allow the FDA to further assess if those data may provide adequate evidence of safety and efficacy to permit us to submit an NDA for DCCR. As we previously disclosed, the FDA indicated that additional controlled data would be necessary to support our planned NDA and we have completed a randomized withdrawal period to Study C602 to obtain additional controlled data. Subsequently, we received preliminary comments from the FDA for our pre-NDA meeting, and as we decided not to proceed with the meeting, they are considered the official record of the meeting. The FDA stated that the potential for data from the DCCR clinical program to provide substantial evidence of effectiveness will be a matter of review following the submission of an NDA. The FDA's concerns regarding our data include the C601 study not meeting its primary efficacy endpoint and the randomized withdrawal period of the C602 study including the same study population as the C601 study.</w:t>
      </w:r>
    </w:p>
    <w:p>
      <w:pPr>
        <w:spacing w:after="0" w:line="9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If the FDA disagrees with our interpretation of the data, or requires us to conduct additional studies, or if we are unable to adequately address any concerns or requests in a manner satisfactory to the FDA or other regulatory authorities in a timely manner, or at all, we would be significantly delayed or prevented from receiving approval of DCCR for any intended use. Complying with any additional requests for information from the FDA or other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right="20"/>
        <w:spacing w:after="0" w:line="258" w:lineRule="auto"/>
        <w:rPr>
          <w:sz w:val="20"/>
          <w:szCs w:val="20"/>
          <w:color w:val="auto"/>
        </w:rPr>
      </w:pPr>
      <w:r>
        <w:rPr>
          <w:rFonts w:ascii="Times New Roman" w:cs="Times New Roman" w:eastAsia="Times New Roman" w:hAnsi="Times New Roman"/>
          <w:sz w:val="20"/>
          <w:szCs w:val="20"/>
          <w:color w:val="auto"/>
        </w:rPr>
        <w:t>regulatory authorities as well as any changes in the regulatory requirements will be time-consuming and expensive. We can provide no assurances regarding the FDA’s review of any NDA we submit, whether the FDA will accept the NDA for substantive review, or if the FDA will ultimately approve such NDA.</w:t>
      </w:r>
    </w:p>
    <w:p>
      <w:pPr>
        <w:spacing w:after="0" w:line="1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We have not commenced commercialization of DCCR, our current sole novel therapeutic product, and accordingly, through December 31, 2023, have generated no revenue from operations. We had a net loss of $39.0 million during the year ended December 31, 2023 and an accumulated deficit of $276.4 million at December 31, 2023 as a result of having incurred losses since our inception. We had $169.7 million in cash and cash equivalents and $159.9 million of working capital at December 31, 2023, used $24.9 million of cash in operating activities during the year ended December 31, 2023 and expect to continue incurring losses for the foreseeable future.</w:t>
      </w:r>
    </w:p>
    <w:p>
      <w:pPr>
        <w:spacing w:after="0" w:line="80"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9"/>
          <w:szCs w:val="19"/>
          <w:color w:val="auto"/>
        </w:rPr>
        <w:t>We intend to raise additional capital, either through debt or equity financings to achieve our business plan objectives, including ongoing expenses related to resources being deployed to manage participants in our current ongoing clinical trial of DCCR and other activities necessary to support the submission of an NDA to the FDA.</w:t>
      </w:r>
    </w:p>
    <w:p>
      <w:pPr>
        <w:spacing w:after="0" w:line="5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studies, our ability to obtain FDA clearance for DCCR, the condition of the capital markets and the other risks described in these risk factors.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w:t>
      </w:r>
    </w:p>
    <w:p>
      <w:pPr>
        <w:spacing w:after="0" w:line="8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maintain our cash at financial institutions, often in balances that exceed federally insured limits.</w:t>
      </w:r>
    </w:p>
    <w:p>
      <w:pPr>
        <w:spacing w:after="0" w:line="12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We maintain our operating account at Silicon Valley Bank (SVB), a Division of First Citizens Bank, and therefore those amounts held in excess of the FDIC insurance limit were at risk during the recent uncertainty about the viability of SVB. However, with the FDIC taking control of SVB on March 10, 2023, and the Federal Reserve announcing that account holders would be made whole this recent uncertainty has been resolved and we do not view the ongoing risk as material to our financial condition. However, as the FDIC continues to address the situation with SVB, Signature Bank and other similarly situated banking institutions,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20" w:right="1440" w:bottom="175" w:gutter="0" w:footer="0" w:header="0"/>
          <w:type w:val="continuous"/>
        </w:sectPr>
      </w:pPr>
    </w:p>
    <w:bookmarkStart w:id="19" w:name="page20"/>
    <w:bookmarkEnd w:id="19"/>
    <w:p>
      <w:pPr>
        <w:jc w:val="both"/>
        <w:ind w:right="180"/>
        <w:spacing w:after="0" w:line="252" w:lineRule="auto"/>
        <w:rPr>
          <w:sz w:val="20"/>
          <w:szCs w:val="20"/>
          <w:color w:val="auto"/>
        </w:rPr>
      </w:pPr>
      <w:r>
        <w:rPr>
          <w:rFonts w:ascii="Times New Roman" w:cs="Times New Roman" w:eastAsia="Times New Roman" w:hAnsi="Times New Roman"/>
          <w:sz w:val="20"/>
          <w:szCs w:val="20"/>
          <w:color w:val="auto"/>
        </w:rPr>
        <w:t>risk of loss in excess of insurance limitations has generally increased.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74"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a limited commercialization history and have incurred significant losses since our inception, and we anticipate that we will continue to incur substantial losses for the foreseeable future.</w:t>
      </w:r>
    </w:p>
    <w:p>
      <w:pPr>
        <w:spacing w:after="0" w:line="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and will incur substantial commercial expenses related to our operations. Investment in product development is highly speculative, because it entails substantial upfront capital expenditures and significant risk that any planned product may not receive marketing approval from the FDA.</w:t>
      </w:r>
    </w:p>
    <w:p>
      <w:pPr>
        <w:spacing w:after="0" w:line="20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currently have generated limited product revenue and may never become profitable.</w:t>
      </w:r>
    </w:p>
    <w:p>
      <w:pPr>
        <w:spacing w:after="0" w:line="12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To date, we have not generated significant revenues.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88" w:lineRule="exact"/>
        <w:rPr>
          <w:sz w:val="20"/>
          <w:szCs w:val="20"/>
          <w:color w:val="auto"/>
        </w:rPr>
      </w:pPr>
    </w:p>
    <w:p>
      <w:pPr>
        <w:jc w:val="both"/>
        <w:ind w:left="980" w:right="44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develop a commercial organization capable of sales, marketing and distribution of any products for which we obtain marketing approval in markets where we intend to commercialize independently;</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achieve market acceptance of our current and future products, if any;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set a commercially viable price for our current and future products, if any;</w:t>
      </w:r>
    </w:p>
    <w:p>
      <w:pPr>
        <w:spacing w:after="0" w:line="133"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and maintain supply and manufacturing relationships with reliable third parties, and ensure adequate and legally compliant manufacturing to maintain that supply;</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obtain coverage and adequate reimbursement from third-party payors, including government and private payors;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find suitable distribution partners to help us market, sell and distribute our products in other markets;</w:t>
      </w:r>
    </w:p>
    <w:p>
      <w:pPr>
        <w:spacing w:after="0" w:line="133" w:lineRule="exact"/>
        <w:rPr>
          <w:rFonts w:ascii="Arial" w:cs="Arial" w:eastAsia="Arial" w:hAnsi="Arial"/>
          <w:sz w:val="20"/>
          <w:szCs w:val="20"/>
          <w:color w:val="auto"/>
        </w:rPr>
      </w:pPr>
    </w:p>
    <w:p>
      <w:pPr>
        <w:ind w:left="980" w:right="94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complete and submit applications to, and obtain regulatory approval from, foreign regulatory authorities;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complete development activities successfully and on a timely basis;</w:t>
      </w:r>
    </w:p>
    <w:p>
      <w:pPr>
        <w:spacing w:after="0" w:line="133"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maintain and enforce our intellectual property rights and avoid third-party patent interference, intellectual property challenges or intellectual property infringement claims;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attract, hire and retain qualified personnel.</w:t>
      </w:r>
    </w:p>
    <w:p>
      <w:pPr>
        <w:spacing w:after="0" w:line="23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20" w:right="1440" w:bottom="175" w:gutter="0" w:footer="0" w:header="0"/>
          <w:type w:val="continuous"/>
        </w:sectPr>
      </w:pPr>
    </w:p>
    <w:bookmarkStart w:id="20" w:name="page21"/>
    <w:bookmarkEnd w:id="20"/>
    <w:p>
      <w:pPr>
        <w:ind w:right="60"/>
        <w:spacing w:after="0" w:line="252" w:lineRule="auto"/>
        <w:rPr>
          <w:sz w:val="20"/>
          <w:szCs w:val="20"/>
          <w:color w:val="auto"/>
        </w:rPr>
      </w:pPr>
      <w:r>
        <w:rPr>
          <w:rFonts w:ascii="Times New Roman" w:cs="Times New Roman" w:eastAsia="Times New Roman" w:hAnsi="Times New Roman"/>
          <w:sz w:val="20"/>
          <w:szCs w:val="20"/>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3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4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108" w:lineRule="exact"/>
        <w:rPr>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enroll patients in clinical trials and the timing of enrollment;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timing and outcomes of clinical studies;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any delays in regulatory review or approval in the U.S. or globally, of any of our planned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risk of initiating sales and marketing activities;</w:t>
      </w:r>
    </w:p>
    <w:p>
      <w:pPr>
        <w:spacing w:after="0" w:line="133" w:lineRule="exact"/>
        <w:rPr>
          <w:rFonts w:ascii="Arial" w:cs="Arial" w:eastAsia="Arial" w:hAnsi="Arial"/>
          <w:sz w:val="20"/>
          <w:szCs w:val="20"/>
          <w:color w:val="auto"/>
        </w:rPr>
      </w:pPr>
    </w:p>
    <w:p>
      <w:pPr>
        <w:ind w:left="980" w:right="32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planned products, which will change from time to time;</w:t>
      </w:r>
    </w:p>
    <w:p>
      <w:pPr>
        <w:spacing w:after="0" w:line="64"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products may vary depending on FDA and other regulatory requirements, the quantity of production and the terms of our agreements with manufacturers;</w:t>
      </w:r>
    </w:p>
    <w:p>
      <w:pPr>
        <w:spacing w:after="0" w:line="64" w:lineRule="exact"/>
        <w:rPr>
          <w:rFonts w:ascii="Arial" w:cs="Arial" w:eastAsia="Arial" w:hAnsi="Arial"/>
          <w:sz w:val="20"/>
          <w:szCs w:val="20"/>
          <w:color w:val="auto"/>
        </w:rPr>
      </w:pPr>
    </w:p>
    <w:p>
      <w:pPr>
        <w:ind w:left="980" w:right="94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acquire or develop additional planned products and technologies;</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competitive landscape of our industry, including consolidation among our competitors or potential partners;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products may fluctuate significantly and be difficult to predict;</w:t>
      </w:r>
    </w:p>
    <w:p>
      <w:pPr>
        <w:spacing w:after="0" w:line="133" w:lineRule="exact"/>
        <w:rPr>
          <w:rFonts w:ascii="Arial" w:cs="Arial" w:eastAsia="Arial" w:hAnsi="Arial"/>
          <w:sz w:val="20"/>
          <w:szCs w:val="20"/>
          <w:color w:val="auto"/>
        </w:rPr>
      </w:pPr>
    </w:p>
    <w:p>
      <w:pPr>
        <w:ind w:left="980" w:right="4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future products, if approved, and existing and potential future drugs that compete with our planned products;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existing and potential future offerings that compete with our products;</w:t>
      </w:r>
    </w:p>
    <w:p>
      <w:pPr>
        <w:spacing w:after="0" w:line="133"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products inside and outside of the U.S., either independently or working with third parties;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collaborations, licensing or other arrangements;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adequately support future growth;</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unforeseen business disruptions that increase our costs or expenses;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global economic environment.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20" w:right="1440" w:bottom="175" w:gutter="0" w:footer="0" w:header="0"/>
          <w:type w:val="continuous"/>
        </w:sectPr>
      </w:pPr>
    </w:p>
    <w:bookmarkStart w:id="21" w:name="page22"/>
    <w:bookmarkEnd w:id="21"/>
    <w:p>
      <w:pPr>
        <w:ind w:right="100"/>
        <w:spacing w:after="0" w:line="244" w:lineRule="auto"/>
        <w:rPr>
          <w:sz w:val="20"/>
          <w:szCs w:val="20"/>
          <w:color w:val="auto"/>
        </w:rPr>
      </w:pPr>
      <w:r>
        <w:rPr>
          <w:rFonts w:ascii="Times New Roman" w:cs="Times New Roman" w:eastAsia="Times New Roman" w:hAnsi="Times New Roman"/>
          <w:sz w:val="20"/>
          <w:szCs w:val="20"/>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46"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engage in strategic transactions that could impact our liquidity, increase our expenses and present significant distractions to our management.</w:t>
      </w:r>
    </w:p>
    <w:p>
      <w:pPr>
        <w:spacing w:after="0" w:line="4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96" w:lineRule="exact"/>
        <w:rPr>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exposure to unknown and contingent liabilities;</w:t>
      </w:r>
    </w:p>
    <w:p>
      <w:pPr>
        <w:spacing w:after="0" w:line="133"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of our business and diversion of our management’s time and attention in order to develop acquired products, product candidates or technologies;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incurrence of substantial debt or dilutive issuances of equity securities to pay for acquisitions;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higher than expected acquisition and integration costs;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likelihood of payment of milestones or royalties;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write-downs of assets or goodwill or impairment charges;</w:t>
      </w:r>
    </w:p>
    <w:p>
      <w:pPr>
        <w:spacing w:after="0" w:line="13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expenditures, including additional research, development and sales and marketing expenses;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amortization expenses;</w:t>
      </w:r>
    </w:p>
    <w:p>
      <w:pPr>
        <w:spacing w:after="0" w:line="133" w:lineRule="exact"/>
        <w:rPr>
          <w:rFonts w:ascii="Arial" w:cs="Arial" w:eastAsia="Arial" w:hAnsi="Arial"/>
          <w:sz w:val="20"/>
          <w:szCs w:val="20"/>
          <w:color w:val="auto"/>
        </w:rPr>
      </w:pPr>
    </w:p>
    <w:p>
      <w:pPr>
        <w:ind w:left="980" w:right="56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and cost in combining the operations and personnel of any acquired businesses with our operations and personnel; and</w:t>
      </w:r>
    </w:p>
    <w:p>
      <w:pPr>
        <w:spacing w:after="0" w:line="64"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impairment of relationships with key suppliers or customers of any acquired businesses due to changes in management and ownership.</w:t>
      </w:r>
    </w:p>
    <w:p>
      <w:pPr>
        <w:spacing w:after="0" w:line="5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34"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enter into strategic transactions on a timely basis or on acceptable terms, which may impact our development and commercialization plans.</w:t>
      </w:r>
    </w:p>
    <w:p>
      <w:pPr>
        <w:spacing w:after="0" w:line="4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0" w:right="1440" w:bottom="175" w:gutter="0" w:footer="0" w:header="0"/>
          <w:type w:val="continuous"/>
        </w:sectPr>
      </w:pPr>
    </w:p>
    <w:bookmarkStart w:id="22" w:name="page23"/>
    <w:bookmarkEnd w:id="22"/>
    <w:p>
      <w:pPr>
        <w:ind w:right="260"/>
        <w:spacing w:after="0" w:line="258" w:lineRule="auto"/>
        <w:rPr>
          <w:sz w:val="20"/>
          <w:szCs w:val="20"/>
          <w:color w:val="auto"/>
        </w:rPr>
      </w:pPr>
      <w:r>
        <w:rPr>
          <w:rFonts w:ascii="Times New Roman" w:cs="Times New Roman" w:eastAsia="Times New Roman" w:hAnsi="Times New Roman"/>
          <w:sz w:val="20"/>
          <w:szCs w:val="20"/>
          <w:color w:val="auto"/>
        </w:rPr>
        <w:t>we may not be able to further develop our products or bring them to market and generate product revenue. Furthermore, there is no assurance that any such transaction will be successful or that we will derive an economic benefit as a result.</w:t>
      </w:r>
    </w:p>
    <w:p>
      <w:pPr>
        <w:spacing w:after="0" w:line="184" w:lineRule="exact"/>
        <w:rPr>
          <w:sz w:val="20"/>
          <w:szCs w:val="20"/>
          <w:color w:val="auto"/>
        </w:rPr>
      </w:pPr>
    </w:p>
    <w:p>
      <w:pPr>
        <w:ind w:right="3200"/>
        <w:spacing w:after="0" w:line="419" w:lineRule="auto"/>
        <w:rPr>
          <w:sz w:val="20"/>
          <w:szCs w:val="20"/>
          <w:color w:val="auto"/>
        </w:rPr>
      </w:pPr>
      <w:r>
        <w:rPr>
          <w:rFonts w:ascii="Times New Roman" w:cs="Times New Roman" w:eastAsia="Times New Roman" w:hAnsi="Times New Roman"/>
          <w:sz w:val="19"/>
          <w:szCs w:val="19"/>
          <w:b w:val="1"/>
          <w:bCs w:val="1"/>
          <w:color w:val="auto"/>
        </w:rPr>
        <w:t xml:space="preserve">Risks related to the development and commercialization of our products </w:t>
      </w:r>
      <w:r>
        <w:rPr>
          <w:rFonts w:ascii="Times New Roman" w:cs="Times New Roman" w:eastAsia="Times New Roman" w:hAnsi="Times New Roman"/>
          <w:sz w:val="19"/>
          <w:szCs w:val="19"/>
          <w:b w:val="1"/>
          <w:bCs w:val="1"/>
          <w:i w:val="1"/>
          <w:iCs w:val="1"/>
          <w:color w:val="auto"/>
        </w:rPr>
        <w:t>We may not be successful in commercializing our approved products.</w:t>
      </w:r>
    </w:p>
    <w:p>
      <w:pPr>
        <w:spacing w:after="0" w:line="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7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Further, clinical trial disruptions or protocol deviations during the COVID-19 pandemic may introduce bias or other factors that can impact the reliability of our clinical data collected at the peak of the COVID-19 public health emergency.</w:t>
      </w:r>
    </w:p>
    <w:p>
      <w:pPr>
        <w:spacing w:after="0" w:line="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Earlier conducted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Phase 3 trials) or generate other forms of confirmatory evidence, which could materially delay our anticipated development timelines, require additional funding for such additional clinical trials or confirmatory studies, and adversely impact our business.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results of our current and future clinical trials are inconclusive with respect to the efficacy of our product candidates, including DCCR, if we do not meet the clinical endpoints with statistical and clinically meaningful significance, or if there are safety concerns associated with our product candidates, we may:</w:t>
      </w:r>
    </w:p>
    <w:p>
      <w:pPr>
        <w:spacing w:after="0" w:line="83" w:lineRule="exact"/>
        <w:rPr>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incur unplanned costs;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be delayed in or prevented from obtaining marketing approval for our product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133"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 including boxed warnings;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changes in the way the product is administered;</w:t>
      </w:r>
    </w:p>
    <w:p>
      <w:pPr>
        <w:spacing w:after="0" w:line="133"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be required to perform additional clinical trials to support approval or be subject to additional post-marketing testing requirements;</w:t>
      </w:r>
    </w:p>
    <w:p>
      <w:pPr>
        <w:spacing w:after="0" w:line="64"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have regulatory authorities withdraw their approval of the product or impose restrictions on its distribution in the form of a risk evaluation and mitigation strategy (REMS);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the addition of labeling statements, such as warnings or contraindications;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become subject to litigation;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5" w:gutter="0" w:footer="0" w:header="0"/>
          <w:type w:val="continuous"/>
        </w:sectPr>
      </w:pPr>
    </w:p>
    <w:bookmarkStart w:id="23" w:name="page24"/>
    <w:bookmarkEnd w:id="23"/>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damage to our reputation.</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Furthermore,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4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Although we believe that DCCR represents a promising commercial opportunity, DCCR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100" w:lineRule="exact"/>
        <w:rPr>
          <w:sz w:val="20"/>
          <w:szCs w:val="20"/>
          <w:color w:val="auto"/>
        </w:rPr>
      </w:pPr>
    </w:p>
    <w:p>
      <w:pPr>
        <w:ind w:left="980" w:right="180" w:hanging="491"/>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outcomes of clinical utility studies of such products in collaboration with key thought leaders to demonstrate our products’ value in informing important medical decisions such as treatment selection;</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distribution partners;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whether healthcare providers believe DCCR provides clinical utility; and</w:t>
      </w:r>
    </w:p>
    <w:p>
      <w:pPr>
        <w:spacing w:after="0" w:line="133"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whether health insurers, government health programs and other payers will cover and pay for DCCR and, if so, whether they will adequately reimburse us.</w:t>
      </w:r>
    </w:p>
    <w:p>
      <w:pPr>
        <w:spacing w:after="0" w:line="5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may rely, on third parties who we do not control, to distribute and sell DCCR. If these distributors are not committed to DCCR or otherwise run into their own financial or other difficulties, it may result in failure to achieve widespread market acceptance of DCCR, and would materially harm our business, financial condition and results of operations.</w:t>
      </w:r>
    </w:p>
    <w:p>
      <w:pPr>
        <w:spacing w:after="0" w:line="13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implement our sales, marketing, distribution, training and support strategies or enter into agreements with third parties to perform these functions, we will not be able to effectively commercialize DCCR and may not reach profitability.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34" w:right="1440" w:bottom="175" w:gutter="0" w:footer="0" w:header="0"/>
          <w:type w:val="continuous"/>
        </w:sectPr>
      </w:pPr>
    </w:p>
    <w:bookmarkStart w:id="24" w:name="page25"/>
    <w:bookmarkEnd w:id="24"/>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a limited sales and marketing infrastructure and have no experience in the sale, marketing or distribution of therapeutic products. To achieve commercial success for DCCR, if and when we obtain marketing approval, we will need to establish a robust sales and marketing organization.</w:t>
      </w:r>
    </w:p>
    <w:p>
      <w:pPr>
        <w:spacing w:after="0" w:line="6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 the future, we expect to build a targeted sales, marketing, training and support infrastructure to market DCCR in the U.S. and to establish collaborations to market, distribute and support DCCR outside of the U.S.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that may inhibit our efforts to commercialize DCCR on our own include:</w:t>
      </w:r>
    </w:p>
    <w:p>
      <w:pPr>
        <w:spacing w:after="0" w:line="134" w:lineRule="exact"/>
        <w:rPr>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recruit, train and retain adequate numbers of effective sales and marketing personnel;</w:t>
      </w:r>
    </w:p>
    <w:p>
      <w:pPr>
        <w:spacing w:after="0" w:line="133" w:lineRule="exact"/>
        <w:rPr>
          <w:rFonts w:ascii="Arial" w:cs="Arial" w:eastAsia="Arial" w:hAnsi="Arial"/>
          <w:sz w:val="20"/>
          <w:szCs w:val="20"/>
          <w:color w:val="auto"/>
        </w:rPr>
      </w:pPr>
    </w:p>
    <w:p>
      <w:pPr>
        <w:ind w:left="980" w:right="62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of sales personnel to obtain access to or persuade adequate numbers of physicians to prescribe DCCR or any future products;</w:t>
      </w:r>
    </w:p>
    <w:p>
      <w:pPr>
        <w:spacing w:after="0" w:line="64"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w:t>
      </w:r>
    </w:p>
    <w:p>
      <w:pPr>
        <w:spacing w:after="0" w:line="64" w:lineRule="exact"/>
        <w:rPr>
          <w:rFonts w:ascii="Arial" w:cs="Arial" w:eastAsia="Arial" w:hAnsi="Arial"/>
          <w:sz w:val="20"/>
          <w:szCs w:val="20"/>
          <w:color w:val="auto"/>
        </w:rPr>
      </w:pPr>
    </w:p>
    <w:p>
      <w:pPr>
        <w:ind w:left="980" w:right="106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 and</w:t>
      </w:r>
    </w:p>
    <w:p>
      <w:pPr>
        <w:spacing w:after="0" w:line="64"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efforts by our competitors to commercialize products at or about the time when our product candidates would be coming to market.</w:t>
      </w:r>
    </w:p>
    <w:p>
      <w:pPr>
        <w:spacing w:after="0" w:line="5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4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physicians decide not to order our products in significant numbers, we may be unable to generate sufficient revenue to sustain our business.</w:t>
      </w:r>
    </w:p>
    <w:p>
      <w:pPr>
        <w:spacing w:after="0" w:line="4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physicians, hospital administrators, patients, healthcare payors and others in the medical community that the clinical and economic utility of our products justifies payment for DCCR at adequate pricing levels. We need to hire additional commercial, scientific, technical and other personnel to support this process.</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7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Numerous unforeseen events during, or as a result of, clinical studies could occur, which would delay or prevent our ability to receive regulatory approval or commercialize any of our planned products, including the following: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20" w:right="1440" w:bottom="175" w:gutter="0" w:footer="0" w:header="0"/>
          <w:type w:val="continuous"/>
        </w:sectPr>
      </w:pPr>
    </w:p>
    <w:bookmarkStart w:id="25" w:name="page26"/>
    <w:bookmarkEnd w:id="25"/>
    <w:p>
      <w:pPr>
        <w:ind w:left="980" w:right="38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studies may produce negative or inconclusive results, and we may decide, or regulators may require us, to conduct additional clinical studies or abandon product development programs;</w:t>
      </w:r>
    </w:p>
    <w:p>
      <w:pPr>
        <w:spacing w:after="0" w:line="64" w:lineRule="exact"/>
        <w:rPr>
          <w:rFonts w:ascii="Arial" w:cs="Arial" w:eastAsia="Arial" w:hAnsi="Arial"/>
          <w:sz w:val="20"/>
          <w:szCs w:val="20"/>
          <w:color w:val="auto"/>
        </w:rPr>
      </w:pPr>
    </w:p>
    <w:p>
      <w:pPr>
        <w:ind w:left="980" w:right="60" w:hanging="491"/>
        <w:spacing w:after="0" w:line="258"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81"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studies or the manufacturing of our planned products may be greater than we anticipate; including due to inflationary pressures outside of our control;</w:t>
      </w:r>
    </w:p>
    <w:p>
      <w:pPr>
        <w:spacing w:after="0" w:line="64" w:lineRule="exact"/>
        <w:rPr>
          <w:rFonts w:ascii="Arial" w:cs="Arial" w:eastAsia="Arial" w:hAnsi="Arial"/>
          <w:sz w:val="20"/>
          <w:szCs w:val="20"/>
          <w:color w:val="auto"/>
        </w:rPr>
      </w:pPr>
    </w:p>
    <w:p>
      <w:pPr>
        <w:ind w:left="980" w:right="64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contractors may fail to comply with regulatory requirements or meet their contractual obligations to us in a timely manner, or at all;</w:t>
      </w:r>
    </w:p>
    <w:p>
      <w:pPr>
        <w:spacing w:after="0" w:line="64" w:lineRule="exact"/>
        <w:rPr>
          <w:rFonts w:ascii="Arial" w:cs="Arial" w:eastAsia="Arial" w:hAnsi="Arial"/>
          <w:sz w:val="20"/>
          <w:szCs w:val="20"/>
          <w:color w:val="auto"/>
        </w:rPr>
      </w:pPr>
    </w:p>
    <w:p>
      <w:pPr>
        <w:ind w:left="980" w:hanging="491"/>
        <w:spacing w:after="0" w:line="258"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may not approve our proposed clinical development plans;</w:t>
      </w:r>
    </w:p>
    <w:p>
      <w:pPr>
        <w:spacing w:after="0" w:line="133"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independent institutional review boards (IRBs), may not authorize us or our investigators to commence a clinical study or conduct a clinical study at a prospective study site;</w:t>
      </w:r>
    </w:p>
    <w:p>
      <w:pPr>
        <w:spacing w:after="0" w:line="64" w:lineRule="exact"/>
        <w:rPr>
          <w:rFonts w:ascii="Arial" w:cs="Arial" w:eastAsia="Arial" w:hAnsi="Arial"/>
          <w:sz w:val="20"/>
          <w:szCs w:val="20"/>
          <w:color w:val="auto"/>
        </w:rPr>
      </w:pPr>
    </w:p>
    <w:p>
      <w:pPr>
        <w:ind w:left="980" w:right="30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IRBs may require that we or our investigators suspend or terminate clinical research for various reasons, including noncompliance with regulatory requirements; and</w:t>
      </w:r>
    </w:p>
    <w:p>
      <w:pPr>
        <w:spacing w:after="0" w:line="64"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supply or quality of our planned products or other materials necessary to conduct clinical studies of our planned products may be insufficient or inadequate.</w:t>
      </w:r>
    </w:p>
    <w:p>
      <w:pPr>
        <w:spacing w:after="0" w:line="5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88" w:lineRule="exact"/>
        <w:rPr>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be delayed in obtaining marketing approval for our planned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not obtain marketing approval at all;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obtain approval for indications that are not as broad as intended;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additional post-marketing testing requirements;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restrictions on how the product is distributed or used.</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obtain regulatory approval for DCCR in the U.S. and Europe, our business would be harmed.</w:t>
      </w:r>
    </w:p>
    <w:p>
      <w:pPr>
        <w:spacing w:after="0" w:line="12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34" w:right="1440" w:bottom="175" w:gutter="0" w:footer="0" w:header="0"/>
          <w:type w:val="continuous"/>
        </w:sectPr>
      </w:pPr>
    </w:p>
    <w:bookmarkStart w:id="26" w:name="page27"/>
    <w:bookmarkEnd w:id="26"/>
    <w:p>
      <w:pPr>
        <w:ind w:right="640"/>
        <w:spacing w:after="0" w:line="277" w:lineRule="auto"/>
        <w:rPr>
          <w:sz w:val="20"/>
          <w:szCs w:val="20"/>
          <w:color w:val="auto"/>
        </w:rPr>
      </w:pPr>
      <w:r>
        <w:rPr>
          <w:rFonts w:ascii="Times New Roman" w:cs="Times New Roman" w:eastAsia="Times New Roman" w:hAnsi="Times New Roman"/>
          <w:sz w:val="20"/>
          <w:szCs w:val="20"/>
          <w:color w:val="auto"/>
        </w:rPr>
        <w:t>to obtain regulatory approval in a timely manner, our commercialization of DCCR would be delayed and our business would be harmed.</w:t>
      </w:r>
    </w:p>
    <w:p>
      <w:pPr>
        <w:spacing w:after="0" w:line="1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6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8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83" w:lineRule="exact"/>
        <w:rPr>
          <w:sz w:val="20"/>
          <w:szCs w:val="20"/>
          <w:color w:val="auto"/>
        </w:rPr>
      </w:pPr>
    </w:p>
    <w:p>
      <w:pPr>
        <w:ind w:left="980" w:right="40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generate sufficient nonclinical, toxicology, or other in vivo or in vitro data, or clinical safety data to support the initiation or continuation of clinical trials;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obtain regulatory approval, or feedback on trial design, to commence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identify, recruit and train suitable clinical investigators;</w:t>
      </w:r>
    </w:p>
    <w:p>
      <w:pPr>
        <w:spacing w:after="0" w:line="133" w:lineRule="exact"/>
        <w:rPr>
          <w:rFonts w:ascii="Arial" w:cs="Arial" w:eastAsia="Arial" w:hAnsi="Arial"/>
          <w:sz w:val="20"/>
          <w:szCs w:val="20"/>
          <w:color w:val="auto"/>
        </w:rPr>
      </w:pPr>
    </w:p>
    <w:p>
      <w:pPr>
        <w:ind w:left="980" w:right="44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reach agreement on acceptable terms with prospective contract research organizations (CROs), and clinical trial sites;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IRB approval at each clinical trial site;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identify, recruit and enroll suitable patients to participate in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have a sufficient number of patients complete a trial and/or return for post-treatment follow-up;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ensure clinical investigators observe trial protocol or continue to participate in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address any patient safety concerns that arise during the course of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address any conflicts or compliance with new or existing laws, rule, regulations or guidelines;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have a sufficient number of clinical trial sites to conduct the trials;</w:t>
      </w:r>
    </w:p>
    <w:p>
      <w:pPr>
        <w:spacing w:after="0" w:line="133"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timely manufacture sufficient quantities of product candidate suitable for use at the stage of clinical development; or</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raise sufficient capital to fund a trial.</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8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20" w:right="1440" w:bottom="175" w:gutter="0" w:footer="0" w:header="0"/>
          <w:type w:val="continuous"/>
        </w:sectPr>
      </w:pPr>
    </w:p>
    <w:bookmarkStart w:id="27" w:name="page28"/>
    <w:bookmarkEnd w:id="27"/>
    <w:p>
      <w:pPr>
        <w:ind w:right="40"/>
        <w:spacing w:after="0" w:line="258" w:lineRule="auto"/>
        <w:rPr>
          <w:sz w:val="20"/>
          <w:szCs w:val="20"/>
          <w:color w:val="auto"/>
        </w:rPr>
      </w:pPr>
      <w:r>
        <w:rPr>
          <w:rFonts w:ascii="Times New Roman" w:cs="Times New Roman" w:eastAsia="Times New Roman" w:hAnsi="Times New Roman"/>
          <w:sz w:val="20"/>
          <w:szCs w:val="20"/>
          <w:color w:val="auto"/>
        </w:rPr>
        <w:t>hold, unforeseen safety issues or adverse side effects, failure to demonstrate a benefit from using a product candidate, changes in governmental regulations or administrative actions or lack of adequate funding to continue the clinical trial.</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96" w:lineRule="exact"/>
        <w:rPr>
          <w:sz w:val="20"/>
          <w:szCs w:val="20"/>
          <w:color w:val="auto"/>
        </w:rPr>
      </w:pPr>
    </w:p>
    <w:p>
      <w:pPr>
        <w:ind w:left="980" w:right="54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satisfactorily demonstrate that the product candidates are safe and effective for the requested indication;</w:t>
      </w:r>
    </w:p>
    <w:p>
      <w:pPr>
        <w:spacing w:after="0" w:line="6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FDA’s disagreement with our trial protocol or the interpretation of data from preclinical studies or clinical trials;</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assess safety in the full population for which we seek approval;</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demonstrate that clinical or other benefits of our product candidates outweigh any safety or other perceived risks;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FDA’s determination that additional preclinical or clinical trials are required;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FDA’s non-approval of the formulation, labeling or the specifications of our product candidates;</w:t>
      </w:r>
    </w:p>
    <w:p>
      <w:pPr>
        <w:spacing w:after="0" w:line="133" w:lineRule="exact"/>
        <w:rPr>
          <w:rFonts w:ascii="Arial" w:cs="Arial" w:eastAsia="Arial" w:hAnsi="Arial"/>
          <w:sz w:val="20"/>
          <w:szCs w:val="20"/>
          <w:color w:val="auto"/>
        </w:rPr>
      </w:pPr>
    </w:p>
    <w:p>
      <w:pPr>
        <w:ind w:left="980" w:right="20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FDA’s failure to accept the manufacturing processes or facilities of third-party manufacturers with which we contract; or</w:t>
      </w:r>
    </w:p>
    <w:p>
      <w:pPr>
        <w:spacing w:after="0" w:line="64"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20" w:right="1440" w:bottom="175" w:gutter="0" w:footer="0" w:header="0"/>
          <w:type w:val="continuous"/>
        </w:sectPr>
      </w:pPr>
    </w:p>
    <w:bookmarkStart w:id="28" w:name="page29"/>
    <w:bookmarkEnd w:id="28"/>
    <w:p>
      <w:pPr>
        <w:ind w:right="40"/>
        <w:spacing w:after="0" w:line="249" w:lineRule="auto"/>
        <w:rPr>
          <w:sz w:val="20"/>
          <w:szCs w:val="20"/>
          <w:color w:val="auto"/>
        </w:rPr>
      </w:pPr>
      <w:r>
        <w:rPr>
          <w:rFonts w:ascii="Times New Roman" w:cs="Times New Roman" w:eastAsia="Times New Roman" w:hAnsi="Times New Roman"/>
          <w:sz w:val="20"/>
          <w:szCs w:val="20"/>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91" w:lineRule="exact"/>
        <w:rPr>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their effectiveness and potential advantages compared to alternative treatments;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we charge for our planned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physicians to change their current treatment practices;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convenience and ease of administration compared to alternative treatments;</w:t>
      </w:r>
    </w:p>
    <w:p>
      <w:pPr>
        <w:spacing w:after="0" w:line="133"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or effectiveness of marketing and distribution support or partners;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third-party coverage or reimbursement.</w:t>
      </w:r>
    </w:p>
    <w:p>
      <w:pPr>
        <w:spacing w:after="0" w:line="17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opportunity for DCCR is smaller than we believe it is, then our revenues may be adversely affected, and our business may suffer.</w:t>
      </w:r>
    </w:p>
    <w:p>
      <w:pPr>
        <w:spacing w:after="0" w:line="4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4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7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4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20" w:right="1440" w:bottom="175" w:gutter="0" w:footer="0" w:header="0"/>
          <w:type w:val="continuous"/>
        </w:sectPr>
      </w:pPr>
    </w:p>
    <w:bookmarkStart w:id="29" w:name="page30"/>
    <w:bookmarkEnd w:id="29"/>
    <w:p>
      <w:pPr>
        <w:jc w:val="both"/>
        <w:spacing w:after="0" w:line="277" w:lineRule="auto"/>
        <w:rPr>
          <w:sz w:val="20"/>
          <w:szCs w:val="20"/>
          <w:color w:val="auto"/>
        </w:rPr>
      </w:pPr>
      <w:r>
        <w:rPr>
          <w:rFonts w:ascii="Times New Roman" w:cs="Times New Roman" w:eastAsia="Times New Roman" w:hAnsi="Times New Roman"/>
          <w:sz w:val="20"/>
          <w:szCs w:val="20"/>
          <w:color w:val="auto"/>
        </w:rPr>
        <w:t>We may form strategic alliances, create joint ventures or collaborations, or enter into licensing agreements with third parties that we believe will more effectively provide resources to develop and commercialize our programs.</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6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Europe,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4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94" w:lineRule="exact"/>
        <w:rPr>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forced to recall such product and suspend the marketing of such product;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withdraw their approvals of such product;</w:t>
      </w:r>
    </w:p>
    <w:p>
      <w:pPr>
        <w:spacing w:after="0" w:line="133"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additional warnings on the label that could diminish the usage or otherwise limit the commercial success of such products;</w:t>
      </w:r>
    </w:p>
    <w:p>
      <w:pPr>
        <w:spacing w:after="0" w:line="64" w:lineRule="exact"/>
        <w:rPr>
          <w:rFonts w:ascii="Arial" w:cs="Arial" w:eastAsia="Arial" w:hAnsi="Arial"/>
          <w:sz w:val="20"/>
          <w:szCs w:val="20"/>
          <w:color w:val="auto"/>
        </w:rPr>
      </w:pPr>
    </w:p>
    <w:p>
      <w:pPr>
        <w:ind w:left="980" w:right="52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regulatory bodies may issue safety alerts, Dear Healthcare Provider letters, press releases or other communications containing warnings about such product;</w:t>
      </w:r>
    </w:p>
    <w:p>
      <w:pPr>
        <w:spacing w:after="0" w:line="64" w:lineRule="exact"/>
        <w:rPr>
          <w:rFonts w:ascii="Arial" w:cs="Arial" w:eastAsia="Arial" w:hAnsi="Arial"/>
          <w:sz w:val="20"/>
          <w:szCs w:val="20"/>
          <w:color w:val="auto"/>
        </w:rPr>
      </w:pPr>
    </w:p>
    <w:p>
      <w:pPr>
        <w:ind w:left="980" w:right="300" w:hanging="491"/>
        <w:spacing w:after="0" w:line="252"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87"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the product is administered or conduct additional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and held liable for harm caused to subjects or patients;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litigation or product liability claims;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119"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particular planned product, if approved.</w:t>
      </w:r>
    </w:p>
    <w:p>
      <w:pPr>
        <w:spacing w:after="0" w:line="10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competition, which may result in others discovering, developing or commercializing products before we do, or more successfully than we do.</w:t>
      </w:r>
    </w:p>
    <w:p>
      <w:pPr>
        <w:spacing w:after="0" w:line="4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Alternatives exist for our product candidates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5" w:gutter="0" w:footer="0" w:header="0"/>
          <w:type w:val="continuous"/>
        </w:sectPr>
      </w:pPr>
    </w:p>
    <w:bookmarkStart w:id="30" w:name="page31"/>
    <w:bookmarkEnd w:id="30"/>
    <w:p>
      <w:pPr>
        <w:ind w:right="340"/>
        <w:spacing w:after="0" w:line="258" w:lineRule="auto"/>
        <w:rPr>
          <w:sz w:val="20"/>
          <w:szCs w:val="20"/>
          <w:color w:val="auto"/>
        </w:rPr>
      </w:pPr>
      <w:r>
        <w:rPr>
          <w:rFonts w:ascii="Times New Roman" w:cs="Times New Roman" w:eastAsia="Times New Roman" w:hAnsi="Times New Roman"/>
          <w:sz w:val="20"/>
          <w:szCs w:val="20"/>
          <w:color w:val="auto"/>
        </w:rPr>
        <w:t>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6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7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There has recently been increased activity in the development of drugs to treat PWS. We are aware of eight other current or proposed clinical trials evaluating PWS therapies.</w:t>
      </w:r>
    </w:p>
    <w:p>
      <w:pPr>
        <w:spacing w:after="0" w:line="1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engage partners in commercializing our products, they may become subject to unfavorable pricing regulations, third-party reimbursement practices or healthcare reform initiatives, thereby harming our business.</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8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8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8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20" w:right="1440" w:bottom="175" w:gutter="0" w:footer="0" w:header="0"/>
          <w:type w:val="continuous"/>
        </w:sectPr>
      </w:pPr>
    </w:p>
    <w:bookmarkStart w:id="31" w:name="page32"/>
    <w:bookmarkEnd w:id="31"/>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become exposed to costly and damaging liability claims, either when testing our product candidates in clinical trials or at the commercial stage after regulatory approval, and our product liability insurance may not cover all damages arising from such claims. Product liability lawsuits against us could cause us to incur substantial liabilities and to limit commercialization of any products that we may develop.</w:t>
      </w:r>
    </w:p>
    <w:p>
      <w:pPr>
        <w:spacing w:after="0" w:line="7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are exposed to potential product liability and professional indemnity risks that are inherent in the research, development, manufacturing, marketing, sale and use of pharmaceutical products, including maintaining consistent quality, safety and efficacy profiles for our products and product candidates. The marketing, sale and use of our products could lead to the filing of product liability claims against us if someone alleges that our products or product candidates failed to perform as intended. We may also be subject to liability for a misunderstanding of, or inappropriate reliance upon, the information we provide. These claims might be made by patients that use the products or product candidates, healthcare providers, pharmaceutical companies, or others selling such products. Any claims against us, regardless of their merit, could be costly to defend and could materially adversely affect the market for our product candidates or any prospects for commercialization of our product candidates.</w:t>
      </w:r>
    </w:p>
    <w:p>
      <w:pPr>
        <w:spacing w:after="0" w:line="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and patients who should not use our product candidates. If any of our product candidates were to cause adverse side effects during clinical trials or after approval, we may be exposed to substantial liabilities.</w:t>
      </w:r>
    </w:p>
    <w:p>
      <w:pPr>
        <w:spacing w:after="0" w:line="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If we cannot successfully defend ourselves against claims that our products caused injuries, we may incur substantial liabilities. Regardless of merit or eventual outcome, liability claims may result in:</w:t>
      </w:r>
    </w:p>
    <w:p>
      <w:pPr>
        <w:spacing w:after="0" w:line="63" w:lineRule="exact"/>
        <w:rPr>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any planned products that we may develop;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patients from clinical studies or cancellation of studies;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costs to defend the related litigation and distraction to our management team;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patients;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products that we may develop.</w:t>
      </w:r>
    </w:p>
    <w:p>
      <w:pPr>
        <w:spacing w:after="0" w:line="239"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9"/>
          <w:szCs w:val="19"/>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key members of our executive management team could adversely affect our business.</w:t>
      </w:r>
    </w:p>
    <w:p>
      <w:pPr>
        <w:spacing w:after="0" w:line="1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w:t>
      </w:r>
    </w:p>
    <w:p>
      <w:pPr>
        <w:spacing w:after="0" w:line="8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20" w:right="1440" w:bottom="175" w:gutter="0" w:footer="0" w:header="0"/>
          <w:type w:val="continuous"/>
        </w:sectPr>
      </w:pPr>
    </w:p>
    <w:bookmarkStart w:id="32" w:name="page33"/>
    <w:bookmarkEnd w:id="32"/>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14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8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4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4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83" w:lineRule="exact"/>
        <w:rPr>
          <w:sz w:val="20"/>
          <w:szCs w:val="20"/>
          <w:color w:val="auto"/>
        </w:rPr>
      </w:pPr>
    </w:p>
    <w:p>
      <w:pPr>
        <w:ind w:left="980" w:right="60" w:hanging="491"/>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multiple, conflicting and changing laws and regulations such as tax laws, export and import restrictions, employment laws, regulatory requirements and other governmental approvals, permits and licenses;</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failure by us or our distributors to obtain regulatory approvals for the sale or use of our current products and our planned future products in various countries;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managing foreign operations;</w:t>
      </w:r>
    </w:p>
    <w:p>
      <w:pPr>
        <w:spacing w:after="0" w:line="133" w:lineRule="exact"/>
        <w:rPr>
          <w:rFonts w:ascii="Arial" w:cs="Arial" w:eastAsia="Arial" w:hAnsi="Arial"/>
          <w:sz w:val="20"/>
          <w:szCs w:val="20"/>
          <w:color w:val="auto"/>
        </w:rPr>
      </w:pPr>
    </w:p>
    <w:p>
      <w:pPr>
        <w:ind w:left="980" w:right="540" w:hanging="491"/>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complexities associated with managing government payer systems, multiple payer-reimbursement regimes or self-pay systems;</w:t>
      </w:r>
    </w:p>
    <w:p>
      <w:pPr>
        <w:spacing w:after="0" w:line="64" w:lineRule="exact"/>
        <w:rPr>
          <w:rFonts w:ascii="Arial" w:cs="Arial" w:eastAsia="Arial" w:hAnsi="Arial"/>
          <w:sz w:val="20"/>
          <w:szCs w:val="20"/>
          <w:color w:val="auto"/>
        </w:rPr>
      </w:pPr>
    </w:p>
    <w:p>
      <w:pPr>
        <w:ind w:left="980" w:right="480" w:hanging="491"/>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logistics and regulations associated with shipping products, including infrastructure conditions and transportation delays;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limits on our ability to penetrate international markets if our distributors do not execute successfully;</w:t>
      </w:r>
    </w:p>
    <w:p>
      <w:pPr>
        <w:spacing w:after="0" w:line="133"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risks, such as longer payment cycles, difficulty enforcing contracts and collecting accounts receivable, and exposure to foreign currency exchange rate fluctuations;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0" w:right="1440" w:bottom="175" w:gutter="0" w:footer="0" w:header="0"/>
          <w:type w:val="continuous"/>
        </w:sectPr>
      </w:pPr>
    </w:p>
    <w:bookmarkStart w:id="33" w:name="page34"/>
    <w:bookmarkEnd w:id="33"/>
    <w:p>
      <w:pPr>
        <w:ind w:left="980" w:right="14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for intellectual property rights, or lack of them in certain jurisdictions, forcing more reliance on our trade secrets, if available;</w:t>
      </w:r>
    </w:p>
    <w:p>
      <w:pPr>
        <w:spacing w:after="0" w:line="64" w:lineRule="exact"/>
        <w:rPr>
          <w:rFonts w:ascii="Arial" w:cs="Arial" w:eastAsia="Arial" w:hAnsi="Arial"/>
          <w:sz w:val="20"/>
          <w:szCs w:val="20"/>
          <w:color w:val="auto"/>
        </w:rPr>
      </w:pPr>
    </w:p>
    <w:p>
      <w:pPr>
        <w:ind w:left="980" w:right="220" w:hanging="491"/>
        <w:spacing w:after="0" w:line="258"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natural disasters, political and economic instability, including wars, terrorism and political unrest, including the outbreak of hostilities in the Ukraine and the Middle East, outbreak of disease, boycotts, curtailment of trade and other business restrictions; and</w:t>
      </w:r>
    </w:p>
    <w:p>
      <w:pPr>
        <w:spacing w:after="0" w:line="81"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6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operation of our business</w:t>
      </w:r>
    </w:p>
    <w:p>
      <w:pPr>
        <w:spacing w:after="0" w:line="184"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6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Collaborations involving our products are subject to numerous risks, which may include the following:</w:t>
      </w:r>
    </w:p>
    <w:p>
      <w:pPr>
        <w:spacing w:after="0" w:line="134" w:lineRule="exact"/>
        <w:rPr>
          <w:sz w:val="20"/>
          <w:szCs w:val="20"/>
          <w:color w:val="auto"/>
        </w:rPr>
      </w:pPr>
    </w:p>
    <w:p>
      <w:pPr>
        <w:ind w:left="980" w:right="14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any such collaborations;</w:t>
      </w:r>
    </w:p>
    <w:p>
      <w:pPr>
        <w:spacing w:after="0" w:line="64" w:lineRule="exact"/>
        <w:rPr>
          <w:rFonts w:ascii="Arial" w:cs="Arial" w:eastAsia="Arial" w:hAnsi="Arial"/>
          <w:sz w:val="20"/>
          <w:szCs w:val="20"/>
          <w:color w:val="auto"/>
        </w:rPr>
      </w:pPr>
    </w:p>
    <w:p>
      <w:pPr>
        <w:ind w:left="980" w:right="100" w:hanging="491"/>
        <w:spacing w:after="0" w:line="252"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87"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81"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products;</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with marketing and distribution rights to one or more products may not commit sufficient resources to their marketing and distribution;</w:t>
      </w:r>
    </w:p>
    <w:p>
      <w:pPr>
        <w:spacing w:after="0" w:line="64" w:lineRule="exact"/>
        <w:rPr>
          <w:rFonts w:ascii="Arial" w:cs="Arial" w:eastAsia="Arial" w:hAnsi="Arial"/>
          <w:sz w:val="20"/>
          <w:szCs w:val="20"/>
          <w:color w:val="auto"/>
        </w:rPr>
      </w:pPr>
    </w:p>
    <w:p>
      <w:pPr>
        <w:ind w:left="980" w:right="120" w:hanging="491"/>
        <w:spacing w:after="0" w:line="252"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7" w:lineRule="exact"/>
        <w:rPr>
          <w:rFonts w:ascii="Arial" w:cs="Arial" w:eastAsia="Arial" w:hAnsi="Arial"/>
          <w:sz w:val="20"/>
          <w:szCs w:val="20"/>
          <w:color w:val="auto"/>
        </w:rPr>
      </w:pPr>
    </w:p>
    <w:p>
      <w:pPr>
        <w:ind w:left="980" w:right="220" w:hanging="491"/>
        <w:spacing w:after="0" w:line="258"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81"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products; and</w:t>
      </w:r>
    </w:p>
    <w:p>
      <w:pPr>
        <w:spacing w:after="0" w:line="64" w:lineRule="exact"/>
        <w:rPr>
          <w:rFonts w:ascii="Arial" w:cs="Arial" w:eastAsia="Arial" w:hAnsi="Arial"/>
          <w:sz w:val="20"/>
          <w:szCs w:val="20"/>
          <w:color w:val="auto"/>
        </w:rPr>
      </w:pPr>
    </w:p>
    <w:p>
      <w:pPr>
        <w:ind w:left="980" w:right="400" w:hanging="491"/>
        <w:spacing w:after="0" w:line="258"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own or co-own intellectual property covering our products that results from our collaborating with them, and in such cases, we would not have the exclusive right to commercialize such intellectual property.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34" w:right="1440" w:bottom="175" w:gutter="0" w:footer="0" w:header="0"/>
          <w:type w:val="continuous"/>
        </w:sectPr>
      </w:pPr>
    </w:p>
    <w:bookmarkStart w:id="34" w:name="page35"/>
    <w:bookmarkEnd w:id="34"/>
    <w:p>
      <w:pPr>
        <w:ind w:right="240"/>
        <w:spacing w:after="0" w:line="277" w:lineRule="auto"/>
        <w:rPr>
          <w:sz w:val="20"/>
          <w:szCs w:val="20"/>
          <w:color w:val="auto"/>
        </w:rPr>
      </w:pPr>
      <w:r>
        <w:rPr>
          <w:rFonts w:ascii="Times New Roman" w:cs="Times New Roman" w:eastAsia="Times New Roman" w:hAnsi="Times New Roman"/>
          <w:sz w:val="20"/>
          <w:szCs w:val="20"/>
          <w:color w:val="auto"/>
        </w:rPr>
        <w:t>Any termination or disruption of collaborations could result in delays in the development of products, increases in our costs to develop the products or the termination of development of a product.</w:t>
      </w:r>
    </w:p>
    <w:p>
      <w:pPr>
        <w:spacing w:after="0" w:line="10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4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As of December 31, 2023, we had 33 employees and 9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96" w:lineRule="exact"/>
        <w:rPr>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clinical trials effectively, which we anticipate being conducted at numerous clinical sites;</w:t>
      </w:r>
    </w:p>
    <w:p>
      <w:pPr>
        <w:spacing w:after="0" w:line="133"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recruiting, maintaining, motivating and integrating additional employees with the expertise and experience we will require;</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internal development efforts effectively while complying with our contractual obligations to licensors, licensees, contractors and other third parties;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managing additional relationships with various strategic partners, suppliers and other third parties;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improving our managerial, development, operational and finance reporting systems and procedures;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our facilities.</w:t>
      </w:r>
    </w:p>
    <w:p>
      <w:pPr>
        <w:spacing w:after="0" w:line="11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Our failure to accomplish any of these tasks could prevent us from successfully growing. Any inability to manage growth could delay the execution of our business plans or disrupt our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Because we intend to commercialize our products outside the U.S., we will be subject to additional risks.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variety of risks associated with international operations could materially adversely affect our business, including:</w:t>
      </w:r>
    </w:p>
    <w:p>
      <w:pPr>
        <w:spacing w:after="0" w:line="134" w:lineRule="exact"/>
        <w:rPr>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regulatory requirements for drug approvals in foreign countries;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for intellectual property rights;</w:t>
      </w:r>
    </w:p>
    <w:p>
      <w:pPr>
        <w:spacing w:after="0" w:line="133" w:lineRule="exact"/>
        <w:rPr>
          <w:rFonts w:ascii="Arial" w:cs="Arial" w:eastAsia="Arial" w:hAnsi="Arial"/>
          <w:sz w:val="20"/>
          <w:szCs w:val="20"/>
          <w:color w:val="auto"/>
        </w:rPr>
      </w:pPr>
    </w:p>
    <w:p>
      <w:pPr>
        <w:ind w:left="980" w:right="84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tariffs, trade barriers, trade restrictions, export or import sanctions, and regulatory requirements;</w:t>
      </w:r>
    </w:p>
    <w:p>
      <w:pPr>
        <w:spacing w:after="0" w:line="64" w:lineRule="exact"/>
        <w:rPr>
          <w:rFonts w:ascii="Arial" w:cs="Arial" w:eastAsia="Arial" w:hAnsi="Arial"/>
          <w:sz w:val="20"/>
          <w:szCs w:val="20"/>
          <w:color w:val="auto"/>
        </w:rPr>
      </w:pPr>
    </w:p>
    <w:p>
      <w:pPr>
        <w:ind w:left="980" w:right="54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compliance with tax, employment, immigration and labor laws for employees living or traveling abroad;</w:t>
      </w:r>
    </w:p>
    <w:p>
      <w:pPr>
        <w:spacing w:after="0" w:line="145" w:lineRule="exact"/>
        <w:rPr>
          <w:rFonts w:ascii="Arial" w:cs="Arial" w:eastAsia="Arial" w:hAnsi="Arial"/>
          <w:sz w:val="19"/>
          <w:szCs w:val="19"/>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foreign taxes, including withholding of payroll taxes;</w:t>
      </w:r>
    </w:p>
    <w:p>
      <w:pPr>
        <w:spacing w:after="0" w:line="133"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 and other obligations incident to doing business in another country;</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U.S.;</w:t>
      </w:r>
    </w:p>
    <w:p>
      <w:pPr>
        <w:spacing w:after="0" w:line="133" w:lineRule="exact"/>
        <w:rPr>
          <w:rFonts w:ascii="Arial" w:cs="Arial" w:eastAsia="Arial" w:hAnsi="Arial"/>
          <w:sz w:val="20"/>
          <w:szCs w:val="20"/>
          <w:color w:val="auto"/>
        </w:rPr>
      </w:pPr>
    </w:p>
    <w:p>
      <w:pPr>
        <w:ind w:left="980" w:right="78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spacing w:after="0" w:line="64" w:lineRule="exact"/>
        <w:rPr>
          <w:rFonts w:ascii="Arial" w:cs="Arial" w:eastAsia="Arial" w:hAnsi="Arial"/>
          <w:sz w:val="20"/>
          <w:szCs w:val="20"/>
          <w:color w:val="auto"/>
        </w:rPr>
      </w:pPr>
    </w:p>
    <w:p>
      <w:pPr>
        <w:ind w:left="980" w:right="360" w:hanging="491"/>
        <w:spacing w:after="0" w:line="258"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including the outbreak of hostilities in the Ukraine, the Middle East, or natural disasters including earthquakes, typhoons, floods and fires.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20" w:right="1440" w:bottom="175" w:gutter="0" w:footer="0" w:header="0"/>
          <w:type w:val="continuous"/>
        </w:sectPr>
      </w:pPr>
    </w:p>
    <w:bookmarkStart w:id="35" w:name="page36"/>
    <w:bookmarkEnd w:id="35"/>
    <w:p>
      <w:pPr>
        <w:ind w:right="80"/>
        <w:spacing w:after="0" w:line="243" w:lineRule="auto"/>
        <w:rPr>
          <w:sz w:val="20"/>
          <w:szCs w:val="20"/>
          <w:color w:val="auto"/>
        </w:rPr>
      </w:pPr>
      <w:r>
        <w:rPr>
          <w:rFonts w:ascii="Times New Roman" w:cs="Times New Roman" w:eastAsia="Times New Roman" w:hAnsi="Times New Roman"/>
          <w:sz w:val="20"/>
          <w:szCs w:val="20"/>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 results of operations would be materially and adversely affected.</w:t>
      </w:r>
    </w:p>
    <w:p>
      <w:pPr>
        <w:spacing w:after="0" w:line="143"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4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(GCPs),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use biological and hazardous materials in a manner that causes injury, we could be liable for damages.</w:t>
      </w:r>
    </w:p>
    <w:p>
      <w:pPr>
        <w:spacing w:after="0" w:line="12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8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4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commercial success depends in part on our avoiding infringement and other violations of the patents and proprietary rights of third parties. Patent and other intellectual property litigation is prevalent in our sectors.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20" w:right="1440" w:bottom="175" w:gutter="0" w:footer="0" w:header="0"/>
          <w:type w:val="continuous"/>
        </w:sectPr>
      </w:pPr>
    </w:p>
    <w:bookmarkStart w:id="36" w:name="page37"/>
    <w:bookmarkEnd w:id="36"/>
    <w:p>
      <w:pPr>
        <w:ind w:right="60"/>
        <w:spacing w:after="0" w:line="243" w:lineRule="auto"/>
        <w:rPr>
          <w:sz w:val="20"/>
          <w:szCs w:val="20"/>
          <w:color w:val="auto"/>
        </w:rPr>
      </w:pPr>
      <w:r>
        <w:rPr>
          <w:rFonts w:ascii="Times New Roman" w:cs="Times New Roman" w:eastAsia="Times New Roman" w:hAnsi="Times New Roman"/>
          <w:sz w:val="20"/>
          <w:szCs w:val="20"/>
          <w:color w:val="auto"/>
        </w:rPr>
        <w:t>biotechnology and pharmaceutical industries expand and more patents are issued, and as we gain greater visibility and market exposure, the risk increases that our commercialization of DCCR or other business activities may be subject to claims of infringement of the patent and other proprietary rights of third parties.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w:t>
      </w:r>
    </w:p>
    <w:p>
      <w:pPr>
        <w:spacing w:after="0" w:line="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Also, there may be third-party patents or patent applications with claims to materials, formulations, methods of manufacture or methods for treatment related to the use or manufacture of DCCR. Because patent applications can take many years to issue, there may be currently pending patent applications which may later result in issued patents that our product may infringe.</w:t>
      </w:r>
    </w:p>
    <w:p>
      <w:pPr>
        <w:spacing w:after="0" w:line="7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third parties may obtain patent rights in the future and claim that use of our products infringes upon these rights. If any third-party patents were held by a court of competent jurisdiction to cover the manufacturing process of DCCR, any molecules formed during the manufacturing process or any final product itself, the holders of any such patents may be able to block our ability to commercialize DCCR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8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w:t>
      </w:r>
    </w:p>
    <w:p>
      <w:pPr>
        <w:spacing w:after="0" w:line="8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0" w:right="1440" w:bottom="175" w:gutter="0" w:footer="0" w:header="0"/>
          <w:type w:val="continuous"/>
        </w:sectPr>
      </w:pPr>
    </w:p>
    <w:bookmarkStart w:id="37" w:name="page38"/>
    <w:bookmarkEnd w:id="37"/>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p>
    <w:p>
      <w:pPr>
        <w:spacing w:after="0" w:line="68"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color w:val="auto"/>
        </w:rPr>
        <w:t>Our success depends in large part on our ability to obtain and maintain patent and other intellectual property protection in the U.S. and in other countries with respect to our proprietary products.</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spacing w:after="0" w:line="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Moreover, we may be subject to a third-party pre-issuance submission of prior art to the USPTO or become involved in opposition, derivation,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DCCR.</w:t>
      </w:r>
    </w:p>
    <w:p>
      <w:pPr>
        <w:spacing w:after="0" w:line="8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DCCR, we may be open to competition from generic versions of DCCR.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scope, validity, enforceability, and commercial value of trademark rights are also uncertain. Pending and future trademark applications may not be successful.</w:t>
      </w:r>
    </w:p>
    <w:p>
      <w:pPr>
        <w:spacing w:after="0" w:line="10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legal proceedings to protect or enforce our intellectual property rights, which could be expensive, time-consuming, or unsuccessful.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0" w:right="1440" w:bottom="175" w:gutter="0" w:footer="0" w:header="0"/>
          <w:type w:val="continuous"/>
        </w:sectPr>
      </w:pPr>
    </w:p>
    <w:bookmarkStart w:id="38" w:name="page39"/>
    <w:bookmarkEnd w:id="38"/>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20"/>
          <w:szCs w:val="20"/>
          <w:i w:val="1"/>
          <w:iCs w:val="1"/>
          <w:color w:val="auto"/>
        </w:rPr>
        <w:t>ex parte</w:t>
      </w:r>
      <w:r>
        <w:rPr>
          <w:rFonts w:ascii="Times New Roman" w:cs="Times New Roman" w:eastAsia="Times New Roman" w:hAnsi="Times New Roman"/>
          <w:sz w:val="20"/>
          <w:szCs w:val="20"/>
          <w:color w:val="auto"/>
        </w:rPr>
        <w:t xml:space="preserve"> reexaminations,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spacing w:after="0" w:line="9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0" w:right="1440" w:bottom="175" w:gutter="0" w:footer="0" w:header="0"/>
          <w:type w:val="continuous"/>
        </w:sectPr>
      </w:pPr>
    </w:p>
    <w:bookmarkStart w:id="39" w:name="page40"/>
    <w:bookmarkEnd w:id="39"/>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4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or enforce our intellectual property rights throughout the world.</w:t>
      </w:r>
    </w:p>
    <w:p>
      <w:pPr>
        <w:spacing w:after="0" w:line="1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96" w:lineRule="exact"/>
        <w:rPr>
          <w:sz w:val="20"/>
          <w:szCs w:val="20"/>
          <w:color w:val="auto"/>
        </w:rPr>
      </w:pPr>
    </w:p>
    <w:p>
      <w:pPr>
        <w:jc w:val="both"/>
        <w:ind w:right="500"/>
        <w:spacing w:after="0" w:line="258" w:lineRule="auto"/>
        <w:rPr>
          <w:sz w:val="20"/>
          <w:szCs w:val="20"/>
          <w:color w:val="auto"/>
        </w:rPr>
      </w:pPr>
      <w:r>
        <w:rPr>
          <w:rFonts w:ascii="Times New Roman" w:cs="Times New Roman" w:eastAsia="Times New Roman" w:hAnsi="Times New Roman"/>
          <w:sz w:val="20"/>
          <w:szCs w:val="20"/>
          <w:color w:val="auto"/>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 to our competitive advantage.</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3" w:lineRule="exact"/>
        <w:rPr>
          <w:sz w:val="20"/>
          <w:szCs w:val="20"/>
          <w:color w:val="auto"/>
        </w:rPr>
      </w:pPr>
    </w:p>
    <w:p>
      <w:pPr>
        <w:ind w:left="980" w:right="300" w:hanging="491"/>
        <w:spacing w:after="0" w:line="27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products that are similar to our current and planned products, but that are not covered by claims in our patents;</w:t>
      </w:r>
    </w:p>
    <w:p>
      <w:pPr>
        <w:spacing w:after="0" w:line="64" w:lineRule="exact"/>
        <w:rPr>
          <w:rFonts w:ascii="Arial" w:cs="Arial" w:eastAsia="Arial" w:hAnsi="Arial"/>
          <w:sz w:val="20"/>
          <w:szCs w:val="20"/>
          <w:color w:val="auto"/>
        </w:rPr>
      </w:pPr>
    </w:p>
    <w:p>
      <w:pPr>
        <w:ind w:left="980" w:right="240" w:hanging="491"/>
        <w:spacing w:after="0" w:line="27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original filers of our patents that we developed or purchased might not have been the first to make the inventions covered by the claims contained in such patents;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might not have been the first to file patent applications covering an invention;</w:t>
      </w:r>
    </w:p>
    <w:p>
      <w:pPr>
        <w:spacing w:after="0" w:line="133" w:lineRule="exact"/>
        <w:rPr>
          <w:rFonts w:ascii="Arial" w:cs="Arial" w:eastAsia="Arial" w:hAnsi="Arial"/>
          <w:sz w:val="20"/>
          <w:szCs w:val="20"/>
          <w:color w:val="auto"/>
        </w:rPr>
      </w:pPr>
    </w:p>
    <w:p>
      <w:pPr>
        <w:ind w:left="980" w:right="980" w:hanging="491"/>
        <w:spacing w:after="0" w:line="27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intellectual property rights;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pending patent applications may not lead to issued patents;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0" w:right="1440" w:bottom="175" w:gutter="0" w:footer="0" w:header="0"/>
          <w:type w:val="continuous"/>
        </w:sectPr>
      </w:pPr>
    </w:p>
    <w:bookmarkStart w:id="40" w:name="page41"/>
    <w:bookmarkEnd w:id="40"/>
    <w:p>
      <w:pPr>
        <w:ind w:left="980" w:right="880" w:hanging="491"/>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may not provide us with any competitive advantages, or may be held invalid or unenforceable, as a result of legal challenges by our competitors;</w:t>
      </w:r>
    </w:p>
    <w:p>
      <w:pPr>
        <w:spacing w:after="0" w:line="64" w:lineRule="exact"/>
        <w:rPr>
          <w:rFonts w:ascii="Arial" w:cs="Arial" w:eastAsia="Arial" w:hAnsi="Arial"/>
          <w:sz w:val="20"/>
          <w:szCs w:val="20"/>
          <w:color w:val="auto"/>
        </w:rPr>
      </w:pPr>
    </w:p>
    <w:p>
      <w:pPr>
        <w:jc w:val="both"/>
        <w:ind w:left="980" w:right="160" w:hanging="491"/>
        <w:spacing w:after="0" w:line="258"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or in-license additional proprietary technologies that are patentable;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Should any of these events occur, they could significantly harm our business, results of operations and prospects.</w:t>
      </w:r>
    </w:p>
    <w:p>
      <w:pPr>
        <w:spacing w:after="0" w:line="18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46"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0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ability to opt out of the jurisdiction of the UPC and remain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58"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34" w:right="1440" w:bottom="175" w:gutter="0" w:footer="0" w:header="0"/>
          <w:type w:val="continuous"/>
        </w:sectPr>
      </w:pPr>
    </w:p>
    <w:bookmarkStart w:id="41" w:name="page42"/>
    <w:bookmarkEnd w:id="41"/>
    <w:p>
      <w:pPr>
        <w:ind w:right="20"/>
        <w:spacing w:after="0" w:line="244" w:lineRule="auto"/>
        <w:rPr>
          <w:sz w:val="20"/>
          <w:szCs w:val="20"/>
          <w:color w:val="auto"/>
        </w:rPr>
      </w:pPr>
      <w:r>
        <w:rPr>
          <w:rFonts w:ascii="Times New Roman" w:cs="Times New Roman" w:eastAsia="Times New Roman" w:hAnsi="Times New Roman"/>
          <w:sz w:val="20"/>
          <w:szCs w:val="20"/>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8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3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4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w:t>
      </w:r>
    </w:p>
    <w:p>
      <w:pPr>
        <w:spacing w:after="0" w:line="7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8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 is expensive, time consuming and uncertain, and we may not be successful in obtaining approvals for our planned products.</w:t>
      </w:r>
    </w:p>
    <w:p>
      <w:pPr>
        <w:spacing w:after="0" w:line="4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94" w:lineRule="exact"/>
        <w:rPr>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warning letters;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civil or criminal penalties and fines;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withdrawal of regulatory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of any ongoing clinical studies;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20" w:right="1440" w:bottom="175" w:gutter="0" w:footer="0" w:header="0"/>
          <w:type w:val="continuous"/>
        </w:sectPr>
      </w:pPr>
    </w:p>
    <w:bookmarkStart w:id="42" w:name="page43"/>
    <w:bookmarkEnd w:id="42"/>
    <w:p>
      <w:pPr>
        <w:ind w:left="980" w:right="940" w:hanging="491"/>
        <w:spacing w:after="0" w:line="276"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accept or approve applications for marketing approval of new drugs or biologics or supplements to approved applications filed by us;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operations, including costly new manufacturing requirements;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seizure or detention of our products or import bans.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Prior to receiving approval to commercialize any of our planned products in the U.S. or abroad, we will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6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94" w:lineRule="exact"/>
        <w:rPr>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a planned product may not be deemed safe or effective;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FDA officials may not find the data from preclinical studies and clinical studies sufficient;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FDA might not approve our or our third-party manufacturer’s processes or facilities;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FDA may change its approval policies or adopt new regulations.</w:t>
      </w:r>
    </w:p>
    <w:p>
      <w:pPr>
        <w:spacing w:after="0" w:line="119"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auto"/>
        </w:rPr>
        <w:t>If any planned products fail to demonstrate safety and effectiveness in clinical studies or do not gain regulatory approval, our business and results of operations will be materially and adversely harmed.</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Applications for our product candidates could fail to receive regulatory approval for many reasons, including the following:</w:t>
      </w:r>
    </w:p>
    <w:p>
      <w:pPr>
        <w:spacing w:after="0" w:line="63" w:lineRule="exact"/>
        <w:rPr>
          <w:sz w:val="20"/>
          <w:szCs w:val="20"/>
          <w:color w:val="auto"/>
        </w:rPr>
      </w:pPr>
    </w:p>
    <w:p>
      <w:pPr>
        <w:ind w:left="980" w:hanging="491"/>
        <w:spacing w:after="0" w:line="27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comparable foreign regulatory authorities may disagree with the design, implementation or results of our clinical trials;</w:t>
      </w:r>
    </w:p>
    <w:p>
      <w:pPr>
        <w:spacing w:after="0" w:line="64" w:lineRule="exact"/>
        <w:rPr>
          <w:rFonts w:ascii="Arial" w:cs="Arial" w:eastAsia="Arial" w:hAnsi="Arial"/>
          <w:sz w:val="20"/>
          <w:szCs w:val="20"/>
          <w:color w:val="auto"/>
        </w:rPr>
      </w:pPr>
    </w:p>
    <w:p>
      <w:pPr>
        <w:jc w:val="both"/>
        <w:ind w:left="980" w:hanging="491"/>
        <w:spacing w:after="0" w:line="258"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may reject some or all of our data from clinical studies due to concerns related to bias, unblinding before statistical analysis plan is finalized, and/or reliability of data when the analysis is considered exploratory and not planned prospectively;</w:t>
      </w:r>
    </w:p>
    <w:p>
      <w:pPr>
        <w:spacing w:after="0" w:line="81"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may not accept data pooled from different studies, especially if the studies features are not sufficiently similar;</w:t>
      </w:r>
    </w:p>
    <w:p>
      <w:pPr>
        <w:spacing w:after="0" w:line="64"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finds that our data are not adequate to support the safety and efficacy of our product candidate for the proposed indication;</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may disagree with our statistical analysis plan;</w:t>
      </w:r>
    </w:p>
    <w:p>
      <w:pPr>
        <w:spacing w:after="0" w:line="133" w:lineRule="exact"/>
        <w:rPr>
          <w:rFonts w:ascii="Arial" w:cs="Arial" w:eastAsia="Arial" w:hAnsi="Arial"/>
          <w:sz w:val="20"/>
          <w:szCs w:val="20"/>
          <w:color w:val="auto"/>
        </w:rPr>
      </w:pPr>
    </w:p>
    <w:p>
      <w:pPr>
        <w:jc w:val="both"/>
        <w:ind w:left="980" w:hanging="491"/>
        <w:spacing w:after="0" w:line="258"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81"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assure efficacy and safety in the full population for which we seek approval;</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34" w:right="1440" w:bottom="175" w:gutter="0" w:footer="0" w:header="0"/>
          <w:type w:val="continuous"/>
        </w:sectPr>
      </w:pPr>
    </w:p>
    <w:bookmarkStart w:id="43" w:name="page44"/>
    <w:bookmarkEnd w:id="43"/>
    <w:p>
      <w:pPr>
        <w:ind w:left="980" w:hanging="491"/>
        <w:spacing w:after="0" w:line="27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comparable foreign regulatory authorities may disagree with our interpretation of data from nonclinical studies or clinical trials;</w:t>
      </w:r>
    </w:p>
    <w:p>
      <w:pPr>
        <w:spacing w:after="0" w:line="64"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trials may not meet the statutory standard for substantial evidence of effectiveness or may fail to demonstrate statistical significance on the primary endpoint;</w:t>
      </w:r>
    </w:p>
    <w:p>
      <w:pPr>
        <w:spacing w:after="0" w:line="64"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FDA or other comparable foreign regulatory authorities that our product candidate’s risk-benefit ratio for its proposed indication is acceptable;</w:t>
      </w:r>
    </w:p>
    <w:p>
      <w:pPr>
        <w:spacing w:after="0" w:line="64" w:lineRule="exact"/>
        <w:rPr>
          <w:rFonts w:ascii="Arial" w:cs="Arial" w:eastAsia="Arial" w:hAnsi="Arial"/>
          <w:sz w:val="20"/>
          <w:szCs w:val="20"/>
          <w:color w:val="auto"/>
        </w:rPr>
      </w:pPr>
    </w:p>
    <w:p>
      <w:pPr>
        <w:jc w:val="both"/>
        <w:ind w:left="980" w:hanging="491"/>
        <w:spacing w:after="0" w:line="258"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1" w:lineRule="exact"/>
        <w:rPr>
          <w:rFonts w:ascii="Arial" w:cs="Arial" w:eastAsia="Arial" w:hAnsi="Arial"/>
          <w:sz w:val="20"/>
          <w:szCs w:val="20"/>
          <w:color w:val="auto"/>
        </w:rPr>
      </w:pPr>
    </w:p>
    <w:p>
      <w:pPr>
        <w:jc w:val="both"/>
        <w:ind w:left="980" w:hanging="491"/>
        <w:spacing w:after="0" w:line="258"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other comparable foreign regulatory authorities may significantly change in a manner rendering our clinical data insufficient for approval or resulting in delays in our regulatory approval.</w:t>
      </w:r>
    </w:p>
    <w:p>
      <w:pPr>
        <w:spacing w:after="0" w:line="12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As noted above, we have received preliminary comments from the FDA for our pre-NDA meeting, and as we decided not to proceed with the meeting, they are considered the official record of the meeting</w:t>
      </w:r>
      <w:r>
        <w:rPr>
          <w:rFonts w:ascii="Times New Roman" w:cs="Times New Roman" w:eastAsia="Times New Roman" w:hAnsi="Times New Roman"/>
          <w:sz w:val="20"/>
          <w:szCs w:val="20"/>
          <w:color w:val="B8000C"/>
        </w:rPr>
        <w:t>.</w:t>
      </w:r>
      <w:r>
        <w:rPr>
          <w:rFonts w:ascii="Times New Roman" w:cs="Times New Roman" w:eastAsia="Times New Roman" w:hAnsi="Times New Roman"/>
          <w:sz w:val="20"/>
          <w:szCs w:val="20"/>
          <w:color w:val="auto"/>
        </w:rPr>
        <w:t xml:space="preserve"> While the FDA has raised concerns regarding our clinical data, we believe the data has the potential to support an NDA for DCCR, which we plan to submit in mid-2024. If the FDA disagrees with our interpretation of the data, or if we are required to conduct additional studies or clinical trials, our regulatory approval will be significantly delayed. This lengthy approval process, as well as the unpredictability of the results of clinical trials, may result in our failing to obtain regulatory approval to market DCCR, which would significantly harm our business, results of operations and prospects.</w:t>
      </w:r>
    </w:p>
    <w:p>
      <w:pPr>
        <w:spacing w:after="0" w:line="8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In addition, even if we obtain approval of DCCR, regulatory authorities may approve DCCR for fewer or more limited indications than we initially request, or may impose significant limitations in the form of narrow indications, warnings, contraindications, or a risk evaluation and mitigation strategy (REMS). Regulatory authorities may not approve the price we intend to charge for DCCR, may grant approval contingent on the performance of costly post-marketing clinical trials or other post-marketing studies, or may approve DCCR with a label that does not include the labeling claims necessary or desirable for the successful commercialization of DCCR. Any of the foregoing scenarios could seriously harm our business.</w:t>
      </w:r>
    </w:p>
    <w:p>
      <w:pPr>
        <w:spacing w:after="0" w:line="14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received fast track designation for DCCR for the treatment of PWS, and we may seek fast track designation for other product candidates in the future. Even if received, fast track designation may not actually lead to a faster review process or faster marketing approval.</w:t>
      </w:r>
    </w:p>
    <w:p>
      <w:pPr>
        <w:spacing w:after="0" w:line="17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aim to benefit from the FDA’s fast track and priority review processes, and we previously received fast track designation for DCCR for the treatment of PWS. Under this program, the FDA may initiate a rolling review of sections of a fast track-designated drug’s NDA before the application is complete, although the FDA’s performance goal for reviewing an application does not begin until the last section of the NDA is submitted. In addition, under the FDA’s policies, a product candidate is eligible for priority review if it provides a significant improvement compared to marketed drugs in the treatment, diagnosis or prevention of a disease. A fast track-designated drug candidate would ordinarily meet the FDA’s criteria for priority review.</w:t>
      </w:r>
    </w:p>
    <w:p>
      <w:pPr>
        <w:spacing w:after="0" w:line="190"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fast track designation for DCCR, or for other future product candidates that we may develop, may not actually lead to a faster review process. Any delays in the review process or in the approval of DCCR or our future potential products will delay revenue from their potential sales and will have a material adverse impact on our business.</w:t>
      </w:r>
    </w:p>
    <w:p>
      <w:pPr>
        <w:spacing w:after="0" w:line="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auto"/>
        </w:rPr>
        <w:t>Moreover, a fast track designation may be withdrawn by the FDA if the agency believes that the designation is no longer supported by data emerging in the clinical trial process.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34" w:right="1440" w:bottom="175" w:gutter="0" w:footer="0" w:header="0"/>
          <w:type w:val="continuous"/>
        </w:sectPr>
      </w:pPr>
    </w:p>
    <w:bookmarkStart w:id="44" w:name="page45"/>
    <w:bookmarkEnd w:id="44"/>
    <w:p>
      <w:pPr>
        <w:ind w:right="20"/>
        <w:spacing w:after="0" w:line="258" w:lineRule="auto"/>
        <w:rPr>
          <w:sz w:val="20"/>
          <w:szCs w:val="20"/>
          <w:color w:val="auto"/>
        </w:rPr>
      </w:pPr>
      <w:r>
        <w:rPr>
          <w:rFonts w:ascii="Times New Roman" w:cs="Times New Roman" w:eastAsia="Times New Roman" w:hAnsi="Times New Roman"/>
          <w:sz w:val="20"/>
          <w:szCs w:val="20"/>
          <w:color w:val="auto"/>
        </w:rPr>
        <w:t>we are subject to extensive and ongoing regulatory requirements by the FDA and other regulatory authorities with regard to the labeling, packaging, adverse event reporting, storage, advertising, promotion and recordkeeping for our products.</w:t>
      </w:r>
    </w:p>
    <w:p>
      <w:pPr>
        <w:spacing w:after="0" w:line="68"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8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9"/>
          <w:szCs w:val="19"/>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5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8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ind w:left="980" w:right="80" w:hanging="491"/>
        <w:spacing w:after="0" w:line="276"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33" w:lineRule="exact"/>
        <w:rPr>
          <w:rFonts w:ascii="Arial" w:cs="Arial" w:eastAsia="Arial" w:hAnsi="Arial"/>
          <w:sz w:val="20"/>
          <w:szCs w:val="20"/>
          <w:color w:val="auto"/>
        </w:rPr>
      </w:pPr>
    </w:p>
    <w:p>
      <w:pPr>
        <w:ind w:left="980" w:right="720" w:hanging="491"/>
        <w:spacing w:after="0" w:line="276"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approvals;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1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6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20" w:right="1440" w:bottom="175" w:gutter="0" w:footer="0" w:header="0"/>
          <w:type w:val="continuous"/>
        </w:sectPr>
      </w:pPr>
    </w:p>
    <w:bookmarkStart w:id="45" w:name="page46"/>
    <w:bookmarkEnd w:id="45"/>
    <w:p>
      <w:pPr>
        <w:ind w:right="40"/>
        <w:spacing w:after="0" w:line="277" w:lineRule="auto"/>
        <w:rPr>
          <w:sz w:val="20"/>
          <w:szCs w:val="20"/>
          <w:color w:val="auto"/>
        </w:rPr>
      </w:pPr>
      <w:r>
        <w:rPr>
          <w:rFonts w:ascii="Times New Roman" w:cs="Times New Roman" w:eastAsia="Times New Roman" w:hAnsi="Times New Roman"/>
          <w:sz w:val="20"/>
          <w:szCs w:val="20"/>
          <w:color w:val="auto"/>
        </w:rPr>
        <w:t>applications, inspections before authorization, applications for changes to marketing authorizations, and annual fees, access to the centralized authorization procedure, and 10 years of market exclusivity.</w:t>
      </w:r>
    </w:p>
    <w:p>
      <w:pPr>
        <w:spacing w:after="0" w:line="4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42"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approvals in foreign jurisdictions will prevent us from marketing our products internationally.</w:t>
      </w:r>
    </w:p>
    <w:p>
      <w:pPr>
        <w:spacing w:after="0" w:line="49"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auto"/>
        </w:rPr>
        <w:t>We intend to seek distribution and marketing partners for our current products outside the U.S. and may market planned products in international markets.</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 measures could hinder or prevent our planned products’ commercial success.</w:t>
      </w:r>
    </w:p>
    <w:p>
      <w:pPr>
        <w:spacing w:after="0" w:line="12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100" w:lineRule="exact"/>
        <w:rPr>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could result in the imposition of injunctions;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requires collection of rebates for drugs paid by Medicaid managed care organizations; and</w:t>
      </w:r>
    </w:p>
    <w:p>
      <w:pPr>
        <w:spacing w:after="0" w:line="133" w:lineRule="exact"/>
        <w:rPr>
          <w:rFonts w:ascii="Arial" w:cs="Arial" w:eastAsia="Arial" w:hAnsi="Arial"/>
          <w:sz w:val="20"/>
          <w:szCs w:val="20"/>
          <w:color w:val="auto"/>
        </w:rPr>
      </w:pPr>
    </w:p>
    <w:p>
      <w:pPr>
        <w:ind w:left="980" w:right="100" w:hanging="491"/>
        <w:spacing w:after="0" w:line="252"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7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8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PPACA was enacted. For example, the Budget Control Act of 2011, among other things, created the Joint Select Committee on Deficit Reduction to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20" w:right="1440" w:bottom="175" w:gutter="0" w:footer="0" w:header="0"/>
          <w:type w:val="continuous"/>
        </w:sectPr>
      </w:pPr>
    </w:p>
    <w:bookmarkStart w:id="46" w:name="page47"/>
    <w:bookmarkEnd w:id="46"/>
    <w:p>
      <w:pPr>
        <w:ind w:right="20"/>
        <w:spacing w:after="0" w:line="244" w:lineRule="auto"/>
        <w:rPr>
          <w:sz w:val="20"/>
          <w:szCs w:val="20"/>
          <w:color w:val="auto"/>
        </w:rPr>
      </w:pPr>
      <w:r>
        <w:rPr>
          <w:rFonts w:ascii="Times New Roman" w:cs="Times New Roman" w:eastAsia="Times New Roman" w:hAnsi="Times New Roman"/>
          <w:sz w:val="20"/>
          <w:szCs w:val="20"/>
          <w:color w:val="auto"/>
        </w:rPr>
        <w:t>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8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88" w:lineRule="exact"/>
        <w:rPr>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set a price that we believe is fair for our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 and achieve or maintain profitability;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pacing w:after="0" w:line="11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Further, the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 candidates.</w:t>
      </w:r>
    </w:p>
    <w:p>
      <w:pPr>
        <w:spacing w:after="0" w:line="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0" w:right="1440" w:bottom="175" w:gutter="0" w:footer="0" w:header="0"/>
          <w:type w:val="continuous"/>
        </w:sectPr>
      </w:pPr>
    </w:p>
    <w:bookmarkStart w:id="47" w:name="page48"/>
    <w:bookmarkEnd w:id="47"/>
    <w:p>
      <w:pPr>
        <w:ind w:right="20"/>
        <w:spacing w:after="0" w:line="247" w:lineRule="auto"/>
        <w:rPr>
          <w:sz w:val="20"/>
          <w:szCs w:val="20"/>
          <w:color w:val="auto"/>
        </w:rPr>
      </w:pPr>
      <w:r>
        <w:rPr>
          <w:rFonts w:ascii="Times New Roman" w:cs="Times New Roman" w:eastAsia="Times New Roman" w:hAnsi="Times New Roman"/>
          <w:sz w:val="20"/>
          <w:szCs w:val="20"/>
          <w:color w:val="auto"/>
        </w:rPr>
        <w:t>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8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In addition, if the U.S. Supreme Court reverses or curtails the </w:t>
      </w:r>
      <w:r>
        <w:rPr>
          <w:rFonts w:ascii="Times New Roman" w:cs="Times New Roman" w:eastAsia="Times New Roman" w:hAnsi="Times New Roman"/>
          <w:sz w:val="20"/>
          <w:szCs w:val="20"/>
          <w:i w:val="1"/>
          <w:iCs w:val="1"/>
          <w:color w:val="auto"/>
        </w:rPr>
        <w:t>Chevron</w:t>
      </w:r>
      <w:r>
        <w:rPr>
          <w:rFonts w:ascii="Times New Roman" w:cs="Times New Roman" w:eastAsia="Times New Roman" w:hAnsi="Times New Roman"/>
          <w:sz w:val="20"/>
          <w:szCs w:val="20"/>
          <w:color w:val="auto"/>
        </w:rPr>
        <w:t xml:space="preserve"> doctrine, which gives deference to regulatory agencies in litigation against the FDA and other agencies, more companies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3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healthcare regulations, we could face substantial penalties and our business, operations and financial condition could be adversely affected.</w:t>
      </w:r>
    </w:p>
    <w:p>
      <w:pPr>
        <w:spacing w:after="0" w:line="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91" w:lineRule="exact"/>
        <w:rPr>
          <w:sz w:val="20"/>
          <w:szCs w:val="20"/>
          <w:color w:val="auto"/>
        </w:rPr>
      </w:pPr>
    </w:p>
    <w:p>
      <w:pPr>
        <w:ind w:left="980" w:right="120" w:hanging="491"/>
        <w:spacing w:after="0" w:line="249"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0" w:lineRule="exact"/>
        <w:rPr>
          <w:rFonts w:ascii="Arial" w:cs="Arial" w:eastAsia="Arial" w:hAnsi="Arial"/>
          <w:sz w:val="20"/>
          <w:szCs w:val="20"/>
          <w:color w:val="auto"/>
        </w:rPr>
      </w:pPr>
    </w:p>
    <w:p>
      <w:pPr>
        <w:ind w:left="980" w:right="80" w:hanging="491"/>
        <w:spacing w:after="0" w:line="258"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81" w:lineRule="exact"/>
        <w:rPr>
          <w:rFonts w:ascii="Arial" w:cs="Arial" w:eastAsia="Arial" w:hAnsi="Arial"/>
          <w:sz w:val="20"/>
          <w:szCs w:val="20"/>
          <w:color w:val="auto"/>
        </w:rPr>
      </w:pPr>
    </w:p>
    <w:p>
      <w:pPr>
        <w:ind w:left="980" w:right="180" w:hanging="491"/>
        <w:spacing w:after="0" w:line="252"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87"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federal criminal laws that prohibit executing a scheme to defraud any healthcare benefit program or making false statements relating to healthcare matters;</w:t>
      </w:r>
    </w:p>
    <w:p>
      <w:pPr>
        <w:spacing w:after="0" w:line="64" w:lineRule="exact"/>
        <w:rPr>
          <w:rFonts w:ascii="Arial" w:cs="Arial" w:eastAsia="Arial" w:hAnsi="Arial"/>
          <w:sz w:val="20"/>
          <w:szCs w:val="20"/>
          <w:color w:val="auto"/>
        </w:rPr>
      </w:pPr>
    </w:p>
    <w:p>
      <w:pPr>
        <w:jc w:val="both"/>
        <w:ind w:left="980" w:right="380" w:hanging="491"/>
        <w:spacing w:after="0" w:line="258"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81" w:lineRule="exact"/>
        <w:rPr>
          <w:rFonts w:ascii="Arial" w:cs="Arial" w:eastAsia="Arial" w:hAnsi="Arial"/>
          <w:sz w:val="20"/>
          <w:szCs w:val="20"/>
          <w:color w:val="auto"/>
        </w:rPr>
      </w:pPr>
    </w:p>
    <w:p>
      <w:pPr>
        <w:ind w:left="980" w:right="360" w:hanging="491"/>
        <w:spacing w:after="0" w:line="258"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81" w:lineRule="exact"/>
        <w:rPr>
          <w:rFonts w:ascii="Arial" w:cs="Arial" w:eastAsia="Arial" w:hAnsi="Arial"/>
          <w:sz w:val="20"/>
          <w:szCs w:val="20"/>
          <w:color w:val="auto"/>
        </w:rPr>
      </w:pPr>
    </w:p>
    <w:p>
      <w:pPr>
        <w:ind w:left="980" w:right="440" w:hanging="491"/>
        <w:spacing w:after="0" w:line="258"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state law equivalents of each of the above federal laws, such as anti-kickback and false claims laws which may apply to items or services reimbursed by any third-party payer, including commercial insurers.</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20" w:right="1440" w:bottom="175" w:gutter="0" w:footer="0" w:header="0"/>
          <w:type w:val="continuous"/>
        </w:sectPr>
      </w:pPr>
    </w:p>
    <w:bookmarkStart w:id="48" w:name="page49"/>
    <w:bookmarkEnd w:id="48"/>
    <w:p>
      <w:pPr>
        <w:ind w:right="280"/>
        <w:spacing w:after="0" w:line="277" w:lineRule="auto"/>
        <w:rPr>
          <w:sz w:val="20"/>
          <w:szCs w:val="20"/>
          <w:color w:val="auto"/>
        </w:rPr>
      </w:pPr>
      <w:r>
        <w:rPr>
          <w:rFonts w:ascii="Times New Roman" w:cs="Times New Roman" w:eastAsia="Times New Roman" w:hAnsi="Times New Roman"/>
          <w:sz w:val="20"/>
          <w:szCs w:val="20"/>
          <w:color w:val="auto"/>
        </w:rPr>
        <w:t>services resulting from a violation of the Federal Anti-Kickback Statute constitutes a false or fraudulent claim for purposes of the False Claims Act.</w:t>
      </w:r>
    </w:p>
    <w:p>
      <w:pPr>
        <w:spacing w:after="0" w:line="4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 and purchasers of our securities could incur substantial losses.</w:t>
      </w:r>
    </w:p>
    <w:p>
      <w:pPr>
        <w:spacing w:after="0" w:line="12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As a result of this volatility, investors may not be able to sell their common stock at or above the purchase price. The market price for our common stock may be influenced by many factors, including the following:</w:t>
      </w:r>
    </w:p>
    <w:p>
      <w:pPr>
        <w:spacing w:after="0" w:line="91" w:lineRule="exact"/>
        <w:rPr>
          <w:sz w:val="20"/>
          <w:szCs w:val="20"/>
          <w:color w:val="auto"/>
        </w:rPr>
      </w:pPr>
    </w:p>
    <w:p>
      <w:pPr>
        <w:ind w:left="980" w:right="30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clinical trials and our ability to obtain regulatory approval of DCCR in Prader Willi Syndrome;</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commercialize, and realize significant revenues from sales of our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competitive products or technologies;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other clinical studies of our products or those of our competitors;</w:t>
      </w:r>
    </w:p>
    <w:p>
      <w:pPr>
        <w:spacing w:after="0" w:line="133" w:lineRule="exact"/>
        <w:rPr>
          <w:rFonts w:ascii="Arial" w:cs="Arial" w:eastAsia="Arial" w:hAnsi="Arial"/>
          <w:sz w:val="20"/>
          <w:szCs w:val="20"/>
          <w:color w:val="auto"/>
        </w:rPr>
      </w:pPr>
    </w:p>
    <w:p>
      <w:pPr>
        <w:ind w:left="980" w:right="82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or legal developments in the U.S. and other countries, especially changes in laws or regulations applicable to our products;</w:t>
      </w:r>
    </w:p>
    <w:p>
      <w:pPr>
        <w:spacing w:after="0" w:line="64"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introductions and announcements of new products by us, our commercialization partners, or our competitors, and the timing of these introductions or announcements;</w:t>
      </w:r>
    </w:p>
    <w:p>
      <w:pPr>
        <w:spacing w:after="0" w:line="64" w:lineRule="exact"/>
        <w:rPr>
          <w:rFonts w:ascii="Arial" w:cs="Arial" w:eastAsia="Arial" w:hAnsi="Arial"/>
          <w:sz w:val="20"/>
          <w:szCs w:val="20"/>
          <w:color w:val="auto"/>
        </w:rPr>
      </w:pPr>
    </w:p>
    <w:p>
      <w:pPr>
        <w:ind w:left="980" w:right="62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actions taken by regulatory agencies with respect to our products, clinical studies, manufacturing process or sales and marketing terms;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efforts to acquire or in-license additional products or planned products;</w:t>
      </w:r>
    </w:p>
    <w:p>
      <w:pPr>
        <w:spacing w:after="0" w:line="133" w:lineRule="exact"/>
        <w:rPr>
          <w:rFonts w:ascii="Arial" w:cs="Arial" w:eastAsia="Arial" w:hAnsi="Arial"/>
          <w:sz w:val="20"/>
          <w:szCs w:val="20"/>
          <w:color w:val="auto"/>
        </w:rPr>
      </w:pPr>
    </w:p>
    <w:p>
      <w:pPr>
        <w:ind w:left="980" w:right="48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our collaborations, including but not limited to those with our sources of manufacturing supply and our commercialization partners;</w:t>
      </w:r>
    </w:p>
    <w:p>
      <w:pPr>
        <w:spacing w:after="0" w:line="64" w:lineRule="exact"/>
        <w:rPr>
          <w:rFonts w:ascii="Arial" w:cs="Arial" w:eastAsia="Arial" w:hAnsi="Arial"/>
          <w:sz w:val="20"/>
          <w:szCs w:val="20"/>
          <w:color w:val="auto"/>
        </w:rPr>
      </w:pPr>
    </w:p>
    <w:p>
      <w:pPr>
        <w:ind w:left="980" w:right="28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our ability to bring our manufacturing processes to scale in a cost-effective manner;</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joint ventures or capital commitments;</w:t>
      </w:r>
    </w:p>
    <w:p>
      <w:pPr>
        <w:spacing w:after="0" w:line="64" w:lineRule="exact"/>
        <w:rPr>
          <w:rFonts w:ascii="Arial" w:cs="Arial" w:eastAsia="Arial" w:hAnsi="Arial"/>
          <w:sz w:val="20"/>
          <w:szCs w:val="20"/>
          <w:color w:val="auto"/>
        </w:rPr>
      </w:pPr>
    </w:p>
    <w:p>
      <w:pPr>
        <w:ind w:left="980" w:right="380" w:hanging="491"/>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patents or other proprietary rights, including patents, litigation matters and our ability to obtain patent protection for our products;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or inability to raise additional capital and the terms on which we raise it;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20" w:right="1440" w:bottom="175" w:gutter="0" w:footer="0" w:header="0"/>
          <w:type w:val="continuous"/>
        </w:sectPr>
      </w:pPr>
    </w:p>
    <w:bookmarkStart w:id="49" w:name="page50"/>
    <w:bookmarkEnd w:id="49"/>
    <w:p>
      <w:pPr>
        <w:ind w:left="980" w:right="60" w:hanging="491"/>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earnings estimates or changes in stock market analyst recommendations regarding our common stock, other comparable companies or our industry generally;</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by us or our stockholders;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industry and market conditions; including those due to inflation;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risks described in this “Risk Factors” section.</w:t>
      </w:r>
    </w:p>
    <w:p>
      <w:pPr>
        <w:spacing w:after="0" w:line="11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3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or the perception that future sales may occur, may cause the market price of our common stock to decline, even if our business is doing well.</w:t>
      </w:r>
    </w:p>
    <w:p>
      <w:pPr>
        <w:spacing w:after="0" w:line="4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6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 forwards and certain other tax attributes will be limited.</w:t>
      </w:r>
    </w:p>
    <w:p>
      <w:pPr>
        <w:spacing w:after="0" w:line="1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In addition, we also raised capital in October 2019, June 2020, March 2022, December 2022 and October 2023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 our warrant holders exercise their warrants into shares of our common stock, our stockholders will be diluted.</w:t>
      </w:r>
    </w:p>
    <w:p>
      <w:pPr>
        <w:spacing w:after="0" w:line="12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34" w:right="1440" w:bottom="175" w:gutter="0" w:footer="0" w:header="0"/>
          <w:type w:val="continuous"/>
        </w:sectPr>
      </w:pPr>
    </w:p>
    <w:bookmarkStart w:id="50" w:name="page51"/>
    <w:bookmarkEnd w:id="50"/>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4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or unfavorable research, about our business, our stock price and trading volume could decline.</w:t>
      </w:r>
    </w:p>
    <w:p>
      <w:pPr>
        <w:spacing w:after="0" w:line="4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4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100" w:lineRule="exact"/>
        <w:rPr>
          <w:sz w:val="20"/>
          <w:szCs w:val="20"/>
          <w:color w:val="auto"/>
        </w:rPr>
      </w:pPr>
    </w:p>
    <w:p>
      <w:pPr>
        <w:ind w:left="980" w:right="320" w:hanging="491"/>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is divided into three classes with staggered three-year terms which may delay or prevent a change of our management or a change in control;</w:t>
      </w:r>
    </w:p>
    <w:p>
      <w:pPr>
        <w:spacing w:after="0" w:line="64" w:lineRule="exact"/>
        <w:rPr>
          <w:rFonts w:ascii="Arial" w:cs="Arial" w:eastAsia="Arial" w:hAnsi="Arial"/>
          <w:sz w:val="20"/>
          <w:szCs w:val="20"/>
          <w:color w:val="auto"/>
        </w:rPr>
      </w:pPr>
    </w:p>
    <w:p>
      <w:pPr>
        <w:ind w:left="980" w:right="200" w:hanging="491"/>
        <w:spacing w:after="0" w:line="258"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81" w:lineRule="exact"/>
        <w:rPr>
          <w:rFonts w:ascii="Arial" w:cs="Arial" w:eastAsia="Arial" w:hAnsi="Arial"/>
          <w:sz w:val="20"/>
          <w:szCs w:val="20"/>
          <w:color w:val="auto"/>
        </w:rPr>
      </w:pPr>
    </w:p>
    <w:p>
      <w:pPr>
        <w:ind w:left="980" w:right="40" w:hanging="491"/>
        <w:spacing w:after="0" w:line="252"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87"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certificate of incorporation prohibits cumulative voting in the election of directors, which limits the ability of minority stockholders to elect director candidates;</w:t>
      </w:r>
    </w:p>
    <w:p>
      <w:pPr>
        <w:spacing w:after="0" w:line="64" w:lineRule="exact"/>
        <w:rPr>
          <w:rFonts w:ascii="Arial" w:cs="Arial" w:eastAsia="Arial" w:hAnsi="Arial"/>
          <w:sz w:val="20"/>
          <w:szCs w:val="20"/>
          <w:color w:val="auto"/>
        </w:rPr>
      </w:pPr>
    </w:p>
    <w:p>
      <w:pPr>
        <w:ind w:left="980" w:right="560" w:hanging="491"/>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amendments of our certificate of incorporation and bylaws require the approval of 66 2/3% of our outstanding voting securities;</w:t>
      </w:r>
    </w:p>
    <w:p>
      <w:pPr>
        <w:spacing w:after="0" w:line="64"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stockholders are required to provide advance notice and additional disclosures in order to nominate individuals for election to our Board or to propose matters that can be acted upon at a stockholders’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20" w:right="1440" w:bottom="175" w:gutter="0" w:footer="0" w:header="0"/>
          <w:type w:val="continuous"/>
        </w:sectPr>
      </w:pPr>
    </w:p>
    <w:bookmarkStart w:id="51" w:name="page52"/>
    <w:bookmarkEnd w:id="51"/>
    <w:p>
      <w:pPr>
        <w:ind w:left="980" w:right="40"/>
        <w:spacing w:after="0" w:line="277" w:lineRule="auto"/>
        <w:rPr>
          <w:sz w:val="20"/>
          <w:szCs w:val="20"/>
          <w:color w:val="auto"/>
        </w:rPr>
      </w:pPr>
      <w:r>
        <w:rPr>
          <w:rFonts w:ascii="Times New Roman" w:cs="Times New Roman" w:eastAsia="Times New Roman" w:hAnsi="Times New Roman"/>
          <w:sz w:val="20"/>
          <w:szCs w:val="20"/>
          <w:color w:val="auto"/>
        </w:rPr>
        <w:t>meeting, which may discourage or deter a potential acquirer from conducting a solicitation of proxies to elect the acquirer’s own slate of directors or otherwise attempting to obtain control of our company; and</w:t>
      </w:r>
    </w:p>
    <w:p>
      <w:pPr>
        <w:spacing w:after="0" w:line="63" w:lineRule="exact"/>
        <w:rPr>
          <w:sz w:val="20"/>
          <w:szCs w:val="20"/>
          <w:color w:val="auto"/>
        </w:rPr>
      </w:pPr>
    </w:p>
    <w:p>
      <w:pPr>
        <w:ind w:left="980" w:right="40" w:hanging="491"/>
        <w:spacing w:after="0" w:line="258"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18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4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not paid dividends in the past and do not expect to pay dividends in the future, and, as a result, any return on investment may be limited to the value of our stock.</w:t>
      </w:r>
    </w:p>
    <w:p>
      <w:pPr>
        <w:spacing w:after="0" w:line="49" w:lineRule="exact"/>
        <w:rPr>
          <w:sz w:val="20"/>
          <w:szCs w:val="20"/>
          <w:color w:val="auto"/>
        </w:rPr>
      </w:pPr>
    </w:p>
    <w:p>
      <w:pPr>
        <w:jc w:val="both"/>
        <w:ind w:right="400"/>
        <w:spacing w:after="0" w:line="252" w:lineRule="auto"/>
        <w:rPr>
          <w:sz w:val="20"/>
          <w:szCs w:val="20"/>
          <w:color w:val="auto"/>
        </w:rPr>
      </w:pPr>
      <w:r>
        <w:rPr>
          <w:rFonts w:ascii="Times New Roman" w:cs="Times New Roman" w:eastAsia="Times New Roman" w:hAnsi="Times New Roman"/>
          <w:sz w:val="20"/>
          <w:szCs w:val="20"/>
          <w:color w:val="auto"/>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Intrusions into our computer systems could result in compromise of confidential information.</w:t>
      </w:r>
    </w:p>
    <w:p>
      <w:pPr>
        <w:spacing w:after="0" w:line="12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7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20" w:right="1440" w:bottom="175" w:gutter="0" w:footer="0" w:header="0"/>
          <w:type w:val="continuous"/>
        </w:sectPr>
      </w:pPr>
    </w:p>
    <w:bookmarkStart w:id="52" w:name="page53"/>
    <w:bookmarkEnd w:id="52"/>
    <w:p>
      <w:pPr>
        <w:ind w:right="180"/>
        <w:spacing w:after="0" w:line="258" w:lineRule="auto"/>
        <w:rPr>
          <w:sz w:val="20"/>
          <w:szCs w:val="20"/>
          <w:color w:val="auto"/>
        </w:rPr>
      </w:pPr>
      <w:r>
        <w:rPr>
          <w:rFonts w:ascii="Times New Roman" w:cs="Times New Roman" w:eastAsia="Times New Roman" w:hAnsi="Times New Roman"/>
          <w:sz w:val="20"/>
          <w:szCs w:val="20"/>
          <w:color w:val="auto"/>
        </w:rPr>
        <w:t>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28" w:lineRule="exact"/>
        <w:rPr>
          <w:sz w:val="20"/>
          <w:szCs w:val="20"/>
          <w:color w:val="auto"/>
        </w:rPr>
      </w:pPr>
    </w:p>
    <w:p>
      <w:pPr>
        <w:ind w:right="6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Unfavorable U.S. or global economic conditions as a result of international conflict, or otherwise, could adversely affect our ability to raise capital and our business, results of operations and financial condition.</w:t>
      </w:r>
    </w:p>
    <w:p>
      <w:pPr>
        <w:spacing w:after="0" w:line="2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While the potential economic impact brought by the hostilities in the Ukraine and the Middle East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4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8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(Section 404). We currently do not have an internal audit group, and we will need to hire additional accounting and financial staff with appropriate public company experience and technical accounting knowledge.</w:t>
      </w:r>
    </w:p>
    <w:p>
      <w:pPr>
        <w:spacing w:after="0" w:line="8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20" w:right="1440" w:bottom="175"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16" w:right="1440" w:bottom="175"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Our board of directors is responsible for overseeing our risk management program and cybersecurity is a critical element of this program. Management is responsible for the day-to-day administration of our risk management program and our cybersecurity policies, processes, and practices. Our cybersecurity policies, standards, processes, and practices are based on recognized frameworks established by the Center for Internet Security (CIS) and other applicable industry standards and are integrated into our overall risk management system and processes. 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Intrusions into our computer systems could result in compromise of confidential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Cybersecurity Risk Management and Strategy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cybersecurity risk management strategy focuses on several areas:</w:t>
      </w:r>
    </w:p>
    <w:p>
      <w:pPr>
        <w:spacing w:after="0" w:line="134" w:lineRule="exact"/>
        <w:rPr>
          <w:sz w:val="20"/>
          <w:szCs w:val="20"/>
          <w:color w:val="auto"/>
        </w:rPr>
      </w:pPr>
    </w:p>
    <w:p>
      <w:pPr>
        <w:ind w:left="980" w:right="120" w:hanging="491"/>
        <w:spacing w:after="0" w:line="249" w:lineRule="auto"/>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Identification and Reporting: We have implemented a cross-functional approach to assessing, identifying and managing material cybersecurity threats and incidents.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90" w:lineRule="exact"/>
        <w:rPr>
          <w:rFonts w:ascii="Arial" w:cs="Arial" w:eastAsia="Arial" w:hAnsi="Arial"/>
          <w:sz w:val="20"/>
          <w:szCs w:val="20"/>
          <w:color w:val="auto"/>
        </w:rPr>
      </w:pPr>
    </w:p>
    <w:p>
      <w:pPr>
        <w:ind w:left="980" w:hanging="491"/>
        <w:spacing w:after="0" w:line="252" w:lineRule="auto"/>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as well as outside audits and certifications.</w:t>
      </w:r>
    </w:p>
    <w:p>
      <w:pPr>
        <w:spacing w:after="0" w:line="87"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Incident Response and Recovery Planning: We are establishing incident response, business continuity, and disaster recovery plans designed to address our response to a cybersecurity incident.</w:t>
      </w:r>
    </w:p>
    <w:p>
      <w:pPr>
        <w:spacing w:after="0" w:line="64" w:lineRule="exact"/>
        <w:rPr>
          <w:rFonts w:ascii="Arial" w:cs="Arial" w:eastAsia="Arial" w:hAnsi="Arial"/>
          <w:sz w:val="20"/>
          <w:szCs w:val="20"/>
          <w:color w:val="auto"/>
        </w:rPr>
      </w:pPr>
    </w:p>
    <w:p>
      <w:pPr>
        <w:ind w:left="980" w:right="80" w:hanging="491"/>
        <w:spacing w:after="0" w:line="249" w:lineRule="auto"/>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Risk Management: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third-party systems, including any outside auditors or consultants who advise on our cybersecurity systems.</w:t>
      </w:r>
    </w:p>
    <w:p>
      <w:pPr>
        <w:spacing w:after="0" w:line="90" w:lineRule="exact"/>
        <w:rPr>
          <w:rFonts w:ascii="Arial" w:cs="Arial" w:eastAsia="Arial" w:hAnsi="Arial"/>
          <w:sz w:val="20"/>
          <w:szCs w:val="20"/>
          <w:color w:val="auto"/>
        </w:rPr>
      </w:pPr>
    </w:p>
    <w:p>
      <w:pPr>
        <w:ind w:left="980" w:right="60" w:hanging="491"/>
        <w:spacing w:after="0" w:line="249" w:lineRule="auto"/>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Periodic Assessments: We conduct periodic assessments and testing of our policies, standards, processes, and practices in a manner intended to address cybersecurity threats and events. The results of such assessments, audits, and reviews are evaluated by management and reported to our Audit Committee and our board of directors, and we adjust our cybersecurity policies, standards, processes, and practices as necessary based on the information provided by these assessments, audits, and reviews.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Governance</w:t>
      </w:r>
    </w:p>
    <w:p>
      <w:pPr>
        <w:spacing w:after="0" w:line="124"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auto"/>
        </w:rPr>
        <w:t>Our board of directors oversees our risk management program, including the management of cybersecurity threats as part of its general oversight function. Our Audit Committee is taking the lead on behalf of the board of directors on oversight of our cybersecurity risk management program and receives reports from management concerning our cybersecurity risk management program.</w:t>
      </w:r>
    </w:p>
    <w:p>
      <w:pPr>
        <w:spacing w:after="0" w:line="74"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19"/>
          <w:szCs w:val="19"/>
          <w:color w:val="auto"/>
        </w:rPr>
        <w:t>Our cybersecurity risk assessment and management processes are implemented and maintained by various members of our management team, IT department and other employees, including but not limited to the individuals on our cybersecurity incident management team, which includes individuals who have a diverse combination of relevant expertise, experience, education and training, with representation from our IT, finance, legal, human resources, among others. Our team includes individuals with relevant experience in enterprise risk management and disclosure controls and procedures. Additionally, certain members of our IT department have experience managing cybersecurity programs and are specifically assigned cybersecurity oversight. Our cybersecurity incident response processes are designed to escalate certain cybersecurity incidents to members of management depending on the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16" w:right="1440" w:bottom="175" w:gutter="0" w:footer="0" w:header="0"/>
          <w:type w:val="continuous"/>
        </w:sectPr>
      </w:pPr>
    </w:p>
    <w:bookmarkStart w:id="55" w:name="page56"/>
    <w:bookmarkEnd w:id="55"/>
    <w:p>
      <w:pPr>
        <w:spacing w:after="0" w:line="305" w:lineRule="auto"/>
        <w:rPr>
          <w:sz w:val="20"/>
          <w:szCs w:val="20"/>
          <w:color w:val="auto"/>
        </w:rPr>
      </w:pPr>
      <w:r>
        <w:rPr>
          <w:rFonts w:ascii="Times New Roman" w:cs="Times New Roman" w:eastAsia="Times New Roman" w:hAnsi="Times New Roman"/>
          <w:sz w:val="19"/>
          <w:szCs w:val="19"/>
          <w:color w:val="auto"/>
        </w:rPr>
        <w:t>circumstances, including in some cases to our executive team. Our cybersecurity incident management team, and other individuals as needed, work to help us mitigate and remediate cybersecurity incidents of which we are notified.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principal facilities consist of office space in Redwood City, California. We currently occupy 6,368 square feet of office space under a non-cancelable operating lease that expires in May 2025. On February 8, 2024, the Company entered into a six-month office license agreement to license 4,141 square feet of additional space adjacent to its existing office where the Company is currently located in Redwood City, California. The term of the new space expires October 31, 2024, unless terminated earlier in accordance with the office license agreement.</w:t>
      </w:r>
    </w:p>
    <w:p>
      <w:pPr>
        <w:spacing w:after="0" w:line="317"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We believe that the facilities that we currently lease are adequate for our needs for the immediate future and that, should it be needed, additional space can be leased on commercially reasonable terms to accommodate any future needs.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0" w:right="1440" w:bottom="175"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6" w:lineRule="exact"/>
        <w:rPr>
          <w:sz w:val="20"/>
          <w:szCs w:val="20"/>
          <w:color w:val="auto"/>
        </w:rPr>
      </w:pPr>
    </w:p>
    <w:p>
      <w:pPr>
        <w:jc w:val="center"/>
        <w:ind w:left="1460"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2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Our common stock is quoted on The Nasdaq Capital Market under the symbol “SLNO”. Our 2022 common warrants, 2023 Tranche A pre-funded warrants, 2023 Tranche B warrants and pre-funded warrants, and October 2023 pre-funded warrants are not traded on a national securities exchange.</w:t>
      </w:r>
    </w:p>
    <w:p>
      <w:pPr>
        <w:spacing w:after="0" w:line="188" w:lineRule="exact"/>
        <w:rPr>
          <w:sz w:val="20"/>
          <w:szCs w:val="20"/>
          <w:color w:val="auto"/>
        </w:rPr>
      </w:pPr>
    </w:p>
    <w:p>
      <w:pPr>
        <w:ind w:right="440" w:firstLine="490"/>
        <w:spacing w:after="0" w:line="258" w:lineRule="auto"/>
        <w:rPr>
          <w:sz w:val="20"/>
          <w:szCs w:val="20"/>
          <w:color w:val="auto"/>
        </w:rPr>
      </w:pPr>
      <w:r>
        <w:rPr>
          <w:rFonts w:ascii="Times New Roman" w:cs="Times New Roman" w:eastAsia="Times New Roman" w:hAnsi="Times New Roman"/>
          <w:sz w:val="20"/>
          <w:szCs w:val="20"/>
          <w:color w:val="auto"/>
        </w:rPr>
        <w:t>As of March 1, 2024, there were 37 shareholders of record for our common stock. A substantially greater number of stockholders may be “street name” or beneficial holders, whose shares are held of record by banks, brokers and other financial institutions.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N/A.</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360"/>
          </w:cols>
          <w:pgMar w:left="1440" w:top="1397"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397" w:right="1440" w:bottom="175" w:gutter="0" w:footer="0" w:header="0"/>
          <w:type w:val="continuous"/>
        </w:sectPr>
      </w:pPr>
    </w:p>
    <w:bookmarkStart w:id="57" w:name="page58"/>
    <w:bookmarkEnd w:id="57"/>
    <w:p>
      <w:pPr>
        <w:jc w:val="center"/>
        <w:ind w:left="1460" w:right="40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3" w:lineRule="exact"/>
        <w:rPr>
          <w:sz w:val="20"/>
          <w:szCs w:val="20"/>
          <w:color w:val="auto"/>
        </w:rPr>
      </w:pPr>
    </w:p>
    <w:p>
      <w:pPr>
        <w:ind w:right="40" w:firstLine="490"/>
        <w:spacing w:after="0" w:line="22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41" w:lineRule="exact"/>
        <w:rPr>
          <w:sz w:val="20"/>
          <w:szCs w:val="20"/>
          <w:color w:val="auto"/>
        </w:rPr>
      </w:pPr>
    </w:p>
    <w:p>
      <w:pPr>
        <w:ind w:right="40" w:firstLine="556"/>
        <w:spacing w:after="0" w:line="252" w:lineRule="auto"/>
        <w:rPr>
          <w:sz w:val="20"/>
          <w:szCs w:val="20"/>
          <w:color w:val="auto"/>
        </w:rPr>
      </w:pPr>
      <w:r>
        <w:rPr>
          <w:rFonts w:ascii="Times New Roman" w:cs="Times New Roman" w:eastAsia="Times New Roman" w:hAnsi="Times New Roman"/>
          <w:sz w:val="20"/>
          <w:szCs w:val="20"/>
          <w:color w:val="auto"/>
        </w:rPr>
        <w:t>We are focused on the development and commercialization of novel therapeutics for the treatment of rare diseases. Our lead candidate is DCCR (Diazoxide Choline) Extended-Release tablets, a once-daily oral tablet for the treatment of Prader-Willi Syndrome (PWS). We have a Fast-Track designation for DCCR in PWS and orphan designation for the drug in the United States (U.S.) and European Union (E.U.).</w:t>
      </w:r>
    </w:p>
    <w:p>
      <w:pPr>
        <w:spacing w:after="0" w:line="194" w:lineRule="exact"/>
        <w:rPr>
          <w:sz w:val="20"/>
          <w:szCs w:val="20"/>
          <w:color w:val="auto"/>
        </w:rPr>
      </w:pPr>
    </w:p>
    <w:p>
      <w:pPr>
        <w:ind w:right="240" w:firstLine="556"/>
        <w:spacing w:after="0" w:line="247" w:lineRule="auto"/>
        <w:rPr>
          <w:sz w:val="20"/>
          <w:szCs w:val="20"/>
          <w:color w:val="auto"/>
        </w:rPr>
      </w:pPr>
      <w:r>
        <w:rPr>
          <w:rFonts w:ascii="Times New Roman" w:cs="Times New Roman" w:eastAsia="Times New Roman" w:hAnsi="Times New Roman"/>
          <w:sz w:val="20"/>
          <w:szCs w:val="20"/>
          <w:color w:val="auto"/>
        </w:rPr>
        <w:t>DCCR has been evaluated in a Phase 3 study (C601 or DESTINY PWS), a 3-month randomized, double-blind placebo-controlled study, which completed enrollment in January 2020, with 127 patients at 29 sites in the U.S. and U.K. Participants who completed DESTINY PWS were eligible to receive DCCR in a long-term open-label extension period (C602). Top line results from DESTINY PWS were announced in June 2020. Although the trial did not meet its primary endpoint of change from baseline in hyperphagia, significant improvements were observed in two of three key secondary endpoints.</w:t>
      </w:r>
    </w:p>
    <w:p>
      <w:pPr>
        <w:spacing w:after="0" w:line="200" w:lineRule="exact"/>
        <w:rPr>
          <w:sz w:val="20"/>
          <w:szCs w:val="20"/>
          <w:color w:val="auto"/>
        </w:rPr>
      </w:pPr>
    </w:p>
    <w:p>
      <w:pPr>
        <w:ind w:right="20" w:firstLine="556"/>
        <w:spacing w:after="0" w:line="246" w:lineRule="auto"/>
        <w:rPr>
          <w:sz w:val="20"/>
          <w:szCs w:val="20"/>
          <w:color w:val="auto"/>
        </w:rPr>
      </w:pPr>
      <w:r>
        <w:rPr>
          <w:rFonts w:ascii="Times New Roman" w:cs="Times New Roman" w:eastAsia="Times New Roman" w:hAnsi="Times New Roman"/>
          <w:sz w:val="20"/>
          <w:szCs w:val="20"/>
          <w:color w:val="auto"/>
        </w:rPr>
        <w:t>In February 2021, we announced analysis limited to data from C601 collected before the onset of the COVID-19 pandemic. The analysis of the data through March 1, 2020 showed statistical significance in the primary, all key secondary and several other efficacy endpoints. In September 2021, we announced interim one-year data from C602 showing statistically significant reduction in hyperphagia and all other PWS behavioral parameters and statistically significant improvements compared to natural history of PWS from the PATH for PWS Study (PATH) over a one-year treatment period. The PATH study is an ongoing study sponsored by the Foundation for Prader-Willi Research (FPWR) to advance the understanding of the natural history in individuals with PWS.</w:t>
      </w:r>
    </w:p>
    <w:p>
      <w:pPr>
        <w:spacing w:after="0" w:line="200" w:lineRule="exact"/>
        <w:rPr>
          <w:sz w:val="20"/>
          <w:szCs w:val="20"/>
          <w:color w:val="auto"/>
        </w:rPr>
      </w:pPr>
    </w:p>
    <w:p>
      <w:pPr>
        <w:ind w:right="500" w:firstLine="556"/>
        <w:spacing w:after="0" w:line="277" w:lineRule="auto"/>
        <w:rPr>
          <w:sz w:val="20"/>
          <w:szCs w:val="20"/>
          <w:color w:val="auto"/>
        </w:rPr>
      </w:pPr>
      <w:r>
        <w:rPr>
          <w:rFonts w:ascii="Times New Roman" w:cs="Times New Roman" w:eastAsia="Times New Roman" w:hAnsi="Times New Roman"/>
          <w:sz w:val="20"/>
          <w:szCs w:val="20"/>
          <w:color w:val="auto"/>
        </w:rPr>
        <w:t>The FDA provided official meeting minutes from a Type C meeting in January 2022 that recommended additional controlled data be included in a New Drug Approval (NDA) submission.</w:t>
      </w:r>
    </w:p>
    <w:p>
      <w:pPr>
        <w:spacing w:after="0" w:line="169" w:lineRule="exact"/>
        <w:rPr>
          <w:sz w:val="20"/>
          <w:szCs w:val="20"/>
          <w:color w:val="auto"/>
        </w:rPr>
      </w:pPr>
    </w:p>
    <w:p>
      <w:pPr>
        <w:ind w:right="60" w:firstLine="556"/>
        <w:spacing w:after="0" w:line="246" w:lineRule="auto"/>
        <w:rPr>
          <w:sz w:val="20"/>
          <w:szCs w:val="20"/>
          <w:color w:val="auto"/>
        </w:rPr>
      </w:pPr>
      <w:r>
        <w:rPr>
          <w:rFonts w:ascii="Times New Roman" w:cs="Times New Roman" w:eastAsia="Times New Roman" w:hAnsi="Times New Roman"/>
          <w:sz w:val="20"/>
          <w:szCs w:val="20"/>
          <w:color w:val="auto"/>
        </w:rPr>
        <w:t>In March 2022, we submitted an amended protocol that incorporated a randomized withdrawal (RW) period to Study C602 in order to obtain additional controlled data requested by the FDA. The RW period of Study C602 was a multi-center, randomized, double-blind, placebo-controlled study of DCCR in 77 patients with PWS at 17 sites in the U.S. and 5 sites in the U.K. This RW period consisted only of patients currently enrolled in Study C602 and did not enroll any new patients. We announced the initiation of the RW period for Study C602 in October 2022, and completed enrollment in May 2023. The FDA has acknowledged that data from the study has the potential to support an NDA submission for DCCR.</w:t>
      </w:r>
    </w:p>
    <w:p>
      <w:pPr>
        <w:spacing w:after="0" w:line="200" w:lineRule="exact"/>
        <w:rPr>
          <w:sz w:val="20"/>
          <w:szCs w:val="20"/>
          <w:color w:val="auto"/>
        </w:rPr>
      </w:pPr>
    </w:p>
    <w:p>
      <w:pPr>
        <w:jc w:val="both"/>
        <w:ind w:right="80" w:firstLine="556"/>
        <w:spacing w:after="0" w:line="270" w:lineRule="auto"/>
        <w:rPr>
          <w:sz w:val="20"/>
          <w:szCs w:val="20"/>
          <w:color w:val="auto"/>
        </w:rPr>
      </w:pPr>
      <w:r>
        <w:rPr>
          <w:rFonts w:ascii="Times New Roman" w:cs="Times New Roman" w:eastAsia="Times New Roman" w:hAnsi="Times New Roman"/>
          <w:sz w:val="19"/>
          <w:szCs w:val="19"/>
          <w:color w:val="auto"/>
        </w:rPr>
        <w:t>On September 26, 2023, we announced positive statistically significant top-line results from the RW period of Study C602. Subsequently, we received preliminary comments from the FDA for our pre-NDA meeting, and as we decided not to proceed with the meeting, they are considered the official record of the meeting. The FDA stated that the potential for data from the DCCR clinical program to provide substantial evidence of effectiveness will be a</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16" w:right="1440" w:bottom="175" w:gutter="0" w:footer="0" w:header="0"/>
          <w:type w:val="continuous"/>
        </w:sectPr>
      </w:pPr>
    </w:p>
    <w:bookmarkStart w:id="58" w:name="page59"/>
    <w:bookmarkEnd w:id="58"/>
    <w:p>
      <w:pPr>
        <w:ind w:right="200"/>
        <w:spacing w:after="0" w:line="277" w:lineRule="auto"/>
        <w:rPr>
          <w:sz w:val="20"/>
          <w:szCs w:val="20"/>
          <w:color w:val="auto"/>
        </w:rPr>
      </w:pPr>
      <w:r>
        <w:rPr>
          <w:rFonts w:ascii="Times New Roman" w:cs="Times New Roman" w:eastAsia="Times New Roman" w:hAnsi="Times New Roman"/>
          <w:sz w:val="20"/>
          <w:szCs w:val="20"/>
          <w:color w:val="auto"/>
        </w:rPr>
        <w:t>matter of review following the submission of an NDA. We plan to submit our NDA for DCCR to the FDA in mid-2024.</w:t>
      </w:r>
    </w:p>
    <w:p>
      <w:pPr>
        <w:spacing w:after="0" w:line="274" w:lineRule="exact"/>
        <w:rPr>
          <w:sz w:val="20"/>
          <w:szCs w:val="20"/>
          <w:color w:val="auto"/>
        </w:rPr>
      </w:pPr>
    </w:p>
    <w:p>
      <w:pPr>
        <w:ind w:right="180" w:firstLine="490"/>
        <w:spacing w:after="0" w:line="232" w:lineRule="auto"/>
        <w:rPr>
          <w:sz w:val="20"/>
          <w:szCs w:val="20"/>
          <w:color w:val="auto"/>
        </w:rPr>
      </w:pPr>
      <w:r>
        <w:rPr>
          <w:rFonts w:ascii="Times New Roman" w:cs="Times New Roman" w:eastAsia="Times New Roman" w:hAnsi="Times New Roman"/>
          <w:sz w:val="20"/>
          <w:szCs w:val="20"/>
          <w:color w:val="auto"/>
        </w:rPr>
        <w:t>As of December 31, 2023, we had an accumulated deficit of $276.4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December 31, 2023, we had cash and cash equivalents of $169.7 million.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Summary</w:t>
      </w:r>
    </w:p>
    <w:p>
      <w:pPr>
        <w:spacing w:after="0" w:line="102" w:lineRule="exact"/>
        <w:rPr>
          <w:sz w:val="20"/>
          <w:szCs w:val="20"/>
          <w:color w:val="auto"/>
        </w:rPr>
      </w:pPr>
    </w:p>
    <w:p>
      <w:pPr>
        <w:jc w:val="both"/>
        <w:ind w:right="20" w:firstLine="490"/>
        <w:spacing w:after="0" w:line="230" w:lineRule="auto"/>
        <w:rPr>
          <w:sz w:val="20"/>
          <w:szCs w:val="20"/>
          <w:color w:val="auto"/>
        </w:rPr>
      </w:pPr>
      <w:r>
        <w:rPr>
          <w:rFonts w:ascii="Times New Roman" w:cs="Times New Roman" w:eastAsia="Times New Roman" w:hAnsi="Times New Roman"/>
          <w:sz w:val="20"/>
          <w:szCs w:val="20"/>
          <w:color w:val="auto"/>
        </w:rPr>
        <w:t>We have not generated net income from operations to date, and at December 31, 2023 we had an accumulated deficit of $276.4 million, primarily as a result of research and development and general and administrative expenses. We may never be successful in commercializing our novel therapeutics products for the treatment of rare diseases.</w:t>
      </w:r>
    </w:p>
    <w:p>
      <w:pPr>
        <w:spacing w:after="0" w:line="2"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20"/>
          <w:szCs w:val="20"/>
          <w:color w:val="auto"/>
        </w:rPr>
        <w:t>Accordingly, we expect to incur significant losses from operations for the foreseeable future, and there can be no assurance that we will ever generate significant revenue or profits.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To date, we have earned no revenue from the commercial development and sale of novel therapeutic products.</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02"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auto"/>
        </w:rPr>
        <w:t>Research and development expenses consist primarily of expenses incurred by contract research organizations (CROs) associated with our clinical trials, contract manufacturing organizations (CMOs) associated with the manufacture of our drug product, employee related expenses, including salaries and benefits, and professional consultant costs. These expenses will vary with the cadence and success of our product candidate progressing from clinical to commercial stage.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jc w:val="both"/>
        <w:ind w:right="320" w:firstLine="490"/>
        <w:spacing w:after="0" w:line="247" w:lineRule="auto"/>
        <w:rPr>
          <w:sz w:val="20"/>
          <w:szCs w:val="20"/>
          <w:color w:val="auto"/>
        </w:rPr>
      </w:pPr>
      <w:r>
        <w:rPr>
          <w:rFonts w:ascii="Times New Roman" w:cs="Times New Roman" w:eastAsia="Times New Roman" w:hAnsi="Times New Roman"/>
          <w:sz w:val="20"/>
          <w:szCs w:val="20"/>
          <w:color w:val="auto"/>
        </w:rPr>
        <w:t>General and administrative expenses consist principally of salaries and benefits, stock-based compensation expense, professional fees for legal, consulting, audit and tax services, insurance, rent, pre-commercial activities, and other general operating expenses not otherwise included in research and development. We anticipate general and administrative expenses will increase in future periods, reflecting an expanding infrastructure, an increase in pre-commercial activities, other administrative expenses, and increased professional fees associated with being a public reporting company.</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contingent consideration</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Change in fair value of contingent consideration represents the change in the fair value of the additional consideration that we expect to pay to the former Essentialis stockholders based on our assessment of the expected likelihood of achieving two commercial sales milestones of $100.0 million in revenue and $200.0 million in revenue in future years.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2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Other income (expense), net is comprised of interest income and the change in the fair value of the 2018 PIPE common stock warrant liabilities.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20" w:right="1440" w:bottom="175" w:gutter="0" w:footer="0" w:header="0"/>
          <w:type w:val="continuous"/>
        </w:sectPr>
      </w:pPr>
    </w:p>
    <w:bookmarkStart w:id="59" w:name="page60"/>
    <w:bookmarkEnd w:id="59"/>
    <w:p>
      <w:pPr>
        <w:ind w:right="120"/>
        <w:spacing w:after="0" w:line="252" w:lineRule="auto"/>
        <w:rPr>
          <w:sz w:val="20"/>
          <w:szCs w:val="20"/>
          <w:color w:val="auto"/>
        </w:rPr>
      </w:pPr>
      <w:r>
        <w:rPr>
          <w:rFonts w:ascii="Times New Roman" w:cs="Times New Roman" w:eastAsia="Times New Roman" w:hAnsi="Times New Roman"/>
          <w:sz w:val="20"/>
          <w:szCs w:val="20"/>
          <w:color w:val="auto"/>
        </w:rPr>
        <w:t>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08" w:lineRule="exact"/>
        <w:rPr>
          <w:sz w:val="20"/>
          <w:szCs w:val="20"/>
          <w:color w:val="auto"/>
        </w:rPr>
      </w:pPr>
    </w:p>
    <w:p>
      <w:pPr>
        <w:ind w:right="60" w:firstLine="490"/>
        <w:spacing w:after="0" w:line="230" w:lineRule="auto"/>
        <w:rPr>
          <w:sz w:val="20"/>
          <w:szCs w:val="20"/>
          <w:color w:val="auto"/>
        </w:rPr>
      </w:pPr>
      <w:r>
        <w:rPr>
          <w:rFonts w:ascii="Times New Roman" w:cs="Times New Roman" w:eastAsia="Times New Roman" w:hAnsi="Times New Roman"/>
          <w:sz w:val="20"/>
          <w:szCs w:val="20"/>
          <w:color w:val="auto"/>
        </w:rPr>
        <w:t>Research and development expenses are charged to operations as incurred. Research and development expenses consist primarily of salaries, benefits, bonus, share-based compensation, consultant fees, certain facility costs and other costs associated with clinical trials and the manufacture of our drug product. Clinical trial costs are a significant component of research and development expenses and include costs associated with CROs and other vendors. Invoicing from CROs and CMOs for services performed can often occur several months later. We accrue the costs incurred for clinical trial activities as measured by patient progression and the timing of various aspects of the trial. For other services, we accrue the costs in connection with third-party contractor activities based on our estimate of fees and costs associate with the contract that were rendered during the period and they are expensed as incurred.</w:t>
      </w:r>
    </w:p>
    <w:p>
      <w:pPr>
        <w:spacing w:after="0" w:line="77" w:lineRule="exact"/>
        <w:rPr>
          <w:sz w:val="20"/>
          <w:szCs w:val="20"/>
          <w:color w:val="auto"/>
        </w:rPr>
      </w:pPr>
    </w:p>
    <w:p>
      <w:pPr>
        <w:ind w:right="440" w:firstLine="490"/>
        <w:spacing w:after="0" w:line="289" w:lineRule="auto"/>
        <w:rPr>
          <w:sz w:val="20"/>
          <w:szCs w:val="20"/>
          <w:color w:val="auto"/>
        </w:rPr>
      </w:pPr>
      <w:r>
        <w:rPr>
          <w:rFonts w:ascii="Times New Roman" w:cs="Times New Roman" w:eastAsia="Times New Roman" w:hAnsi="Times New Roman"/>
          <w:sz w:val="19"/>
          <w:szCs w:val="19"/>
          <w:color w:val="auto"/>
        </w:rPr>
        <w:t>Costs to acquire technologies to be used in research and development that have not reached technological feasibility and have no alternative future use are expensed to research and development costs when incurred.</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07"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auto"/>
        </w:rPr>
        <w:t>Stock-based compensation expense related to stock options and restricted stock units granted to employees, nonemployees and directors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94" w:lineRule="exact"/>
        <w:rPr>
          <w:sz w:val="20"/>
          <w:szCs w:val="20"/>
          <w:color w:val="auto"/>
        </w:rPr>
      </w:pPr>
    </w:p>
    <w:p>
      <w:pPr>
        <w:jc w:val="both"/>
        <w:ind w:right="60" w:firstLine="490"/>
        <w:spacing w:after="0" w:line="244"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83" w:lineRule="exact"/>
        <w:rPr>
          <w:sz w:val="20"/>
          <w:szCs w:val="20"/>
          <w:color w:val="auto"/>
        </w:rPr>
      </w:pPr>
    </w:p>
    <w:p>
      <w:pPr>
        <w:ind w:left="860" w:right="440" w:hanging="370"/>
        <w:spacing w:after="0" w:line="289" w:lineRule="auto"/>
        <w:tabs>
          <w:tab w:leader="none" w:pos="86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Expected volatility: </w:t>
      </w:r>
      <w:r>
        <w:rPr>
          <w:rFonts w:ascii="Times New Roman" w:cs="Times New Roman" w:eastAsia="Times New Roman" w:hAnsi="Times New Roman"/>
          <w:sz w:val="19"/>
          <w:szCs w:val="19"/>
          <w:color w:val="auto"/>
        </w:rPr>
        <w:t>We calculated the estimated volatility rate for stock options granted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volatility of our common stock for a historical period equal to the expected life of the stock options.</w:t>
      </w:r>
    </w:p>
    <w:p>
      <w:pPr>
        <w:spacing w:after="0" w:line="43" w:lineRule="exact"/>
        <w:rPr>
          <w:rFonts w:ascii="Arial" w:cs="Arial" w:eastAsia="Arial" w:hAnsi="Arial"/>
          <w:sz w:val="19"/>
          <w:szCs w:val="19"/>
          <w:color w:val="auto"/>
        </w:rPr>
      </w:pPr>
    </w:p>
    <w:p>
      <w:pPr>
        <w:ind w:left="860" w:right="40" w:hanging="370"/>
        <w:spacing w:after="0" w:line="239" w:lineRule="auto"/>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life: </w:t>
      </w:r>
      <w:r>
        <w:rPr>
          <w:rFonts w:ascii="Times New Roman" w:cs="Times New Roman" w:eastAsia="Times New Roman" w:hAnsi="Times New Roman"/>
          <w:sz w:val="20"/>
          <w:szCs w:val="20"/>
          <w:color w:val="auto"/>
        </w:rPr>
        <w:t>Due to the lack of historical exercise history, the expected life of our service-based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is determined 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spacing w:after="0" w:line="98" w:lineRule="exact"/>
        <w:rPr>
          <w:rFonts w:ascii="Arial" w:cs="Arial" w:eastAsia="Arial" w:hAnsi="Arial"/>
          <w:sz w:val="20"/>
          <w:szCs w:val="20"/>
          <w:color w:val="auto"/>
        </w:rPr>
      </w:pPr>
    </w:p>
    <w:p>
      <w:pPr>
        <w:ind w:left="860" w:right="60" w:hanging="370"/>
        <w:spacing w:after="0" w:line="276" w:lineRule="auto"/>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rate: </w:t>
      </w:r>
      <w:r>
        <w:rPr>
          <w:rFonts w:ascii="Times New Roman" w:cs="Times New Roman" w:eastAsia="Times New Roman" w:hAnsi="Times New Roman"/>
          <w:sz w:val="20"/>
          <w:szCs w:val="20"/>
          <w:color w:val="auto"/>
        </w:rPr>
        <w:t>The risk-free interest rate is based on the yields of U.S. Treasury securities with maturities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to the expected time to liquidity.</w:t>
      </w:r>
    </w:p>
    <w:p>
      <w:pPr>
        <w:spacing w:after="0" w:line="64" w:lineRule="exact"/>
        <w:rPr>
          <w:rFonts w:ascii="Arial" w:cs="Arial" w:eastAsia="Arial" w:hAnsi="Arial"/>
          <w:sz w:val="20"/>
          <w:szCs w:val="20"/>
          <w:color w:val="auto"/>
        </w:rPr>
      </w:pPr>
    </w:p>
    <w:p>
      <w:pPr>
        <w:ind w:left="860" w:right="80" w:hanging="370"/>
        <w:spacing w:after="0" w:line="276" w:lineRule="auto"/>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We have never declared or paid any cash dividends and do not presently plan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 cash dividends in the foreseeable future. Consequently, we used an expected dividend yield of zero.</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consolidated statements of operations.</w:t>
      </w:r>
    </w:p>
    <w:p>
      <w:pPr>
        <w:spacing w:after="0" w:line="1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Our agreement to pay the former Essentialis stockholders for achieving certain commercial milestones</w:t>
      </w:r>
    </w:p>
    <w:p>
      <w:pPr>
        <w:spacing w:after="0" w:line="2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resulted in the recognition of contingent consideration, which was recorded at the inception of the transaction,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175" w:gutter="0" w:footer="0" w:header="0"/>
          <w:type w:val="continuous"/>
        </w:sectPr>
      </w:pPr>
    </w:p>
    <w:bookmarkStart w:id="60" w:name="page61"/>
    <w:bookmarkEnd w:id="60"/>
    <w:p>
      <w:pPr>
        <w:ind w:right="200"/>
        <w:spacing w:after="0" w:line="252" w:lineRule="auto"/>
        <w:rPr>
          <w:sz w:val="20"/>
          <w:szCs w:val="20"/>
          <w:color w:val="auto"/>
        </w:rPr>
      </w:pPr>
      <w:r>
        <w:rPr>
          <w:rFonts w:ascii="Times New Roman" w:cs="Times New Roman" w:eastAsia="Times New Roman" w:hAnsi="Times New Roman"/>
          <w:sz w:val="20"/>
          <w:szCs w:val="20"/>
          <w:color w:val="auto"/>
        </w:rPr>
        <w:t>subsequent changes to estimate the amount of contingent consideration to be paid is recognized as expenses or income in the consolidated statements of operations. The fair value of the contingent consideration is based on our analysis of the likelihood of the drug indication moving from Phase 3 through approval by the FDA and then reaching the cumulative revenue milestones.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Common Stock Purchase Warrants and Other Derivative Financial Instruments</w:t>
      </w:r>
    </w:p>
    <w:p>
      <w:pPr>
        <w:spacing w:after="0" w:line="120" w:lineRule="exact"/>
        <w:rPr>
          <w:sz w:val="20"/>
          <w:szCs w:val="20"/>
          <w:color w:val="auto"/>
        </w:rPr>
      </w:pPr>
    </w:p>
    <w:p>
      <w:pPr>
        <w:ind w:right="180" w:firstLine="490"/>
        <w:spacing w:after="0" w:line="268" w:lineRule="auto"/>
        <w:rPr>
          <w:sz w:val="20"/>
          <w:szCs w:val="20"/>
          <w:color w:val="auto"/>
        </w:rPr>
      </w:pPr>
      <w:r>
        <w:rPr>
          <w:rFonts w:ascii="Times New Roman" w:cs="Times New Roman" w:eastAsia="Times New Roman" w:hAnsi="Times New Roman"/>
          <w:sz w:val="19"/>
          <w:szCs w:val="19"/>
          <w:color w:val="auto"/>
        </w:rPr>
        <w:t xml:space="preserve">We account for warrants in accordance with the guidance in ASC 815 </w:t>
      </w:r>
      <w:r>
        <w:rPr>
          <w:rFonts w:ascii="Times New Roman" w:cs="Times New Roman" w:eastAsia="Times New Roman" w:hAnsi="Times New Roman"/>
          <w:sz w:val="19"/>
          <w:szCs w:val="19"/>
          <w:i w:val="1"/>
          <w:iCs w:val="1"/>
          <w:color w:val="auto"/>
        </w:rPr>
        <w:t>Derivatives and Hedging</w:t>
      </w:r>
      <w:r>
        <w:rPr>
          <w:rFonts w:ascii="Times New Roman" w:cs="Times New Roman" w:eastAsia="Times New Roman" w:hAnsi="Times New Roman"/>
          <w:sz w:val="19"/>
          <w:szCs w:val="19"/>
          <w:color w:val="auto"/>
        </w:rPr>
        <w:t>. We classify common stock purchase warrants and other free standing derivative financial instruments as equity if the contracts</w:t>
      </w:r>
    </w:p>
    <w:p>
      <w:pPr>
        <w:ind w:right="60"/>
        <w:spacing w:after="0"/>
        <w:tabs>
          <w:tab w:leader="none" w:pos="23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physical settlement or net-share settlement or (ii) give us a choice of net-cash settlement or settlement in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the 2018 PIPE Warrants, do not satisfy the criteria for classification as equity instruments due to the existence of certain cash settlement features that are not within our sole control or variable settlement provision that cause them to not be indexed to our stock.</w:t>
      </w:r>
    </w:p>
    <w:p>
      <w:pPr>
        <w:spacing w:after="0" w:line="92"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We classified the 2018 PIPE Warrants at their fair value and re-measured them at each balance sheet date until they were exercised or expired. Any changes in the fair value were recognized as Other income (expense) in the consolidated statements of operations. The 2018 PIPE Warrants expired in December 2023.</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jc w:val="both"/>
        <w:ind w:right="220" w:firstLine="490"/>
        <w:spacing w:after="0" w:line="252" w:lineRule="auto"/>
        <w:rPr>
          <w:sz w:val="20"/>
          <w:szCs w:val="20"/>
          <w:color w:val="auto"/>
        </w:rPr>
      </w:pPr>
      <w:r>
        <w:rPr>
          <w:rFonts w:ascii="Times New Roman" w:cs="Times New Roman" w:eastAsia="Times New Roman" w:hAnsi="Times New Roman"/>
          <w:sz w:val="20"/>
          <w:szCs w:val="20"/>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9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97" w:lineRule="exact"/>
        <w:rPr>
          <w:sz w:val="20"/>
          <w:szCs w:val="20"/>
          <w:color w:val="auto"/>
        </w:rPr>
      </w:pPr>
    </w:p>
    <w:p>
      <w:pPr>
        <w:jc w:val="both"/>
        <w:ind w:right="380" w:firstLine="490"/>
        <w:spacing w:after="0" w:line="252" w:lineRule="auto"/>
        <w:rPr>
          <w:sz w:val="20"/>
          <w:szCs w:val="20"/>
          <w:color w:val="auto"/>
        </w:rPr>
      </w:pPr>
      <w:r>
        <w:rPr>
          <w:rFonts w:ascii="Times New Roman" w:cs="Times New Roman" w:eastAsia="Times New Roman" w:hAnsi="Times New Roman"/>
          <w:sz w:val="20"/>
          <w:szCs w:val="20"/>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 xml:space="preserve">We account for uncertainty in income taxes as required by the provisions of ASC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20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20" w:right="1440" w:bottom="175"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2023 and 2022</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6"/>
                <w:szCs w:val="16"/>
                <w:color w:val="auto"/>
              </w:rPr>
            </w:pPr>
          </w:p>
        </w:tc>
        <w:tc>
          <w:tcPr>
            <w:tcW w:w="19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9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6"/>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4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64"/>
              <w:spacing w:after="0" w:line="174"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center"/>
              <w:ind w:right="260"/>
              <w:spacing w:after="0" w:line="174" w:lineRule="exact"/>
              <w:rPr>
                <w:sz w:val="20"/>
                <w:szCs w:val="20"/>
                <w:color w:val="auto"/>
              </w:rPr>
            </w:pPr>
            <w:r>
              <w:rPr>
                <w:rFonts w:ascii="Times New Roman" w:cs="Times New Roman" w:eastAsia="Times New Roman" w:hAnsi="Times New Roman"/>
                <w:sz w:val="16"/>
                <w:szCs w:val="16"/>
                <w:color w:val="auto"/>
                <w:w w:val="98"/>
              </w:rPr>
              <w:t>(in thousands)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spacing w:after="0"/>
              <w:rPr>
                <w:sz w:val="19"/>
                <w:szCs w:val="19"/>
                <w:color w:val="auto"/>
              </w:rPr>
            </w:pPr>
          </w:p>
        </w:tc>
        <w:tc>
          <w:tcPr>
            <w:tcW w:w="180" w:type="dxa"/>
            <w:vAlign w:val="bottom"/>
            <w:tcBorders>
              <w:right w:val="single" w:sz="8" w:color="D4EEF4"/>
            </w:tcBorders>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660" w:type="dxa"/>
            <w:vAlign w:val="bottom"/>
            <w:shd w:val="clear" w:color="auto" w:fill="D4EEF4"/>
          </w:tcPr>
          <w:p>
            <w:pPr>
              <w:spacing w:after="0"/>
              <w:rPr>
                <w:sz w:val="19"/>
                <w:szCs w:val="19"/>
                <w:color w:val="auto"/>
              </w:rPr>
            </w:pPr>
          </w:p>
        </w:tc>
        <w:tc>
          <w:tcPr>
            <w:tcW w:w="180" w:type="dxa"/>
            <w:vAlign w:val="bottom"/>
            <w:tcBorders>
              <w:right w:val="single" w:sz="8" w:color="D4EEF4"/>
            </w:tcBorders>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2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25,189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9,924</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30"/>
        </w:trPr>
        <w:tc>
          <w:tcPr>
            <w:tcW w:w="42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13,481</w:t>
            </w:r>
          </w:p>
        </w:tc>
        <w:tc>
          <w:tcPr>
            <w:tcW w:w="180" w:type="dxa"/>
            <w:vAlign w:val="bottom"/>
            <w:tcBorders>
              <w:right w:val="single" w:sz="8" w:color="D4EEF4"/>
            </w:tcBorders>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6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9,844</w:t>
            </w:r>
          </w:p>
        </w:tc>
        <w:tc>
          <w:tcPr>
            <w:tcW w:w="180" w:type="dxa"/>
            <w:vAlign w:val="bottom"/>
            <w:tcBorders>
              <w:right w:val="single" w:sz="8" w:color="D4EEF4"/>
            </w:tcBorders>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3,637</w:t>
            </w:r>
          </w:p>
        </w:tc>
        <w:tc>
          <w:tcPr>
            <w:tcW w:w="180" w:type="dxa"/>
            <w:vAlign w:val="bottom"/>
            <w:shd w:val="clear" w:color="auto" w:fill="D4EEF4"/>
          </w:tcPr>
          <w:p>
            <w:pPr>
              <w:spacing w:after="0"/>
              <w:rPr>
                <w:sz w:val="19"/>
                <w:szCs w:val="19"/>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3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(712)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3,426</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481%</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shd w:val="clear" w:color="auto" w:fill="D4EE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D4EEF4"/>
            </w:tcBorders>
            <w:shd w:val="clear" w:color="auto" w:fill="D4EE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D4EEF4"/>
            </w:tcBorders>
            <w:vMerge w:val="restart"/>
            <w:shd w:val="clear" w:color="auto" w:fill="D4EE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D4EEF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20" w:type="dxa"/>
            <w:vAlign w:val="bottom"/>
            <w:vMerge w:val="continue"/>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41,384</w:t>
            </w:r>
          </w:p>
        </w:tc>
        <w:tc>
          <w:tcPr>
            <w:tcW w:w="180" w:type="dxa"/>
            <w:vAlign w:val="bottom"/>
            <w:tcBorders>
              <w:right w:val="single" w:sz="8" w:color="D4EEF4"/>
            </w:tcBorders>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66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24,397</w:t>
            </w:r>
          </w:p>
        </w:tc>
        <w:tc>
          <w:tcPr>
            <w:tcW w:w="180" w:type="dxa"/>
            <w:vAlign w:val="bottom"/>
            <w:tcBorders>
              <w:right w:val="single" w:sz="8" w:color="D4EEF4"/>
            </w:tcBorders>
            <w:vMerge w:val="continue"/>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16,987</w:t>
            </w:r>
          </w:p>
        </w:tc>
        <w:tc>
          <w:tcPr>
            <w:tcW w:w="180" w:type="dxa"/>
            <w:vAlign w:val="bottom"/>
            <w:vMerge w:val="continue"/>
            <w:shd w:val="clear" w:color="auto" w:fill="D4EEF4"/>
          </w:tcPr>
          <w:p>
            <w:pPr>
              <w:spacing w:after="0"/>
              <w:rPr>
                <w:sz w:val="19"/>
                <w:szCs w:val="19"/>
                <w:color w:val="auto"/>
              </w:rPr>
            </w:pPr>
          </w:p>
        </w:tc>
        <w:tc>
          <w:tcPr>
            <w:tcW w:w="106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Operating loss</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(41,384)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3"/>
              </w:rPr>
              <w:t>(24,397)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(16,987)</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20"/>
        </w:trPr>
        <w:tc>
          <w:tcPr>
            <w:tcW w:w="422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Other income (expense), net</w:t>
            </w:r>
          </w:p>
        </w:tc>
        <w:tc>
          <w:tcPr>
            <w:tcW w:w="10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auto"/>
            </w:tcBorders>
            <w:shd w:val="clear" w:color="auto" w:fill="D4EEF4"/>
          </w:tcPr>
          <w:p>
            <w:pPr>
              <w:spacing w:after="0"/>
              <w:rPr>
                <w:sz w:val="19"/>
                <w:szCs w:val="19"/>
                <w:color w:val="auto"/>
              </w:rPr>
            </w:pPr>
          </w:p>
        </w:tc>
        <w:tc>
          <w:tcPr>
            <w:tcW w:w="700" w:type="dxa"/>
            <w:vAlign w:val="bottom"/>
            <w:tcBorders>
              <w:top w:val="single" w:sz="8" w:color="auto"/>
            </w:tcBorders>
            <w:shd w:val="clear" w:color="auto" w:fill="D4EEF4"/>
          </w:tcPr>
          <w:p>
            <w:pPr>
              <w:spacing w:after="0"/>
              <w:rPr>
                <w:sz w:val="19"/>
                <w:szCs w:val="19"/>
                <w:color w:val="auto"/>
              </w:rPr>
            </w:pPr>
          </w:p>
        </w:tc>
        <w:tc>
          <w:tcPr>
            <w:tcW w:w="180" w:type="dxa"/>
            <w:vAlign w:val="bottom"/>
            <w:tcBorders>
              <w:top w:val="single" w:sz="8" w:color="D4EEF4"/>
              <w:right w:val="single" w:sz="8" w:color="D4EEF4"/>
            </w:tcBorders>
            <w:shd w:val="clear" w:color="auto" w:fill="D4EEF4"/>
          </w:tcPr>
          <w:p>
            <w:pPr>
              <w:spacing w:after="0"/>
              <w:rPr>
                <w:sz w:val="19"/>
                <w:szCs w:val="19"/>
                <w:color w:val="auto"/>
              </w:rPr>
            </w:pPr>
          </w:p>
        </w:tc>
        <w:tc>
          <w:tcPr>
            <w:tcW w:w="120" w:type="dxa"/>
            <w:vAlign w:val="bottom"/>
            <w:tcBorders>
              <w:top w:val="single" w:sz="8" w:color="auto"/>
            </w:tcBorders>
            <w:shd w:val="clear" w:color="auto" w:fill="D4EEF4"/>
          </w:tcPr>
          <w:p>
            <w:pPr>
              <w:spacing w:after="0"/>
              <w:rPr>
                <w:sz w:val="19"/>
                <w:szCs w:val="19"/>
                <w:color w:val="auto"/>
              </w:rPr>
            </w:pPr>
          </w:p>
        </w:tc>
        <w:tc>
          <w:tcPr>
            <w:tcW w:w="660" w:type="dxa"/>
            <w:vAlign w:val="bottom"/>
            <w:tcBorders>
              <w:top w:val="single" w:sz="8" w:color="auto"/>
            </w:tcBorders>
            <w:shd w:val="clear" w:color="auto" w:fill="D4EEF4"/>
          </w:tcPr>
          <w:p>
            <w:pPr>
              <w:spacing w:after="0"/>
              <w:rPr>
                <w:sz w:val="19"/>
                <w:szCs w:val="19"/>
                <w:color w:val="auto"/>
              </w:rPr>
            </w:pPr>
          </w:p>
        </w:tc>
        <w:tc>
          <w:tcPr>
            <w:tcW w:w="180" w:type="dxa"/>
            <w:vAlign w:val="bottom"/>
            <w:tcBorders>
              <w:top w:val="single" w:sz="8" w:color="D4EEF4"/>
              <w:right w:val="single" w:sz="8" w:color="D4EEF4"/>
            </w:tcBorders>
            <w:shd w:val="clear" w:color="auto" w:fill="D4EEF4"/>
          </w:tcPr>
          <w:p>
            <w:pPr>
              <w:spacing w:after="0"/>
              <w:rPr>
                <w:sz w:val="19"/>
                <w:szCs w:val="19"/>
                <w:color w:val="auto"/>
              </w:rPr>
            </w:pPr>
          </w:p>
        </w:tc>
        <w:tc>
          <w:tcPr>
            <w:tcW w:w="140" w:type="dxa"/>
            <w:vAlign w:val="bottom"/>
            <w:tcBorders>
              <w:top w:val="single" w:sz="8" w:color="auto"/>
            </w:tcBorders>
            <w:shd w:val="clear" w:color="auto" w:fill="D4EEF4"/>
          </w:tcPr>
          <w:p>
            <w:pPr>
              <w:spacing w:after="0"/>
              <w:rPr>
                <w:sz w:val="19"/>
                <w:szCs w:val="19"/>
                <w:color w:val="auto"/>
              </w:rPr>
            </w:pPr>
          </w:p>
        </w:tc>
        <w:tc>
          <w:tcPr>
            <w:tcW w:w="740" w:type="dxa"/>
            <w:vAlign w:val="bottom"/>
            <w:tcBorders>
              <w:top w:val="single" w:sz="8" w:color="auto"/>
            </w:tcBorders>
            <w:shd w:val="clear" w:color="auto" w:fill="D4EEF4"/>
          </w:tcPr>
          <w:p>
            <w:pPr>
              <w:spacing w:after="0"/>
              <w:rPr>
                <w:sz w:val="19"/>
                <w:szCs w:val="19"/>
                <w:color w:val="auto"/>
              </w:rPr>
            </w:pPr>
          </w:p>
        </w:tc>
        <w:tc>
          <w:tcPr>
            <w:tcW w:w="180" w:type="dxa"/>
            <w:vAlign w:val="bottom"/>
            <w:tcBorders>
              <w:top w:val="single" w:sz="8" w:color="D4EEF4"/>
            </w:tcBorders>
            <w:shd w:val="clear" w:color="auto" w:fill="D4EEF4"/>
          </w:tcPr>
          <w:p>
            <w:pPr>
              <w:spacing w:after="0"/>
              <w:rPr>
                <w:sz w:val="19"/>
                <w:szCs w:val="19"/>
                <w:color w:val="auto"/>
              </w:rPr>
            </w:pPr>
          </w:p>
        </w:tc>
        <w:tc>
          <w:tcPr>
            <w:tcW w:w="820" w:type="dxa"/>
            <w:vAlign w:val="bottom"/>
            <w:tcBorders>
              <w:top w:val="single" w:sz="8" w:color="auto"/>
            </w:tcBorders>
            <w:shd w:val="clear" w:color="auto" w:fill="D4EEF4"/>
          </w:tcPr>
          <w:p>
            <w:pPr>
              <w:spacing w:after="0"/>
              <w:rPr>
                <w:sz w:val="19"/>
                <w:szCs w:val="19"/>
                <w:color w:val="auto"/>
              </w:rPr>
            </w:pPr>
          </w:p>
        </w:tc>
        <w:tc>
          <w:tcPr>
            <w:tcW w:w="24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0" w:type="dxa"/>
            <w:vAlign w:val="bottom"/>
          </w:tcPr>
          <w:p>
            <w:pPr>
              <w:spacing w:after="0"/>
              <w:rPr>
                <w:sz w:val="1"/>
                <w:szCs w:val="1"/>
                <w:color w:val="auto"/>
              </w:rPr>
            </w:pPr>
          </w:p>
        </w:tc>
      </w:tr>
      <w:tr>
        <w:trPr>
          <w:trHeight w:val="230"/>
        </w:trPr>
        <w:tc>
          <w:tcPr>
            <w:tcW w:w="42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2,578</w:t>
            </w:r>
          </w:p>
        </w:tc>
        <w:tc>
          <w:tcPr>
            <w:tcW w:w="180" w:type="dxa"/>
            <w:vAlign w:val="bottom"/>
            <w:tcBorders>
              <w:right w:val="single" w:sz="8" w:color="D4EEF4"/>
            </w:tcBorders>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6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80" w:type="dxa"/>
            <w:vAlign w:val="bottom"/>
            <w:tcBorders>
              <w:right w:val="single" w:sz="8" w:color="D4EEF4"/>
            </w:tcBorders>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2,278</w:t>
            </w:r>
          </w:p>
        </w:tc>
        <w:tc>
          <w:tcPr>
            <w:tcW w:w="180" w:type="dxa"/>
            <w:vAlign w:val="bottom"/>
            <w:shd w:val="clear" w:color="auto" w:fill="D4EEF4"/>
          </w:tcPr>
          <w:p>
            <w:pPr>
              <w:spacing w:after="0"/>
              <w:rPr>
                <w:sz w:val="19"/>
                <w:szCs w:val="19"/>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759%</w:t>
            </w:r>
          </w:p>
        </w:tc>
        <w:tc>
          <w:tcPr>
            <w:tcW w:w="0" w:type="dxa"/>
            <w:vAlign w:val="bottom"/>
          </w:tcPr>
          <w:p>
            <w:pPr>
              <w:spacing w:after="0"/>
              <w:rPr>
                <w:sz w:val="1"/>
                <w:szCs w:val="1"/>
                <w:color w:val="auto"/>
              </w:rPr>
            </w:pPr>
          </w:p>
        </w:tc>
      </w:tr>
      <w:tr>
        <w:trPr>
          <w:trHeight w:val="20"/>
        </w:trPr>
        <w:tc>
          <w:tcPr>
            <w:tcW w:w="4220" w:type="dxa"/>
            <w:vAlign w:val="bottom"/>
            <w:tcBorders>
              <w:top w:val="single" w:sz="8" w:color="D4EEF4"/>
            </w:tcBorders>
            <w:vMerge w:val="restart"/>
          </w:tcPr>
          <w:p>
            <w:pPr>
              <w:ind w:left="600"/>
              <w:spacing w:after="0" w:line="220"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100" w:type="dxa"/>
            <w:vAlign w:val="bottom"/>
            <w:tcBorders>
              <w:top w:val="single" w:sz="8" w:color="D4EEF4"/>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4EEF4"/>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4EEF4"/>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4EEF4"/>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4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2,066</w:t>
            </w:r>
          </w:p>
        </w:tc>
        <w:tc>
          <w:tcPr>
            <w:tcW w:w="180" w:type="dxa"/>
            <w:vAlign w:val="bottom"/>
          </w:tcPr>
          <w:p>
            <w:pPr>
              <w:spacing w:after="0"/>
              <w:rPr>
                <w:sz w:val="17"/>
                <w:szCs w:val="17"/>
                <w:color w:val="auto"/>
              </w:rPr>
            </w:pPr>
          </w:p>
        </w:tc>
        <w:tc>
          <w:tcPr>
            <w:tcW w:w="1060" w:type="dxa"/>
            <w:vAlign w:val="bottom"/>
            <w:gridSpan w:val="2"/>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rPr>
              <w:t>626%</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D4EEF4"/>
          </w:tcPr>
          <w:p>
            <w:pPr>
              <w:spacing w:after="0"/>
              <w:rPr>
                <w:sz w:val="20"/>
                <w:szCs w:val="20"/>
                <w:color w:val="auto"/>
              </w:rPr>
            </w:pPr>
            <w:r>
              <w:rPr>
                <w:rFonts w:ascii="Times New Roman" w:cs="Times New Roman" w:eastAsia="Times New Roman" w:hAnsi="Times New Roman"/>
                <w:sz w:val="20"/>
                <w:szCs w:val="20"/>
                <w:color w:val="auto"/>
              </w:rPr>
              <w:t>Net loss</w:t>
            </w:r>
          </w:p>
        </w:tc>
        <w:tc>
          <w:tcPr>
            <w:tcW w:w="100" w:type="dxa"/>
            <w:vAlign w:val="bottom"/>
            <w:shd w:val="clear" w:color="auto" w:fill="D4EE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D4EEF4"/>
            </w:tcBorders>
            <w:vMerge w:val="restart"/>
            <w:shd w:val="clear" w:color="auto" w:fill="D4EEF4"/>
          </w:tcPr>
          <w:p>
            <w:pPr>
              <w:jc w:val="center"/>
              <w:ind w:right="20"/>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D4EEF4"/>
            </w:tcBorders>
            <w:vMerge w:val="restart"/>
            <w:shd w:val="clear" w:color="auto" w:fill="D4EEF4"/>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D4EEF4"/>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20" w:type="dxa"/>
            <w:vAlign w:val="bottom"/>
            <w:vMerge w:val="continue"/>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(38,988</w:t>
            </w:r>
          </w:p>
        </w:tc>
        <w:tc>
          <w:tcPr>
            <w:tcW w:w="180" w:type="dxa"/>
            <w:vAlign w:val="bottom"/>
            <w:tcBorders>
              <w:right w:val="single" w:sz="8" w:color="D4EEF4"/>
            </w:tcBorders>
            <w:vMerge w:val="continue"/>
            <w:shd w:val="clear" w:color="auto" w:fill="D4EEF4"/>
          </w:tcPr>
          <w:p>
            <w:pPr>
              <w:spacing w:after="0"/>
              <w:rPr>
                <w:sz w:val="19"/>
                <w:szCs w:val="19"/>
                <w:color w:val="auto"/>
              </w:rPr>
            </w:pPr>
          </w:p>
        </w:tc>
        <w:tc>
          <w:tcPr>
            <w:tcW w:w="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66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(24,067</w:t>
            </w:r>
          </w:p>
        </w:tc>
        <w:tc>
          <w:tcPr>
            <w:tcW w:w="180" w:type="dxa"/>
            <w:vAlign w:val="bottom"/>
            <w:tcBorders>
              <w:right w:val="single" w:sz="8" w:color="D4EEF4"/>
            </w:tcBorders>
            <w:vMerge w:val="continue"/>
            <w:shd w:val="clear" w:color="auto" w:fill="D4EEF4"/>
          </w:tcPr>
          <w:p>
            <w:pPr>
              <w:spacing w:after="0"/>
              <w:rPr>
                <w:sz w:val="19"/>
                <w:szCs w:val="19"/>
                <w:color w:val="auto"/>
              </w:rPr>
            </w:pPr>
          </w:p>
        </w:tc>
        <w:tc>
          <w:tcPr>
            <w:tcW w:w="1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(14,921</w:t>
            </w:r>
          </w:p>
        </w:tc>
        <w:tc>
          <w:tcPr>
            <w:tcW w:w="180" w:type="dxa"/>
            <w:vAlign w:val="bottom"/>
            <w:vMerge w:val="continue"/>
            <w:shd w:val="clear" w:color="auto" w:fill="D4EEF4"/>
          </w:tcPr>
          <w:p>
            <w:pPr>
              <w:spacing w:after="0"/>
              <w:rPr>
                <w:sz w:val="19"/>
                <w:szCs w:val="19"/>
                <w:color w:val="auto"/>
              </w:rPr>
            </w:pPr>
          </w:p>
        </w:tc>
        <w:tc>
          <w:tcPr>
            <w:tcW w:w="106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4983480</wp:posOffset>
                </wp:positionH>
                <wp:positionV relativeFrom="paragraph">
                  <wp:posOffset>-1075690</wp:posOffset>
                </wp:positionV>
                <wp:extent cx="514350" cy="1460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350" cy="146050"/>
                        </a:xfrm>
                        <a:prstGeom prst="rect">
                          <a:avLst/>
                        </a:prstGeom>
                        <a:solidFill>
                          <a:srgbClr val="D4EEF4"/>
                        </a:solidFill>
                      </wps:spPr>
                      <wps:bodyPr/>
                    </wps:wsp>
                  </a:graphicData>
                </a:graphic>
              </wp:anchor>
            </w:drawing>
          </mc:Choice>
          <mc:Fallback>
            <w:pict>
              <v:rect id="Shape 10" o:spid="_x0000_s1035" style="position:absolute;margin-left:392.4pt;margin-top:-84.6999pt;width:4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mc:AlternateContent>
          <mc:Choice Requires="wps">
            <w:drawing>
              <wp:anchor simplePos="0" relativeHeight="251657728" behindDoc="1" locked="0" layoutInCell="0" allowOverlap="1">
                <wp:simplePos x="0" y="0"/>
                <wp:positionH relativeFrom="column">
                  <wp:posOffset>4983480</wp:posOffset>
                </wp:positionH>
                <wp:positionV relativeFrom="paragraph">
                  <wp:posOffset>-173990</wp:posOffset>
                </wp:positionV>
                <wp:extent cx="514350" cy="14541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350" cy="145415"/>
                        </a:xfrm>
                        <a:prstGeom prst="rect">
                          <a:avLst/>
                        </a:prstGeom>
                        <a:solidFill>
                          <a:srgbClr val="D4EEF4"/>
                        </a:solidFill>
                      </wps:spPr>
                      <wps:bodyPr/>
                    </wps:wsp>
                  </a:graphicData>
                </a:graphic>
              </wp:anchor>
            </w:drawing>
          </mc:Choice>
          <mc:Fallback>
            <w:pict>
              <v:rect id="Shape 11" o:spid="_x0000_s1036" style="position:absolute;margin-left:392.4pt;margin-top:-13.6999pt;width:40.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w:r>
    </w:p>
    <w:p>
      <w:pPr>
        <w:spacing w:after="0" w:line="3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0"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auto"/>
        </w:rPr>
        <w:t>We have not commenced commercialization of DCCR, our current sole novel therapeutic product, and accordingly, through December 31, 2023, have generated no revenue.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were $25.2 million for the year ended December 31, 2023, an increase of $9.9 million from $15.3 million in 2022. The increase is primarily due to increased spending in clinical trials and manufacturing efforts, and expenditures in support of an NDA submission.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were $13.5 million for the year ended December 31, 2023, an increase of $3.6 million from $9.8 million in 2022. The increase was primarily related to higher stock-based compensation expense, higher costs as a result of an increase in headcount, and higher professional and consulting expenses in 2023.</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contingent consideration</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$11.5 million as of December 31, 2023, a $2.7 million increase from the estimate as of December 31, 2022.</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auto"/>
        </w:rPr>
        <w:t>We had other income (expense), net of $2.4 million, an increase of $2.1 million from $0.3 million in 2022. Interest income during 2023 was $2.3 million higher than in 2022, partially offset by a decrease in fair value of the 2018 PIPE Warrants of $0.2 million during 2023 compared to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had a net loss of $39.0 million during 2023 and an accumulated deficit of $276.4 million at December 31,</w:t>
      </w:r>
    </w:p>
    <w:p>
      <w:pPr>
        <w:spacing w:after="0" w:line="2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9"/>
          <w:szCs w:val="19"/>
          <w:color w:val="auto"/>
        </w:rPr>
        <w:t>2023 as a result of having incurred losses since our inception. We had $169.7 million in cash and cash equivalents and $159.9 million of working capital at December 31, 2023, and used $24.9 million of cash in operating activities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16" w:right="1440" w:bottom="175" w:gutter="0" w:footer="0" w:header="0"/>
          <w:type w:val="continuous"/>
        </w:sectPr>
      </w:pPr>
    </w:p>
    <w:bookmarkStart w:id="62" w:name="page63"/>
    <w:bookmarkEnd w:id="62"/>
    <w:p>
      <w:pPr>
        <w:ind w:right="460"/>
        <w:spacing w:after="0" w:line="277" w:lineRule="auto"/>
        <w:rPr>
          <w:sz w:val="20"/>
          <w:szCs w:val="20"/>
          <w:color w:val="auto"/>
        </w:rPr>
      </w:pPr>
      <w:r>
        <w:rPr>
          <w:rFonts w:ascii="Times New Roman" w:cs="Times New Roman" w:eastAsia="Times New Roman" w:hAnsi="Times New Roman"/>
          <w:sz w:val="20"/>
          <w:szCs w:val="20"/>
          <w:color w:val="auto"/>
        </w:rPr>
        <w:t>during 2023. As of December 31, 2023, we had lease obligations totaling $0.4 million to be paid through 2025, consisting of an operating lease for office space in Redwood City, California.</w:t>
      </w:r>
    </w:p>
    <w:p>
      <w:pPr>
        <w:spacing w:after="0" w:line="16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financed our operations principally through issuances of equity securities. In July 2021, we announced that we were implementing an “at-the-market” (ATM) offering for up to $25.0 million. As of December 31, 2023, we have sold 1,877,170 shares of common stock through the ATM, totaling $7.4 million in net proceeds. We terminated the ATM offering in connection with the October 2023 financing discussed below. In December 2022, we entered into a securities purchase agreement providing for the sale of up to $60.0 million in warrants and the common stock issuable upon the exercise thereof. During 2023, we received $10.0 million from the sale of these warrants and $33.1 million in proceeds from the exercise of certain of these warrants. Warrants with an aggregate exercise price of $16.9 million are still outstanding. In October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of approximately $60.0 million of shares of our common stock and pre-funded warrants in a concurrent private offering pursuant to the securities purchase agreement with certain investors, including entities affiliated with existing stockholders, at a price per share of common stock equal to the public offering price of $20.00 and a price per per-funded warrant of $19.99. In aggregate, we received $129.0 million of gross proceeds from this financing.</w:t>
      </w:r>
    </w:p>
    <w:p>
      <w:pPr>
        <w:spacing w:after="0" w:line="209" w:lineRule="exact"/>
        <w:rPr>
          <w:sz w:val="20"/>
          <w:szCs w:val="20"/>
          <w:color w:val="auto"/>
        </w:rPr>
      </w:pPr>
    </w:p>
    <w:p>
      <w:pPr>
        <w:ind w:right="20" w:firstLine="641"/>
        <w:spacing w:after="0" w:line="244" w:lineRule="auto"/>
        <w:rPr>
          <w:sz w:val="20"/>
          <w:szCs w:val="20"/>
          <w:color w:val="auto"/>
        </w:rPr>
      </w:pPr>
      <w:r>
        <w:rPr>
          <w:rFonts w:ascii="Times New Roman" w:cs="Times New Roman" w:eastAsia="Times New Roman" w:hAnsi="Times New Roman"/>
          <w:sz w:val="20"/>
          <w:szCs w:val="20"/>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10" w:lineRule="exact"/>
        <w:rPr>
          <w:sz w:val="20"/>
          <w:szCs w:val="20"/>
          <w:color w:val="auto"/>
        </w:rPr>
      </w:pPr>
    </w:p>
    <w:p>
      <w:pPr>
        <w:ind w:right="600" w:firstLine="490"/>
        <w:spacing w:after="0" w:line="263" w:lineRule="auto"/>
        <w:rPr>
          <w:sz w:val="20"/>
          <w:szCs w:val="20"/>
          <w:color w:val="auto"/>
        </w:rPr>
      </w:pPr>
      <w:r>
        <w:rPr>
          <w:rFonts w:ascii="Times New Roman" w:cs="Times New Roman" w:eastAsia="Times New Roman" w:hAnsi="Times New Roman"/>
          <w:sz w:val="20"/>
          <w:szCs w:val="20"/>
          <w:color w:val="auto"/>
        </w:rPr>
        <w:t>The following table sets forth the primary sources and uses of cash and cash equivalents for each of the periods presented below:</w:t>
      </w:r>
    </w:p>
    <w:p>
      <w:pPr>
        <w:spacing w:after="0" w:line="2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3807460</wp:posOffset>
                </wp:positionH>
                <wp:positionV relativeFrom="paragraph">
                  <wp:posOffset>-635</wp:posOffset>
                </wp:positionV>
                <wp:extent cx="118554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8pt,-0.0499pt" to="393.15pt,-0.0499pt" o:allowincell="f" strokecolor="#000000" strokeweight="0.5pt"/>
            </w:pict>
          </mc:Fallback>
        </mc:AlternateContent>
      </w:r>
    </w:p>
    <w:p>
      <w:pPr>
        <w:jc w:val="center"/>
        <w:ind w:left="6240"/>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3807460</wp:posOffset>
                </wp:positionH>
                <wp:positionV relativeFrom="paragraph">
                  <wp:posOffset>-635</wp:posOffset>
                </wp:positionV>
                <wp:extent cx="5213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3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8pt,-0.0499pt" to="340.85pt,-0.0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4446905</wp:posOffset>
                </wp:positionH>
                <wp:positionV relativeFrom="paragraph">
                  <wp:posOffset>-635</wp:posOffset>
                </wp:positionV>
                <wp:extent cx="5461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15pt,-0.0499pt" to="393.15pt,-0.0499pt" o:allowincell="f" strokecolor="#000000" strokeweight="0.5pt"/>
            </w:pict>
          </mc:Fallback>
        </mc:AlternateContent>
      </w:r>
    </w:p>
    <w:p>
      <w:pPr>
        <w:jc w:val="center"/>
        <w:ind w:left="4500"/>
        <w:spacing w:after="0"/>
        <w:rPr>
          <w:sz w:val="20"/>
          <w:szCs w:val="20"/>
          <w:color w:val="auto"/>
        </w:rPr>
      </w:pPr>
      <w:r>
        <w:rPr>
          <w:rFonts w:ascii="Times New Roman" w:cs="Times New Roman" w:eastAsia="Times New Roman" w:hAnsi="Times New Roman"/>
          <w:sz w:val="16"/>
          <w:szCs w:val="16"/>
          <w:color w:val="auto"/>
        </w:rPr>
        <w:t>(in thousands)</w:t>
      </w:r>
    </w:p>
    <w:tbl>
      <w:tblPr>
        <w:tblLayout w:type="fixed"/>
        <w:tblInd w:w="1400" w:type="dxa"/>
        <w:tblCellMar>
          <w:top w:w="0" w:type="dxa"/>
          <w:left w:w="0" w:type="dxa"/>
          <w:bottom w:w="0" w:type="dxa"/>
          <w:right w:w="0" w:type="dxa"/>
        </w:tblCellMar>
      </w:tblPr>
      <w:tr>
        <w:trPr>
          <w:trHeight w:val="230"/>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4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(24,940)</w:t>
            </w:r>
          </w:p>
        </w:tc>
        <w:tc>
          <w:tcPr>
            <w:tcW w:w="2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(20,781)</w:t>
            </w: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0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20" w:type="dxa"/>
            <w:vAlign w:val="bottom"/>
            <w:tcBorders>
              <w:bottom w:val="single" w:sz="8" w:color="auto"/>
            </w:tcBorders>
            <w:shd w:val="clear" w:color="auto" w:fill="D4EEF4"/>
          </w:tcPr>
          <w:p>
            <w:pPr>
              <w:spacing w:after="0"/>
              <w:rPr>
                <w:sz w:val="19"/>
                <w:szCs w:val="19"/>
                <w:color w:val="auto"/>
              </w:rPr>
            </w:pPr>
          </w:p>
        </w:tc>
        <w:tc>
          <w:tcPr>
            <w:tcW w:w="6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180,019</w:t>
            </w:r>
          </w:p>
        </w:tc>
        <w:tc>
          <w:tcPr>
            <w:tcW w:w="120" w:type="dxa"/>
            <w:vAlign w:val="bottom"/>
            <w:shd w:val="clear" w:color="auto" w:fill="D4EEF4"/>
          </w:tcPr>
          <w:p>
            <w:pPr>
              <w:spacing w:after="0"/>
              <w:rPr>
                <w:sz w:val="19"/>
                <w:szCs w:val="19"/>
                <w:color w:val="auto"/>
              </w:rPr>
            </w:pPr>
          </w:p>
        </w:tc>
        <w:tc>
          <w:tcPr>
            <w:tcW w:w="60" w:type="dxa"/>
            <w:vAlign w:val="bottom"/>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spacing w:after="0"/>
              <w:rPr>
                <w:sz w:val="19"/>
                <w:szCs w:val="19"/>
                <w:color w:val="auto"/>
              </w:rPr>
            </w:pPr>
          </w:p>
        </w:tc>
        <w:tc>
          <w:tcPr>
            <w:tcW w:w="6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14,092</w:t>
            </w:r>
          </w:p>
        </w:tc>
        <w:tc>
          <w:tcPr>
            <w:tcW w:w="100" w:type="dxa"/>
            <w:vAlign w:val="bottom"/>
            <w:shd w:val="clear" w:color="auto" w:fill="D4EEF4"/>
          </w:tcPr>
          <w:p>
            <w:pPr>
              <w:spacing w:after="0"/>
              <w:rPr>
                <w:sz w:val="19"/>
                <w:szCs w:val="19"/>
                <w:color w:val="auto"/>
              </w:rPr>
            </w:pPr>
          </w:p>
        </w:tc>
      </w:tr>
      <w:tr>
        <w:trPr>
          <w:trHeight w:val="220"/>
        </w:trPr>
        <w:tc>
          <w:tcPr>
            <w:tcW w:w="45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155,079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used in operating activities</w:t>
      </w:r>
    </w:p>
    <w:p>
      <w:pPr>
        <w:spacing w:after="0" w:line="117" w:lineRule="exact"/>
        <w:rPr>
          <w:sz w:val="20"/>
          <w:szCs w:val="20"/>
          <w:color w:val="auto"/>
        </w:rPr>
      </w:pPr>
    </w:p>
    <w:p>
      <w:pPr>
        <w:ind w:right="80" w:firstLine="490"/>
        <w:spacing w:after="0" w:line="265" w:lineRule="auto"/>
        <w:rPr>
          <w:sz w:val="20"/>
          <w:szCs w:val="20"/>
          <w:color w:val="auto"/>
        </w:rPr>
      </w:pPr>
      <w:r>
        <w:rPr>
          <w:rFonts w:ascii="Times New Roman" w:cs="Times New Roman" w:eastAsia="Times New Roman" w:hAnsi="Times New Roman"/>
          <w:sz w:val="19"/>
          <w:szCs w:val="19"/>
          <w:color w:val="auto"/>
        </w:rPr>
        <w:t>During 2023, operating activities used net cash of $24.9 million, which was primarily due to the loss of $39.0 million which included $5.9 million of stock-based compensation expense, non-cash expense of $2.7 million for the change in fair value of contingent consideration, $2.0 million of depreciation and amortization, $0.3 million of non-cash lease expense, and $0.2 million for the change in fair value of common stock warrant liability. Additionally, there was a $3.0 million net increase usage of cash during 2023 due to changes in operating assets and liabilities.</w:t>
      </w:r>
    </w:p>
    <w:p>
      <w:pPr>
        <w:spacing w:after="0" w:line="6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During 2022, operating activities used net cash of $20.8 million, which was primarily due to the loss of $24.1 million which included non-cash income of $0.7 million for the change in fair value of contingent consideration, adjusted for non-cash expense of $2.5 million of stock-based compensation expense, $2.0 million of depreciation and amortization, and $0.3 million of non-cash lease expense. Additionally, there was a $0.8 million net increase usage of cash during 2022 due to changes in operating assets and liabilities.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20" w:right="1440" w:bottom="175" w:gutter="0" w:footer="0" w:header="0"/>
          <w:type w:val="continuous"/>
        </w:sectPr>
      </w:pPr>
    </w:p>
    <w:bookmarkStart w:id="63" w:name="page64"/>
    <w:bookmarkEnd w:id="63"/>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115" w:lineRule="exact"/>
        <w:rPr>
          <w:sz w:val="20"/>
          <w:szCs w:val="20"/>
          <w:color w:val="auto"/>
        </w:rPr>
      </w:pPr>
    </w:p>
    <w:p>
      <w:pPr>
        <w:ind w:right="180" w:firstLine="490"/>
        <w:spacing w:after="0" w:line="272" w:lineRule="auto"/>
        <w:rPr>
          <w:sz w:val="20"/>
          <w:szCs w:val="20"/>
          <w:color w:val="auto"/>
        </w:rPr>
      </w:pPr>
      <w:r>
        <w:rPr>
          <w:rFonts w:ascii="Times New Roman" w:cs="Times New Roman" w:eastAsia="Times New Roman" w:hAnsi="Times New Roman"/>
          <w:sz w:val="20"/>
          <w:szCs w:val="20"/>
          <w:color w:val="auto"/>
        </w:rPr>
        <w:t>There were no purchases during 2023 and minimal cash used during 2022 for the costs of acquiring property and equipment.</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financing activities</w:t>
      </w:r>
    </w:p>
    <w:p>
      <w:pPr>
        <w:spacing w:after="0" w:line="115"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During 2023, we received $43.1 million from the sale and issuance of the warrants pursuant to the December 2022 Securities Purchase Agreement and the exercise of certain such warrants, and $129.0 million gross proceeds in conjunction with our October 2023 financing. As of December 31, 2023, all offering costs have been paid. We also received $9.3 million of net cash proceeds from the exercise of warrants from our March 2022 financing and $7.1 million of net cash proceeds through the ATM. The total net proceeds amount was slightly offset by payments for the taxes from net share-settled vesting of restricted stock.</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During 2022, we received $13.8 million of net cash proceeds from our March 2022 financing. As of December 31, 2022, all offering costs have been paid. We also received $0.3 million of net cash proceeds through the ATM. The total net proceeds amount was slightly offset by payments for the taxes from net share-settled vesting of restricted stock.</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2023, we had cash and cash equivalents of $169.7 million.</w:t>
      </w:r>
    </w:p>
    <w:p>
      <w:pPr>
        <w:spacing w:after="0" w:line="120" w:lineRule="exact"/>
        <w:rPr>
          <w:sz w:val="20"/>
          <w:szCs w:val="20"/>
          <w:color w:val="auto"/>
        </w:rPr>
      </w:pPr>
    </w:p>
    <w:p>
      <w:pPr>
        <w:jc w:val="both"/>
        <w:ind w:right="780" w:firstLine="490"/>
        <w:spacing w:after="0" w:line="258" w:lineRule="auto"/>
        <w:rPr>
          <w:sz w:val="20"/>
          <w:szCs w:val="20"/>
          <w:color w:val="auto"/>
        </w:rPr>
      </w:pPr>
      <w:r>
        <w:rPr>
          <w:rFonts w:ascii="Times New Roman" w:cs="Times New Roman" w:eastAsia="Times New Roman" w:hAnsi="Times New Roman"/>
          <w:sz w:val="20"/>
          <w:szCs w:val="20"/>
          <w:color w:val="auto"/>
        </w:rPr>
        <w:t>We are obligated to make cash earnout payments of up to a maximum of $21.2 million to the former Essentialis stockholders upon the achievement of certain commercial milestones associated with the sale of Essentialis’ product in accordance with the terms of our merger agreement with Essentialis.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24" w:lineRule="exact"/>
        <w:rPr>
          <w:sz w:val="20"/>
          <w:szCs w:val="20"/>
          <w:color w:val="auto"/>
        </w:rPr>
      </w:pPr>
    </w:p>
    <w:p>
      <w:pPr>
        <w:ind w:right="82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2023, we had no off-balance sheet arrangements as defined in Item 303(a)(4) of Regulation S-K as promulgated by the SEC.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Guidance Update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Guidance</w:t>
      </w:r>
    </w:p>
    <w:p>
      <w:pPr>
        <w:spacing w:after="0" w:line="11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 (FASB), or other standard setting bodies and adopted by us as of the specified effective date.</w:t>
      </w:r>
    </w:p>
    <w:p>
      <w:pPr>
        <w:spacing w:after="0" w:line="285" w:lineRule="exact"/>
        <w:rPr>
          <w:sz w:val="20"/>
          <w:szCs w:val="20"/>
          <w:color w:val="auto"/>
        </w:rPr>
      </w:pPr>
    </w:p>
    <w:p>
      <w:pPr>
        <w:ind w:right="600" w:firstLine="599"/>
        <w:spacing w:after="0" w:line="367"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Interest Rate Sensitivity</w:t>
      </w:r>
    </w:p>
    <w:p>
      <w:pPr>
        <w:spacing w:after="0" w:line="1"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We had unrestricted cash and cash equivalents totaling $169.7 million at December 31, 2023.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16" w:right="1440" w:bottom="175" w:gutter="0" w:footer="0" w:header="0"/>
          <w:type w:val="continuous"/>
        </w:sectPr>
      </w:pPr>
    </w:p>
    <w:bookmarkStart w:id="64" w:name="page65"/>
    <w:bookmarkEnd w:id="64"/>
    <w:p>
      <w:pPr>
        <w:ind w:left="700"/>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1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12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80"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Report of Independent Registered Public Accounting Firm</w:t>
      </w:r>
      <w:r>
        <w:rPr>
          <w:sz w:val="20"/>
          <w:szCs w:val="20"/>
          <w:color w:val="auto"/>
        </w:rPr>
        <w:tab/>
      </w:r>
      <w:r>
        <w:rPr>
          <w:rFonts w:ascii="Times New Roman" w:cs="Times New Roman" w:eastAsia="Times New Roman" w:hAnsi="Times New Roman"/>
          <w:sz w:val="20"/>
          <w:szCs w:val="20"/>
          <w:color w:val="auto"/>
        </w:rPr>
        <w:t>64</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66</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Statements of Operations</w:t>
      </w:r>
      <w:r>
        <w:rPr>
          <w:sz w:val="20"/>
          <w:szCs w:val="20"/>
          <w:color w:val="auto"/>
        </w:rPr>
        <w:tab/>
      </w:r>
      <w:r>
        <w:rPr>
          <w:rFonts w:ascii="Times New Roman" w:cs="Times New Roman" w:eastAsia="Times New Roman" w:hAnsi="Times New Roman"/>
          <w:sz w:val="20"/>
          <w:szCs w:val="20"/>
          <w:color w:val="auto"/>
        </w:rPr>
        <w:t>67</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Statements of Stockholders’ Equity</w:t>
      </w:r>
      <w:r>
        <w:rPr>
          <w:sz w:val="20"/>
          <w:szCs w:val="20"/>
          <w:color w:val="auto"/>
        </w:rPr>
        <w:tab/>
      </w:r>
      <w:r>
        <w:rPr>
          <w:rFonts w:ascii="Times New Roman" w:cs="Times New Roman" w:eastAsia="Times New Roman" w:hAnsi="Times New Roman"/>
          <w:sz w:val="20"/>
          <w:szCs w:val="20"/>
          <w:color w:val="auto"/>
        </w:rPr>
        <w:t>68</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69</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16" w:right="1440" w:bottom="175" w:gutter="0" w:footer="0" w:header="0"/>
          <w:type w:val="continuous"/>
        </w:sectPr>
      </w:pPr>
    </w:p>
    <w:bookmarkStart w:id="65" w:name="page66"/>
    <w:bookmarkEnd w:id="65"/>
    <w:p>
      <w:pPr>
        <w:ind w:left="12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Soleno Therapeutics, Inc. (the “Company”) as of December 31, 2023 and 2022, the related consolidated statements of operations,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6" w:lineRule="exact"/>
        <w:rPr>
          <w:sz w:val="20"/>
          <w:szCs w:val="20"/>
          <w:color w:val="auto"/>
        </w:rPr>
      </w:pPr>
    </w:p>
    <w:p>
      <w:pPr>
        <w:ind w:left="360" w:hanging="360"/>
        <w:spacing w:after="0"/>
        <w:tabs>
          <w:tab w:leader="none" w:pos="36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Accrual of Clinical Trial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discussed in Note 3 to the consolidated financial statements, the Company records research and development costs associated with clinical trial activities based upon estimates of costs incurred through the balance sheet date that have yet to be invoiced by the contract research organizations (“CRO”) and other vendors.</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Company accounts for these expenses according to the progress of the trial as measured by patient progression and the timing of various aspects of the trial. Estimated accruals are determined based on reviewing contractual terms and through communications with internal clinical personnel and external service providers including CRO’s as to the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16" w:right="1440" w:bottom="175" w:gutter="0" w:footer="0" w:header="0"/>
          <w:type w:val="continuous"/>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20"/>
          <w:szCs w:val="20"/>
          <w:color w:val="auto"/>
        </w:rPr>
        <w:t>progress or state of its trials. The principal consideration for our determination that performing procedures related to the clinical trial expenses, specifically related to the year-end accrual for clinical trial costs, is a critical audit matter is that there was judgment by management in determining the progress of the activities included in the individual clinical trial agreements based on internal and external information that involves a high volume of data.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 evaluate the accrual for clinical expenses, our audit procedures included, among others, testing the completeness and accuracy of the underlying data used in the estimates and evaluating the significant assumptions including, but not limited to, subject visit dates and costs per subject visit, that are used by management to estimate the recorded accruals. To assess the reasonableness of the significant assumptions, we obtained an understanding of the Company’s estimation process relating to accrual for clinical trial costs, confirmed clinical activity with the Company's CRO for active trials, corroborated the progress of clinical trials with the Company’s clinical team and obtained third party invoices related to active patient sites, currently enrolled patients, and subject visit dates. We also tested a sample of subsequent payments to assess the impact to the accrual at the balance sheet date and compared that to the Company’s estimates.</w:t>
      </w:r>
    </w:p>
    <w:p>
      <w:pPr>
        <w:spacing w:after="0" w:line="202" w:lineRule="exact"/>
        <w:rPr>
          <w:sz w:val="20"/>
          <w:szCs w:val="20"/>
          <w:color w:val="auto"/>
        </w:rPr>
      </w:pPr>
    </w:p>
    <w:p>
      <w:pPr>
        <w:ind w:left="360" w:hanging="360"/>
        <w:spacing w:after="0"/>
        <w:tabs>
          <w:tab w:leader="none" w:pos="3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Contingent Consideration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discussed in Notes 3 and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is remeasured to its estimated fair value each reporting period, with changes in fair value recorded in the statements of operations.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and future industry, market or economic conditions.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To evaluate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Our valuation specialists recalculated the work performed by the Company to ensure that recorded amount was accurate. We also compared the significant assumptions to current industry, market and economic trends.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Marcum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2014</w:t>
      </w:r>
      <w:r>
        <w:rPr>
          <w:rFonts w:ascii="Times New Roman" w:cs="Times New Roman" w:eastAsia="Times New Roman" w:hAnsi="Times New Roman"/>
          <w:sz w:val="20"/>
          <w:szCs w:val="20"/>
          <w:b w:val="1"/>
          <w:bCs w:val="1"/>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6, 2024</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20" w:right="1440" w:bottom="175"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D4EE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D4EEF4"/>
            </w:tcBorders>
          </w:tcPr>
          <w:p>
            <w:pPr>
              <w:spacing w:after="0"/>
              <w:rPr>
                <w:sz w:val="17"/>
                <w:szCs w:val="17"/>
                <w:color w:val="auto"/>
              </w:rPr>
            </w:pPr>
          </w:p>
        </w:tc>
        <w:tc>
          <w:tcPr>
            <w:tcW w:w="80" w:type="dxa"/>
            <w:vAlign w:val="bottom"/>
            <w:tcBorders>
              <w:bottom w:val="single" w:sz="8" w:color="D4EE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4EEF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169,681</w:t>
            </w:r>
          </w:p>
        </w:tc>
        <w:tc>
          <w:tcPr>
            <w:tcW w:w="140" w:type="dxa"/>
            <w:vAlign w:val="bottom"/>
            <w:shd w:val="clear" w:color="auto" w:fill="D4EEF4"/>
          </w:tcPr>
          <w:p>
            <w:pPr>
              <w:spacing w:after="0"/>
              <w:rPr>
                <w:sz w:val="19"/>
                <w:szCs w:val="19"/>
                <w:color w:val="auto"/>
              </w:rPr>
            </w:pPr>
          </w:p>
        </w:tc>
        <w:tc>
          <w:tcPr>
            <w:tcW w:w="2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14,602</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D4EEF4"/>
            </w:tcBorders>
          </w:tcPr>
          <w:p>
            <w:pPr>
              <w:ind w:left="6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1,677</w:t>
            </w:r>
          </w:p>
        </w:tc>
        <w:tc>
          <w:tcPr>
            <w:tcW w:w="140" w:type="dxa"/>
            <w:vAlign w:val="bottom"/>
            <w:tcBorders>
              <w:bottom w:val="single" w:sz="8" w:color="D4EEF4"/>
            </w:tcBorders>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D4EEF4"/>
          </w:tcPr>
          <w:p>
            <w:pPr>
              <w:ind w:left="80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171,358</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15,647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Long-term assets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Intangible assets, net</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8,749</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10,693</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Other long-term assets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560" w:type="dxa"/>
            <w:vAlign w:val="bottom"/>
            <w:tcBorders>
              <w:top w:val="single" w:sz="8" w:color="D4EEF4"/>
            </w:tcBorders>
            <w:shd w:val="clear" w:color="auto" w:fill="D4EEF4"/>
          </w:tcPr>
          <w:p>
            <w:pPr>
              <w:ind w:left="8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180,691</w:t>
            </w:r>
          </w:p>
        </w:tc>
        <w:tc>
          <w:tcPr>
            <w:tcW w:w="140" w:type="dxa"/>
            <w:vAlign w:val="bottom"/>
            <w:tcBorders>
              <w:top w:val="single" w:sz="8" w:color="D4EEF4"/>
            </w:tcBorders>
            <w:shd w:val="clear" w:color="auto" w:fill="D4EEF4"/>
          </w:tcPr>
          <w:p>
            <w:pPr>
              <w:spacing w:after="0"/>
              <w:rPr>
                <w:sz w:val="19"/>
                <w:szCs w:val="19"/>
                <w:color w:val="auto"/>
              </w:rPr>
            </w:pPr>
          </w:p>
        </w:tc>
        <w:tc>
          <w:tcPr>
            <w:tcW w:w="80" w:type="dxa"/>
            <w:vAlign w:val="bottom"/>
            <w:tcBorders>
              <w:top w:val="single" w:sz="8" w:color="D4EEF4"/>
            </w:tcBorders>
            <w:shd w:val="clear" w:color="auto" w:fill="D4EEF4"/>
          </w:tcPr>
          <w:p>
            <w:pPr>
              <w:spacing w:after="0"/>
              <w:rPr>
                <w:sz w:val="19"/>
                <w:szCs w:val="19"/>
                <w:color w:val="auto"/>
              </w:rPr>
            </w:pPr>
          </w:p>
        </w:tc>
        <w:tc>
          <w:tcPr>
            <w:tcW w:w="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26,497</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Accounts payable,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Accrued compensation</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3,135</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1,675</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Accrued clinical trial site costs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D4EEF4"/>
            </w:tcBorders>
          </w:tcPr>
          <w:p>
            <w:pPr>
              <w:ind w:left="6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140" w:type="dxa"/>
            <w:vAlign w:val="bottom"/>
            <w:tcBorders>
              <w:bottom w:val="single" w:sz="8" w:color="D4EEF4"/>
            </w:tcBorders>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D4EEF4"/>
          </w:tcPr>
          <w:p>
            <w:pPr>
              <w:ind w:left="80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11,505</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7,313</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2018 PIPE Warrant liability</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Contingent liability for Essentialis purchase price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2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560" w:type="dxa"/>
            <w:vAlign w:val="bottom"/>
            <w:tcBorders>
              <w:bottom w:val="single" w:sz="8" w:color="D4EEF4"/>
            </w:tcBorders>
          </w:tcPr>
          <w:p>
            <w:pPr>
              <w:ind w:left="8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23,184</w:t>
            </w:r>
          </w:p>
        </w:tc>
        <w:tc>
          <w:tcPr>
            <w:tcW w:w="140" w:type="dxa"/>
            <w:vAlign w:val="bottom"/>
            <w:tcBorders>
              <w:bottom w:val="single" w:sz="8" w:color="D4EEF4"/>
            </w:tcBorders>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16,149</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Commitments and contingencies (Note 8)</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Preferred stock, $0.001 par value; 10,000,000 shares authorized, no shares</w:t>
            </w:r>
          </w:p>
        </w:tc>
        <w:tc>
          <w:tcPr>
            <w:tcW w:w="120" w:type="dxa"/>
            <w:vAlign w:val="bottom"/>
            <w:shd w:val="clear" w:color="auto" w:fill="D4EEF4"/>
          </w:tcPr>
          <w:p>
            <w:pPr>
              <w:spacing w:after="0"/>
              <w:rPr>
                <w:sz w:val="18"/>
                <w:szCs w:val="18"/>
                <w:color w:val="auto"/>
              </w:rPr>
            </w:pPr>
          </w:p>
        </w:tc>
        <w:tc>
          <w:tcPr>
            <w:tcW w:w="112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120" w:type="dxa"/>
            <w:vAlign w:val="bottom"/>
            <w:shd w:val="clear" w:color="auto" w:fill="D4EEF4"/>
          </w:tcPr>
          <w:p>
            <w:pPr>
              <w:spacing w:after="0"/>
              <w:rPr>
                <w:sz w:val="18"/>
                <w:szCs w:val="18"/>
                <w:color w:val="auto"/>
              </w:rPr>
            </w:pPr>
          </w:p>
        </w:tc>
        <w:tc>
          <w:tcPr>
            <w:tcW w:w="112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issued and outstanding</w:t>
            </w:r>
          </w:p>
        </w:tc>
        <w:tc>
          <w:tcPr>
            <w:tcW w:w="120" w:type="dxa"/>
            <w:vAlign w:val="bottom"/>
            <w:shd w:val="clear" w:color="auto" w:fill="D4EEF4"/>
          </w:tcPr>
          <w:p>
            <w:pPr>
              <w:spacing w:after="0"/>
              <w:rPr>
                <w:sz w:val="21"/>
                <w:szCs w:val="21"/>
                <w:color w:val="auto"/>
              </w:rPr>
            </w:pPr>
          </w:p>
        </w:tc>
        <w:tc>
          <w:tcPr>
            <w:tcW w:w="12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2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65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Common stock, $0.001 par value, 100,000,000 shares authorized,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31,678,159 and 8,159,382 shares issued and outstanding at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2023 and December 31, 2022, respectively</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Additional paid-in-capital</w:t>
            </w: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433,885</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247,762</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(276,410)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(237,422)</w:t>
            </w:r>
          </w:p>
        </w:tc>
        <w:tc>
          <w:tcPr>
            <w:tcW w:w="0" w:type="dxa"/>
            <w:vAlign w:val="bottom"/>
          </w:tcPr>
          <w:p>
            <w:pPr>
              <w:spacing w:after="0"/>
              <w:rPr>
                <w:sz w:val="1"/>
                <w:szCs w:val="1"/>
                <w:color w:val="auto"/>
              </w:rPr>
            </w:pPr>
          </w:p>
        </w:tc>
      </w:tr>
      <w:tr>
        <w:trPr>
          <w:trHeight w:val="220"/>
        </w:trPr>
        <w:tc>
          <w:tcPr>
            <w:tcW w:w="6560" w:type="dxa"/>
            <w:vAlign w:val="bottom"/>
            <w:tcBorders>
              <w:top w:val="single" w:sz="8" w:color="D4EEF4"/>
            </w:tcBorders>
            <w:shd w:val="clear" w:color="auto" w:fill="D4EEF4"/>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stockholders’ equity</w:t>
            </w:r>
          </w:p>
        </w:tc>
        <w:tc>
          <w:tcPr>
            <w:tcW w:w="120" w:type="dxa"/>
            <w:vAlign w:val="bottom"/>
            <w:tcBorders>
              <w:top w:val="single" w:sz="8" w:color="auto"/>
              <w:bottom w:val="single" w:sz="8" w:color="auto"/>
            </w:tcBorders>
            <w:shd w:val="clear" w:color="auto" w:fill="D4EEF4"/>
          </w:tcPr>
          <w:p>
            <w:pPr>
              <w:spacing w:after="0"/>
              <w:rPr>
                <w:sz w:val="19"/>
                <w:szCs w:val="19"/>
                <w:color w:val="auto"/>
              </w:rPr>
            </w:pPr>
          </w:p>
        </w:tc>
        <w:tc>
          <w:tcPr>
            <w:tcW w:w="1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157,507</w:t>
            </w:r>
          </w:p>
        </w:tc>
        <w:tc>
          <w:tcPr>
            <w:tcW w:w="140" w:type="dxa"/>
            <w:vAlign w:val="bottom"/>
            <w:tcBorders>
              <w:top w:val="single" w:sz="8" w:color="D4EEF4"/>
            </w:tcBorders>
            <w:shd w:val="clear" w:color="auto" w:fill="D4EEF4"/>
          </w:tcPr>
          <w:p>
            <w:pPr>
              <w:spacing w:after="0"/>
              <w:rPr>
                <w:sz w:val="19"/>
                <w:szCs w:val="19"/>
                <w:color w:val="auto"/>
              </w:rPr>
            </w:pPr>
          </w:p>
        </w:tc>
        <w:tc>
          <w:tcPr>
            <w:tcW w:w="80" w:type="dxa"/>
            <w:vAlign w:val="bottom"/>
            <w:tcBorders>
              <w:top w:val="single" w:sz="8" w:color="D4EEF4"/>
            </w:tcBorders>
            <w:shd w:val="clear" w:color="auto" w:fill="D4EEF4"/>
          </w:tcPr>
          <w:p>
            <w:pPr>
              <w:spacing w:after="0"/>
              <w:rPr>
                <w:sz w:val="19"/>
                <w:szCs w:val="19"/>
                <w:color w:val="auto"/>
              </w:rPr>
            </w:pPr>
          </w:p>
        </w:tc>
        <w:tc>
          <w:tcPr>
            <w:tcW w:w="120" w:type="dxa"/>
            <w:vAlign w:val="bottom"/>
            <w:tcBorders>
              <w:top w:val="single" w:sz="8" w:color="auto"/>
              <w:bottom w:val="single" w:sz="8" w:color="auto"/>
            </w:tcBorders>
            <w:shd w:val="clear" w:color="auto" w:fill="D4EEF4"/>
          </w:tcPr>
          <w:p>
            <w:pPr>
              <w:spacing w:after="0"/>
              <w:rPr>
                <w:sz w:val="19"/>
                <w:szCs w:val="19"/>
                <w:color w:val="auto"/>
              </w:rPr>
            </w:pPr>
          </w:p>
        </w:tc>
        <w:tc>
          <w:tcPr>
            <w:tcW w:w="1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10,348</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180,691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16" w:right="1440" w:bottom="175"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80" w:type="dxa"/>
            <w:vAlign w:val="bottom"/>
            <w:tcBorders>
              <w:bottom w:val="single" w:sz="8" w:color="D4EEF4"/>
            </w:tcBorders>
          </w:tcPr>
          <w:p>
            <w:pPr>
              <w:spacing w:after="0"/>
              <w:rPr>
                <w:sz w:val="15"/>
                <w:szCs w:val="15"/>
                <w:color w:val="auto"/>
              </w:rPr>
            </w:pPr>
          </w:p>
        </w:tc>
        <w:tc>
          <w:tcPr>
            <w:tcW w:w="260" w:type="dxa"/>
            <w:vAlign w:val="bottom"/>
            <w:tcBorders>
              <w:bottom w:val="single" w:sz="8" w:color="D4EE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D4EEF4"/>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4EE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106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400" w:type="dxa"/>
            <w:vAlign w:val="bottom"/>
            <w:shd w:val="clear" w:color="auto" w:fill="D4EEF4"/>
          </w:tcPr>
          <w:p>
            <w:pPr>
              <w:spacing w:after="0"/>
              <w:rPr>
                <w:sz w:val="19"/>
                <w:szCs w:val="19"/>
                <w:color w:val="auto"/>
              </w:rPr>
            </w:pPr>
          </w:p>
        </w:tc>
        <w:tc>
          <w:tcPr>
            <w:tcW w:w="8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25,189</w:t>
            </w:r>
          </w:p>
        </w:tc>
        <w:tc>
          <w:tcPr>
            <w:tcW w:w="240" w:type="dxa"/>
            <w:vAlign w:val="bottom"/>
          </w:tcPr>
          <w:p>
            <w:pPr>
              <w:spacing w:after="0"/>
              <w:rPr>
                <w:sz w:val="19"/>
                <w:szCs w:val="19"/>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10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13,481</w:t>
            </w:r>
          </w:p>
        </w:tc>
        <w:tc>
          <w:tcPr>
            <w:tcW w:w="240" w:type="dxa"/>
            <w:vAlign w:val="bottom"/>
            <w:shd w:val="clear" w:color="auto" w:fill="D4EEF4"/>
          </w:tcPr>
          <w:p>
            <w:pPr>
              <w:spacing w:after="0"/>
              <w:rPr>
                <w:sz w:val="19"/>
                <w:szCs w:val="19"/>
                <w:color w:val="auto"/>
              </w:rPr>
            </w:pPr>
          </w:p>
        </w:tc>
        <w:tc>
          <w:tcPr>
            <w:tcW w:w="40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9,844</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(712)</w:t>
            </w:r>
          </w:p>
        </w:tc>
        <w:tc>
          <w:tcPr>
            <w:tcW w:w="0" w:type="dxa"/>
            <w:vAlign w:val="bottom"/>
          </w:tcPr>
          <w:p>
            <w:pPr>
              <w:spacing w:after="0"/>
              <w:rPr>
                <w:sz w:val="1"/>
                <w:szCs w:val="1"/>
                <w:color w:val="auto"/>
              </w:rPr>
            </w:pPr>
          </w:p>
        </w:tc>
      </w:tr>
      <w:tr>
        <w:trPr>
          <w:trHeight w:val="220"/>
        </w:trPr>
        <w:tc>
          <w:tcPr>
            <w:tcW w:w="6180" w:type="dxa"/>
            <w:vAlign w:val="bottom"/>
            <w:tcBorders>
              <w:top w:val="single" w:sz="8" w:color="D4EEF4"/>
            </w:tcBorders>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tcBorders>
              <w:top w:val="single" w:sz="8" w:color="D4EEF4"/>
            </w:tcBorders>
            <w:shd w:val="clear" w:color="auto" w:fill="D4EEF4"/>
          </w:tcPr>
          <w:p>
            <w:pPr>
              <w:spacing w:after="0"/>
              <w:rPr>
                <w:sz w:val="19"/>
                <w:szCs w:val="19"/>
                <w:color w:val="auto"/>
              </w:rPr>
            </w:pPr>
          </w:p>
        </w:tc>
        <w:tc>
          <w:tcPr>
            <w:tcW w:w="240" w:type="dxa"/>
            <w:vAlign w:val="bottom"/>
            <w:tcBorders>
              <w:top w:val="single" w:sz="8" w:color="auto"/>
              <w:bottom w:val="single" w:sz="8" w:color="auto"/>
            </w:tcBorders>
            <w:shd w:val="clear" w:color="auto" w:fill="D4EEF4"/>
          </w:tcPr>
          <w:p>
            <w:pPr>
              <w:spacing w:after="0"/>
              <w:rPr>
                <w:sz w:val="19"/>
                <w:szCs w:val="19"/>
                <w:color w:val="auto"/>
              </w:rPr>
            </w:pPr>
          </w:p>
        </w:tc>
        <w:tc>
          <w:tcPr>
            <w:tcW w:w="10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41,384</w:t>
            </w:r>
          </w:p>
        </w:tc>
        <w:tc>
          <w:tcPr>
            <w:tcW w:w="240" w:type="dxa"/>
            <w:vAlign w:val="bottom"/>
            <w:tcBorders>
              <w:top w:val="single" w:sz="8" w:color="D4EEF4"/>
            </w:tcBorders>
            <w:shd w:val="clear" w:color="auto" w:fill="D4EEF4"/>
          </w:tcPr>
          <w:p>
            <w:pPr>
              <w:spacing w:after="0"/>
              <w:rPr>
                <w:sz w:val="19"/>
                <w:szCs w:val="19"/>
                <w:color w:val="auto"/>
              </w:rPr>
            </w:pPr>
          </w:p>
        </w:tc>
        <w:tc>
          <w:tcPr>
            <w:tcW w:w="400" w:type="dxa"/>
            <w:vAlign w:val="bottom"/>
            <w:tcBorders>
              <w:top w:val="single" w:sz="8" w:color="auto"/>
              <w:bottom w:val="single" w:sz="8" w:color="auto"/>
            </w:tcBorders>
            <w:shd w:val="clear" w:color="auto" w:fill="D4EEF4"/>
          </w:tcPr>
          <w:p>
            <w:pPr>
              <w:spacing w:after="0"/>
              <w:rPr>
                <w:sz w:val="19"/>
                <w:szCs w:val="19"/>
                <w:color w:val="auto"/>
              </w:rPr>
            </w:pPr>
          </w:p>
        </w:tc>
        <w:tc>
          <w:tcPr>
            <w:tcW w:w="8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24,397</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tcBorders>
              <w:bottom w:val="single" w:sz="8" w:color="D4EEF4"/>
            </w:tcBorders>
          </w:tcPr>
          <w:p>
            <w:pPr>
              <w:spacing w:after="0" w:line="220" w:lineRule="exact"/>
              <w:rPr>
                <w:sz w:val="20"/>
                <w:szCs w:val="20"/>
                <w:color w:val="auto"/>
              </w:rPr>
            </w:pPr>
            <w:r>
              <w:rPr>
                <w:rFonts w:ascii="Times New Roman" w:cs="Times New Roman" w:eastAsia="Times New Roman" w:hAnsi="Times New Roman"/>
                <w:sz w:val="20"/>
                <w:szCs w:val="20"/>
                <w:color w:val="auto"/>
              </w:rPr>
              <w:t>Operating loss</w:t>
            </w:r>
          </w:p>
        </w:tc>
        <w:tc>
          <w:tcPr>
            <w:tcW w:w="260" w:type="dxa"/>
            <w:vAlign w:val="bottom"/>
            <w:tcBorders>
              <w:bottom w:val="single" w:sz="8" w:color="D4EE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(41,384)</w:t>
            </w:r>
          </w:p>
        </w:tc>
        <w:tc>
          <w:tcPr>
            <w:tcW w:w="240" w:type="dxa"/>
            <w:vAlign w:val="bottom"/>
            <w:tcBorders>
              <w:bottom w:val="single" w:sz="8" w:color="D4EEF4"/>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(24,397)</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Other income (expense), net</w:t>
            </w:r>
          </w:p>
        </w:tc>
        <w:tc>
          <w:tcPr>
            <w:tcW w:w="26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106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400" w:type="dxa"/>
            <w:vAlign w:val="bottom"/>
            <w:shd w:val="clear" w:color="auto" w:fill="D4EEF4"/>
          </w:tcPr>
          <w:p>
            <w:pPr>
              <w:spacing w:after="0"/>
              <w:rPr>
                <w:sz w:val="19"/>
                <w:szCs w:val="19"/>
                <w:color w:val="auto"/>
              </w:rPr>
            </w:pPr>
          </w:p>
        </w:tc>
        <w:tc>
          <w:tcPr>
            <w:tcW w:w="8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Borders>
              <w:bottom w:val="single" w:sz="8" w:color="D4EEF4"/>
            </w:tcBorders>
            <w:shd w:val="clear" w:color="auto" w:fill="D4EEF4"/>
          </w:tcPr>
          <w:p>
            <w:pPr>
              <w:spacing w:after="0"/>
              <w:rPr>
                <w:sz w:val="21"/>
                <w:szCs w:val="21"/>
                <w:color w:val="auto"/>
              </w:rPr>
            </w:pPr>
          </w:p>
        </w:tc>
        <w:tc>
          <w:tcPr>
            <w:tcW w:w="240" w:type="dxa"/>
            <w:vAlign w:val="bottom"/>
            <w:tcBorders>
              <w:bottom w:val="single" w:sz="8" w:color="auto"/>
            </w:tcBorders>
            <w:shd w:val="clear" w:color="auto" w:fill="D4EEF4"/>
          </w:tcPr>
          <w:p>
            <w:pPr>
              <w:spacing w:after="0"/>
              <w:rPr>
                <w:sz w:val="21"/>
                <w:szCs w:val="21"/>
                <w:color w:val="auto"/>
              </w:rPr>
            </w:pPr>
          </w:p>
        </w:tc>
        <w:tc>
          <w:tcPr>
            <w:tcW w:w="10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2,578</w:t>
            </w:r>
          </w:p>
        </w:tc>
        <w:tc>
          <w:tcPr>
            <w:tcW w:w="240" w:type="dxa"/>
            <w:vAlign w:val="bottom"/>
            <w:tcBorders>
              <w:bottom w:val="single" w:sz="8" w:color="D4EEF4"/>
            </w:tcBorders>
            <w:shd w:val="clear" w:color="auto" w:fill="D4EEF4"/>
          </w:tcPr>
          <w:p>
            <w:pPr>
              <w:spacing w:after="0"/>
              <w:rPr>
                <w:sz w:val="21"/>
                <w:szCs w:val="21"/>
                <w:color w:val="auto"/>
              </w:rPr>
            </w:pPr>
          </w:p>
        </w:tc>
        <w:tc>
          <w:tcPr>
            <w:tcW w:w="400" w:type="dxa"/>
            <w:vAlign w:val="bottom"/>
            <w:tcBorders>
              <w:bottom w:val="single" w:sz="8" w:color="auto"/>
            </w:tcBorders>
            <w:shd w:val="clear" w:color="auto" w:fill="D4EEF4"/>
          </w:tcPr>
          <w:p>
            <w:pPr>
              <w:spacing w:after="0"/>
              <w:rPr>
                <w:sz w:val="21"/>
                <w:szCs w:val="21"/>
                <w:color w:val="auto"/>
              </w:rPr>
            </w:pPr>
          </w:p>
        </w:tc>
        <w:tc>
          <w:tcPr>
            <w:tcW w:w="8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00" w:type="dxa"/>
            <w:vAlign w:val="bottom"/>
            <w:tcBorders>
              <w:bottom w:val="single" w:sz="8" w:color="D4EEF4"/>
            </w:tcBorders>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180" w:type="dxa"/>
            <w:vAlign w:val="bottom"/>
            <w:tcBorders>
              <w:bottom w:val="single" w:sz="8" w:color="D4EEF4"/>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260" w:type="dxa"/>
            <w:vAlign w:val="bottom"/>
            <w:tcBorders>
              <w:bottom w:val="single" w:sz="8" w:color="D4EEF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2,396</w:t>
            </w:r>
          </w:p>
        </w:tc>
        <w:tc>
          <w:tcPr>
            <w:tcW w:w="240" w:type="dxa"/>
            <w:vAlign w:val="bottom"/>
            <w:tcBorders>
              <w:bottom w:val="single" w:sz="8" w:color="D4EEF4"/>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330</w:t>
            </w:r>
          </w:p>
        </w:tc>
        <w:tc>
          <w:tcPr>
            <w:tcW w:w="100" w:type="dxa"/>
            <w:vAlign w:val="bottom"/>
            <w:tcBorders>
              <w:bottom w:val="single" w:sz="8" w:color="D4EEF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60" w:type="dxa"/>
            <w:vAlign w:val="bottom"/>
            <w:shd w:val="clear" w:color="auto" w:fill="D4EEF4"/>
          </w:tcPr>
          <w:p>
            <w:pPr>
              <w:spacing w:after="0"/>
              <w:rPr>
                <w:sz w:val="19"/>
                <w:szCs w:val="19"/>
                <w:color w:val="auto"/>
              </w:rPr>
            </w:pPr>
          </w:p>
        </w:tc>
        <w:tc>
          <w:tcPr>
            <w:tcW w:w="240" w:type="dxa"/>
            <w:vAlign w:val="bottom"/>
            <w:tcBorders>
              <w:bottom w:val="single" w:sz="8" w:color="auto"/>
            </w:tcBorders>
            <w:shd w:val="clear" w:color="auto" w:fill="D4EEF4"/>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(38,988)</w:t>
            </w:r>
          </w:p>
        </w:tc>
        <w:tc>
          <w:tcPr>
            <w:tcW w:w="240" w:type="dxa"/>
            <w:vAlign w:val="bottom"/>
            <w:shd w:val="clear" w:color="auto" w:fill="D4EEF4"/>
          </w:tcPr>
          <w:p>
            <w:pPr>
              <w:spacing w:after="0"/>
              <w:rPr>
                <w:sz w:val="19"/>
                <w:szCs w:val="19"/>
                <w:color w:val="auto"/>
              </w:rPr>
            </w:pPr>
          </w:p>
        </w:tc>
        <w:tc>
          <w:tcPr>
            <w:tcW w:w="400" w:type="dxa"/>
            <w:vAlign w:val="bottom"/>
            <w:tcBorders>
              <w:bottom w:val="single" w:sz="8" w:color="auto"/>
            </w:tcBorders>
            <w:shd w:val="clear" w:color="auto" w:fill="D4EEF4"/>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(24,067)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common share, basic and diluted</w:t>
            </w:r>
          </w:p>
        </w:tc>
        <w:tc>
          <w:tcPr>
            <w:tcW w:w="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180" w:type="dxa"/>
            <w:vAlign w:val="bottom"/>
            <w:tcBorders>
              <w:bottom w:val="single" w:sz="8" w:color="D4EEF4"/>
            </w:tcBorders>
            <w:vMerge w:val="continue"/>
          </w:tcPr>
          <w:p>
            <w:pPr>
              <w:spacing w:after="0"/>
              <w:rPr>
                <w:sz w:val="22"/>
                <w:szCs w:val="22"/>
                <w:color w:val="auto"/>
              </w:rPr>
            </w:pPr>
          </w:p>
        </w:tc>
        <w:tc>
          <w:tcPr>
            <w:tcW w:w="260" w:type="dxa"/>
            <w:vAlign w:val="bottom"/>
            <w:tcBorders>
              <w:bottom w:val="single" w:sz="8" w:color="D4EEF4"/>
            </w:tcBorders>
            <w:vMerge w:val="continue"/>
          </w:tcPr>
          <w:p>
            <w:pPr>
              <w:spacing w:after="0"/>
              <w:rPr>
                <w:sz w:val="22"/>
                <w:szCs w:val="22"/>
                <w:color w:val="auto"/>
              </w:rPr>
            </w:pPr>
          </w:p>
        </w:tc>
        <w:tc>
          <w:tcPr>
            <w:tcW w:w="240" w:type="dxa"/>
            <w:vAlign w:val="bottom"/>
            <w:tcBorders>
              <w:bottom w:val="single" w:sz="8" w:color="auto"/>
            </w:tcBorders>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(2.36)</w:t>
            </w:r>
          </w:p>
        </w:tc>
        <w:tc>
          <w:tcPr>
            <w:tcW w:w="240" w:type="dxa"/>
            <w:vAlign w:val="bottom"/>
            <w:tcBorders>
              <w:bottom w:val="single" w:sz="8" w:color="D4EEF4"/>
            </w:tcBorders>
            <w:vMerge w:val="continue"/>
          </w:tcPr>
          <w:p>
            <w:pPr>
              <w:spacing w:after="0"/>
              <w:rPr>
                <w:sz w:val="22"/>
                <w:szCs w:val="22"/>
                <w:color w:val="auto"/>
              </w:rPr>
            </w:pPr>
          </w:p>
        </w:tc>
        <w:tc>
          <w:tcPr>
            <w:tcW w:w="400" w:type="dxa"/>
            <w:vAlign w:val="bottom"/>
            <w:tcBorders>
              <w:bottom w:val="single" w:sz="8" w:color="auto"/>
            </w:tcBorders>
          </w:tcPr>
          <w:p>
            <w:pPr>
              <w:jc w:val="right"/>
              <w:ind w:right="20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(2.87)</w:t>
            </w:r>
          </w:p>
        </w:tc>
        <w:tc>
          <w:tcPr>
            <w:tcW w:w="100" w:type="dxa"/>
            <w:vAlign w:val="bottom"/>
            <w:tcBorders>
              <w:bottom w:val="single" w:sz="8" w:color="D4EEF4"/>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80" w:type="dxa"/>
            <w:vAlign w:val="bottom"/>
            <w:shd w:val="clear" w:color="auto" w:fill="D4EEF4"/>
          </w:tcPr>
          <w:p>
            <w:pPr>
              <w:spacing w:after="0" w:line="196" w:lineRule="exact"/>
              <w:rPr>
                <w:sz w:val="20"/>
                <w:szCs w:val="20"/>
                <w:color w:val="auto"/>
              </w:rPr>
            </w:pPr>
            <w:r>
              <w:rPr>
                <w:rFonts w:ascii="Times New Roman" w:cs="Times New Roman" w:eastAsia="Times New Roman" w:hAnsi="Times New Roman"/>
                <w:sz w:val="20"/>
                <w:szCs w:val="20"/>
                <w:color w:val="auto"/>
              </w:rPr>
              <w:t>Weighted-average common shares outstanding used to calculate basic and</w:t>
            </w:r>
          </w:p>
        </w:tc>
        <w:tc>
          <w:tcPr>
            <w:tcW w:w="260" w:type="dxa"/>
            <w:vAlign w:val="bottom"/>
            <w:shd w:val="clear" w:color="auto" w:fill="D4EEF4"/>
          </w:tcPr>
          <w:p>
            <w:pPr>
              <w:spacing w:after="0"/>
              <w:rPr>
                <w:sz w:val="17"/>
                <w:szCs w:val="17"/>
                <w:color w:val="auto"/>
              </w:rPr>
            </w:pPr>
          </w:p>
        </w:tc>
        <w:tc>
          <w:tcPr>
            <w:tcW w:w="240" w:type="dxa"/>
            <w:vAlign w:val="bottom"/>
            <w:shd w:val="clear" w:color="auto" w:fill="D4EEF4"/>
          </w:tcPr>
          <w:p>
            <w:pPr>
              <w:spacing w:after="0"/>
              <w:rPr>
                <w:sz w:val="17"/>
                <w:szCs w:val="17"/>
                <w:color w:val="auto"/>
              </w:rPr>
            </w:pPr>
          </w:p>
        </w:tc>
        <w:tc>
          <w:tcPr>
            <w:tcW w:w="1060" w:type="dxa"/>
            <w:vAlign w:val="bottom"/>
            <w:shd w:val="clear" w:color="auto" w:fill="D4EEF4"/>
          </w:tcPr>
          <w:p>
            <w:pPr>
              <w:spacing w:after="0"/>
              <w:rPr>
                <w:sz w:val="17"/>
                <w:szCs w:val="17"/>
                <w:color w:val="auto"/>
              </w:rPr>
            </w:pPr>
          </w:p>
        </w:tc>
        <w:tc>
          <w:tcPr>
            <w:tcW w:w="240" w:type="dxa"/>
            <w:vAlign w:val="bottom"/>
            <w:shd w:val="clear" w:color="auto" w:fill="D4EEF4"/>
          </w:tcPr>
          <w:p>
            <w:pPr>
              <w:spacing w:after="0"/>
              <w:rPr>
                <w:sz w:val="17"/>
                <w:szCs w:val="17"/>
                <w:color w:val="auto"/>
              </w:rPr>
            </w:pPr>
          </w:p>
        </w:tc>
        <w:tc>
          <w:tcPr>
            <w:tcW w:w="400" w:type="dxa"/>
            <w:vAlign w:val="bottom"/>
            <w:shd w:val="clear" w:color="auto" w:fill="D4EEF4"/>
          </w:tcPr>
          <w:p>
            <w:pPr>
              <w:spacing w:after="0"/>
              <w:rPr>
                <w:sz w:val="17"/>
                <w:szCs w:val="17"/>
                <w:color w:val="auto"/>
              </w:rPr>
            </w:pPr>
          </w:p>
        </w:tc>
        <w:tc>
          <w:tcPr>
            <w:tcW w:w="88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18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20"/>
                <w:szCs w:val="20"/>
                <w:color w:val="auto"/>
              </w:rPr>
              <w:t>diluted net loss per common share</w:t>
            </w:r>
          </w:p>
        </w:tc>
        <w:tc>
          <w:tcPr>
            <w:tcW w:w="260" w:type="dxa"/>
            <w:vAlign w:val="bottom"/>
            <w:shd w:val="clear" w:color="auto" w:fill="D4EEF4"/>
          </w:tcPr>
          <w:p>
            <w:pPr>
              <w:spacing w:after="0"/>
              <w:rPr>
                <w:sz w:val="21"/>
                <w:szCs w:val="21"/>
                <w:color w:val="auto"/>
              </w:rPr>
            </w:pPr>
          </w:p>
        </w:tc>
        <w:tc>
          <w:tcPr>
            <w:tcW w:w="240" w:type="dxa"/>
            <w:vAlign w:val="bottom"/>
            <w:tcBorders>
              <w:bottom w:val="single" w:sz="8" w:color="auto"/>
            </w:tcBorders>
            <w:shd w:val="clear" w:color="auto" w:fill="D4EEF4"/>
          </w:tcPr>
          <w:p>
            <w:pPr>
              <w:spacing w:after="0"/>
              <w:rPr>
                <w:sz w:val="21"/>
                <w:szCs w:val="21"/>
                <w:color w:val="auto"/>
              </w:rPr>
            </w:pPr>
          </w:p>
        </w:tc>
        <w:tc>
          <w:tcPr>
            <w:tcW w:w="10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16,492,132</w:t>
            </w:r>
          </w:p>
        </w:tc>
        <w:tc>
          <w:tcPr>
            <w:tcW w:w="240" w:type="dxa"/>
            <w:vAlign w:val="bottom"/>
            <w:shd w:val="clear" w:color="auto" w:fill="D4EEF4"/>
          </w:tcPr>
          <w:p>
            <w:pPr>
              <w:spacing w:after="0"/>
              <w:rPr>
                <w:sz w:val="21"/>
                <w:szCs w:val="21"/>
                <w:color w:val="auto"/>
              </w:rPr>
            </w:pPr>
          </w:p>
        </w:tc>
        <w:tc>
          <w:tcPr>
            <w:tcW w:w="400" w:type="dxa"/>
            <w:vAlign w:val="bottom"/>
            <w:tcBorders>
              <w:bottom w:val="single" w:sz="8" w:color="auto"/>
            </w:tcBorders>
            <w:shd w:val="clear" w:color="auto" w:fill="D4EEF4"/>
          </w:tcPr>
          <w:p>
            <w:pPr>
              <w:spacing w:after="0"/>
              <w:rPr>
                <w:sz w:val="21"/>
                <w:szCs w:val="21"/>
                <w:color w:val="auto"/>
              </w:rPr>
            </w:pPr>
          </w:p>
        </w:tc>
        <w:tc>
          <w:tcPr>
            <w:tcW w:w="8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8,397,088</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16" w:right="1440" w:bottom="175"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jc w:val="center"/>
        <w:spacing w:after="0" w:line="213" w:lineRule="auto"/>
        <w:rPr>
          <w:sz w:val="20"/>
          <w:szCs w:val="20"/>
          <w:color w:val="auto"/>
        </w:rPr>
      </w:pPr>
      <w:r>
        <w:rPr>
          <w:rFonts w:ascii="Times New Roman" w:cs="Times New Roman" w:eastAsia="Times New Roman" w:hAnsi="Times New Roman"/>
          <w:sz w:val="20"/>
          <w:szCs w:val="20"/>
          <w:i w:val="1"/>
          <w:iCs w:val="1"/>
          <w:color w:val="auto"/>
        </w:rPr>
        <w:t>(in thousands, except share data)</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Borders>
              <w:bottom w:val="single" w:sz="8" w:color="auto"/>
            </w:tcBorders>
            <w:gridSpan w:val="5"/>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jc w:val="right"/>
              <w:ind w:right="480"/>
              <w:spacing w:after="0" w:line="183"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4"/>
          </w:tcPr>
          <w:p>
            <w:pPr>
              <w:ind w:left="100"/>
              <w:spacing w:after="0" w:line="183"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jc w:val="right"/>
              <w:ind w:right="440"/>
              <w:spacing w:after="0" w:line="183"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420"/>
              <w:spacing w:after="0" w:line="183"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7"/>
        </w:trPr>
        <w:tc>
          <w:tcPr>
            <w:tcW w:w="5540" w:type="dxa"/>
            <w:vAlign w:val="bottom"/>
            <w:tcBorders>
              <w:top w:val="single" w:sz="8" w:color="D4EEF4"/>
            </w:tcBorders>
            <w:gridSpan w:val="3"/>
            <w:shd w:val="clear" w:color="auto" w:fill="D4EEF4"/>
          </w:tcPr>
          <w:p>
            <w:pPr>
              <w:spacing w:after="0" w:line="197" w:lineRule="exact"/>
              <w:rPr>
                <w:sz w:val="20"/>
                <w:szCs w:val="20"/>
                <w:color w:val="auto"/>
              </w:rPr>
            </w:pPr>
            <w:r>
              <w:rPr>
                <w:rFonts w:ascii="Times New Roman" w:cs="Times New Roman" w:eastAsia="Times New Roman" w:hAnsi="Times New Roman"/>
                <w:sz w:val="18"/>
                <w:szCs w:val="18"/>
                <w:color w:val="auto"/>
              </w:rPr>
              <w:t>Balances at December 31, 2021</w:t>
            </w:r>
          </w:p>
        </w:tc>
        <w:tc>
          <w:tcPr>
            <w:tcW w:w="1100" w:type="dxa"/>
            <w:vAlign w:val="bottom"/>
            <w:tcBorders>
              <w:top w:val="single" w:sz="8" w:color="auto"/>
            </w:tcBorders>
            <w:shd w:val="clear" w:color="auto" w:fill="D4EEF4"/>
          </w:tcPr>
          <w:p>
            <w:pPr>
              <w:jc w:val="right"/>
              <w:spacing w:after="0" w:line="197" w:lineRule="exact"/>
              <w:rPr>
                <w:sz w:val="20"/>
                <w:szCs w:val="20"/>
                <w:color w:val="auto"/>
              </w:rPr>
            </w:pPr>
            <w:r>
              <w:rPr>
                <w:rFonts w:ascii="Times New Roman" w:cs="Times New Roman" w:eastAsia="Times New Roman" w:hAnsi="Times New Roman"/>
                <w:sz w:val="18"/>
                <w:szCs w:val="18"/>
                <w:color w:val="auto"/>
              </w:rPr>
              <w:t>5,324,287</w:t>
            </w:r>
          </w:p>
        </w:tc>
        <w:tc>
          <w:tcPr>
            <w:tcW w:w="140" w:type="dxa"/>
            <w:vAlign w:val="bottom"/>
            <w:tcBorders>
              <w:top w:val="single" w:sz="8" w:color="D4EEF4"/>
            </w:tcBorders>
            <w:shd w:val="clear" w:color="auto" w:fill="D4EEF4"/>
          </w:tcPr>
          <w:p>
            <w:pPr>
              <w:spacing w:after="0"/>
              <w:rPr>
                <w:sz w:val="17"/>
                <w:szCs w:val="17"/>
                <w:color w:val="auto"/>
              </w:rPr>
            </w:pPr>
          </w:p>
        </w:tc>
        <w:tc>
          <w:tcPr>
            <w:tcW w:w="100" w:type="dxa"/>
            <w:vAlign w:val="bottom"/>
            <w:tcBorders>
              <w:top w:val="single" w:sz="8" w:color="D4EEF4"/>
            </w:tcBorders>
            <w:shd w:val="clear" w:color="auto" w:fill="D4EEF4"/>
          </w:tcPr>
          <w:p>
            <w:pPr>
              <w:spacing w:after="0"/>
              <w:rPr>
                <w:sz w:val="17"/>
                <w:szCs w:val="17"/>
                <w:color w:val="auto"/>
              </w:rPr>
            </w:pPr>
          </w:p>
        </w:tc>
        <w:tc>
          <w:tcPr>
            <w:tcW w:w="20" w:type="dxa"/>
            <w:vAlign w:val="bottom"/>
            <w:tcBorders>
              <w:top w:val="single" w:sz="8" w:color="D4EEF4"/>
            </w:tcBorders>
            <w:shd w:val="clear" w:color="auto" w:fill="D4EEF4"/>
          </w:tcPr>
          <w:p>
            <w:pPr>
              <w:spacing w:after="0"/>
              <w:rPr>
                <w:sz w:val="17"/>
                <w:szCs w:val="17"/>
                <w:color w:val="auto"/>
              </w:rPr>
            </w:pPr>
          </w:p>
        </w:tc>
        <w:tc>
          <w:tcPr>
            <w:tcW w:w="840" w:type="dxa"/>
            <w:vAlign w:val="bottom"/>
            <w:tcBorders>
              <w:top w:val="single" w:sz="8" w:color="auto"/>
            </w:tcBorders>
            <w:shd w:val="clear" w:color="auto" w:fill="D4EEF4"/>
          </w:tcPr>
          <w:p>
            <w:pPr>
              <w:jc w:val="right"/>
              <w:ind w:right="717"/>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D4EEF4"/>
          </w:tcPr>
          <w:p>
            <w:pPr>
              <w:jc w:val="right"/>
              <w:spacing w:after="0" w:line="197"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tcBorders>
            <w:shd w:val="clear" w:color="auto" w:fill="D4EEF4"/>
          </w:tcPr>
          <w:p>
            <w:pPr>
              <w:spacing w:after="0"/>
              <w:rPr>
                <w:sz w:val="17"/>
                <w:szCs w:val="17"/>
                <w:color w:val="auto"/>
              </w:rPr>
            </w:pPr>
          </w:p>
        </w:tc>
        <w:tc>
          <w:tcPr>
            <w:tcW w:w="20" w:type="dxa"/>
            <w:vAlign w:val="bottom"/>
            <w:tcBorders>
              <w:top w:val="single" w:sz="8" w:color="auto"/>
            </w:tcBorders>
            <w:shd w:val="clear" w:color="auto" w:fill="D4EEF4"/>
          </w:tcPr>
          <w:p>
            <w:pPr>
              <w:spacing w:after="0"/>
              <w:rPr>
                <w:sz w:val="17"/>
                <w:szCs w:val="17"/>
                <w:color w:val="auto"/>
              </w:rPr>
            </w:pPr>
          </w:p>
        </w:tc>
        <w:tc>
          <w:tcPr>
            <w:tcW w:w="200" w:type="dxa"/>
            <w:vAlign w:val="bottom"/>
            <w:tcBorders>
              <w:top w:val="single" w:sz="8" w:color="D4EEF4"/>
            </w:tcBorders>
            <w:shd w:val="clear" w:color="auto" w:fill="D4EEF4"/>
          </w:tcPr>
          <w:p>
            <w:pPr>
              <w:spacing w:after="0"/>
              <w:rPr>
                <w:sz w:val="17"/>
                <w:szCs w:val="17"/>
                <w:color w:val="auto"/>
              </w:rPr>
            </w:pPr>
          </w:p>
        </w:tc>
        <w:tc>
          <w:tcPr>
            <w:tcW w:w="20" w:type="dxa"/>
            <w:vAlign w:val="bottom"/>
            <w:tcBorders>
              <w:top w:val="single" w:sz="8" w:color="D4EEF4"/>
            </w:tcBorders>
            <w:shd w:val="clear" w:color="auto" w:fill="D4EEF4"/>
          </w:tcPr>
          <w:p>
            <w:pPr>
              <w:spacing w:after="0"/>
              <w:rPr>
                <w:sz w:val="17"/>
                <w:szCs w:val="17"/>
                <w:color w:val="auto"/>
              </w:rPr>
            </w:pPr>
          </w:p>
        </w:tc>
        <w:tc>
          <w:tcPr>
            <w:tcW w:w="160" w:type="dxa"/>
            <w:vAlign w:val="bottom"/>
            <w:tcBorders>
              <w:top w:val="single" w:sz="8" w:color="auto"/>
            </w:tcBorders>
            <w:shd w:val="clear" w:color="auto" w:fill="D4EEF4"/>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D4EEF4"/>
          </w:tcPr>
          <w:p>
            <w:pPr>
              <w:jc w:val="right"/>
              <w:spacing w:after="0" w:line="197" w:lineRule="exact"/>
              <w:rPr>
                <w:sz w:val="20"/>
                <w:szCs w:val="20"/>
                <w:color w:val="auto"/>
              </w:rPr>
            </w:pPr>
            <w:r>
              <w:rPr>
                <w:rFonts w:ascii="Times New Roman" w:cs="Times New Roman" w:eastAsia="Times New Roman" w:hAnsi="Times New Roman"/>
                <w:sz w:val="18"/>
                <w:szCs w:val="18"/>
                <w:color w:val="auto"/>
              </w:rPr>
              <w:t>231,143</w:t>
            </w:r>
          </w:p>
        </w:tc>
        <w:tc>
          <w:tcPr>
            <w:tcW w:w="20" w:type="dxa"/>
            <w:vAlign w:val="bottom"/>
            <w:tcBorders>
              <w:top w:val="single" w:sz="8" w:color="auto"/>
            </w:tcBorders>
            <w:shd w:val="clear" w:color="auto" w:fill="D4EEF4"/>
          </w:tcPr>
          <w:p>
            <w:pPr>
              <w:spacing w:after="0"/>
              <w:rPr>
                <w:sz w:val="17"/>
                <w:szCs w:val="17"/>
                <w:color w:val="auto"/>
              </w:rPr>
            </w:pPr>
          </w:p>
        </w:tc>
        <w:tc>
          <w:tcPr>
            <w:tcW w:w="20" w:type="dxa"/>
            <w:vAlign w:val="bottom"/>
            <w:tcBorders>
              <w:top w:val="single" w:sz="8" w:color="auto"/>
            </w:tcBorders>
            <w:shd w:val="clear" w:color="auto" w:fill="D4EEF4"/>
          </w:tcPr>
          <w:p>
            <w:pPr>
              <w:spacing w:after="0"/>
              <w:rPr>
                <w:sz w:val="17"/>
                <w:szCs w:val="17"/>
                <w:color w:val="auto"/>
              </w:rPr>
            </w:pPr>
          </w:p>
        </w:tc>
        <w:tc>
          <w:tcPr>
            <w:tcW w:w="100" w:type="dxa"/>
            <w:vAlign w:val="bottom"/>
            <w:tcBorders>
              <w:top w:val="single" w:sz="8" w:color="D4EEF4"/>
            </w:tcBorders>
            <w:shd w:val="clear" w:color="auto" w:fill="D4EEF4"/>
          </w:tcPr>
          <w:p>
            <w:pPr>
              <w:spacing w:after="0"/>
              <w:rPr>
                <w:sz w:val="17"/>
                <w:szCs w:val="17"/>
                <w:color w:val="auto"/>
              </w:rPr>
            </w:pPr>
          </w:p>
        </w:tc>
        <w:tc>
          <w:tcPr>
            <w:tcW w:w="100" w:type="dxa"/>
            <w:vAlign w:val="bottom"/>
            <w:tcBorders>
              <w:top w:val="single" w:sz="8" w:color="D4EEF4"/>
            </w:tcBorders>
            <w:shd w:val="clear" w:color="auto" w:fill="D4EEF4"/>
          </w:tcPr>
          <w:p>
            <w:pPr>
              <w:spacing w:after="0"/>
              <w:rPr>
                <w:sz w:val="17"/>
                <w:szCs w:val="17"/>
                <w:color w:val="auto"/>
              </w:rPr>
            </w:pPr>
          </w:p>
        </w:tc>
        <w:tc>
          <w:tcPr>
            <w:tcW w:w="20" w:type="dxa"/>
            <w:vAlign w:val="bottom"/>
            <w:tcBorders>
              <w:top w:val="single" w:sz="8" w:color="D4EEF4"/>
            </w:tcBorders>
            <w:shd w:val="clear" w:color="auto" w:fill="D4EEF4"/>
          </w:tcPr>
          <w:p>
            <w:pPr>
              <w:spacing w:after="0"/>
              <w:rPr>
                <w:sz w:val="17"/>
                <w:szCs w:val="17"/>
                <w:color w:val="auto"/>
              </w:rPr>
            </w:pPr>
          </w:p>
        </w:tc>
        <w:tc>
          <w:tcPr>
            <w:tcW w:w="20" w:type="dxa"/>
            <w:vAlign w:val="bottom"/>
            <w:tcBorders>
              <w:top w:val="single" w:sz="8" w:color="auto"/>
            </w:tcBorders>
            <w:shd w:val="clear" w:color="auto" w:fill="D4EEF4"/>
          </w:tcPr>
          <w:p>
            <w:pPr>
              <w:spacing w:after="0"/>
              <w:rPr>
                <w:sz w:val="17"/>
                <w:szCs w:val="17"/>
                <w:color w:val="auto"/>
              </w:rPr>
            </w:pPr>
          </w:p>
        </w:tc>
        <w:tc>
          <w:tcPr>
            <w:tcW w:w="160" w:type="dxa"/>
            <w:vAlign w:val="bottom"/>
            <w:tcBorders>
              <w:top w:val="single" w:sz="8" w:color="auto"/>
            </w:tcBorders>
            <w:shd w:val="clear" w:color="auto" w:fill="D4EEF4"/>
          </w:tcPr>
          <w:p>
            <w:pPr>
              <w:jc w:val="right"/>
              <w:ind w:right="68"/>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tcBorders>
            <w:gridSpan w:val="3"/>
            <w:shd w:val="clear" w:color="auto" w:fill="D4EEF4"/>
          </w:tcPr>
          <w:p>
            <w:pPr>
              <w:jc w:val="right"/>
              <w:ind w:right="40"/>
              <w:spacing w:after="0" w:line="197" w:lineRule="exact"/>
              <w:rPr>
                <w:sz w:val="20"/>
                <w:szCs w:val="20"/>
                <w:color w:val="auto"/>
              </w:rPr>
            </w:pPr>
            <w:r>
              <w:rPr>
                <w:rFonts w:ascii="Times New Roman" w:cs="Times New Roman" w:eastAsia="Times New Roman" w:hAnsi="Times New Roman"/>
                <w:sz w:val="18"/>
                <w:szCs w:val="18"/>
                <w:color w:val="auto"/>
              </w:rPr>
              <w:t>(213,355)</w:t>
            </w:r>
          </w:p>
        </w:tc>
        <w:tc>
          <w:tcPr>
            <w:tcW w:w="80" w:type="dxa"/>
            <w:vAlign w:val="bottom"/>
            <w:tcBorders>
              <w:top w:val="single" w:sz="8" w:color="D4EEF4"/>
            </w:tcBorders>
            <w:shd w:val="clear" w:color="auto" w:fill="D4EEF4"/>
          </w:tcPr>
          <w:p>
            <w:pPr>
              <w:spacing w:after="0"/>
              <w:rPr>
                <w:sz w:val="17"/>
                <w:szCs w:val="17"/>
                <w:color w:val="auto"/>
              </w:rPr>
            </w:pPr>
          </w:p>
        </w:tc>
        <w:tc>
          <w:tcPr>
            <w:tcW w:w="120" w:type="dxa"/>
            <w:vAlign w:val="bottom"/>
            <w:tcBorders>
              <w:top w:val="single" w:sz="8" w:color="D4EEF4"/>
            </w:tcBorders>
            <w:shd w:val="clear" w:color="auto" w:fill="D4EEF4"/>
          </w:tcPr>
          <w:p>
            <w:pPr>
              <w:spacing w:after="0"/>
              <w:rPr>
                <w:sz w:val="17"/>
                <w:szCs w:val="17"/>
                <w:color w:val="auto"/>
              </w:rPr>
            </w:pPr>
          </w:p>
        </w:tc>
        <w:tc>
          <w:tcPr>
            <w:tcW w:w="20" w:type="dxa"/>
            <w:vAlign w:val="bottom"/>
            <w:tcBorders>
              <w:top w:val="single" w:sz="8" w:color="D4EEF4"/>
            </w:tcBorders>
            <w:shd w:val="clear" w:color="auto" w:fill="D4EEF4"/>
          </w:tcPr>
          <w:p>
            <w:pPr>
              <w:spacing w:after="0"/>
              <w:rPr>
                <w:sz w:val="17"/>
                <w:szCs w:val="17"/>
                <w:color w:val="auto"/>
              </w:rPr>
            </w:pPr>
          </w:p>
        </w:tc>
        <w:tc>
          <w:tcPr>
            <w:tcW w:w="20" w:type="dxa"/>
            <w:vAlign w:val="bottom"/>
            <w:tcBorders>
              <w:top w:val="single" w:sz="8" w:color="auto"/>
            </w:tcBorders>
            <w:shd w:val="clear" w:color="auto" w:fill="D4EEF4"/>
          </w:tcPr>
          <w:p>
            <w:pPr>
              <w:spacing w:after="0"/>
              <w:rPr>
                <w:sz w:val="17"/>
                <w:szCs w:val="17"/>
                <w:color w:val="auto"/>
              </w:rPr>
            </w:pPr>
          </w:p>
        </w:tc>
        <w:tc>
          <w:tcPr>
            <w:tcW w:w="160" w:type="dxa"/>
            <w:vAlign w:val="bottom"/>
            <w:tcBorders>
              <w:top w:val="single" w:sz="8" w:color="auto"/>
            </w:tcBorders>
            <w:shd w:val="clear" w:color="auto" w:fill="D4EEF4"/>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D4EEF4"/>
          </w:tcPr>
          <w:p>
            <w:pPr>
              <w:jc w:val="right"/>
              <w:spacing w:after="0" w:line="197" w:lineRule="exact"/>
              <w:rPr>
                <w:sz w:val="20"/>
                <w:szCs w:val="20"/>
                <w:color w:val="auto"/>
              </w:rPr>
            </w:pPr>
            <w:r>
              <w:rPr>
                <w:rFonts w:ascii="Times New Roman" w:cs="Times New Roman" w:eastAsia="Times New Roman" w:hAnsi="Times New Roman"/>
                <w:sz w:val="18"/>
                <w:szCs w:val="18"/>
                <w:color w:val="auto"/>
              </w:rPr>
              <w:t>17,793</w:t>
            </w:r>
          </w:p>
        </w:tc>
        <w:tc>
          <w:tcPr>
            <w:tcW w:w="0" w:type="dxa"/>
            <w:vAlign w:val="bottom"/>
            <w:tcBorders>
              <w:top w:val="single" w:sz="8" w:color="auto"/>
            </w:tcBorders>
            <w:shd w:val="clear" w:color="auto" w:fill="D4EEF4"/>
          </w:tcPr>
          <w:p>
            <w:pPr>
              <w:spacing w:after="0"/>
              <w:rPr>
                <w:sz w:val="17"/>
                <w:szCs w:val="17"/>
                <w:color w:val="auto"/>
              </w:rPr>
            </w:pPr>
          </w:p>
        </w:tc>
        <w:tc>
          <w:tcPr>
            <w:tcW w:w="120" w:type="dxa"/>
            <w:vAlign w:val="bottom"/>
            <w:tcBorders>
              <w:top w:val="single" w:sz="8" w:color="D4EEF4"/>
            </w:tcBorders>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2,530</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2,530</w:t>
            </w:r>
          </w:p>
        </w:tc>
        <w:tc>
          <w:tcPr>
            <w:tcW w:w="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 plan</w:t>
            </w: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4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840" w:type="dxa"/>
            <w:vAlign w:val="bottom"/>
            <w:shd w:val="clear" w:color="auto" w:fill="D4EEF4"/>
          </w:tcPr>
          <w:p>
            <w:pPr>
              <w:spacing w:after="0"/>
              <w:rPr>
                <w:sz w:val="17"/>
                <w:szCs w:val="17"/>
                <w:color w:val="auto"/>
              </w:rPr>
            </w:pPr>
          </w:p>
        </w:tc>
        <w:tc>
          <w:tcPr>
            <w:tcW w:w="26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94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4"/>
            <w:shd w:val="clear" w:color="auto" w:fill="D4EEF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3"/>
            <w:shd w:val="clear" w:color="auto" w:fill="D4EEF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net share-settled equity awards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18"/>
                <w:szCs w:val="18"/>
                <w:color w:val="auto"/>
              </w:rPr>
              <w:t>Sale of common stock in public offering, net of issuance costs of $701</w:t>
            </w: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2,666,667</w:t>
            </w:r>
          </w:p>
        </w:tc>
        <w:tc>
          <w:tcPr>
            <w:tcW w:w="14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840" w:type="dxa"/>
            <w:vAlign w:val="bottom"/>
            <w:shd w:val="clear" w:color="auto" w:fill="D4EEF4"/>
          </w:tcPr>
          <w:p>
            <w:pPr>
              <w:spacing w:after="0"/>
              <w:rPr>
                <w:sz w:val="17"/>
                <w:szCs w:val="17"/>
                <w:color w:val="auto"/>
              </w:rPr>
            </w:pPr>
          </w:p>
        </w:tc>
        <w:tc>
          <w:tcPr>
            <w:tcW w:w="2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4"/>
            <w:shd w:val="clear" w:color="auto" w:fill="D4EEF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shd w:val="clear" w:color="auto" w:fill="D4EEF4"/>
          </w:tcPr>
          <w:p>
            <w:pPr>
              <w:spacing w:after="0"/>
              <w:rPr>
                <w:sz w:val="17"/>
                <w:szCs w:val="17"/>
                <w:color w:val="auto"/>
              </w:rPr>
            </w:pPr>
          </w:p>
        </w:tc>
        <w:tc>
          <w:tcPr>
            <w:tcW w:w="12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540" w:type="dxa"/>
            <w:vAlign w:val="bottom"/>
            <w:gridSpan w:val="3"/>
          </w:tcPr>
          <w:p>
            <w:pPr>
              <w:ind w:left="200"/>
              <w:spacing w:after="0" w:line="168" w:lineRule="exact"/>
              <w:rPr>
                <w:sz w:val="20"/>
                <w:szCs w:val="20"/>
                <w:color w:val="auto"/>
              </w:rPr>
            </w:pPr>
            <w:r>
              <w:rPr>
                <w:rFonts w:ascii="Times New Roman" w:cs="Times New Roman" w:eastAsia="Times New Roman" w:hAnsi="Times New Roman"/>
                <w:sz w:val="18"/>
                <w:szCs w:val="18"/>
                <w:color w:val="auto"/>
              </w:rPr>
              <w:t>Sale of pre-funded warrants in public offering, net of issuance costs of</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18"/>
                <w:szCs w:val="18"/>
                <w:color w:val="auto"/>
              </w:rPr>
              <w:t>Sale of common stock, net of issuance costs of $10</w:t>
            </w: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104,773</w:t>
            </w:r>
          </w:p>
        </w:tc>
        <w:tc>
          <w:tcPr>
            <w:tcW w:w="14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840" w:type="dxa"/>
            <w:vAlign w:val="bottom"/>
            <w:shd w:val="clear" w:color="auto" w:fill="D4EEF4"/>
          </w:tcPr>
          <w:p>
            <w:pPr>
              <w:spacing w:after="0"/>
              <w:rPr>
                <w:sz w:val="18"/>
                <w:szCs w:val="18"/>
                <w:color w:val="auto"/>
              </w:rPr>
            </w:pPr>
          </w:p>
        </w:tc>
        <w:tc>
          <w:tcPr>
            <w:tcW w:w="26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1000" w:type="dxa"/>
            <w:vAlign w:val="bottom"/>
            <w:gridSpan w:val="4"/>
            <w:shd w:val="clear" w:color="auto" w:fill="D4EEF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shd w:val="clear" w:color="auto" w:fill="D4EEF4"/>
          </w:tcPr>
          <w:p>
            <w:pPr>
              <w:spacing w:after="0"/>
              <w:rPr>
                <w:sz w:val="18"/>
                <w:szCs w:val="18"/>
                <w:color w:val="auto"/>
              </w:rPr>
            </w:pPr>
          </w:p>
        </w:tc>
        <w:tc>
          <w:tcPr>
            <w:tcW w:w="12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840" w:type="dxa"/>
            <w:vAlign w:val="bottom"/>
            <w:shd w:val="clear" w:color="auto" w:fill="D4EEF4"/>
          </w:tcPr>
          <w:p>
            <w:pPr>
              <w:spacing w:after="0"/>
              <w:rPr>
                <w:sz w:val="17"/>
                <w:szCs w:val="17"/>
                <w:color w:val="auto"/>
              </w:rPr>
            </w:pPr>
          </w:p>
        </w:tc>
        <w:tc>
          <w:tcPr>
            <w:tcW w:w="26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94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4"/>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(24,067)</w:t>
            </w:r>
          </w:p>
        </w:tc>
        <w:tc>
          <w:tcPr>
            <w:tcW w:w="1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(24,067)</w:t>
            </w:r>
          </w:p>
        </w:tc>
        <w:tc>
          <w:tcPr>
            <w:tcW w:w="0" w:type="dxa"/>
            <w:vAlign w:val="bottom"/>
          </w:tcPr>
          <w:p>
            <w:pPr>
              <w:spacing w:after="0"/>
              <w:rPr>
                <w:sz w:val="1"/>
                <w:szCs w:val="1"/>
                <w:color w:val="auto"/>
              </w:rPr>
            </w:pPr>
          </w:p>
        </w:tc>
      </w:tr>
      <w:tr>
        <w:trPr>
          <w:trHeight w:val="237"/>
        </w:trPr>
        <w:tc>
          <w:tcPr>
            <w:tcW w:w="5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Balances at December 31, 2022</w:t>
            </w:r>
          </w:p>
        </w:tc>
        <w:tc>
          <w:tcPr>
            <w:tcW w:w="40" w:type="dxa"/>
            <w:vAlign w:val="bottom"/>
            <w:tcBorders>
              <w:top w:val="single" w:sz="8" w:color="auto"/>
            </w:tcBorders>
            <w:gridSpan w:val="2"/>
          </w:tcPr>
          <w:p>
            <w:pPr>
              <w:spacing w:after="0"/>
              <w:rPr>
                <w:sz w:val="20"/>
                <w:szCs w:val="20"/>
                <w:color w:val="auto"/>
              </w:rPr>
            </w:pPr>
          </w:p>
        </w:tc>
        <w:tc>
          <w:tcPr>
            <w:tcW w:w="1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8,159,382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gridSpan w:val="2"/>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247,762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(237,422)</w:t>
            </w:r>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gridSpan w:val="3"/>
          </w:tcPr>
          <w:p>
            <w:pPr>
              <w:jc w:val="right"/>
              <w:ind w:right="33"/>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10,348</w:t>
            </w:r>
          </w:p>
        </w:tc>
        <w:tc>
          <w:tcPr>
            <w:tcW w:w="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540" w:type="dxa"/>
            <w:vAlign w:val="bottom"/>
            <w:tcBorders>
              <w:top w:val="single" w:sz="8" w:color="D4EEF4"/>
            </w:tcBorders>
            <w:gridSpan w:val="3"/>
            <w:shd w:val="clear" w:color="auto" w:fill="D4EEF4"/>
          </w:tcPr>
          <w:p>
            <w:pPr>
              <w:ind w:left="200"/>
              <w:spacing w:after="0" w:line="181" w:lineRule="exact"/>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top w:val="single" w:sz="8" w:color="auto"/>
            </w:tcBorders>
            <w:shd w:val="clear" w:color="auto" w:fill="D4EEF4"/>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4EEF4"/>
            </w:tcBorders>
            <w:shd w:val="clear" w:color="auto" w:fill="D4EEF4"/>
          </w:tcPr>
          <w:p>
            <w:pPr>
              <w:spacing w:after="0"/>
              <w:rPr>
                <w:sz w:val="16"/>
                <w:szCs w:val="16"/>
                <w:color w:val="auto"/>
              </w:rPr>
            </w:pPr>
          </w:p>
        </w:tc>
        <w:tc>
          <w:tcPr>
            <w:tcW w:w="100" w:type="dxa"/>
            <w:vAlign w:val="bottom"/>
            <w:tcBorders>
              <w:top w:val="single" w:sz="8" w:color="D4EEF4"/>
            </w:tcBorders>
            <w:shd w:val="clear" w:color="auto" w:fill="D4EEF4"/>
          </w:tcPr>
          <w:p>
            <w:pPr>
              <w:spacing w:after="0"/>
              <w:rPr>
                <w:sz w:val="16"/>
                <w:szCs w:val="16"/>
                <w:color w:val="auto"/>
              </w:rPr>
            </w:pPr>
          </w:p>
        </w:tc>
        <w:tc>
          <w:tcPr>
            <w:tcW w:w="20" w:type="dxa"/>
            <w:vAlign w:val="bottom"/>
            <w:tcBorders>
              <w:top w:val="single" w:sz="8" w:color="D4EEF4"/>
            </w:tcBorders>
            <w:shd w:val="clear" w:color="auto" w:fill="D4EEF4"/>
          </w:tcPr>
          <w:p>
            <w:pPr>
              <w:spacing w:after="0"/>
              <w:rPr>
                <w:sz w:val="16"/>
                <w:szCs w:val="16"/>
                <w:color w:val="auto"/>
              </w:rPr>
            </w:pPr>
          </w:p>
        </w:tc>
        <w:tc>
          <w:tcPr>
            <w:tcW w:w="840" w:type="dxa"/>
            <w:vAlign w:val="bottom"/>
            <w:tcBorders>
              <w:top w:val="single" w:sz="8" w:color="auto"/>
            </w:tcBorders>
            <w:shd w:val="clear" w:color="auto" w:fill="D4EEF4"/>
          </w:tcPr>
          <w:p>
            <w:pPr>
              <w:spacing w:after="0"/>
              <w:rPr>
                <w:sz w:val="16"/>
                <w:szCs w:val="16"/>
                <w:color w:val="auto"/>
              </w:rPr>
            </w:pPr>
          </w:p>
        </w:tc>
        <w:tc>
          <w:tcPr>
            <w:tcW w:w="260" w:type="dxa"/>
            <w:vAlign w:val="bottom"/>
            <w:tcBorders>
              <w:top w:val="single" w:sz="8" w:color="auto"/>
            </w:tcBorders>
            <w:gridSpan w:val="3"/>
            <w:shd w:val="clear" w:color="auto" w:fill="D4EEF4"/>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D4EEF4"/>
            </w:tcBorders>
            <w:shd w:val="clear" w:color="auto" w:fill="D4EEF4"/>
          </w:tcPr>
          <w:p>
            <w:pPr>
              <w:spacing w:after="0"/>
              <w:rPr>
                <w:sz w:val="16"/>
                <w:szCs w:val="16"/>
                <w:color w:val="auto"/>
              </w:rPr>
            </w:pPr>
          </w:p>
        </w:tc>
        <w:tc>
          <w:tcPr>
            <w:tcW w:w="20" w:type="dxa"/>
            <w:vAlign w:val="bottom"/>
            <w:tcBorders>
              <w:top w:val="single" w:sz="8" w:color="D4EEF4"/>
            </w:tcBorders>
            <w:shd w:val="clear" w:color="auto" w:fill="D4EEF4"/>
          </w:tcPr>
          <w:p>
            <w:pPr>
              <w:spacing w:after="0"/>
              <w:rPr>
                <w:sz w:val="16"/>
                <w:szCs w:val="16"/>
                <w:color w:val="auto"/>
              </w:rPr>
            </w:pPr>
          </w:p>
        </w:tc>
        <w:tc>
          <w:tcPr>
            <w:tcW w:w="160" w:type="dxa"/>
            <w:vAlign w:val="bottom"/>
            <w:tcBorders>
              <w:top w:val="single" w:sz="8" w:color="auto"/>
            </w:tcBorders>
            <w:shd w:val="clear" w:color="auto" w:fill="D4EEF4"/>
          </w:tcPr>
          <w:p>
            <w:pPr>
              <w:spacing w:after="0"/>
              <w:rPr>
                <w:sz w:val="16"/>
                <w:szCs w:val="16"/>
                <w:color w:val="auto"/>
              </w:rPr>
            </w:pPr>
          </w:p>
        </w:tc>
        <w:tc>
          <w:tcPr>
            <w:tcW w:w="900" w:type="dxa"/>
            <w:vAlign w:val="bottom"/>
            <w:tcBorders>
              <w:top w:val="single" w:sz="8" w:color="auto"/>
            </w:tcBorders>
            <w:shd w:val="clear" w:color="auto" w:fill="D4EEF4"/>
          </w:tcPr>
          <w:p>
            <w:pPr>
              <w:jc w:val="right"/>
              <w:spacing w:after="0" w:line="192" w:lineRule="exact"/>
              <w:rPr>
                <w:sz w:val="20"/>
                <w:szCs w:val="20"/>
                <w:color w:val="auto"/>
              </w:rPr>
            </w:pPr>
            <w:r>
              <w:rPr>
                <w:rFonts w:ascii="Times New Roman" w:cs="Times New Roman" w:eastAsia="Times New Roman" w:hAnsi="Times New Roman"/>
                <w:sz w:val="18"/>
                <w:szCs w:val="18"/>
                <w:color w:val="auto"/>
              </w:rPr>
              <w:t>5,809</w:t>
            </w:r>
          </w:p>
        </w:tc>
        <w:tc>
          <w:tcPr>
            <w:tcW w:w="20" w:type="dxa"/>
            <w:vAlign w:val="bottom"/>
            <w:tcBorders>
              <w:top w:val="single" w:sz="8" w:color="auto"/>
            </w:tcBorders>
            <w:shd w:val="clear" w:color="auto" w:fill="D4EEF4"/>
          </w:tcPr>
          <w:p>
            <w:pPr>
              <w:spacing w:after="0"/>
              <w:rPr>
                <w:sz w:val="16"/>
                <w:szCs w:val="16"/>
                <w:color w:val="auto"/>
              </w:rPr>
            </w:pPr>
          </w:p>
        </w:tc>
        <w:tc>
          <w:tcPr>
            <w:tcW w:w="20" w:type="dxa"/>
            <w:vAlign w:val="bottom"/>
            <w:tcBorders>
              <w:top w:val="single" w:sz="8" w:color="auto"/>
            </w:tcBorders>
            <w:shd w:val="clear" w:color="auto" w:fill="D4EEF4"/>
          </w:tcPr>
          <w:p>
            <w:pPr>
              <w:spacing w:after="0"/>
              <w:rPr>
                <w:sz w:val="16"/>
                <w:szCs w:val="16"/>
                <w:color w:val="auto"/>
              </w:rPr>
            </w:pPr>
          </w:p>
        </w:tc>
        <w:tc>
          <w:tcPr>
            <w:tcW w:w="100" w:type="dxa"/>
            <w:vAlign w:val="bottom"/>
            <w:tcBorders>
              <w:top w:val="single" w:sz="8" w:color="D4EEF4"/>
            </w:tcBorders>
            <w:shd w:val="clear" w:color="auto" w:fill="D4EEF4"/>
          </w:tcPr>
          <w:p>
            <w:pPr>
              <w:spacing w:after="0"/>
              <w:rPr>
                <w:sz w:val="16"/>
                <w:szCs w:val="16"/>
                <w:color w:val="auto"/>
              </w:rPr>
            </w:pPr>
          </w:p>
        </w:tc>
        <w:tc>
          <w:tcPr>
            <w:tcW w:w="100" w:type="dxa"/>
            <w:vAlign w:val="bottom"/>
            <w:tcBorders>
              <w:top w:val="single" w:sz="8" w:color="D4EEF4"/>
            </w:tcBorders>
            <w:shd w:val="clear" w:color="auto" w:fill="D4EEF4"/>
          </w:tcPr>
          <w:p>
            <w:pPr>
              <w:spacing w:after="0"/>
              <w:rPr>
                <w:sz w:val="16"/>
                <w:szCs w:val="16"/>
                <w:color w:val="auto"/>
              </w:rPr>
            </w:pPr>
          </w:p>
        </w:tc>
        <w:tc>
          <w:tcPr>
            <w:tcW w:w="20" w:type="dxa"/>
            <w:vAlign w:val="bottom"/>
            <w:tcBorders>
              <w:top w:val="single" w:sz="8" w:color="D4EEF4"/>
            </w:tcBorders>
            <w:shd w:val="clear" w:color="auto" w:fill="D4EEF4"/>
          </w:tcPr>
          <w:p>
            <w:pPr>
              <w:spacing w:after="0"/>
              <w:rPr>
                <w:sz w:val="16"/>
                <w:szCs w:val="16"/>
                <w:color w:val="auto"/>
              </w:rPr>
            </w:pPr>
          </w:p>
        </w:tc>
        <w:tc>
          <w:tcPr>
            <w:tcW w:w="20" w:type="dxa"/>
            <w:vAlign w:val="bottom"/>
            <w:tcBorders>
              <w:top w:val="single" w:sz="8" w:color="auto"/>
            </w:tcBorders>
            <w:shd w:val="clear" w:color="auto" w:fill="D4EEF4"/>
          </w:tcPr>
          <w:p>
            <w:pPr>
              <w:spacing w:after="0"/>
              <w:rPr>
                <w:sz w:val="16"/>
                <w:szCs w:val="16"/>
                <w:color w:val="auto"/>
              </w:rPr>
            </w:pPr>
          </w:p>
        </w:tc>
        <w:tc>
          <w:tcPr>
            <w:tcW w:w="160" w:type="dxa"/>
            <w:vAlign w:val="bottom"/>
            <w:tcBorders>
              <w:top w:val="single" w:sz="8" w:color="auto"/>
            </w:tcBorders>
            <w:shd w:val="clear" w:color="auto" w:fill="D4EEF4"/>
          </w:tcPr>
          <w:p>
            <w:pPr>
              <w:spacing w:after="0"/>
              <w:rPr>
                <w:sz w:val="16"/>
                <w:szCs w:val="16"/>
                <w:color w:val="auto"/>
              </w:rPr>
            </w:pPr>
          </w:p>
        </w:tc>
        <w:tc>
          <w:tcPr>
            <w:tcW w:w="920" w:type="dxa"/>
            <w:vAlign w:val="bottom"/>
            <w:tcBorders>
              <w:top w:val="single" w:sz="8" w:color="auto"/>
            </w:tcBorders>
            <w:gridSpan w:val="3"/>
            <w:shd w:val="clear" w:color="auto" w:fill="D4EEF4"/>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4EEF4"/>
            </w:tcBorders>
            <w:shd w:val="clear" w:color="auto" w:fill="D4EEF4"/>
          </w:tcPr>
          <w:p>
            <w:pPr>
              <w:spacing w:after="0"/>
              <w:rPr>
                <w:sz w:val="16"/>
                <w:szCs w:val="16"/>
                <w:color w:val="auto"/>
              </w:rPr>
            </w:pPr>
          </w:p>
        </w:tc>
        <w:tc>
          <w:tcPr>
            <w:tcW w:w="120" w:type="dxa"/>
            <w:vAlign w:val="bottom"/>
            <w:tcBorders>
              <w:top w:val="single" w:sz="8" w:color="D4EEF4"/>
            </w:tcBorders>
            <w:shd w:val="clear" w:color="auto" w:fill="D4EEF4"/>
          </w:tcPr>
          <w:p>
            <w:pPr>
              <w:spacing w:after="0"/>
              <w:rPr>
                <w:sz w:val="16"/>
                <w:szCs w:val="16"/>
                <w:color w:val="auto"/>
              </w:rPr>
            </w:pPr>
          </w:p>
        </w:tc>
        <w:tc>
          <w:tcPr>
            <w:tcW w:w="20" w:type="dxa"/>
            <w:vAlign w:val="bottom"/>
            <w:tcBorders>
              <w:top w:val="single" w:sz="8" w:color="D4EEF4"/>
            </w:tcBorders>
            <w:shd w:val="clear" w:color="auto" w:fill="D4EEF4"/>
          </w:tcPr>
          <w:p>
            <w:pPr>
              <w:spacing w:after="0"/>
              <w:rPr>
                <w:sz w:val="16"/>
                <w:szCs w:val="16"/>
                <w:color w:val="auto"/>
              </w:rPr>
            </w:pPr>
          </w:p>
        </w:tc>
        <w:tc>
          <w:tcPr>
            <w:tcW w:w="20" w:type="dxa"/>
            <w:vAlign w:val="bottom"/>
            <w:tcBorders>
              <w:top w:val="single" w:sz="8" w:color="auto"/>
            </w:tcBorders>
            <w:shd w:val="clear" w:color="auto" w:fill="D4EEF4"/>
          </w:tcPr>
          <w:p>
            <w:pPr>
              <w:spacing w:after="0"/>
              <w:rPr>
                <w:sz w:val="16"/>
                <w:szCs w:val="16"/>
                <w:color w:val="auto"/>
              </w:rPr>
            </w:pPr>
          </w:p>
        </w:tc>
        <w:tc>
          <w:tcPr>
            <w:tcW w:w="160" w:type="dxa"/>
            <w:vAlign w:val="bottom"/>
            <w:tcBorders>
              <w:top w:val="single" w:sz="8" w:color="auto"/>
            </w:tcBorders>
            <w:shd w:val="clear" w:color="auto" w:fill="D4EEF4"/>
          </w:tcPr>
          <w:p>
            <w:pPr>
              <w:spacing w:after="0"/>
              <w:rPr>
                <w:sz w:val="16"/>
                <w:szCs w:val="16"/>
                <w:color w:val="auto"/>
              </w:rPr>
            </w:pPr>
          </w:p>
        </w:tc>
        <w:tc>
          <w:tcPr>
            <w:tcW w:w="880" w:type="dxa"/>
            <w:vAlign w:val="bottom"/>
            <w:tcBorders>
              <w:top w:val="single" w:sz="8" w:color="auto"/>
            </w:tcBorders>
            <w:shd w:val="clear" w:color="auto" w:fill="D4EEF4"/>
          </w:tcPr>
          <w:p>
            <w:pPr>
              <w:jc w:val="right"/>
              <w:spacing w:after="0" w:line="192" w:lineRule="exact"/>
              <w:rPr>
                <w:sz w:val="20"/>
                <w:szCs w:val="20"/>
                <w:color w:val="auto"/>
              </w:rPr>
            </w:pPr>
            <w:r>
              <w:rPr>
                <w:rFonts w:ascii="Times New Roman" w:cs="Times New Roman" w:eastAsia="Times New Roman" w:hAnsi="Times New Roman"/>
                <w:sz w:val="18"/>
                <w:szCs w:val="18"/>
                <w:color w:val="auto"/>
              </w:rPr>
              <w:t>5,809</w:t>
            </w:r>
          </w:p>
        </w:tc>
        <w:tc>
          <w:tcPr>
            <w:tcW w:w="0" w:type="dxa"/>
            <w:vAlign w:val="bottom"/>
            <w:tcBorders>
              <w:top w:val="single" w:sz="8" w:color="auto"/>
            </w:tcBorders>
            <w:shd w:val="clear" w:color="auto" w:fill="D4EEF4"/>
          </w:tcPr>
          <w:p>
            <w:pPr>
              <w:spacing w:after="0"/>
              <w:rPr>
                <w:sz w:val="16"/>
                <w:szCs w:val="16"/>
                <w:color w:val="auto"/>
              </w:rPr>
            </w:pPr>
          </w:p>
        </w:tc>
        <w:tc>
          <w:tcPr>
            <w:tcW w:w="120" w:type="dxa"/>
            <w:vAlign w:val="bottom"/>
            <w:tcBorders>
              <w:top w:val="single" w:sz="8" w:color="D4EEF4"/>
            </w:tcBorders>
            <w:shd w:val="clear" w:color="auto" w:fill="D4EEF4"/>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net share-settled equity awards</w:t>
            </w:r>
          </w:p>
        </w:tc>
        <w:tc>
          <w:tcPr>
            <w:tcW w:w="12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840" w:type="dxa"/>
            <w:vAlign w:val="bottom"/>
            <w:shd w:val="clear" w:color="auto" w:fill="D4EEF4"/>
          </w:tcPr>
          <w:p>
            <w:pPr>
              <w:spacing w:after="0"/>
              <w:rPr>
                <w:sz w:val="17"/>
                <w:szCs w:val="17"/>
                <w:color w:val="auto"/>
              </w:rPr>
            </w:pPr>
          </w:p>
        </w:tc>
        <w:tc>
          <w:tcPr>
            <w:tcW w:w="26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94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4"/>
            <w:shd w:val="clear" w:color="auto" w:fill="D4EEF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3"/>
            <w:shd w:val="clear" w:color="auto" w:fill="D4EEF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8"/>
        </w:trPr>
        <w:tc>
          <w:tcPr>
            <w:tcW w:w="5540" w:type="dxa"/>
            <w:vAlign w:val="bottom"/>
            <w:gridSpan w:val="3"/>
          </w:tcPr>
          <w:p>
            <w:pPr>
              <w:ind w:left="200"/>
              <w:spacing w:after="0" w:line="168" w:lineRule="exact"/>
              <w:rPr>
                <w:sz w:val="20"/>
                <w:szCs w:val="20"/>
                <w:color w:val="auto"/>
              </w:rPr>
            </w:pPr>
            <w:r>
              <w:rPr>
                <w:rFonts w:ascii="Times New Roman" w:cs="Times New Roman" w:eastAsia="Times New Roman" w:hAnsi="Times New Roman"/>
                <w:sz w:val="18"/>
                <w:szCs w:val="18"/>
                <w:color w:val="auto"/>
              </w:rPr>
              <w:t>Sale of common stock and issuance of common stock warrants and pre-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7,047,397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137,851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137,857</w:t>
            </w:r>
          </w:p>
        </w:tc>
        <w:tc>
          <w:tcPr>
            <w:tcW w:w="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funded common stock warrants, net of issuance costs of $8,449</w:t>
            </w:r>
          </w:p>
        </w:tc>
        <w:tc>
          <w:tcPr>
            <w:tcW w:w="11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15,961,267</w:t>
            </w:r>
          </w:p>
        </w:tc>
        <w:tc>
          <w:tcPr>
            <w:tcW w:w="14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840" w:type="dxa"/>
            <w:vAlign w:val="bottom"/>
            <w:shd w:val="clear" w:color="auto" w:fill="D4EEF4"/>
          </w:tcPr>
          <w:p>
            <w:pPr>
              <w:spacing w:after="0"/>
              <w:rPr>
                <w:sz w:val="18"/>
                <w:szCs w:val="18"/>
                <w:color w:val="auto"/>
              </w:rPr>
            </w:pPr>
          </w:p>
        </w:tc>
        <w:tc>
          <w:tcPr>
            <w:tcW w:w="2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1000" w:type="dxa"/>
            <w:vAlign w:val="bottom"/>
            <w:gridSpan w:val="4"/>
            <w:shd w:val="clear" w:color="auto" w:fill="D4EEF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41,998</w:t>
            </w:r>
          </w:p>
        </w:tc>
        <w:tc>
          <w:tcPr>
            <w:tcW w:w="0" w:type="dxa"/>
            <w:vAlign w:val="bottom"/>
            <w:shd w:val="clear" w:color="auto" w:fill="D4EEF4"/>
          </w:tcPr>
          <w:p>
            <w:pPr>
              <w:spacing w:after="0"/>
              <w:rPr>
                <w:sz w:val="18"/>
                <w:szCs w:val="18"/>
                <w:color w:val="auto"/>
              </w:rPr>
            </w:pPr>
          </w:p>
        </w:tc>
        <w:tc>
          <w:tcPr>
            <w:tcW w:w="12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840" w:type="dxa"/>
            <w:vAlign w:val="bottom"/>
            <w:shd w:val="clear" w:color="auto" w:fill="D4EEF4"/>
          </w:tcPr>
          <w:p>
            <w:pPr>
              <w:spacing w:after="0"/>
              <w:rPr>
                <w:sz w:val="17"/>
                <w:szCs w:val="17"/>
                <w:color w:val="auto"/>
              </w:rPr>
            </w:pPr>
          </w:p>
        </w:tc>
        <w:tc>
          <w:tcPr>
            <w:tcW w:w="26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940" w:type="dxa"/>
            <w:vAlign w:val="bottom"/>
            <w:gridSpan w:val="3"/>
            <w:shd w:val="clear" w:color="auto" w:fill="D4EEF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4"/>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(38,988)</w:t>
            </w:r>
          </w:p>
        </w:tc>
        <w:tc>
          <w:tcPr>
            <w:tcW w:w="1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00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(38,988)</w:t>
            </w:r>
          </w:p>
        </w:tc>
        <w:tc>
          <w:tcPr>
            <w:tcW w:w="0" w:type="dxa"/>
            <w:vAlign w:val="bottom"/>
          </w:tcPr>
          <w:p>
            <w:pPr>
              <w:spacing w:after="0"/>
              <w:rPr>
                <w:sz w:val="1"/>
                <w:szCs w:val="1"/>
                <w:color w:val="auto"/>
              </w:rPr>
            </w:pPr>
          </w:p>
        </w:tc>
      </w:tr>
      <w:tr>
        <w:trPr>
          <w:trHeight w:val="197"/>
        </w:trPr>
        <w:tc>
          <w:tcPr>
            <w:tcW w:w="554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Balances at December 31, 2023</w:t>
            </w:r>
          </w:p>
        </w:tc>
        <w:tc>
          <w:tcPr>
            <w:tcW w:w="11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31,678,159</w:t>
            </w: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4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433,885</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gridSpan w:val="3"/>
          </w:tcPr>
          <w:p>
            <w:pPr>
              <w:jc w:val="right"/>
              <w:ind w:right="40"/>
              <w:spacing w:after="0" w:line="197" w:lineRule="exact"/>
              <w:rPr>
                <w:sz w:val="20"/>
                <w:szCs w:val="20"/>
                <w:color w:val="auto"/>
              </w:rPr>
            </w:pPr>
            <w:r>
              <w:rPr>
                <w:rFonts w:ascii="Times New Roman" w:cs="Times New Roman" w:eastAsia="Times New Roman" w:hAnsi="Times New Roman"/>
                <w:sz w:val="18"/>
                <w:szCs w:val="18"/>
                <w:color w:val="auto"/>
              </w:rPr>
              <w:t>(276,410)</w:t>
            </w:r>
          </w:p>
        </w:tc>
        <w:tc>
          <w:tcPr>
            <w:tcW w:w="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157,507</w:t>
            </w:r>
          </w:p>
        </w:tc>
        <w:tc>
          <w:tcPr>
            <w:tcW w:w="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5840" w:h="12240" w:orient="landscape"/>
          <w:cols w:equalWidth="0" w:num="1">
            <w:col w:w="12960"/>
          </w:cols>
          <w:pgMar w:left="1440" w:top="1365" w:right="144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5840" w:h="12240" w:orient="landscape"/>
          <w:cols w:equalWidth="0" w:num="1">
            <w:col w:w="12960"/>
          </w:cols>
          <w:pgMar w:left="1440" w:top="1365" w:right="1440" w:bottom="207"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7"/>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5"/>
              <w:spacing w:after="0" w:line="163"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spacing w:after="0"/>
              <w:rPr>
                <w:sz w:val="14"/>
                <w:szCs w:val="14"/>
                <w:color w:val="auto"/>
              </w:rPr>
            </w:pP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0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gridSpan w:val="2"/>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(38,988)</w:t>
            </w:r>
          </w:p>
        </w:tc>
        <w:tc>
          <w:tcPr>
            <w:tcW w:w="38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(24,067)</w:t>
            </w: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spacing w:after="0"/>
              <w:rPr>
                <w:sz w:val="14"/>
                <w:szCs w:val="14"/>
                <w:color w:val="auto"/>
              </w:rPr>
            </w:pP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0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5"/>
                <w:szCs w:val="15"/>
                <w:color w:val="auto"/>
              </w:rPr>
              <w:t>Noncash lease expense</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00" w:type="dxa"/>
            <w:vAlign w:val="bottom"/>
            <w:shd w:val="clear" w:color="auto" w:fill="D4EE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5"/>
                <w:szCs w:val="15"/>
                <w:color w:val="auto"/>
              </w:rPr>
              <w:t>Change in fair value of common stock warrants</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12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72"/>
        </w:trPr>
        <w:tc>
          <w:tcPr>
            <w:tcW w:w="6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(712)</w:t>
            </w: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spacing w:after="0"/>
              <w:rPr>
                <w:sz w:val="14"/>
                <w:szCs w:val="14"/>
                <w:color w:val="auto"/>
              </w:rPr>
            </w:pP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0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Prepaid expenses, other current assets and other assets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1,372</w:t>
            </w: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12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15"/>
                <w:szCs w:val="15"/>
                <w:color w:val="auto"/>
              </w:rPr>
              <w:t>(1,477)</w:t>
            </w:r>
          </w:p>
        </w:tc>
        <w:tc>
          <w:tcPr>
            <w:tcW w:w="0" w:type="dxa"/>
            <w:vAlign w:val="bottom"/>
          </w:tcPr>
          <w:p>
            <w:pPr>
              <w:spacing w:after="0"/>
              <w:rPr>
                <w:sz w:val="1"/>
                <w:szCs w:val="1"/>
                <w:color w:val="auto"/>
              </w:rPr>
            </w:pPr>
          </w:p>
        </w:tc>
      </w:tr>
      <w:tr>
        <w:trPr>
          <w:trHeight w:val="172"/>
        </w:trPr>
        <w:tc>
          <w:tcPr>
            <w:tcW w:w="62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Accrued compensation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5"/>
                <w:szCs w:val="15"/>
                <w:color w:val="auto"/>
              </w:rPr>
              <w:t>Accrued clinical trial site costs</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12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15"/>
                <w:szCs w:val="15"/>
                <w:color w:val="auto"/>
              </w:rPr>
              <w:t>(198)</w:t>
            </w:r>
          </w:p>
        </w:tc>
        <w:tc>
          <w:tcPr>
            <w:tcW w:w="0" w:type="dxa"/>
            <w:vAlign w:val="bottom"/>
          </w:tcPr>
          <w:p>
            <w:pPr>
              <w:spacing w:after="0"/>
              <w:rPr>
                <w:sz w:val="1"/>
                <w:szCs w:val="1"/>
                <w:color w:val="auto"/>
              </w:rPr>
            </w:pPr>
          </w:p>
        </w:tc>
      </w:tr>
      <w:tr>
        <w:trPr>
          <w:trHeight w:val="173"/>
        </w:trPr>
        <w:tc>
          <w:tcPr>
            <w:tcW w:w="62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(302)</w:t>
            </w:r>
          </w:p>
        </w:tc>
        <w:tc>
          <w:tcPr>
            <w:tcW w:w="0" w:type="dxa"/>
            <w:vAlign w:val="bottom"/>
          </w:tcPr>
          <w:p>
            <w:pPr>
              <w:spacing w:after="0"/>
              <w:rPr>
                <w:sz w:val="1"/>
                <w:szCs w:val="1"/>
                <w:color w:val="auto"/>
              </w:rPr>
            </w:pPr>
          </w:p>
        </w:tc>
      </w:tr>
      <w:tr>
        <w:trPr>
          <w:trHeight w:val="192"/>
        </w:trPr>
        <w:tc>
          <w:tcPr>
            <w:tcW w:w="6220" w:type="dxa"/>
            <w:vAlign w:val="bottom"/>
            <w:tcBorders>
              <w:bottom w:val="single" w:sz="8" w:color="D4EEF4"/>
            </w:tcBorders>
            <w:shd w:val="clear" w:color="auto" w:fill="D4EEF4"/>
          </w:tcPr>
          <w:p>
            <w:pPr>
              <w:ind w:left="400"/>
              <w:spacing w:after="0"/>
              <w:rPr>
                <w:sz w:val="20"/>
                <w:szCs w:val="20"/>
                <w:color w:val="auto"/>
              </w:rPr>
            </w:pPr>
            <w:r>
              <w:rPr>
                <w:rFonts w:ascii="Times New Roman" w:cs="Times New Roman" w:eastAsia="Times New Roman" w:hAnsi="Times New Roman"/>
                <w:sz w:val="15"/>
                <w:szCs w:val="15"/>
                <w:color w:val="auto"/>
              </w:rPr>
              <w:t>Other liabilities</w:t>
            </w:r>
          </w:p>
        </w:tc>
        <w:tc>
          <w:tcPr>
            <w:tcW w:w="200" w:type="dxa"/>
            <w:vAlign w:val="bottom"/>
            <w:tcBorders>
              <w:bottom w:val="single" w:sz="8" w:color="D4EEF4"/>
            </w:tcBorders>
            <w:shd w:val="clear" w:color="auto" w:fill="D4EEF4"/>
          </w:tcPr>
          <w:p>
            <w:pPr>
              <w:spacing w:after="0"/>
              <w:rPr>
                <w:sz w:val="16"/>
                <w:szCs w:val="16"/>
                <w:color w:val="auto"/>
              </w:rPr>
            </w:pPr>
          </w:p>
        </w:tc>
        <w:tc>
          <w:tcPr>
            <w:tcW w:w="820" w:type="dxa"/>
            <w:vAlign w:val="bottom"/>
            <w:tcBorders>
              <w:bottom w:val="single" w:sz="8" w:color="auto"/>
            </w:tcBorders>
            <w:shd w:val="clear" w:color="auto" w:fill="D4EEF4"/>
          </w:tcPr>
          <w:p>
            <w:pPr>
              <w:spacing w:after="0"/>
              <w:rPr>
                <w:sz w:val="16"/>
                <w:szCs w:val="16"/>
                <w:color w:val="auto"/>
              </w:rPr>
            </w:pPr>
          </w:p>
        </w:tc>
        <w:tc>
          <w:tcPr>
            <w:tcW w:w="5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1,071</w:t>
            </w:r>
          </w:p>
        </w:tc>
        <w:tc>
          <w:tcPr>
            <w:tcW w:w="120" w:type="dxa"/>
            <w:vAlign w:val="bottom"/>
            <w:tcBorders>
              <w:bottom w:val="single" w:sz="8" w:color="D4EEF4"/>
            </w:tcBorders>
            <w:shd w:val="clear" w:color="auto" w:fill="D4EEF4"/>
          </w:tcPr>
          <w:p>
            <w:pPr>
              <w:spacing w:after="0"/>
              <w:rPr>
                <w:sz w:val="16"/>
                <w:szCs w:val="16"/>
                <w:color w:val="auto"/>
              </w:rPr>
            </w:pPr>
          </w:p>
        </w:tc>
        <w:tc>
          <w:tcPr>
            <w:tcW w:w="100" w:type="dxa"/>
            <w:vAlign w:val="bottom"/>
            <w:tcBorders>
              <w:bottom w:val="single" w:sz="8" w:color="D4EEF4"/>
            </w:tcBorders>
            <w:shd w:val="clear" w:color="auto" w:fill="D4EEF4"/>
          </w:tcPr>
          <w:p>
            <w:pPr>
              <w:spacing w:after="0"/>
              <w:rPr>
                <w:sz w:val="16"/>
                <w:szCs w:val="16"/>
                <w:color w:val="auto"/>
              </w:rPr>
            </w:pPr>
          </w:p>
        </w:tc>
        <w:tc>
          <w:tcPr>
            <w:tcW w:w="280" w:type="dxa"/>
            <w:vAlign w:val="bottom"/>
            <w:tcBorders>
              <w:bottom w:val="single" w:sz="8" w:color="auto"/>
            </w:tcBorders>
            <w:shd w:val="clear" w:color="auto" w:fill="D4EEF4"/>
          </w:tcPr>
          <w:p>
            <w:pPr>
              <w:spacing w:after="0"/>
              <w:rPr>
                <w:sz w:val="16"/>
                <w:szCs w:val="16"/>
                <w:color w:val="auto"/>
              </w:rPr>
            </w:pPr>
          </w:p>
        </w:tc>
        <w:tc>
          <w:tcPr>
            <w:tcW w:w="10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Borders>
              <w:bottom w:val="single" w:sz="8" w:color="D4EEF4"/>
            </w:tcBorders>
            <w:shd w:val="clear" w:color="auto" w:fill="D4EEF4"/>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D4EEF4"/>
            </w:tcBorders>
          </w:tcPr>
          <w:p>
            <w:pPr>
              <w:ind w:left="600"/>
              <w:spacing w:after="0" w:line="143" w:lineRule="exact"/>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200" w:type="dxa"/>
            <w:vAlign w:val="bottom"/>
            <w:tcBorders>
              <w:bottom w:val="single" w:sz="8" w:color="D4EEF4"/>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w w:val="93"/>
              </w:rPr>
              <w:t>(24,940)</w:t>
            </w:r>
          </w:p>
        </w:tc>
        <w:tc>
          <w:tcPr>
            <w:tcW w:w="120" w:type="dxa"/>
            <w:vAlign w:val="bottom"/>
            <w:tcBorders>
              <w:bottom w:val="single" w:sz="8" w:color="D4EEF4"/>
            </w:tcBorders>
          </w:tcPr>
          <w:p>
            <w:pPr>
              <w:spacing w:after="0"/>
              <w:rPr>
                <w:sz w:val="12"/>
                <w:szCs w:val="12"/>
                <w:color w:val="auto"/>
              </w:rPr>
            </w:pPr>
          </w:p>
        </w:tc>
        <w:tc>
          <w:tcPr>
            <w:tcW w:w="100" w:type="dxa"/>
            <w:vAlign w:val="bottom"/>
            <w:tcBorders>
              <w:bottom w:val="single" w:sz="8" w:color="D4EEF4"/>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(20,781)</w:t>
            </w:r>
          </w:p>
        </w:tc>
        <w:tc>
          <w:tcPr>
            <w:tcW w:w="100" w:type="dxa"/>
            <w:vAlign w:val="bottom"/>
            <w:tcBorders>
              <w:bottom w:val="single" w:sz="8" w:color="D4EEF4"/>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20" w:type="dxa"/>
            <w:vAlign w:val="bottom"/>
            <w:shd w:val="clear" w:color="auto" w:fill="D4EEF4"/>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spacing w:after="0"/>
              <w:rPr>
                <w:sz w:val="14"/>
                <w:szCs w:val="14"/>
                <w:color w:val="auto"/>
              </w:rPr>
            </w:pP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0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00" w:type="dxa"/>
            <w:vAlign w:val="bottom"/>
            <w:tcBorders>
              <w:bottom w:val="single" w:sz="8" w:color="D4EEF4"/>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D4EEF4"/>
            </w:tcBorders>
          </w:tcPr>
          <w:p>
            <w:pPr>
              <w:spacing w:after="0"/>
              <w:rPr>
                <w:sz w:val="14"/>
                <w:szCs w:val="14"/>
                <w:color w:val="auto"/>
              </w:rPr>
            </w:pPr>
          </w:p>
        </w:tc>
        <w:tc>
          <w:tcPr>
            <w:tcW w:w="100" w:type="dxa"/>
            <w:vAlign w:val="bottom"/>
            <w:tcBorders>
              <w:bottom w:val="single" w:sz="8" w:color="D4EEF4"/>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Borders>
              <w:bottom w:val="single" w:sz="8" w:color="D4EEF4"/>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20" w:type="dxa"/>
            <w:vAlign w:val="bottom"/>
            <w:tcBorders>
              <w:bottom w:val="single" w:sz="8" w:color="D4EEF4"/>
            </w:tcBorders>
            <w:shd w:val="clear" w:color="auto" w:fill="D4EEF4"/>
          </w:tcPr>
          <w:p>
            <w:pPr>
              <w:ind w:left="600"/>
              <w:spacing w:after="0" w:line="163" w:lineRule="exact"/>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00" w:type="dxa"/>
            <w:vAlign w:val="bottom"/>
            <w:tcBorders>
              <w:bottom w:val="single" w:sz="8" w:color="D4EEF4"/>
            </w:tcBorders>
            <w:shd w:val="clear" w:color="auto" w:fill="D4EEF4"/>
          </w:tcPr>
          <w:p>
            <w:pPr>
              <w:spacing w:after="0"/>
              <w:rPr>
                <w:sz w:val="15"/>
                <w:szCs w:val="15"/>
                <w:color w:val="auto"/>
              </w:rPr>
            </w:pPr>
          </w:p>
        </w:tc>
        <w:tc>
          <w:tcPr>
            <w:tcW w:w="820" w:type="dxa"/>
            <w:vAlign w:val="bottom"/>
            <w:tcBorders>
              <w:bottom w:val="single" w:sz="8" w:color="auto"/>
            </w:tcBorders>
            <w:shd w:val="clear" w:color="auto" w:fill="D4EEF4"/>
          </w:tcPr>
          <w:p>
            <w:pPr>
              <w:spacing w:after="0"/>
              <w:rPr>
                <w:sz w:val="15"/>
                <w:szCs w:val="15"/>
                <w:color w:val="auto"/>
              </w:rPr>
            </w:pPr>
          </w:p>
        </w:tc>
        <w:tc>
          <w:tcPr>
            <w:tcW w:w="500" w:type="dxa"/>
            <w:vAlign w:val="bottom"/>
            <w:tcBorders>
              <w:bottom w:val="single" w:sz="8" w:color="auto"/>
            </w:tcBorders>
            <w:shd w:val="clear" w:color="auto" w:fill="D4EEF4"/>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D4EEF4"/>
            </w:tcBorders>
            <w:shd w:val="clear" w:color="auto" w:fill="D4EEF4"/>
          </w:tcPr>
          <w:p>
            <w:pPr>
              <w:spacing w:after="0"/>
              <w:rPr>
                <w:sz w:val="15"/>
                <w:szCs w:val="15"/>
                <w:color w:val="auto"/>
              </w:rPr>
            </w:pPr>
          </w:p>
        </w:tc>
        <w:tc>
          <w:tcPr>
            <w:tcW w:w="100" w:type="dxa"/>
            <w:vAlign w:val="bottom"/>
            <w:tcBorders>
              <w:bottom w:val="single" w:sz="8" w:color="D4EEF4"/>
            </w:tcBorders>
            <w:shd w:val="clear" w:color="auto" w:fill="D4EEF4"/>
          </w:tcPr>
          <w:p>
            <w:pPr>
              <w:spacing w:after="0"/>
              <w:rPr>
                <w:sz w:val="15"/>
                <w:szCs w:val="15"/>
                <w:color w:val="auto"/>
              </w:rPr>
            </w:pPr>
          </w:p>
        </w:tc>
        <w:tc>
          <w:tcPr>
            <w:tcW w:w="280" w:type="dxa"/>
            <w:vAlign w:val="bottom"/>
            <w:tcBorders>
              <w:bottom w:val="single" w:sz="8" w:color="auto"/>
            </w:tcBorders>
            <w:shd w:val="clear" w:color="auto" w:fill="D4EEF4"/>
          </w:tcPr>
          <w:p>
            <w:pPr>
              <w:spacing w:after="0"/>
              <w:rPr>
                <w:sz w:val="15"/>
                <w:szCs w:val="15"/>
                <w:color w:val="auto"/>
              </w:rPr>
            </w:pPr>
          </w:p>
        </w:tc>
        <w:tc>
          <w:tcPr>
            <w:tcW w:w="1020" w:type="dxa"/>
            <w:vAlign w:val="bottom"/>
            <w:tcBorders>
              <w:bottom w:val="single" w:sz="8" w:color="auto"/>
            </w:tcBorders>
            <w:shd w:val="clear" w:color="auto" w:fill="D4EEF4"/>
          </w:tcPr>
          <w:p>
            <w:pPr>
              <w:jc w:val="right"/>
              <w:spacing w:after="0" w:line="163" w:lineRule="exact"/>
              <w:rPr>
                <w:sz w:val="20"/>
                <w:szCs w:val="20"/>
                <w:color w:val="auto"/>
              </w:rPr>
            </w:pPr>
            <w:r>
              <w:rPr>
                <w:rFonts w:ascii="Times New Roman" w:cs="Times New Roman" w:eastAsia="Times New Roman" w:hAnsi="Times New Roman"/>
                <w:sz w:val="15"/>
                <w:szCs w:val="15"/>
                <w:color w:val="auto"/>
              </w:rPr>
              <w:t>(13)</w:t>
            </w:r>
          </w:p>
        </w:tc>
        <w:tc>
          <w:tcPr>
            <w:tcW w:w="100" w:type="dxa"/>
            <w:vAlign w:val="bottom"/>
            <w:tcBorders>
              <w:bottom w:val="single" w:sz="8" w:color="D4EEF4"/>
            </w:tcBorders>
            <w:shd w:val="clear" w:color="auto" w:fill="D4EEF4"/>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22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220" w:type="dxa"/>
            <w:vAlign w:val="bottom"/>
            <w:shd w:val="clear" w:color="auto" w:fill="D4EEF4"/>
          </w:tcPr>
          <w:p>
            <w:pPr>
              <w:spacing w:after="0" w:line="157" w:lineRule="exact"/>
              <w:rPr>
                <w:sz w:val="20"/>
                <w:szCs w:val="20"/>
                <w:color w:val="auto"/>
              </w:rPr>
            </w:pPr>
            <w:r>
              <w:rPr>
                <w:rFonts w:ascii="Times New Roman" w:cs="Times New Roman" w:eastAsia="Times New Roman" w:hAnsi="Times New Roman"/>
                <w:sz w:val="15"/>
                <w:szCs w:val="15"/>
                <w:color w:val="auto"/>
              </w:rPr>
              <w:t>Proceeds from sale of common stock, common stock warrants and pre-funded stock warrants, net of</w:t>
            </w:r>
          </w:p>
        </w:tc>
        <w:tc>
          <w:tcPr>
            <w:tcW w:w="200" w:type="dxa"/>
            <w:vAlign w:val="bottom"/>
            <w:shd w:val="clear" w:color="auto" w:fill="D4EEF4"/>
          </w:tcPr>
          <w:p>
            <w:pPr>
              <w:spacing w:after="0"/>
              <w:rPr>
                <w:sz w:val="13"/>
                <w:szCs w:val="13"/>
                <w:color w:val="auto"/>
              </w:rPr>
            </w:pPr>
          </w:p>
        </w:tc>
        <w:tc>
          <w:tcPr>
            <w:tcW w:w="820" w:type="dxa"/>
            <w:vAlign w:val="bottom"/>
            <w:shd w:val="clear" w:color="auto" w:fill="D4EEF4"/>
          </w:tcPr>
          <w:p>
            <w:pPr>
              <w:spacing w:after="0"/>
              <w:rPr>
                <w:sz w:val="13"/>
                <w:szCs w:val="13"/>
                <w:color w:val="auto"/>
              </w:rPr>
            </w:pPr>
          </w:p>
        </w:tc>
        <w:tc>
          <w:tcPr>
            <w:tcW w:w="50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w w:val="98"/>
              </w:rPr>
              <w:t>137,857</w:t>
            </w:r>
          </w:p>
        </w:tc>
        <w:tc>
          <w:tcPr>
            <w:tcW w:w="12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280" w:type="dxa"/>
            <w:vAlign w:val="bottom"/>
            <w:shd w:val="clear" w:color="auto" w:fill="D4EEF4"/>
          </w:tcPr>
          <w:p>
            <w:pPr>
              <w:spacing w:after="0"/>
              <w:rPr>
                <w:sz w:val="13"/>
                <w:szCs w:val="13"/>
                <w:color w:val="auto"/>
              </w:rPr>
            </w:pPr>
          </w:p>
        </w:tc>
        <w:tc>
          <w:tcPr>
            <w:tcW w:w="102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14,108</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220" w:type="dxa"/>
            <w:vAlign w:val="bottom"/>
            <w:shd w:val="clear" w:color="auto" w:fill="D4EEF4"/>
          </w:tcPr>
          <w:p>
            <w:pPr>
              <w:spacing w:after="0"/>
              <w:rPr>
                <w:sz w:val="20"/>
                <w:szCs w:val="20"/>
                <w:color w:val="auto"/>
              </w:rPr>
            </w:pPr>
            <w:r>
              <w:rPr>
                <w:rFonts w:ascii="Times New Roman" w:cs="Times New Roman" w:eastAsia="Times New Roman" w:hAnsi="Times New Roman"/>
                <w:sz w:val="15"/>
                <w:szCs w:val="15"/>
                <w:color w:val="auto"/>
              </w:rPr>
              <w:t>issuance costs</w:t>
            </w:r>
          </w:p>
        </w:tc>
        <w:tc>
          <w:tcPr>
            <w:tcW w:w="200" w:type="dxa"/>
            <w:vAlign w:val="bottom"/>
            <w:shd w:val="clear" w:color="auto" w:fill="D4EEF4"/>
          </w:tcPr>
          <w:p>
            <w:pPr>
              <w:spacing w:after="0"/>
              <w:rPr>
                <w:sz w:val="16"/>
                <w:szCs w:val="16"/>
                <w:color w:val="auto"/>
              </w:rPr>
            </w:pPr>
          </w:p>
        </w:tc>
        <w:tc>
          <w:tcPr>
            <w:tcW w:w="820" w:type="dxa"/>
            <w:vAlign w:val="bottom"/>
            <w:shd w:val="clear" w:color="auto" w:fill="D4EEF4"/>
          </w:tcPr>
          <w:p>
            <w:pPr>
              <w:spacing w:after="0"/>
              <w:rPr>
                <w:sz w:val="16"/>
                <w:szCs w:val="16"/>
                <w:color w:val="auto"/>
              </w:rPr>
            </w:pPr>
          </w:p>
        </w:tc>
        <w:tc>
          <w:tcPr>
            <w:tcW w:w="500" w:type="dxa"/>
            <w:vAlign w:val="bottom"/>
            <w:vMerge w:val="continue"/>
            <w:shd w:val="clear" w:color="auto" w:fill="D4EEF4"/>
          </w:tcPr>
          <w:p>
            <w:pPr>
              <w:spacing w:after="0"/>
              <w:rPr>
                <w:sz w:val="16"/>
                <w:szCs w:val="16"/>
                <w:color w:val="auto"/>
              </w:rPr>
            </w:pPr>
          </w:p>
        </w:tc>
        <w:tc>
          <w:tcPr>
            <w:tcW w:w="120" w:type="dxa"/>
            <w:vAlign w:val="bottom"/>
            <w:shd w:val="clear" w:color="auto" w:fill="D4EEF4"/>
          </w:tcPr>
          <w:p>
            <w:pPr>
              <w:spacing w:after="0"/>
              <w:rPr>
                <w:sz w:val="16"/>
                <w:szCs w:val="16"/>
                <w:color w:val="auto"/>
              </w:rPr>
            </w:pPr>
          </w:p>
        </w:tc>
        <w:tc>
          <w:tcPr>
            <w:tcW w:w="100" w:type="dxa"/>
            <w:vAlign w:val="bottom"/>
            <w:shd w:val="clear" w:color="auto" w:fill="D4EEF4"/>
          </w:tcPr>
          <w:p>
            <w:pPr>
              <w:spacing w:after="0"/>
              <w:rPr>
                <w:sz w:val="16"/>
                <w:szCs w:val="16"/>
                <w:color w:val="auto"/>
              </w:rPr>
            </w:pPr>
          </w:p>
        </w:tc>
        <w:tc>
          <w:tcPr>
            <w:tcW w:w="280" w:type="dxa"/>
            <w:vAlign w:val="bottom"/>
            <w:shd w:val="clear" w:color="auto" w:fill="D4EEF4"/>
          </w:tcPr>
          <w:p>
            <w:pPr>
              <w:spacing w:after="0"/>
              <w:rPr>
                <w:sz w:val="16"/>
                <w:szCs w:val="16"/>
                <w:color w:val="auto"/>
              </w:rPr>
            </w:pPr>
          </w:p>
        </w:tc>
        <w:tc>
          <w:tcPr>
            <w:tcW w:w="1020" w:type="dxa"/>
            <w:vAlign w:val="bottom"/>
            <w:vMerge w:val="continue"/>
            <w:shd w:val="clear" w:color="auto" w:fill="D4EEF4"/>
          </w:tcPr>
          <w:p>
            <w:pPr>
              <w:spacing w:after="0"/>
              <w:rPr>
                <w:sz w:val="16"/>
                <w:szCs w:val="16"/>
                <w:color w:val="auto"/>
              </w:rPr>
            </w:pPr>
          </w:p>
        </w:tc>
        <w:tc>
          <w:tcPr>
            <w:tcW w:w="100" w:type="dxa"/>
            <w:vAlign w:val="bottom"/>
            <w:shd w:val="clear" w:color="auto" w:fill="D4EEF4"/>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exercise of common stock warrants and pre-funded stock warrants, net of costs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spacing w:after="0"/>
              <w:rPr>
                <w:sz w:val="20"/>
                <w:szCs w:val="20"/>
                <w:color w:val="auto"/>
              </w:rPr>
            </w:pPr>
            <w:r>
              <w:rPr>
                <w:rFonts w:ascii="Times New Roman" w:cs="Times New Roman" w:eastAsia="Times New Roman" w:hAnsi="Times New Roman"/>
                <w:sz w:val="15"/>
                <w:szCs w:val="15"/>
                <w:color w:val="auto"/>
              </w:rPr>
              <w:t>Proceeds from stock option exercises</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1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Tax withholding payments for net share-settled equity awards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82"/>
        </w:trPr>
        <w:tc>
          <w:tcPr>
            <w:tcW w:w="6220" w:type="dxa"/>
            <w:vAlign w:val="bottom"/>
            <w:tcBorders>
              <w:top w:val="single" w:sz="8" w:color="D4EEF4"/>
              <w:bottom w:val="single" w:sz="8" w:color="D4EEF4"/>
            </w:tcBorders>
            <w:shd w:val="clear" w:color="auto" w:fill="D4EEF4"/>
          </w:tcPr>
          <w:p>
            <w:pPr>
              <w:ind w:left="600"/>
              <w:spacing w:after="0" w:line="163" w:lineRule="exact"/>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200" w:type="dxa"/>
            <w:vAlign w:val="bottom"/>
            <w:tcBorders>
              <w:top w:val="single" w:sz="8" w:color="D4EEF4"/>
              <w:bottom w:val="single" w:sz="8" w:color="D4EEF4"/>
            </w:tcBorders>
            <w:shd w:val="clear" w:color="auto" w:fill="D4EEF4"/>
          </w:tcPr>
          <w:p>
            <w:pPr>
              <w:spacing w:after="0"/>
              <w:rPr>
                <w:sz w:val="15"/>
                <w:szCs w:val="15"/>
                <w:color w:val="auto"/>
              </w:rPr>
            </w:pPr>
          </w:p>
        </w:tc>
        <w:tc>
          <w:tcPr>
            <w:tcW w:w="820" w:type="dxa"/>
            <w:vAlign w:val="bottom"/>
            <w:tcBorders>
              <w:top w:val="single" w:sz="8" w:color="auto"/>
              <w:bottom w:val="single" w:sz="8" w:color="auto"/>
            </w:tcBorders>
            <w:shd w:val="clear" w:color="auto" w:fill="D4EEF4"/>
          </w:tcPr>
          <w:p>
            <w:pPr>
              <w:spacing w:after="0"/>
              <w:rPr>
                <w:sz w:val="15"/>
                <w:szCs w:val="15"/>
                <w:color w:val="auto"/>
              </w:rPr>
            </w:pPr>
          </w:p>
        </w:tc>
        <w:tc>
          <w:tcPr>
            <w:tcW w:w="500" w:type="dxa"/>
            <w:vAlign w:val="bottom"/>
            <w:tcBorders>
              <w:top w:val="single" w:sz="8" w:color="auto"/>
              <w:bottom w:val="single" w:sz="8" w:color="auto"/>
            </w:tcBorders>
            <w:shd w:val="clear" w:color="auto" w:fill="D4EEF4"/>
          </w:tcPr>
          <w:p>
            <w:pPr>
              <w:jc w:val="right"/>
              <w:spacing w:after="0" w:line="163" w:lineRule="exact"/>
              <w:rPr>
                <w:sz w:val="20"/>
                <w:szCs w:val="20"/>
                <w:color w:val="auto"/>
              </w:rPr>
            </w:pPr>
            <w:r>
              <w:rPr>
                <w:rFonts w:ascii="Times New Roman" w:cs="Times New Roman" w:eastAsia="Times New Roman" w:hAnsi="Times New Roman"/>
                <w:sz w:val="15"/>
                <w:szCs w:val="15"/>
                <w:color w:val="auto"/>
                <w:w w:val="98"/>
              </w:rPr>
              <w:t>180,019</w:t>
            </w:r>
          </w:p>
        </w:tc>
        <w:tc>
          <w:tcPr>
            <w:tcW w:w="120" w:type="dxa"/>
            <w:vAlign w:val="bottom"/>
            <w:tcBorders>
              <w:top w:val="single" w:sz="8" w:color="D4EEF4"/>
              <w:bottom w:val="single" w:sz="8" w:color="D4EEF4"/>
            </w:tcBorders>
            <w:shd w:val="clear" w:color="auto" w:fill="D4EEF4"/>
          </w:tcPr>
          <w:p>
            <w:pPr>
              <w:spacing w:after="0"/>
              <w:rPr>
                <w:sz w:val="15"/>
                <w:szCs w:val="15"/>
                <w:color w:val="auto"/>
              </w:rPr>
            </w:pPr>
          </w:p>
        </w:tc>
        <w:tc>
          <w:tcPr>
            <w:tcW w:w="100" w:type="dxa"/>
            <w:vAlign w:val="bottom"/>
            <w:tcBorders>
              <w:top w:val="single" w:sz="8" w:color="D4EEF4"/>
              <w:bottom w:val="single" w:sz="8" w:color="D4EEF4"/>
            </w:tcBorders>
            <w:shd w:val="clear" w:color="auto" w:fill="D4EEF4"/>
          </w:tcPr>
          <w:p>
            <w:pPr>
              <w:spacing w:after="0"/>
              <w:rPr>
                <w:sz w:val="15"/>
                <w:szCs w:val="15"/>
                <w:color w:val="auto"/>
              </w:rPr>
            </w:pPr>
          </w:p>
        </w:tc>
        <w:tc>
          <w:tcPr>
            <w:tcW w:w="280" w:type="dxa"/>
            <w:vAlign w:val="bottom"/>
            <w:tcBorders>
              <w:top w:val="single" w:sz="8" w:color="auto"/>
              <w:bottom w:val="single" w:sz="8" w:color="auto"/>
            </w:tcBorders>
            <w:shd w:val="clear" w:color="auto" w:fill="D4EEF4"/>
          </w:tcPr>
          <w:p>
            <w:pPr>
              <w:spacing w:after="0"/>
              <w:rPr>
                <w:sz w:val="15"/>
                <w:szCs w:val="15"/>
                <w:color w:val="auto"/>
              </w:rPr>
            </w:pPr>
          </w:p>
        </w:tc>
        <w:tc>
          <w:tcPr>
            <w:tcW w:w="1020" w:type="dxa"/>
            <w:vAlign w:val="bottom"/>
            <w:tcBorders>
              <w:top w:val="single" w:sz="8" w:color="auto"/>
              <w:bottom w:val="single" w:sz="8" w:color="auto"/>
            </w:tcBorders>
            <w:shd w:val="clear" w:color="auto" w:fill="D4EEF4"/>
          </w:tcPr>
          <w:p>
            <w:pPr>
              <w:jc w:val="right"/>
              <w:spacing w:after="0" w:line="163" w:lineRule="exact"/>
              <w:rPr>
                <w:sz w:val="20"/>
                <w:szCs w:val="20"/>
                <w:color w:val="auto"/>
              </w:rPr>
            </w:pPr>
            <w:r>
              <w:rPr>
                <w:rFonts w:ascii="Times New Roman" w:cs="Times New Roman" w:eastAsia="Times New Roman" w:hAnsi="Times New Roman"/>
                <w:sz w:val="15"/>
                <w:szCs w:val="15"/>
                <w:color w:val="auto"/>
              </w:rPr>
              <w:t>14,092</w:t>
            </w:r>
          </w:p>
        </w:tc>
        <w:tc>
          <w:tcPr>
            <w:tcW w:w="100" w:type="dxa"/>
            <w:vAlign w:val="bottom"/>
            <w:tcBorders>
              <w:top w:val="single" w:sz="8" w:color="D4EEF4"/>
              <w:bottom w:val="single" w:sz="8" w:color="D4EEF4"/>
            </w:tcBorders>
            <w:shd w:val="clear" w:color="auto" w:fill="D4EEF4"/>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220" w:type="dxa"/>
            <w:vAlign w:val="bottom"/>
          </w:tcPr>
          <w:p>
            <w:pPr>
              <w:ind w:left="400"/>
              <w:spacing w:after="0" w:line="143"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w w:val="98"/>
              </w:rPr>
              <w:t>155,079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(6,702)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220" w:type="dxa"/>
            <w:vAlign w:val="bottom"/>
            <w:tcBorders>
              <w:bottom w:val="single" w:sz="8" w:color="D4EEF4"/>
            </w:tcBorders>
            <w:shd w:val="clear" w:color="auto" w:fill="D4EEF4"/>
          </w:tcPr>
          <w:p>
            <w:pPr>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00" w:type="dxa"/>
            <w:vAlign w:val="bottom"/>
            <w:tcBorders>
              <w:bottom w:val="single" w:sz="8" w:color="D4EEF4"/>
            </w:tcBorders>
            <w:shd w:val="clear" w:color="auto" w:fill="D4EEF4"/>
          </w:tcPr>
          <w:p>
            <w:pPr>
              <w:spacing w:after="0"/>
              <w:rPr>
                <w:sz w:val="16"/>
                <w:szCs w:val="16"/>
                <w:color w:val="auto"/>
              </w:rPr>
            </w:pPr>
          </w:p>
        </w:tc>
        <w:tc>
          <w:tcPr>
            <w:tcW w:w="820" w:type="dxa"/>
            <w:vAlign w:val="bottom"/>
            <w:tcBorders>
              <w:bottom w:val="single" w:sz="8" w:color="auto"/>
            </w:tcBorders>
            <w:shd w:val="clear" w:color="auto" w:fill="D4EEF4"/>
          </w:tcPr>
          <w:p>
            <w:pPr>
              <w:spacing w:after="0"/>
              <w:rPr>
                <w:sz w:val="16"/>
                <w:szCs w:val="16"/>
                <w:color w:val="auto"/>
              </w:rPr>
            </w:pPr>
          </w:p>
        </w:tc>
        <w:tc>
          <w:tcPr>
            <w:tcW w:w="5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14,602</w:t>
            </w:r>
          </w:p>
        </w:tc>
        <w:tc>
          <w:tcPr>
            <w:tcW w:w="120" w:type="dxa"/>
            <w:vAlign w:val="bottom"/>
            <w:tcBorders>
              <w:bottom w:val="single" w:sz="8" w:color="D4EEF4"/>
            </w:tcBorders>
            <w:shd w:val="clear" w:color="auto" w:fill="D4EEF4"/>
          </w:tcPr>
          <w:p>
            <w:pPr>
              <w:spacing w:after="0"/>
              <w:rPr>
                <w:sz w:val="16"/>
                <w:szCs w:val="16"/>
                <w:color w:val="auto"/>
              </w:rPr>
            </w:pPr>
          </w:p>
        </w:tc>
        <w:tc>
          <w:tcPr>
            <w:tcW w:w="100" w:type="dxa"/>
            <w:vAlign w:val="bottom"/>
            <w:tcBorders>
              <w:bottom w:val="single" w:sz="8" w:color="D4EEF4"/>
            </w:tcBorders>
            <w:shd w:val="clear" w:color="auto" w:fill="D4EEF4"/>
          </w:tcPr>
          <w:p>
            <w:pPr>
              <w:spacing w:after="0"/>
              <w:rPr>
                <w:sz w:val="16"/>
                <w:szCs w:val="16"/>
                <w:color w:val="auto"/>
              </w:rPr>
            </w:pPr>
          </w:p>
        </w:tc>
        <w:tc>
          <w:tcPr>
            <w:tcW w:w="280" w:type="dxa"/>
            <w:vAlign w:val="bottom"/>
            <w:tcBorders>
              <w:bottom w:val="single" w:sz="8" w:color="auto"/>
            </w:tcBorders>
            <w:shd w:val="clear" w:color="auto" w:fill="D4EEF4"/>
          </w:tcPr>
          <w:p>
            <w:pPr>
              <w:spacing w:after="0"/>
              <w:rPr>
                <w:sz w:val="16"/>
                <w:szCs w:val="16"/>
                <w:color w:val="auto"/>
              </w:rPr>
            </w:pPr>
          </w:p>
        </w:tc>
        <w:tc>
          <w:tcPr>
            <w:tcW w:w="10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21,304</w:t>
            </w:r>
          </w:p>
        </w:tc>
        <w:tc>
          <w:tcPr>
            <w:tcW w:w="100" w:type="dxa"/>
            <w:vAlign w:val="bottom"/>
            <w:tcBorders>
              <w:bottom w:val="single" w:sz="8" w:color="D4EEF4"/>
            </w:tcBorders>
            <w:shd w:val="clear" w:color="auto" w:fill="D4EEF4"/>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22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66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w w:val="98"/>
              </w:rPr>
              <w:t>169,681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14,602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information</w:t>
            </w:r>
          </w:p>
        </w:tc>
        <w:tc>
          <w:tcPr>
            <w:tcW w:w="200" w:type="dxa"/>
            <w:vAlign w:val="bottom"/>
            <w:shd w:val="clear" w:color="auto" w:fill="D4EEF4"/>
          </w:tcPr>
          <w:p>
            <w:pPr>
              <w:spacing w:after="0"/>
              <w:rPr>
                <w:sz w:val="14"/>
                <w:szCs w:val="14"/>
                <w:color w:val="auto"/>
              </w:rPr>
            </w:pPr>
          </w:p>
        </w:tc>
        <w:tc>
          <w:tcPr>
            <w:tcW w:w="820" w:type="dxa"/>
            <w:vAlign w:val="bottom"/>
            <w:shd w:val="clear" w:color="auto" w:fill="D4EEF4"/>
          </w:tcPr>
          <w:p>
            <w:pPr>
              <w:spacing w:after="0"/>
              <w:rPr>
                <w:sz w:val="14"/>
                <w:szCs w:val="14"/>
                <w:color w:val="auto"/>
              </w:rPr>
            </w:pPr>
          </w:p>
        </w:tc>
        <w:tc>
          <w:tcPr>
            <w:tcW w:w="500" w:type="dxa"/>
            <w:vAlign w:val="bottom"/>
            <w:shd w:val="clear" w:color="auto" w:fill="D4EEF4"/>
          </w:tcPr>
          <w:p>
            <w:pPr>
              <w:spacing w:after="0"/>
              <w:rPr>
                <w:sz w:val="14"/>
                <w:szCs w:val="14"/>
                <w:color w:val="auto"/>
              </w:rPr>
            </w:pPr>
          </w:p>
        </w:tc>
        <w:tc>
          <w:tcPr>
            <w:tcW w:w="1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280" w:type="dxa"/>
            <w:vAlign w:val="bottom"/>
            <w:shd w:val="clear" w:color="auto" w:fill="D4EEF4"/>
          </w:tcPr>
          <w:p>
            <w:pPr>
              <w:spacing w:after="0"/>
              <w:rPr>
                <w:sz w:val="14"/>
                <w:szCs w:val="14"/>
                <w:color w:val="auto"/>
              </w:rPr>
            </w:pPr>
          </w:p>
        </w:tc>
        <w:tc>
          <w:tcPr>
            <w:tcW w:w="1020" w:type="dxa"/>
            <w:vAlign w:val="bottom"/>
            <w:shd w:val="clear" w:color="auto" w:fill="D4EEF4"/>
          </w:tcPr>
          <w:p>
            <w:pPr>
              <w:spacing w:after="0"/>
              <w:rPr>
                <w:sz w:val="14"/>
                <w:szCs w:val="14"/>
                <w:color w:val="auto"/>
              </w:rPr>
            </w:pPr>
          </w:p>
        </w:tc>
        <w:tc>
          <w:tcPr>
            <w:tcW w:w="100" w:type="dxa"/>
            <w:vAlign w:val="bottom"/>
            <w:shd w:val="clear" w:color="auto" w:fill="D4EE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 obtained in exchange for operating lease obligations</w:t>
            </w:r>
          </w:p>
        </w:tc>
        <w:tc>
          <w:tcPr>
            <w:tcW w:w="1020" w:type="dxa"/>
            <w:vAlign w:val="bottom"/>
            <w:gridSpan w:val="2"/>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20" w:type="dxa"/>
            <w:vAlign w:val="bottom"/>
          </w:tcPr>
          <w:p>
            <w:pPr>
              <w:spacing w:after="0"/>
              <w:rPr>
                <w:sz w:val="14"/>
                <w:szCs w:val="14"/>
                <w:color w:val="auto"/>
              </w:rPr>
            </w:pPr>
          </w:p>
        </w:tc>
        <w:tc>
          <w:tcPr>
            <w:tcW w:w="38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6220" w:type="dxa"/>
            <w:vAlign w:val="bottom"/>
            <w:shd w:val="clear" w:color="auto" w:fill="D4EEF4"/>
          </w:tcPr>
          <w:p>
            <w:pPr>
              <w:spacing w:after="0"/>
              <w:rPr>
                <w:sz w:val="20"/>
                <w:szCs w:val="20"/>
                <w:color w:val="auto"/>
              </w:rPr>
            </w:pPr>
            <w:r>
              <w:rPr>
                <w:rFonts w:ascii="Times New Roman" w:cs="Times New Roman" w:eastAsia="Times New Roman" w:hAnsi="Times New Roman"/>
                <w:sz w:val="15"/>
                <w:szCs w:val="15"/>
                <w:color w:val="auto"/>
              </w:rPr>
              <w:t>Non-cash exercise of 2018 PIPE Warrants</w:t>
            </w:r>
          </w:p>
        </w:tc>
        <w:tc>
          <w:tcPr>
            <w:tcW w:w="1020" w:type="dxa"/>
            <w:vAlign w:val="bottom"/>
            <w:gridSpan w:val="2"/>
            <w:shd w:val="clear" w:color="auto" w:fill="D4EEF4"/>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shd w:val="clear" w:color="auto" w:fill="D4EEF4"/>
          </w:tcPr>
          <w:p>
            <w:pPr>
              <w:spacing w:after="0"/>
              <w:rPr>
                <w:sz w:val="14"/>
                <w:szCs w:val="14"/>
                <w:color w:val="auto"/>
              </w:rPr>
            </w:pPr>
          </w:p>
        </w:tc>
        <w:tc>
          <w:tcPr>
            <w:tcW w:w="380" w:type="dxa"/>
            <w:vAlign w:val="bottom"/>
            <w:gridSpan w:val="2"/>
            <w:shd w:val="clear" w:color="auto" w:fill="D4EEF4"/>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16" w:right="1440" w:bottom="175"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Overview</w:t>
      </w:r>
    </w:p>
    <w:p>
      <w:pPr>
        <w:spacing w:after="0" w:line="242" w:lineRule="exact"/>
        <w:rPr>
          <w:sz w:val="20"/>
          <w:szCs w:val="20"/>
          <w:color w:val="auto"/>
        </w:rPr>
      </w:pPr>
    </w:p>
    <w:p>
      <w:pPr>
        <w:ind w:right="160" w:firstLine="727"/>
        <w:spacing w:after="0" w:line="270" w:lineRule="auto"/>
        <w:rPr>
          <w:sz w:val="20"/>
          <w:szCs w:val="20"/>
          <w:color w:val="auto"/>
        </w:rPr>
      </w:pPr>
      <w:r>
        <w:rPr>
          <w:rFonts w:ascii="Times New Roman" w:cs="Times New Roman" w:eastAsia="Times New Roman" w:hAnsi="Times New Roman"/>
          <w:sz w:val="19"/>
          <w:szCs w:val="19"/>
          <w:color w:val="auto"/>
        </w:rPr>
        <w:t>Soleno Therapeutics, Inc. (the Company or Soleno) is focused on the development and commercialization of novel therapeutics for the treatment of rare diseases. Its lead candidate is DCCR (Diazoxide Choline) Extended-Release tablets, a once-daily oral tablet for the treatment of Prader-Willi Syndrome (PWS). DCCR has received orphan designation for the treatment of PWS in the United States (U.S.) as well as in the European Union (E.U.).</w:t>
      </w:r>
    </w:p>
    <w:p>
      <w:pPr>
        <w:spacing w:after="0" w:line="177" w:lineRule="exact"/>
        <w:rPr>
          <w:sz w:val="20"/>
          <w:szCs w:val="20"/>
          <w:color w:val="auto"/>
        </w:rPr>
      </w:pPr>
    </w:p>
    <w:p>
      <w:pPr>
        <w:ind w:right="20" w:firstLine="727"/>
        <w:spacing w:after="0" w:line="244" w:lineRule="auto"/>
        <w:rPr>
          <w:sz w:val="20"/>
          <w:szCs w:val="20"/>
          <w:color w:val="auto"/>
        </w:rPr>
      </w:pPr>
      <w:r>
        <w:rPr>
          <w:rFonts w:ascii="Times New Roman" w:cs="Times New Roman" w:eastAsia="Times New Roman" w:hAnsi="Times New Roman"/>
          <w:sz w:val="20"/>
          <w:szCs w:val="20"/>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Liquidity</w:t>
      </w:r>
    </w:p>
    <w:p>
      <w:pPr>
        <w:spacing w:after="0" w:line="24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The Company had a net loss of $39.0 million during 2023 and has an accumulated deficit of $276.4 million at December 31, 2023 resulting from having incurred losses since its inception. The Company had $169.7 million of cash and cash equivalents on hand at December 31, 2023 and used $24.9 million of cash in its operating activities during 2023.</w:t>
      </w:r>
    </w:p>
    <w:p>
      <w:pPr>
        <w:spacing w:after="0" w:line="194"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auto"/>
        </w:rPr>
        <w:t>The Company has financed its operations principally through issuance of equity securities. On October 2, 2023, the Company closed a public and concurrent private financing with gross proceeds of $129.0 million.</w:t>
      </w:r>
    </w:p>
    <w:p>
      <w:pPr>
        <w:spacing w:after="0" w:line="16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December 2022, the Company entered into a Securities Purchase Agreement providing for the sale of up to $60.0 million in warrants (Tranche A and Tranche B) and the common stock issuable upon the exercise thereof. The Company completed the closing of the sale and issued both tranches of warrants for $10.0 million in May 2023. The announcement of positive top-line data from the randomized withdrawal period of Study C602 triggered the mandatory exercise of the Tranche A warrants, and as of December 31, 2023, the Company had received $15.0 million. Certain investors exercised their Tranche B warrants and the Company has received $18.1 million as of December 31, 2023. The receipt of the exercise price of the remaining Tranche B warrants for up to $16.9 million is contingent upon the exercise of such warrants. The Company also received $9.3 million in gross proceeds from the exercise of certain March 2022 warrants during 2023.</w:t>
      </w:r>
    </w:p>
    <w:p>
      <w:pPr>
        <w:spacing w:after="0" w:line="86"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The Company expects to continue incurring losses for the foreseeable future. However, the Company expects that its current cash and cash equivalents balances will be sufficient to enable the Company to meet its obligations for at least the next twelve months from the date of this filing.</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16" w:right="1440" w:bottom="175"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Note 3. Basis of Presentation and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U.S. generally accepted accounting principles (GAAP), and the applicable rules and regulations of the Securities and Exchange Commission (SEC). Certain reclassifications on the consolidated statements of cash flows have been made to conform to current period presentation.</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The consolidated financial statements include the accounts of the Company and its wholly-owned subsidiaries.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24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On June 1, 2022, the stockholders of the Company approved a reverse stock split of its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spacing w:after="0" w:line="19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of cash and cash equivalents at U.S. banking institutions. At December 31, 2023, the majority of the Company’s funds were invested with two separate financial institutions and at times these balances may exceed the federally-insured limits. Operating cash in excess of federally-insured limits is custodied at a separate financial institution with an overnight sweep feature into a U.S. government money market fund. As of December 31, 2022, the Company’s funds were invested in one financial institution which at times may exceed the federally insured limit.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12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Company operates in one segment. Management uses one measurement of profitability and does not segregate its business for internal reporting, making operating decisions, and assessing financial performance. All long-lived assets are maintained in the U.S.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The Company considers all highly liquid investments, including its money market funds, purchased with an original maturity of three months or less to be cash equivalents. The Company’s cash and cash equivalents are held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16" w:right="1440" w:bottom="175" w:gutter="0" w:footer="0" w:header="0"/>
          <w:type w:val="continuous"/>
        </w:sectPr>
      </w:pPr>
    </w:p>
    <w:bookmarkStart w:id="73" w:name="page74"/>
    <w:bookmarkEnd w:id="73"/>
    <w:p>
      <w:pPr>
        <w:ind w:right="440"/>
        <w:spacing w:after="0" w:line="277" w:lineRule="auto"/>
        <w:rPr>
          <w:sz w:val="20"/>
          <w:szCs w:val="20"/>
          <w:color w:val="auto"/>
        </w:rPr>
      </w:pPr>
      <w:r>
        <w:rPr>
          <w:rFonts w:ascii="Times New Roman" w:cs="Times New Roman" w:eastAsia="Times New Roman" w:hAnsi="Times New Roman"/>
          <w:sz w:val="20"/>
          <w:szCs w:val="20"/>
          <w:color w:val="auto"/>
        </w:rPr>
        <w:t>primarily in institutions in the U.S. and include deposits in a money market funds which were unrestricted as to withdrawal or use.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12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Prepaid expenses and other current assets consist of payments primarily related to clinical trials, insurance and short-term deposits. Prepaid expenses are initially recorded upon payment and are expensed as goods or services are received.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In March 2017, the Company completed the acquisition of Essentialis in accordance with the merger agreement by and between the Company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expires in June 2028.</w:t>
      </w:r>
    </w:p>
    <w:p>
      <w:pPr>
        <w:spacing w:after="0" w:line="77"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20" w:right="1440" w:bottom="175"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07" w:lineRule="exact"/>
        <w:rPr>
          <w:sz w:val="20"/>
          <w:szCs w:val="20"/>
          <w:color w:val="auto"/>
        </w:rPr>
      </w:pPr>
    </w:p>
    <w:p>
      <w:pPr>
        <w:ind w:right="120" w:firstLine="490"/>
        <w:spacing w:after="0" w:line="231" w:lineRule="auto"/>
        <w:rPr>
          <w:sz w:val="20"/>
          <w:szCs w:val="20"/>
          <w:color w:val="auto"/>
        </w:rPr>
      </w:pPr>
      <w:r>
        <w:rPr>
          <w:rFonts w:ascii="Times New Roman" w:cs="Times New Roman" w:eastAsia="Times New Roman" w:hAnsi="Times New Roman"/>
          <w:sz w:val="20"/>
          <w:szCs w:val="20"/>
          <w:color w:val="auto"/>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 with the contract that were rendered during the period and they are expensed as incurred.</w:t>
      </w:r>
    </w:p>
    <w:p>
      <w:pPr>
        <w:spacing w:after="0" w:line="76" w:lineRule="exact"/>
        <w:rPr>
          <w:sz w:val="20"/>
          <w:szCs w:val="20"/>
          <w:color w:val="auto"/>
        </w:rPr>
      </w:pPr>
    </w:p>
    <w:p>
      <w:pPr>
        <w:ind w:right="440" w:firstLine="490"/>
        <w:spacing w:after="0" w:line="289" w:lineRule="auto"/>
        <w:rPr>
          <w:sz w:val="20"/>
          <w:szCs w:val="20"/>
          <w:color w:val="auto"/>
        </w:rPr>
      </w:pPr>
      <w:r>
        <w:rPr>
          <w:rFonts w:ascii="Times New Roman" w:cs="Times New Roman" w:eastAsia="Times New Roman" w:hAnsi="Times New Roman"/>
          <w:sz w:val="19"/>
          <w:szCs w:val="19"/>
          <w:color w:val="auto"/>
        </w:rPr>
        <w:t>Costs to acquire technologies to be used in research and development that have not reached technological feasibility and have no alternative future use are expensed to research and development costs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contingent consideration</w:t>
      </w:r>
    </w:p>
    <w:p>
      <w:pPr>
        <w:spacing w:after="0" w:line="107" w:lineRule="exact"/>
        <w:rPr>
          <w:sz w:val="20"/>
          <w:szCs w:val="20"/>
          <w:color w:val="auto"/>
        </w:rPr>
      </w:pPr>
    </w:p>
    <w:p>
      <w:pPr>
        <w:ind w:right="100" w:firstLine="490"/>
        <w:spacing w:after="0" w:line="238" w:lineRule="auto"/>
        <w:rPr>
          <w:sz w:val="20"/>
          <w:szCs w:val="20"/>
          <w:color w:val="auto"/>
        </w:rPr>
      </w:pPr>
      <w:r>
        <w:rPr>
          <w:rFonts w:ascii="Times New Roman" w:cs="Times New Roman" w:eastAsia="Times New Roman" w:hAnsi="Times New Roman"/>
          <w:sz w:val="20"/>
          <w:szCs w:val="20"/>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jc w:val="both"/>
        <w:ind w:right="280" w:firstLine="490"/>
        <w:spacing w:after="0" w:line="249"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Purchase Warrants and Other Derivative Financial Instruments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86" w:lineRule="exact"/>
        <w:rPr>
          <w:sz w:val="20"/>
          <w:szCs w:val="20"/>
          <w:color w:val="auto"/>
        </w:rPr>
      </w:pPr>
    </w:p>
    <w:p>
      <w:pPr>
        <w:jc w:val="both"/>
        <w:ind w:right="420" w:firstLine="490"/>
        <w:spacing w:after="0" w:line="278" w:lineRule="auto"/>
        <w:rPr>
          <w:sz w:val="20"/>
          <w:szCs w:val="20"/>
          <w:color w:val="auto"/>
        </w:rPr>
      </w:pPr>
      <w:r>
        <w:rPr>
          <w:rFonts w:ascii="Times New Roman" w:cs="Times New Roman" w:eastAsia="Times New Roman" w:hAnsi="Times New Roman"/>
          <w:sz w:val="19"/>
          <w:szCs w:val="19"/>
          <w:color w:val="auto"/>
        </w:rPr>
        <w:t>The Company classified the 2018 PIPE Warrants at their fair value and re-measured them at each balance sheet date until they were exercised or expired. Any changes in the fair value were recognized as Other income (expense) in the consolidated statements of operations. The 2018 PIPE Warrants expired in December 2023.</w:t>
      </w:r>
    </w:p>
    <w:p>
      <w:pPr>
        <w:sectPr>
          <w:pgSz w:w="12240" w:h="15840" w:orient="portrait"/>
          <w:cols w:equalWidth="0" w:num="1">
            <w:col w:w="9360"/>
          </w:cols>
          <w:pgMar w:left="1440" w:top="1409" w:right="1440" w:bottom="175"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09" w:right="1440" w:bottom="17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2" w:lineRule="exact"/>
        <w:rPr>
          <w:sz w:val="20"/>
          <w:szCs w:val="20"/>
          <w:color w:val="auto"/>
        </w:rPr>
      </w:pPr>
    </w:p>
    <w:p>
      <w:pPr>
        <w:ind w:right="40" w:firstLine="490"/>
        <w:spacing w:after="0" w:line="235" w:lineRule="auto"/>
        <w:rPr>
          <w:sz w:val="20"/>
          <w:szCs w:val="20"/>
          <w:color w:val="auto"/>
        </w:rPr>
      </w:pPr>
      <w:r>
        <w:rPr>
          <w:rFonts w:ascii="Times New Roman" w:cs="Times New Roman" w:eastAsia="Times New Roman" w:hAnsi="Times New Roman"/>
          <w:sz w:val="20"/>
          <w:szCs w:val="20"/>
          <w:color w:val="auto"/>
        </w:rPr>
        <w:t>Stock-based compensation costs related to stock options and restricted stock units granted to employees, nonemployees and directors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97"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w:t>
      </w:r>
    </w:p>
    <w:p>
      <w:pPr>
        <w:spacing w:after="0" w:line="88" w:lineRule="exact"/>
        <w:rPr>
          <w:sz w:val="20"/>
          <w:szCs w:val="20"/>
          <w:color w:val="auto"/>
        </w:rPr>
      </w:pPr>
    </w:p>
    <w:p>
      <w:pPr>
        <w:ind w:left="860" w:right="420" w:hanging="370"/>
        <w:spacing w:after="0" w:line="266" w:lineRule="auto"/>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We calculated the estimated volatility rate for stock options granted based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of our common stock for a historical period equal to the expected life of the stock options.</w:t>
      </w:r>
    </w:p>
    <w:p>
      <w:pPr>
        <w:spacing w:after="0" w:line="64" w:lineRule="exact"/>
        <w:rPr>
          <w:rFonts w:ascii="Arial" w:cs="Arial" w:eastAsia="Arial" w:hAnsi="Arial"/>
          <w:sz w:val="20"/>
          <w:szCs w:val="20"/>
          <w:color w:val="auto"/>
        </w:rPr>
      </w:pPr>
    </w:p>
    <w:p>
      <w:pPr>
        <w:ind w:left="860" w:right="220" w:hanging="370"/>
        <w:spacing w:after="0" w:line="237" w:lineRule="auto"/>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life: </w:t>
      </w:r>
      <w:r>
        <w:rPr>
          <w:rFonts w:ascii="Times New Roman" w:cs="Times New Roman" w:eastAsia="Times New Roman" w:hAnsi="Times New Roman"/>
          <w:sz w:val="20"/>
          <w:szCs w:val="20"/>
          <w:color w:val="auto"/>
        </w:rPr>
        <w:t>Due to the lack of historical exercise history, the expected life of the Company’s service-based stock options is determined 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spacing w:after="0" w:line="101" w:lineRule="exact"/>
        <w:rPr>
          <w:rFonts w:ascii="Arial" w:cs="Arial" w:eastAsia="Arial" w:hAnsi="Arial"/>
          <w:sz w:val="20"/>
          <w:szCs w:val="20"/>
          <w:color w:val="auto"/>
        </w:rPr>
      </w:pPr>
    </w:p>
    <w:p>
      <w:pPr>
        <w:ind w:left="860" w:right="60" w:hanging="370"/>
        <w:spacing w:after="0" w:line="276" w:lineRule="auto"/>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rate: </w:t>
      </w:r>
      <w:r>
        <w:rPr>
          <w:rFonts w:ascii="Times New Roman" w:cs="Times New Roman" w:eastAsia="Times New Roman" w:hAnsi="Times New Roman"/>
          <w:sz w:val="20"/>
          <w:szCs w:val="20"/>
          <w:color w:val="auto"/>
        </w:rPr>
        <w:t>The risk-free interest rate is based on the yields of U.S. Treasury securities with maturities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to the expected time to liquidity.</w:t>
      </w:r>
    </w:p>
    <w:p>
      <w:pPr>
        <w:spacing w:after="0" w:line="64" w:lineRule="exact"/>
        <w:rPr>
          <w:rFonts w:ascii="Arial" w:cs="Arial" w:eastAsia="Arial" w:hAnsi="Arial"/>
          <w:sz w:val="20"/>
          <w:szCs w:val="20"/>
          <w:color w:val="auto"/>
        </w:rPr>
      </w:pPr>
    </w:p>
    <w:p>
      <w:pPr>
        <w:ind w:left="860" w:right="40" w:hanging="370"/>
        <w:spacing w:after="0" w:line="258" w:lineRule="auto"/>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divided yield: </w:t>
      </w:r>
      <w:r>
        <w:rPr>
          <w:rFonts w:ascii="Times New Roman" w:cs="Times New Roman" w:eastAsia="Times New Roman" w:hAnsi="Times New Roman"/>
          <w:sz w:val="20"/>
          <w:szCs w:val="20"/>
          <w:color w:val="auto"/>
        </w:rPr>
        <w:t>The Company has never declared or paid any cash dividends and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presently plan to pay cash dividends in the foreseeable future. Consequently, it used an expected dividend yield of zero.</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accounts for forfeitures as they occur.</w:t>
      </w:r>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Recent Adopted Accounting Pronouncements</w:t>
      </w:r>
    </w:p>
    <w:p>
      <w:pPr>
        <w:spacing w:after="0" w:line="118" w:lineRule="exact"/>
        <w:rPr>
          <w:sz w:val="20"/>
          <w:szCs w:val="20"/>
          <w:color w:val="auto"/>
        </w:rPr>
      </w:pPr>
    </w:p>
    <w:p>
      <w:pPr>
        <w:ind w:right="140" w:firstLine="490"/>
        <w:spacing w:after="0" w:line="274"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 (FASB) or other standard setting bodies that are adopted by the Company as of the specified effective date</w:t>
      </w:r>
      <w:r>
        <w:rPr>
          <w:rFonts w:ascii="Times New Roman" w:cs="Times New Roman" w:eastAsia="Times New Roman" w:hAnsi="Times New Roman"/>
          <w:sz w:val="24"/>
          <w:szCs w:val="24"/>
          <w:color w:val="auto"/>
        </w:rPr>
        <w:t>.</w:t>
      </w:r>
    </w:p>
    <w:p>
      <w:pPr>
        <w:spacing w:after="0" w:line="4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In December 2023, the FASB issued ASU 2023-09, Improvements to Income Tax Disclosures, which amends the guidance in ASC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and the Company will adopt this ASU on a prospective basis. The Company is currently evaluating the impact of adopting this ASU on its consolidated financial statements and disclosures.</w:t>
      </w:r>
    </w:p>
    <w:p>
      <w:pPr>
        <w:spacing w:after="0" w:line="8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In June 2016, the FASB issued ASU No. 2016-13, Financial Instruments - Credit Losses (Topic 326): Measurement of Credit Losses of Financial Instruments, which, together with subsequent amendments, amends the requirement on the measurement and recognition of expected credit losses for financial assets held. ASU 2016-13 is effective for the Company for the annual periods beginning after December 15, 2022, including interim periods within those fiscal years, with early adoption permitted. The Company adopted this ASU effective January 1, 2023. There was no impact on the Company's financial statements upon the adoption of this ASU.</w:t>
      </w:r>
    </w:p>
    <w:p>
      <w:pPr>
        <w:spacing w:after="0" w:line="8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20" w:right="1440" w:bottom="175"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Note 4. Fair Value of Financial Instruments</w:t>
      </w:r>
    </w:p>
    <w:p>
      <w:pPr>
        <w:spacing w:after="0" w:line="12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The carrying value of the Company’s cash, cash equivalents and accounts payable, approximate fair value due to the short-term nature of these items.</w:t>
      </w:r>
    </w:p>
    <w:p>
      <w:pPr>
        <w:spacing w:after="0" w:line="16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5"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The fair value hierarchy defines a three-level valuation hierarchy for disclosure of fair value measurements as follows:</w:t>
      </w:r>
    </w:p>
    <w:p>
      <w:pPr>
        <w:spacing w:after="0" w:line="63" w:lineRule="exact"/>
        <w:rPr>
          <w:sz w:val="20"/>
          <w:szCs w:val="20"/>
          <w:color w:val="auto"/>
        </w:rPr>
      </w:pPr>
    </w:p>
    <w:p>
      <w:pPr>
        <w:ind w:left="1000" w:hanging="490"/>
        <w:spacing w:after="0"/>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Level I — Unadjusted quoted prices in active markets for identical assets or liabilities;</w:t>
      </w:r>
    </w:p>
    <w:p>
      <w:pPr>
        <w:spacing w:after="0" w:line="110" w:lineRule="exact"/>
        <w:rPr>
          <w:rFonts w:ascii="Arial" w:cs="Arial" w:eastAsia="Arial" w:hAnsi="Arial"/>
          <w:sz w:val="20"/>
          <w:szCs w:val="20"/>
          <w:color w:val="auto"/>
        </w:rPr>
      </w:pPr>
    </w:p>
    <w:p>
      <w:pPr>
        <w:ind w:left="1000" w:right="240" w:hanging="490"/>
        <w:spacing w:after="0" w:line="253" w:lineRule="auto"/>
        <w:tabs>
          <w:tab w:leader="none" w:pos="100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3" w:lineRule="exact"/>
        <w:rPr>
          <w:rFonts w:ascii="Arial" w:cs="Arial" w:eastAsia="Arial" w:hAnsi="Arial"/>
          <w:sz w:val="19"/>
          <w:szCs w:val="19"/>
          <w:color w:val="auto"/>
        </w:rPr>
      </w:pPr>
    </w:p>
    <w:p>
      <w:pPr>
        <w:ind w:left="1000" w:right="140" w:hanging="490"/>
        <w:spacing w:after="0" w:line="252" w:lineRule="auto"/>
        <w:tabs>
          <w:tab w:leader="none" w:pos="10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Level III — Unobservable inputs that are supported by little or no market activity for the related assets or liabilities.</w:t>
      </w:r>
    </w:p>
    <w:p>
      <w:pPr>
        <w:spacing w:after="0" w:line="170"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auto"/>
        </w:rPr>
        <w:t>The categorization of a financial instrument within the valuation hierarchy is based upon the lowest level of input that is significant to the fair value measurement.</w:t>
      </w:r>
    </w:p>
    <w:p>
      <w:pPr>
        <w:spacing w:after="0" w:line="169" w:lineRule="exact"/>
        <w:rPr>
          <w:sz w:val="20"/>
          <w:szCs w:val="20"/>
          <w:color w:val="auto"/>
        </w:rPr>
      </w:pPr>
    </w:p>
    <w:p>
      <w:pPr>
        <w:ind w:right="500" w:firstLine="490"/>
        <w:spacing w:after="0" w:line="253" w:lineRule="auto"/>
        <w:rPr>
          <w:sz w:val="20"/>
          <w:szCs w:val="20"/>
          <w:color w:val="auto"/>
        </w:rPr>
      </w:pPr>
      <w:r>
        <w:rPr>
          <w:rFonts w:ascii="Times New Roman" w:cs="Times New Roman" w:eastAsia="Times New Roman" w:hAnsi="Times New Roman"/>
          <w:sz w:val="20"/>
          <w:szCs w:val="20"/>
          <w:color w:val="auto"/>
        </w:rPr>
        <w:t>The following table sets forth the Company’s financial instruments that were measured at fair value on a recurring basis by level within the fair value hierarchy (in thousands):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40" w:type="dxa"/>
            <w:vAlign w:val="bottom"/>
            <w:gridSpan w:val="19"/>
          </w:tcPr>
          <w:p>
            <w:pPr>
              <w:ind w:left="22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2023</w:t>
            </w:r>
          </w:p>
        </w:tc>
      </w:tr>
      <w:tr>
        <w:trPr>
          <w:trHeight w:val="174"/>
        </w:trPr>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right"/>
              <w:ind w:right="220"/>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5"/>
                <w:szCs w:val="15"/>
                <w:color w:val="auto"/>
              </w:rPr>
            </w:pPr>
          </w:p>
        </w:tc>
      </w:tr>
      <w:tr>
        <w:trPr>
          <w:trHeight w:val="220"/>
        </w:trPr>
        <w:tc>
          <w:tcPr>
            <w:tcW w:w="4380" w:type="dxa"/>
            <w:vAlign w:val="bottom"/>
            <w:tcBorders>
              <w:top w:val="single" w:sz="8" w:color="D4EEF4"/>
            </w:tcBorders>
            <w:gridSpan w:val="2"/>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tcBorders>
              <w:top w:val="single" w:sz="8" w:color="D4EEF4"/>
            </w:tcBorders>
            <w:shd w:val="clear" w:color="auto" w:fill="D4EEF4"/>
          </w:tcPr>
          <w:p>
            <w:pPr>
              <w:spacing w:after="0"/>
              <w:rPr>
                <w:sz w:val="19"/>
                <w:szCs w:val="19"/>
                <w:color w:val="auto"/>
              </w:rPr>
            </w:pPr>
          </w:p>
        </w:tc>
        <w:tc>
          <w:tcPr>
            <w:tcW w:w="40" w:type="dxa"/>
            <w:vAlign w:val="bottom"/>
            <w:tcBorders>
              <w:top w:val="single" w:sz="8" w:color="auto"/>
            </w:tcBorders>
            <w:shd w:val="clear" w:color="auto" w:fill="D4EEF4"/>
          </w:tcPr>
          <w:p>
            <w:pPr>
              <w:spacing w:after="0"/>
              <w:rPr>
                <w:sz w:val="19"/>
                <w:szCs w:val="19"/>
                <w:color w:val="auto"/>
              </w:rPr>
            </w:pPr>
          </w:p>
        </w:tc>
        <w:tc>
          <w:tcPr>
            <w:tcW w:w="160" w:type="dxa"/>
            <w:vAlign w:val="bottom"/>
            <w:tcBorders>
              <w:top w:val="single" w:sz="8" w:color="auto"/>
            </w:tcBorders>
            <w:shd w:val="clear" w:color="auto" w:fill="D4EEF4"/>
          </w:tcPr>
          <w:p>
            <w:pPr>
              <w:spacing w:after="0"/>
              <w:rPr>
                <w:sz w:val="19"/>
                <w:szCs w:val="19"/>
                <w:color w:val="auto"/>
              </w:rPr>
            </w:pPr>
          </w:p>
        </w:tc>
        <w:tc>
          <w:tcPr>
            <w:tcW w:w="700" w:type="dxa"/>
            <w:vAlign w:val="bottom"/>
            <w:tcBorders>
              <w:top w:val="single" w:sz="8" w:color="auto"/>
            </w:tcBorders>
            <w:shd w:val="clear" w:color="auto" w:fill="D4EEF4"/>
          </w:tcPr>
          <w:p>
            <w:pPr>
              <w:spacing w:after="0"/>
              <w:rPr>
                <w:sz w:val="19"/>
                <w:szCs w:val="19"/>
                <w:color w:val="auto"/>
              </w:rPr>
            </w:pPr>
          </w:p>
        </w:tc>
        <w:tc>
          <w:tcPr>
            <w:tcW w:w="16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auto"/>
            </w:tcBorders>
            <w:shd w:val="clear" w:color="auto" w:fill="D4EEF4"/>
          </w:tcPr>
          <w:p>
            <w:pPr>
              <w:spacing w:after="0"/>
              <w:rPr>
                <w:sz w:val="19"/>
                <w:szCs w:val="19"/>
                <w:color w:val="auto"/>
              </w:rPr>
            </w:pPr>
          </w:p>
        </w:tc>
        <w:tc>
          <w:tcPr>
            <w:tcW w:w="720" w:type="dxa"/>
            <w:vAlign w:val="bottom"/>
            <w:tcBorders>
              <w:top w:val="single" w:sz="8" w:color="auto"/>
            </w:tcBorders>
            <w:shd w:val="clear" w:color="auto" w:fill="D4EEF4"/>
          </w:tcPr>
          <w:p>
            <w:pPr>
              <w:spacing w:after="0"/>
              <w:rPr>
                <w:sz w:val="19"/>
                <w:szCs w:val="19"/>
                <w:color w:val="auto"/>
              </w:rPr>
            </w:pPr>
          </w:p>
        </w:tc>
        <w:tc>
          <w:tcPr>
            <w:tcW w:w="40" w:type="dxa"/>
            <w:vAlign w:val="bottom"/>
            <w:tcBorders>
              <w:top w:val="single" w:sz="8" w:color="auto"/>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40" w:type="dxa"/>
            <w:vAlign w:val="bottom"/>
            <w:tcBorders>
              <w:top w:val="single" w:sz="8" w:color="D4EEF4"/>
            </w:tcBorders>
            <w:shd w:val="clear" w:color="auto" w:fill="D4EEF4"/>
          </w:tcPr>
          <w:p>
            <w:pPr>
              <w:spacing w:after="0"/>
              <w:rPr>
                <w:sz w:val="19"/>
                <w:szCs w:val="19"/>
                <w:color w:val="auto"/>
              </w:rPr>
            </w:pPr>
          </w:p>
        </w:tc>
        <w:tc>
          <w:tcPr>
            <w:tcW w:w="120" w:type="dxa"/>
            <w:vAlign w:val="bottom"/>
            <w:tcBorders>
              <w:top w:val="single" w:sz="8" w:color="auto"/>
            </w:tcBorders>
            <w:shd w:val="clear" w:color="auto" w:fill="D4EEF4"/>
          </w:tcPr>
          <w:p>
            <w:pPr>
              <w:spacing w:after="0"/>
              <w:rPr>
                <w:sz w:val="19"/>
                <w:szCs w:val="19"/>
                <w:color w:val="auto"/>
              </w:rPr>
            </w:pPr>
          </w:p>
        </w:tc>
        <w:tc>
          <w:tcPr>
            <w:tcW w:w="720" w:type="dxa"/>
            <w:vAlign w:val="bottom"/>
            <w:tcBorders>
              <w:top w:val="single" w:sz="8" w:color="auto"/>
            </w:tcBorders>
            <w:shd w:val="clear" w:color="auto" w:fill="D4EEF4"/>
          </w:tcPr>
          <w:p>
            <w:pPr>
              <w:spacing w:after="0"/>
              <w:rPr>
                <w:sz w:val="19"/>
                <w:szCs w:val="19"/>
                <w:color w:val="auto"/>
              </w:rPr>
            </w:pPr>
          </w:p>
        </w:tc>
        <w:tc>
          <w:tcPr>
            <w:tcW w:w="60" w:type="dxa"/>
            <w:vAlign w:val="bottom"/>
            <w:tcBorders>
              <w:top w:val="single" w:sz="8" w:color="auto"/>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40" w:type="dxa"/>
            <w:vAlign w:val="bottom"/>
            <w:tcBorders>
              <w:top w:val="single" w:sz="8" w:color="D4EEF4"/>
            </w:tcBorders>
            <w:shd w:val="clear" w:color="auto" w:fill="D4EEF4"/>
          </w:tcPr>
          <w:p>
            <w:pPr>
              <w:spacing w:after="0"/>
              <w:rPr>
                <w:sz w:val="19"/>
                <w:szCs w:val="19"/>
                <w:color w:val="auto"/>
              </w:rPr>
            </w:pPr>
          </w:p>
        </w:tc>
        <w:tc>
          <w:tcPr>
            <w:tcW w:w="8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auto"/>
            </w:tcBorders>
            <w:shd w:val="clear" w:color="auto" w:fill="D4EEF4"/>
          </w:tcPr>
          <w:p>
            <w:pPr>
              <w:spacing w:after="0"/>
              <w:rPr>
                <w:sz w:val="19"/>
                <w:szCs w:val="19"/>
                <w:color w:val="auto"/>
              </w:rPr>
            </w:pPr>
          </w:p>
        </w:tc>
        <w:tc>
          <w:tcPr>
            <w:tcW w:w="700" w:type="dxa"/>
            <w:vAlign w:val="bottom"/>
            <w:tcBorders>
              <w:top w:val="single" w:sz="8" w:color="auto"/>
            </w:tcBorders>
            <w:shd w:val="clear" w:color="auto" w:fill="D4EEF4"/>
          </w:tcPr>
          <w:p>
            <w:pPr>
              <w:spacing w:after="0"/>
              <w:rPr>
                <w:sz w:val="19"/>
                <w:szCs w:val="19"/>
                <w:color w:val="auto"/>
              </w:rPr>
            </w:pPr>
          </w:p>
        </w:tc>
        <w:tc>
          <w:tcPr>
            <w:tcW w:w="80" w:type="dxa"/>
            <w:vAlign w:val="bottom"/>
            <w:tcBorders>
              <w:top w:val="single" w:sz="8" w:color="auto"/>
            </w:tcBorders>
            <w:shd w:val="clear" w:color="auto" w:fill="D4EEF4"/>
          </w:tcPr>
          <w:p>
            <w:pPr>
              <w:spacing w:after="0"/>
              <w:rPr>
                <w:sz w:val="19"/>
                <w:szCs w:val="19"/>
                <w:color w:val="auto"/>
              </w:rPr>
            </w:pPr>
          </w:p>
        </w:tc>
        <w:tc>
          <w:tcPr>
            <w:tcW w:w="40" w:type="dxa"/>
            <w:vAlign w:val="bottom"/>
            <w:tcBorders>
              <w:top w:val="single" w:sz="8" w:color="auto"/>
            </w:tcBorders>
            <w:shd w:val="clear" w:color="auto" w:fill="D4EEF4"/>
          </w:tcPr>
          <w:p>
            <w:pPr>
              <w:spacing w:after="0"/>
              <w:rPr>
                <w:sz w:val="19"/>
                <w:szCs w:val="19"/>
                <w:color w:val="auto"/>
              </w:rPr>
            </w:pPr>
          </w:p>
        </w:tc>
        <w:tc>
          <w:tcPr>
            <w:tcW w:w="100" w:type="dxa"/>
            <w:vAlign w:val="bottom"/>
            <w:tcBorders>
              <w:top w:val="single" w:sz="8" w:color="D4EEF4"/>
            </w:tcBorders>
            <w:shd w:val="clear" w:color="auto" w:fill="D4EEF4"/>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Essentialis purchase price contingency liability</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11,549</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11,549</w:t>
            </w:r>
          </w:p>
        </w:tc>
        <w:tc>
          <w:tcPr>
            <w:tcW w:w="10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5"/>
        </w:trPr>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gridSpan w:val="19"/>
          </w:tcPr>
          <w:p>
            <w:pPr>
              <w:ind w:left="18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2022</w:t>
            </w:r>
          </w:p>
        </w:tc>
      </w:tr>
      <w:tr>
        <w:trPr>
          <w:trHeight w:val="174"/>
        </w:trPr>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07"/>
              <w:spacing w:after="0" w:line="174" w:lineRule="exact"/>
              <w:rPr>
                <w:sz w:val="20"/>
                <w:szCs w:val="20"/>
                <w:color w:val="auto"/>
              </w:rPr>
            </w:pPr>
            <w:r>
              <w:rPr>
                <w:rFonts w:ascii="Times New Roman" w:cs="Times New Roman" w:eastAsia="Times New Roman" w:hAnsi="Times New Roman"/>
                <w:sz w:val="16"/>
                <w:szCs w:val="16"/>
                <w:b w:val="1"/>
                <w:bCs w:val="1"/>
                <w:color w:val="auto"/>
                <w:w w:val="97"/>
              </w:rPr>
              <w:t>Level 3</w:t>
            </w:r>
          </w:p>
        </w:tc>
        <w:tc>
          <w:tcPr>
            <w:tcW w:w="220" w:type="dxa"/>
            <w:vAlign w:val="bottom"/>
            <w:gridSpan w:val="3"/>
          </w:tcPr>
          <w:p>
            <w:pPr>
              <w:spacing w:after="0"/>
              <w:rPr>
                <w:sz w:val="15"/>
                <w:szCs w:val="15"/>
                <w:color w:val="auto"/>
              </w:rPr>
            </w:pPr>
          </w:p>
        </w:tc>
      </w:tr>
      <w:tr>
        <w:trPr>
          <w:trHeight w:val="220"/>
        </w:trPr>
        <w:tc>
          <w:tcPr>
            <w:tcW w:w="140" w:type="dxa"/>
            <w:vAlign w:val="bottom"/>
          </w:tcPr>
          <w:p>
            <w:pPr>
              <w:spacing w:after="0"/>
              <w:rPr>
                <w:sz w:val="19"/>
                <w:szCs w:val="19"/>
                <w:color w:val="auto"/>
              </w:rPr>
            </w:pPr>
          </w:p>
        </w:tc>
        <w:tc>
          <w:tcPr>
            <w:tcW w:w="424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tcBorders>
              <w:top w:val="single" w:sz="8" w:color="D4EEF4"/>
            </w:tcBorders>
            <w:shd w:val="clear" w:color="auto" w:fill="D4EEF4"/>
          </w:tcPr>
          <w:p>
            <w:pPr>
              <w:spacing w:after="0"/>
              <w:rPr>
                <w:sz w:val="19"/>
                <w:szCs w:val="19"/>
                <w:color w:val="auto"/>
              </w:rPr>
            </w:pPr>
          </w:p>
        </w:tc>
        <w:tc>
          <w:tcPr>
            <w:tcW w:w="4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auto"/>
            </w:tcBorders>
            <w:shd w:val="clear" w:color="auto" w:fill="D4EEF4"/>
          </w:tcPr>
          <w:p>
            <w:pPr>
              <w:spacing w:after="0"/>
              <w:rPr>
                <w:sz w:val="19"/>
                <w:szCs w:val="19"/>
                <w:color w:val="auto"/>
              </w:rPr>
            </w:pPr>
          </w:p>
        </w:tc>
        <w:tc>
          <w:tcPr>
            <w:tcW w:w="700" w:type="dxa"/>
            <w:vAlign w:val="bottom"/>
            <w:tcBorders>
              <w:top w:val="single" w:sz="8" w:color="auto"/>
            </w:tcBorders>
            <w:shd w:val="clear" w:color="auto" w:fill="D4EEF4"/>
          </w:tcPr>
          <w:p>
            <w:pPr>
              <w:spacing w:after="0"/>
              <w:rPr>
                <w:sz w:val="19"/>
                <w:szCs w:val="19"/>
                <w:color w:val="auto"/>
              </w:rPr>
            </w:pPr>
          </w:p>
        </w:tc>
        <w:tc>
          <w:tcPr>
            <w:tcW w:w="16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auto"/>
            </w:tcBorders>
            <w:shd w:val="clear" w:color="auto" w:fill="D4EEF4"/>
          </w:tcPr>
          <w:p>
            <w:pPr>
              <w:spacing w:after="0"/>
              <w:rPr>
                <w:sz w:val="19"/>
                <w:szCs w:val="19"/>
                <w:color w:val="auto"/>
              </w:rPr>
            </w:pPr>
          </w:p>
        </w:tc>
        <w:tc>
          <w:tcPr>
            <w:tcW w:w="720" w:type="dxa"/>
            <w:vAlign w:val="bottom"/>
            <w:tcBorders>
              <w:top w:val="single" w:sz="8" w:color="auto"/>
            </w:tcBorders>
            <w:shd w:val="clear" w:color="auto" w:fill="D4EEF4"/>
          </w:tcPr>
          <w:p>
            <w:pPr>
              <w:spacing w:after="0"/>
              <w:rPr>
                <w:sz w:val="19"/>
                <w:szCs w:val="19"/>
                <w:color w:val="auto"/>
              </w:rPr>
            </w:pPr>
          </w:p>
        </w:tc>
        <w:tc>
          <w:tcPr>
            <w:tcW w:w="4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40" w:type="dxa"/>
            <w:vAlign w:val="bottom"/>
            <w:tcBorders>
              <w:top w:val="single" w:sz="8" w:color="auto"/>
            </w:tcBorders>
            <w:shd w:val="clear" w:color="auto" w:fill="D4EEF4"/>
          </w:tcPr>
          <w:p>
            <w:pPr>
              <w:spacing w:after="0"/>
              <w:rPr>
                <w:sz w:val="19"/>
                <w:szCs w:val="19"/>
                <w:color w:val="auto"/>
              </w:rPr>
            </w:pPr>
          </w:p>
        </w:tc>
        <w:tc>
          <w:tcPr>
            <w:tcW w:w="120" w:type="dxa"/>
            <w:vAlign w:val="bottom"/>
            <w:tcBorders>
              <w:top w:val="single" w:sz="8" w:color="auto"/>
            </w:tcBorders>
            <w:shd w:val="clear" w:color="auto" w:fill="D4EEF4"/>
          </w:tcPr>
          <w:p>
            <w:pPr>
              <w:spacing w:after="0"/>
              <w:rPr>
                <w:sz w:val="19"/>
                <w:szCs w:val="19"/>
                <w:color w:val="auto"/>
              </w:rPr>
            </w:pPr>
          </w:p>
        </w:tc>
        <w:tc>
          <w:tcPr>
            <w:tcW w:w="720" w:type="dxa"/>
            <w:vAlign w:val="bottom"/>
            <w:tcBorders>
              <w:top w:val="single" w:sz="8" w:color="auto"/>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40" w:type="dxa"/>
            <w:vAlign w:val="bottom"/>
            <w:tcBorders>
              <w:top w:val="single" w:sz="8" w:color="D4EEF4"/>
            </w:tcBorders>
            <w:shd w:val="clear" w:color="auto" w:fill="D4EEF4"/>
          </w:tcPr>
          <w:p>
            <w:pPr>
              <w:spacing w:after="0"/>
              <w:rPr>
                <w:sz w:val="19"/>
                <w:szCs w:val="19"/>
                <w:color w:val="auto"/>
              </w:rPr>
            </w:pPr>
          </w:p>
        </w:tc>
        <w:tc>
          <w:tcPr>
            <w:tcW w:w="80" w:type="dxa"/>
            <w:vAlign w:val="bottom"/>
            <w:tcBorders>
              <w:top w:val="single" w:sz="8" w:color="auto"/>
            </w:tcBorders>
            <w:shd w:val="clear" w:color="auto" w:fill="D4EEF4"/>
          </w:tcPr>
          <w:p>
            <w:pPr>
              <w:spacing w:after="0"/>
              <w:rPr>
                <w:sz w:val="19"/>
                <w:szCs w:val="19"/>
                <w:color w:val="auto"/>
              </w:rPr>
            </w:pPr>
          </w:p>
        </w:tc>
        <w:tc>
          <w:tcPr>
            <w:tcW w:w="100" w:type="dxa"/>
            <w:vAlign w:val="bottom"/>
            <w:tcBorders>
              <w:top w:val="single" w:sz="8" w:color="auto"/>
            </w:tcBorders>
            <w:shd w:val="clear" w:color="auto" w:fill="D4EEF4"/>
          </w:tcPr>
          <w:p>
            <w:pPr>
              <w:spacing w:after="0"/>
              <w:rPr>
                <w:sz w:val="19"/>
                <w:szCs w:val="19"/>
                <w:color w:val="auto"/>
              </w:rPr>
            </w:pPr>
          </w:p>
        </w:tc>
        <w:tc>
          <w:tcPr>
            <w:tcW w:w="700" w:type="dxa"/>
            <w:vAlign w:val="bottom"/>
            <w:tcBorders>
              <w:top w:val="single" w:sz="8" w:color="auto"/>
            </w:tcBorders>
            <w:shd w:val="clear" w:color="auto" w:fill="D4EEF4"/>
          </w:tcPr>
          <w:p>
            <w:pPr>
              <w:spacing w:after="0"/>
              <w:rPr>
                <w:sz w:val="19"/>
                <w:szCs w:val="19"/>
                <w:color w:val="auto"/>
              </w:rPr>
            </w:pPr>
          </w:p>
        </w:tc>
        <w:tc>
          <w:tcPr>
            <w:tcW w:w="80" w:type="dxa"/>
            <w:vAlign w:val="bottom"/>
            <w:tcBorders>
              <w:top w:val="single" w:sz="8" w:color="D4EEF4"/>
            </w:tcBorders>
            <w:shd w:val="clear" w:color="auto" w:fill="D4EEF4"/>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2018 PIPE Warrant liability</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42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Essentialis purchase price contingency liability</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8,835</w:t>
            </w:r>
          </w:p>
        </w:tc>
        <w:tc>
          <w:tcPr>
            <w:tcW w:w="1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20" w:type="dxa"/>
            <w:vAlign w:val="bottom"/>
            <w:gridSpan w:val="3"/>
            <w:shd w:val="clear" w:color="auto" w:fill="D4EEF4"/>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840" w:type="dxa"/>
            <w:vAlign w:val="bottom"/>
            <w:gridSpan w:val="3"/>
            <w:shd w:val="clear" w:color="auto" w:fill="D4EEF4"/>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8,835</w:t>
            </w:r>
          </w:p>
        </w:tc>
        <w:tc>
          <w:tcPr>
            <w:tcW w:w="80" w:type="dxa"/>
            <w:vAlign w:val="bottom"/>
            <w:shd w:val="clear" w:color="auto" w:fill="D4EEF4"/>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140" w:type="dxa"/>
            <w:vAlign w:val="bottom"/>
          </w:tcPr>
          <w:p>
            <w:pPr>
              <w:spacing w:after="0"/>
              <w:rPr>
                <w:sz w:val="17"/>
                <w:szCs w:val="17"/>
                <w:color w:val="auto"/>
              </w:rPr>
            </w:pPr>
          </w:p>
        </w:tc>
        <w:tc>
          <w:tcPr>
            <w:tcW w:w="4240" w:type="dxa"/>
            <w:vAlign w:val="bottom"/>
          </w:tcPr>
          <w:p>
            <w:pPr>
              <w:ind w:left="200"/>
              <w:spacing w:after="0" w:line="201" w:lineRule="exact"/>
              <w:rPr>
                <w:sz w:val="20"/>
                <w:szCs w:val="20"/>
                <w:color w:val="auto"/>
              </w:rPr>
            </w:pPr>
            <w:r>
              <w:rPr>
                <w:rFonts w:ascii="Times New Roman" w:cs="Times New Roman" w:eastAsia="Times New Roman" w:hAnsi="Times New Roman"/>
                <w:sz w:val="20"/>
                <w:szCs w:val="20"/>
                <w:color w:val="auto"/>
              </w:rPr>
              <w:t>Total common stock warrant and contingent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140" w:type="dxa"/>
            <w:vAlign w:val="bottom"/>
          </w:tcPr>
          <w:p>
            <w:pPr>
              <w:spacing w:after="0"/>
              <w:rPr>
                <w:sz w:val="21"/>
                <w:szCs w:val="21"/>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consideration liability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8,836</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7" w:lineRule="exact"/>
        <w:rPr>
          <w:sz w:val="20"/>
          <w:szCs w:val="20"/>
          <w:color w:val="auto"/>
        </w:rPr>
      </w:pPr>
    </w:p>
    <w:p>
      <w:pPr>
        <w:ind w:right="20" w:firstLine="556"/>
        <w:spacing w:after="0" w:line="252" w:lineRule="auto"/>
        <w:rPr>
          <w:sz w:val="20"/>
          <w:szCs w:val="20"/>
          <w:color w:val="auto"/>
        </w:rPr>
      </w:pPr>
      <w:r>
        <w:rPr>
          <w:rFonts w:ascii="Times New Roman" w:cs="Times New Roman" w:eastAsia="Times New Roman" w:hAnsi="Times New Roman"/>
          <w:sz w:val="20"/>
          <w:szCs w:val="20"/>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The 2018 PIPE Warrants expired on December 21, 2023.</w:t>
      </w:r>
    </w:p>
    <w:p>
      <w:pPr>
        <w:spacing w:after="0" w:line="264" w:lineRule="exact"/>
        <w:rPr>
          <w:sz w:val="20"/>
          <w:szCs w:val="20"/>
          <w:color w:val="auto"/>
        </w:rPr>
      </w:pPr>
    </w:p>
    <w:p>
      <w:pPr>
        <w:ind w:right="20" w:firstLine="556"/>
        <w:spacing w:after="0" w:line="244" w:lineRule="auto"/>
        <w:rPr>
          <w:sz w:val="20"/>
          <w:szCs w:val="20"/>
          <w:color w:val="auto"/>
        </w:rPr>
      </w:pPr>
      <w:r>
        <w:rPr>
          <w:rFonts w:ascii="Times New Roman" w:cs="Times New Roman" w:eastAsia="Times New Roman" w:hAnsi="Times New Roman"/>
          <w:sz w:val="20"/>
          <w:szCs w:val="20"/>
          <w:color w:val="auto"/>
        </w:rPr>
        <w:t>Based on the terms of the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FDA as well as achieving two commercial sales milestones of $100 million and $200 million in cumulative revenue. The Level 3 estimates are based, in part, on subjective assumptions. In determining the likelihood of this occurring, the analysis relied on published research relating to clinical development success rates. Based on management’s assessment, an 88% and a 72% probability of achieving all three milestones was determined to be reasonable as of December 31, 2023 and December 31, 2022, respectively. During the periods presented, the Company has not changed the manner in which it values its Essentialis purchase price contingent liability.</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16" w:right="1440" w:bottom="175" w:gutter="0" w:footer="0" w:header="0"/>
          <w:type w:val="continuous"/>
        </w:sectPr>
      </w:pPr>
    </w:p>
    <w:bookmarkStart w:id="77" w:name="page78"/>
    <w:bookmarkEnd w:id="77"/>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The Company recognizes transfers between levels of the fair value hierarchy as of the end of the reporting period. There were no transfers within the hierarchy during the periods presented.</w:t>
      </w:r>
    </w:p>
    <w:p>
      <w:pPr>
        <w:spacing w:after="0" w:line="169"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sets forth a summary of the changes in the fair value of the Company’s Level 3 assets and liabilities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3680" w:type="dxa"/>
            <w:vAlign w:val="bottom"/>
            <w:tcBorders>
              <w:bottom w:val="single" w:sz="8" w:color="auto"/>
            </w:tcBorders>
            <w:gridSpan w:val="4"/>
          </w:tcPr>
          <w:p>
            <w:pPr>
              <w:jc w:val="right"/>
              <w:ind w:right="785"/>
              <w:spacing w:after="0"/>
              <w:rPr>
                <w:sz w:val="20"/>
                <w:szCs w:val="20"/>
                <w:color w:val="auto"/>
              </w:rPr>
            </w:pPr>
            <w:r>
              <w:rPr>
                <w:rFonts w:ascii="Times New Roman" w:cs="Times New Roman" w:eastAsia="Times New Roman" w:hAnsi="Times New Roman"/>
                <w:sz w:val="16"/>
                <w:szCs w:val="16"/>
                <w:b w:val="1"/>
                <w:bCs w:val="1"/>
                <w:color w:val="auto"/>
              </w:rPr>
              <w:t>2018 PIPE Warrants</w:t>
            </w:r>
          </w:p>
        </w:tc>
        <w:tc>
          <w:tcPr>
            <w:tcW w:w="4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r>
      <w:tr>
        <w:trPr>
          <w:trHeight w:val="155"/>
        </w:trPr>
        <w:tc>
          <w:tcPr>
            <w:tcW w:w="3080" w:type="dxa"/>
            <w:vAlign w:val="bottom"/>
          </w:tcPr>
          <w:p>
            <w:pPr>
              <w:spacing w:after="0"/>
              <w:rPr>
                <w:sz w:val="13"/>
                <w:szCs w:val="13"/>
                <w:color w:val="auto"/>
              </w:rPr>
            </w:pPr>
          </w:p>
        </w:tc>
        <w:tc>
          <w:tcPr>
            <w:tcW w:w="1480" w:type="dxa"/>
            <w:vAlign w:val="bottom"/>
          </w:tcPr>
          <w:p>
            <w:pPr>
              <w:jc w:val="center"/>
              <w:ind w:left="5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Contingent</w:t>
            </w:r>
          </w:p>
        </w:tc>
      </w:tr>
      <w:tr>
        <w:trPr>
          <w:trHeight w:val="203"/>
        </w:trPr>
        <w:tc>
          <w:tcPr>
            <w:tcW w:w="3080" w:type="dxa"/>
            <w:vAlign w:val="bottom"/>
          </w:tcPr>
          <w:p>
            <w:pPr>
              <w:spacing w:after="0"/>
              <w:rPr>
                <w:sz w:val="17"/>
                <w:szCs w:val="17"/>
                <w:color w:val="auto"/>
              </w:rPr>
            </w:pPr>
          </w:p>
        </w:tc>
        <w:tc>
          <w:tcPr>
            <w:tcW w:w="1480" w:type="dxa"/>
            <w:vAlign w:val="bottom"/>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Liability</w:t>
            </w:r>
          </w:p>
        </w:tc>
      </w:tr>
      <w:tr>
        <w:trPr>
          <w:trHeight w:val="220"/>
        </w:trPr>
        <w:tc>
          <w:tcPr>
            <w:tcW w:w="308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2021</w:t>
            </w:r>
          </w:p>
        </w:tc>
        <w:tc>
          <w:tcPr>
            <w:tcW w:w="1480" w:type="dxa"/>
            <w:vAlign w:val="bottom"/>
            <w:tcBorders>
              <w:top w:val="single" w:sz="8" w:color="auto"/>
            </w:tcBorders>
            <w:shd w:val="clear" w:color="auto" w:fill="D4EEF4"/>
          </w:tcPr>
          <w:p>
            <w:pPr>
              <w:spacing w:after="0"/>
              <w:rPr>
                <w:sz w:val="19"/>
                <w:szCs w:val="19"/>
                <w:color w:val="auto"/>
              </w:rPr>
            </w:pPr>
          </w:p>
        </w:tc>
        <w:tc>
          <w:tcPr>
            <w:tcW w:w="6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34,241</w:t>
            </w:r>
          </w:p>
        </w:tc>
        <w:tc>
          <w:tcPr>
            <w:tcW w:w="200" w:type="dxa"/>
            <w:vAlign w:val="bottom"/>
            <w:tcBorders>
              <w:top w:val="single" w:sz="8" w:color="D4EEF4"/>
            </w:tcBorders>
            <w:shd w:val="clear" w:color="auto" w:fill="D4EEF4"/>
          </w:tcPr>
          <w:p>
            <w:pPr>
              <w:spacing w:after="0"/>
              <w:rPr>
                <w:sz w:val="19"/>
                <w:szCs w:val="19"/>
                <w:color w:val="auto"/>
              </w:rPr>
            </w:pPr>
          </w:p>
        </w:tc>
        <w:tc>
          <w:tcPr>
            <w:tcW w:w="1340" w:type="dxa"/>
            <w:vAlign w:val="bottom"/>
            <w:tcBorders>
              <w:top w:val="single" w:sz="8" w:color="auto"/>
            </w:tcBorders>
            <w:shd w:val="clear" w:color="auto" w:fill="D4EEF4"/>
          </w:tcPr>
          <w:p>
            <w:pPr>
              <w:jc w:val="right"/>
              <w:ind w:right="11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31</w:t>
            </w:r>
          </w:p>
        </w:tc>
        <w:tc>
          <w:tcPr>
            <w:tcW w:w="200" w:type="dxa"/>
            <w:vAlign w:val="bottom"/>
            <w:tcBorders>
              <w:top w:val="single" w:sz="8" w:color="D4EEF4"/>
            </w:tcBorders>
            <w:shd w:val="clear" w:color="auto" w:fill="D4EEF4"/>
          </w:tcPr>
          <w:p>
            <w:pPr>
              <w:spacing w:after="0"/>
              <w:rPr>
                <w:sz w:val="19"/>
                <w:szCs w:val="19"/>
                <w:color w:val="auto"/>
              </w:rPr>
            </w:pPr>
          </w:p>
        </w:tc>
        <w:tc>
          <w:tcPr>
            <w:tcW w:w="260" w:type="dxa"/>
            <w:vAlign w:val="bottom"/>
            <w:tcBorders>
              <w:top w:val="single" w:sz="8" w:color="auto"/>
            </w:tcBorders>
            <w:shd w:val="clear" w:color="auto" w:fill="D4EE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9,547</w:t>
            </w:r>
          </w:p>
        </w:tc>
        <w:tc>
          <w:tcPr>
            <w:tcW w:w="100" w:type="dxa"/>
            <w:vAlign w:val="bottom"/>
            <w:tcBorders>
              <w:top w:val="single" w:sz="8" w:color="D4EEF4"/>
            </w:tcBorders>
            <w:shd w:val="clear" w:color="auto" w:fill="D4EEF4"/>
          </w:tcPr>
          <w:p>
            <w:pPr>
              <w:spacing w:after="0"/>
              <w:rPr>
                <w:sz w:val="19"/>
                <w:szCs w:val="19"/>
                <w:color w:val="auto"/>
              </w:rPr>
            </w:pPr>
          </w:p>
        </w:tc>
      </w:tr>
      <w:tr>
        <w:trPr>
          <w:trHeight w:val="211"/>
        </w:trPr>
        <w:tc>
          <w:tcPr>
            <w:tcW w:w="30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Change in value of 2018 PIPE</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r>
      <w:tr>
        <w:trPr>
          <w:trHeight w:val="211"/>
        </w:trPr>
        <w:tc>
          <w:tcPr>
            <w:tcW w:w="4560" w:type="dxa"/>
            <w:vAlign w:val="bottom"/>
            <w:gridSpan w:val="2"/>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Change in value of contingent</w:t>
            </w:r>
          </w:p>
        </w:tc>
        <w:tc>
          <w:tcPr>
            <w:tcW w:w="66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1340" w:type="dxa"/>
            <w:vAlign w:val="bottom"/>
            <w:shd w:val="clear" w:color="auto" w:fill="D4EEF4"/>
          </w:tcPr>
          <w:p>
            <w:pPr>
              <w:spacing w:after="0"/>
              <w:rPr>
                <w:sz w:val="18"/>
                <w:szCs w:val="18"/>
                <w:color w:val="auto"/>
              </w:rPr>
            </w:pPr>
          </w:p>
        </w:tc>
        <w:tc>
          <w:tcPr>
            <w:tcW w:w="48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15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r>
      <w:tr>
        <w:trPr>
          <w:trHeight w:val="249"/>
        </w:trPr>
        <w:tc>
          <w:tcPr>
            <w:tcW w:w="456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liability</w:t>
            </w:r>
          </w:p>
        </w:tc>
        <w:tc>
          <w:tcPr>
            <w:tcW w:w="6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F4"/>
          </w:tcPr>
          <w:p>
            <w:pPr>
              <w:spacing w:after="0"/>
              <w:rPr>
                <w:sz w:val="21"/>
                <w:szCs w:val="21"/>
                <w:color w:val="auto"/>
              </w:rPr>
            </w:pPr>
          </w:p>
        </w:tc>
        <w:tc>
          <w:tcPr>
            <w:tcW w:w="1340" w:type="dxa"/>
            <w:vAlign w:val="bottom"/>
            <w:shd w:val="clear" w:color="auto" w:fill="D4EEF4"/>
          </w:tcPr>
          <w:p>
            <w:pPr>
              <w:spacing w:after="0"/>
              <w:rPr>
                <w:sz w:val="21"/>
                <w:szCs w:val="21"/>
                <w:color w:val="auto"/>
              </w:rPr>
            </w:pPr>
          </w:p>
        </w:tc>
        <w:tc>
          <w:tcPr>
            <w:tcW w:w="680" w:type="dxa"/>
            <w:vAlign w:val="bottom"/>
            <w:gridSpan w:val="2"/>
            <w:shd w:val="clear" w:color="auto" w:fill="D4EEF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4EEF4"/>
          </w:tcPr>
          <w:p>
            <w:pPr>
              <w:spacing w:after="0"/>
              <w:rPr>
                <w:sz w:val="21"/>
                <w:szCs w:val="21"/>
                <w:color w:val="auto"/>
              </w:rPr>
            </w:pPr>
          </w:p>
        </w:tc>
        <w:tc>
          <w:tcPr>
            <w:tcW w:w="16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(712)</w:t>
            </w:r>
          </w:p>
        </w:tc>
      </w:tr>
      <w:tr>
        <w:trPr>
          <w:trHeight w:val="220"/>
        </w:trPr>
        <w:tc>
          <w:tcPr>
            <w:tcW w:w="30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14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34,241</w:t>
            </w:r>
          </w:p>
        </w:tc>
        <w:tc>
          <w:tcPr>
            <w:tcW w:w="200" w:type="dxa"/>
            <w:vAlign w:val="bottom"/>
          </w:tcPr>
          <w:p>
            <w:pPr>
              <w:spacing w:after="0"/>
              <w:rPr>
                <w:sz w:val="19"/>
                <w:szCs w:val="19"/>
                <w:color w:val="auto"/>
              </w:rPr>
            </w:pPr>
          </w:p>
        </w:tc>
        <w:tc>
          <w:tcPr>
            <w:tcW w:w="1340" w:type="dxa"/>
            <w:vAlign w:val="bottom"/>
            <w:tcBorders>
              <w:top w:val="single" w:sz="8" w:color="auto"/>
            </w:tcBorders>
          </w:tcPr>
          <w:p>
            <w:pPr>
              <w:jc w:val="right"/>
              <w:ind w:right="11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8,835</w:t>
            </w:r>
          </w:p>
        </w:tc>
        <w:tc>
          <w:tcPr>
            <w:tcW w:w="100" w:type="dxa"/>
            <w:vAlign w:val="bottom"/>
          </w:tcPr>
          <w:p>
            <w:pPr>
              <w:spacing w:after="0"/>
              <w:rPr>
                <w:sz w:val="19"/>
                <w:szCs w:val="19"/>
                <w:color w:val="auto"/>
              </w:rPr>
            </w:pPr>
          </w:p>
        </w:tc>
      </w:tr>
      <w:tr>
        <w:trPr>
          <w:trHeight w:val="210"/>
        </w:trPr>
        <w:tc>
          <w:tcPr>
            <w:tcW w:w="4560" w:type="dxa"/>
            <w:vAlign w:val="bottom"/>
            <w:gridSpan w:val="2"/>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Change in value of 2018 PIPE</w:t>
            </w:r>
          </w:p>
        </w:tc>
        <w:tc>
          <w:tcPr>
            <w:tcW w:w="66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1340" w:type="dxa"/>
            <w:vAlign w:val="bottom"/>
            <w:shd w:val="clear" w:color="auto" w:fill="D4EEF4"/>
          </w:tcPr>
          <w:p>
            <w:pPr>
              <w:spacing w:after="0"/>
              <w:rPr>
                <w:sz w:val="18"/>
                <w:szCs w:val="18"/>
                <w:color w:val="auto"/>
              </w:rPr>
            </w:pPr>
          </w:p>
        </w:tc>
        <w:tc>
          <w:tcPr>
            <w:tcW w:w="48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15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r>
      <w:tr>
        <w:trPr>
          <w:trHeight w:val="249"/>
        </w:trPr>
        <w:tc>
          <w:tcPr>
            <w:tcW w:w="456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Warrants</w:t>
            </w:r>
          </w:p>
        </w:tc>
        <w:tc>
          <w:tcPr>
            <w:tcW w:w="6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F4"/>
          </w:tcPr>
          <w:p>
            <w:pPr>
              <w:spacing w:after="0"/>
              <w:rPr>
                <w:sz w:val="21"/>
                <w:szCs w:val="21"/>
                <w:color w:val="auto"/>
              </w:rPr>
            </w:pPr>
          </w:p>
        </w:tc>
        <w:tc>
          <w:tcPr>
            <w:tcW w:w="1340" w:type="dxa"/>
            <w:vAlign w:val="bottom"/>
            <w:shd w:val="clear" w:color="auto" w:fill="D4EEF4"/>
          </w:tcPr>
          <w:p>
            <w:pPr>
              <w:spacing w:after="0"/>
              <w:rPr>
                <w:sz w:val="21"/>
                <w:szCs w:val="21"/>
                <w:color w:val="auto"/>
              </w:rPr>
            </w:pPr>
          </w:p>
        </w:tc>
        <w:tc>
          <w:tcPr>
            <w:tcW w:w="4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20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16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of 2018 PIPE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(21,789)</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(183)</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56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Expiration of 2018 PIPE Warrants</w:t>
            </w:r>
          </w:p>
        </w:tc>
        <w:tc>
          <w:tcPr>
            <w:tcW w:w="6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93"/>
              </w:rPr>
              <w:t>(12,452)</w:t>
            </w:r>
          </w:p>
        </w:tc>
        <w:tc>
          <w:tcPr>
            <w:tcW w:w="200" w:type="dxa"/>
            <w:vAlign w:val="bottom"/>
            <w:shd w:val="clear" w:color="auto" w:fill="D4EEF4"/>
          </w:tcPr>
          <w:p>
            <w:pPr>
              <w:spacing w:after="0"/>
              <w:rPr>
                <w:sz w:val="19"/>
                <w:szCs w:val="19"/>
                <w:color w:val="auto"/>
              </w:rPr>
            </w:pPr>
          </w:p>
        </w:tc>
        <w:tc>
          <w:tcPr>
            <w:tcW w:w="1340" w:type="dxa"/>
            <w:vAlign w:val="bottom"/>
            <w:shd w:val="clear" w:color="auto" w:fill="D4EEF4"/>
          </w:tcPr>
          <w:p>
            <w:pPr>
              <w:spacing w:after="0"/>
              <w:rPr>
                <w:sz w:val="19"/>
                <w:szCs w:val="19"/>
                <w:color w:val="auto"/>
              </w:rPr>
            </w:pPr>
          </w:p>
        </w:tc>
        <w:tc>
          <w:tcPr>
            <w:tcW w:w="680" w:type="dxa"/>
            <w:vAlign w:val="bottom"/>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20"/>
                <w:szCs w:val="20"/>
                <w:color w:val="auto"/>
              </w:rPr>
              <w:t>(237)</w:t>
            </w:r>
          </w:p>
        </w:tc>
        <w:tc>
          <w:tcPr>
            <w:tcW w:w="260" w:type="dxa"/>
            <w:vAlign w:val="bottom"/>
            <w:shd w:val="clear" w:color="auto" w:fill="D4EEF4"/>
          </w:tcPr>
          <w:p>
            <w:pPr>
              <w:spacing w:after="0"/>
              <w:rPr>
                <w:sz w:val="19"/>
                <w:szCs w:val="19"/>
                <w:color w:val="auto"/>
              </w:rPr>
            </w:pPr>
          </w:p>
        </w:tc>
        <w:tc>
          <w:tcPr>
            <w:tcW w:w="16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0"/>
        </w:trPr>
        <w:tc>
          <w:tcPr>
            <w:tcW w:w="456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Change in value of contingent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liability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w:t>
            </w:r>
          </w:p>
        </w:tc>
        <w:tc>
          <w:tcPr>
            <w:tcW w:w="100" w:type="dxa"/>
            <w:vAlign w:val="bottom"/>
          </w:tcPr>
          <w:p>
            <w:pPr>
              <w:spacing w:after="0"/>
              <w:rPr>
                <w:sz w:val="21"/>
                <w:szCs w:val="21"/>
                <w:color w:val="auto"/>
              </w:rPr>
            </w:pPr>
          </w:p>
        </w:tc>
      </w:tr>
      <w:tr>
        <w:trPr>
          <w:trHeight w:val="220"/>
        </w:trPr>
        <w:tc>
          <w:tcPr>
            <w:tcW w:w="308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2023</w:t>
            </w:r>
          </w:p>
        </w:tc>
        <w:tc>
          <w:tcPr>
            <w:tcW w:w="1480" w:type="dxa"/>
            <w:vAlign w:val="bottom"/>
            <w:tcBorders>
              <w:top w:val="single" w:sz="8" w:color="auto"/>
              <w:bottom w:val="single" w:sz="8" w:color="auto"/>
            </w:tcBorders>
            <w:shd w:val="clear" w:color="auto" w:fill="D4EEF4"/>
          </w:tcPr>
          <w:p>
            <w:pPr>
              <w:spacing w:after="0"/>
              <w:rPr>
                <w:sz w:val="19"/>
                <w:szCs w:val="19"/>
                <w:color w:val="auto"/>
              </w:rPr>
            </w:pPr>
          </w:p>
        </w:tc>
        <w:tc>
          <w:tcPr>
            <w:tcW w:w="6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0</w:t>
            </w:r>
          </w:p>
        </w:tc>
        <w:tc>
          <w:tcPr>
            <w:tcW w:w="200" w:type="dxa"/>
            <w:vAlign w:val="bottom"/>
            <w:tcBorders>
              <w:top w:val="single" w:sz="8" w:color="D4EEF4"/>
            </w:tcBorders>
            <w:shd w:val="clear" w:color="auto" w:fill="D4EEF4"/>
          </w:tcPr>
          <w:p>
            <w:pPr>
              <w:spacing w:after="0"/>
              <w:rPr>
                <w:sz w:val="19"/>
                <w:szCs w:val="19"/>
                <w:color w:val="auto"/>
              </w:rPr>
            </w:pPr>
          </w:p>
        </w:tc>
        <w:tc>
          <w:tcPr>
            <w:tcW w:w="1340" w:type="dxa"/>
            <w:vAlign w:val="bottom"/>
            <w:tcBorders>
              <w:top w:val="single" w:sz="8" w:color="auto"/>
              <w:bottom w:val="single" w:sz="8" w:color="auto"/>
            </w:tcBorders>
            <w:shd w:val="clear" w:color="auto" w:fill="D4EEF4"/>
          </w:tcPr>
          <w:p>
            <w:pPr>
              <w:jc w:val="right"/>
              <w:ind w:right="11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D4EEF4"/>
            </w:tcBorders>
            <w:shd w:val="clear" w:color="auto" w:fill="D4EEF4"/>
          </w:tcPr>
          <w:p>
            <w:pPr>
              <w:spacing w:after="0"/>
              <w:rPr>
                <w:sz w:val="19"/>
                <w:szCs w:val="19"/>
                <w:color w:val="auto"/>
              </w:rPr>
            </w:pPr>
          </w:p>
        </w:tc>
        <w:tc>
          <w:tcPr>
            <w:tcW w:w="260" w:type="dxa"/>
            <w:vAlign w:val="bottom"/>
            <w:tcBorders>
              <w:top w:val="single" w:sz="8" w:color="auto"/>
              <w:bottom w:val="single" w:sz="8" w:color="auto"/>
            </w:tcBorders>
            <w:shd w:val="clear" w:color="auto" w:fill="D4EE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11,549</w:t>
            </w:r>
          </w:p>
        </w:tc>
        <w:tc>
          <w:tcPr>
            <w:tcW w:w="100" w:type="dxa"/>
            <w:vAlign w:val="bottom"/>
            <w:tcBorders>
              <w:top w:val="single" w:sz="8" w:color="D4EEF4"/>
            </w:tcBorders>
            <w:shd w:val="clear" w:color="auto" w:fill="D4EEF4"/>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Other Financial Statement Details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Property and equipment are summarized in the following table (in thousands):</w:t>
      </w:r>
    </w:p>
    <w:p>
      <w:pPr>
        <w:spacing w:after="0" w:line="276"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4120" w:type="dxa"/>
            <w:vAlign w:val="bottom"/>
            <w:tcBorders>
              <w:bottom w:val="single" w:sz="8" w:color="D4EEF4"/>
            </w:tcBorders>
          </w:tcPr>
          <w:p>
            <w:pPr>
              <w:spacing w:after="0"/>
              <w:rPr>
                <w:sz w:val="17"/>
                <w:szCs w:val="17"/>
                <w:color w:val="auto"/>
              </w:rPr>
            </w:pPr>
          </w:p>
        </w:tc>
        <w:tc>
          <w:tcPr>
            <w:tcW w:w="100" w:type="dxa"/>
            <w:vAlign w:val="bottom"/>
            <w:tcBorders>
              <w:bottom w:val="single" w:sz="8" w:color="D4EEF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D4EEF4"/>
            </w:tcBorders>
          </w:tcPr>
          <w:p>
            <w:pPr>
              <w:spacing w:after="0"/>
              <w:rPr>
                <w:sz w:val="17"/>
                <w:szCs w:val="17"/>
                <w:color w:val="auto"/>
              </w:rPr>
            </w:pPr>
          </w:p>
        </w:tc>
        <w:tc>
          <w:tcPr>
            <w:tcW w:w="60" w:type="dxa"/>
            <w:vAlign w:val="bottom"/>
            <w:tcBorders>
              <w:bottom w:val="single" w:sz="8" w:color="D4EEF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4EEF4"/>
            </w:tcBorders>
          </w:tcPr>
          <w:p>
            <w:pPr>
              <w:spacing w:after="0"/>
              <w:rPr>
                <w:sz w:val="17"/>
                <w:szCs w:val="17"/>
                <w:color w:val="auto"/>
              </w:rPr>
            </w:pPr>
          </w:p>
        </w:tc>
      </w:tr>
      <w:tr>
        <w:trPr>
          <w:trHeight w:val="220"/>
        </w:trPr>
        <w:tc>
          <w:tcPr>
            <w:tcW w:w="41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Computer hardware</w:t>
            </w:r>
          </w:p>
        </w:tc>
        <w:tc>
          <w:tcPr>
            <w:tcW w:w="10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72</w:t>
            </w:r>
          </w:p>
        </w:tc>
        <w:tc>
          <w:tcPr>
            <w:tcW w:w="120" w:type="dxa"/>
            <w:vAlign w:val="bottom"/>
            <w:shd w:val="clear" w:color="auto" w:fill="D4EEF4"/>
          </w:tcPr>
          <w:p>
            <w:pPr>
              <w:spacing w:after="0"/>
              <w:rPr>
                <w:sz w:val="19"/>
                <w:szCs w:val="19"/>
                <w:color w:val="auto"/>
              </w:rPr>
            </w:pPr>
          </w:p>
        </w:tc>
        <w:tc>
          <w:tcPr>
            <w:tcW w:w="60" w:type="dxa"/>
            <w:vAlign w:val="bottom"/>
            <w:shd w:val="clear" w:color="auto" w:fill="D4EEF4"/>
          </w:tcPr>
          <w:p>
            <w:pPr>
              <w:spacing w:after="0"/>
              <w:rPr>
                <w:sz w:val="19"/>
                <w:szCs w:val="19"/>
                <w:color w:val="auto"/>
              </w:rPr>
            </w:pPr>
          </w:p>
        </w:tc>
        <w:tc>
          <w:tcPr>
            <w:tcW w:w="240" w:type="dxa"/>
            <w:vAlign w:val="bottom"/>
            <w:shd w:val="clear" w:color="auto" w:fill="D4EEF4"/>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72</w:t>
            </w:r>
          </w:p>
        </w:tc>
        <w:tc>
          <w:tcPr>
            <w:tcW w:w="100" w:type="dxa"/>
            <w:vAlign w:val="bottom"/>
            <w:shd w:val="clear" w:color="auto" w:fill="D4EEF4"/>
          </w:tcPr>
          <w:p>
            <w:pPr>
              <w:spacing w:after="0"/>
              <w:rPr>
                <w:sz w:val="19"/>
                <w:szCs w:val="19"/>
                <w:color w:val="auto"/>
              </w:rPr>
            </w:pPr>
          </w:p>
        </w:tc>
      </w:tr>
      <w:tr>
        <w:trPr>
          <w:trHeight w:val="230"/>
        </w:trPr>
        <w:tc>
          <w:tcPr>
            <w:tcW w:w="412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100" w:type="dxa"/>
            <w:vAlign w:val="bottom"/>
            <w:tcBorders>
              <w:bottom w:val="single" w:sz="8" w:color="D4EEF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20" w:type="dxa"/>
            <w:vAlign w:val="bottom"/>
            <w:tcBorders>
              <w:bottom w:val="single" w:sz="8" w:color="D4EEF4"/>
            </w:tcBorders>
          </w:tcPr>
          <w:p>
            <w:pPr>
              <w:spacing w:after="0"/>
              <w:rPr>
                <w:sz w:val="19"/>
                <w:szCs w:val="19"/>
                <w:color w:val="auto"/>
              </w:rPr>
            </w:pPr>
          </w:p>
        </w:tc>
        <w:tc>
          <w:tcPr>
            <w:tcW w:w="60" w:type="dxa"/>
            <w:vAlign w:val="bottom"/>
            <w:tcBorders>
              <w:bottom w:val="single" w:sz="8" w:color="D4EE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Borders>
              <w:bottom w:val="single" w:sz="8" w:color="D4EEF4"/>
            </w:tcBorders>
          </w:tcPr>
          <w:p>
            <w:pPr>
              <w:spacing w:after="0"/>
              <w:rPr>
                <w:sz w:val="19"/>
                <w:szCs w:val="19"/>
                <w:color w:val="auto"/>
              </w:rPr>
            </w:pPr>
          </w:p>
        </w:tc>
      </w:tr>
      <w:tr>
        <w:trPr>
          <w:trHeight w:val="220"/>
        </w:trPr>
        <w:tc>
          <w:tcPr>
            <w:tcW w:w="41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76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101</w:t>
            </w:r>
          </w:p>
        </w:tc>
        <w:tc>
          <w:tcPr>
            <w:tcW w:w="120" w:type="dxa"/>
            <w:vAlign w:val="bottom"/>
            <w:shd w:val="clear" w:color="auto" w:fill="D4EEF4"/>
          </w:tcPr>
          <w:p>
            <w:pPr>
              <w:spacing w:after="0"/>
              <w:rPr>
                <w:sz w:val="19"/>
                <w:szCs w:val="19"/>
                <w:color w:val="auto"/>
              </w:rPr>
            </w:pPr>
          </w:p>
        </w:tc>
        <w:tc>
          <w:tcPr>
            <w:tcW w:w="6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8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101</w:t>
            </w:r>
          </w:p>
        </w:tc>
        <w:tc>
          <w:tcPr>
            <w:tcW w:w="100" w:type="dxa"/>
            <w:vAlign w:val="bottom"/>
            <w:shd w:val="clear" w:color="auto" w:fill="D4EEF4"/>
          </w:tcPr>
          <w:p>
            <w:pPr>
              <w:spacing w:after="0"/>
              <w:rPr>
                <w:sz w:val="19"/>
                <w:szCs w:val="19"/>
                <w:color w:val="auto"/>
              </w:rPr>
            </w:pPr>
          </w:p>
        </w:tc>
      </w:tr>
      <w:tr>
        <w:trPr>
          <w:trHeight w:val="230"/>
        </w:trPr>
        <w:tc>
          <w:tcPr>
            <w:tcW w:w="412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00" w:type="dxa"/>
            <w:vAlign w:val="bottom"/>
            <w:tcBorders>
              <w:bottom w:val="single" w:sz="8" w:color="D4EEF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20" w:type="dxa"/>
            <w:vAlign w:val="bottom"/>
            <w:tcBorders>
              <w:bottom w:val="single" w:sz="8" w:color="D4EEF4"/>
            </w:tcBorders>
          </w:tcPr>
          <w:p>
            <w:pPr>
              <w:spacing w:after="0"/>
              <w:rPr>
                <w:sz w:val="19"/>
                <w:szCs w:val="19"/>
                <w:color w:val="auto"/>
              </w:rPr>
            </w:pPr>
          </w:p>
        </w:tc>
        <w:tc>
          <w:tcPr>
            <w:tcW w:w="60" w:type="dxa"/>
            <w:vAlign w:val="bottom"/>
            <w:tcBorders>
              <w:bottom w:val="single" w:sz="8" w:color="D4EE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00" w:type="dxa"/>
            <w:vAlign w:val="bottom"/>
            <w:tcBorders>
              <w:bottom w:val="single" w:sz="8" w:color="D4EEF4"/>
            </w:tcBorders>
          </w:tcPr>
          <w:p>
            <w:pPr>
              <w:spacing w:after="0"/>
              <w:rPr>
                <w:sz w:val="19"/>
                <w:szCs w:val="19"/>
                <w:color w:val="auto"/>
              </w:rPr>
            </w:pPr>
          </w:p>
        </w:tc>
      </w:tr>
      <w:tr>
        <w:trPr>
          <w:trHeight w:val="220"/>
        </w:trPr>
        <w:tc>
          <w:tcPr>
            <w:tcW w:w="41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shd w:val="clear" w:color="auto" w:fill="D4EEF4"/>
          </w:tcPr>
          <w:p>
            <w:pPr>
              <w:spacing w:after="0"/>
              <w:rPr>
                <w:sz w:val="19"/>
                <w:szCs w:val="19"/>
                <w:color w:val="auto"/>
              </w:rPr>
            </w:pPr>
          </w:p>
        </w:tc>
        <w:tc>
          <w:tcPr>
            <w:tcW w:w="220" w:type="dxa"/>
            <w:vAlign w:val="bottom"/>
            <w:tcBorders>
              <w:bottom w:val="single" w:sz="8" w:color="auto"/>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12</w:t>
            </w:r>
          </w:p>
        </w:tc>
        <w:tc>
          <w:tcPr>
            <w:tcW w:w="120" w:type="dxa"/>
            <w:vAlign w:val="bottom"/>
            <w:shd w:val="clear" w:color="auto" w:fill="D4EEF4"/>
          </w:tcPr>
          <w:p>
            <w:pPr>
              <w:spacing w:after="0"/>
              <w:rPr>
                <w:sz w:val="19"/>
                <w:szCs w:val="19"/>
                <w:color w:val="auto"/>
              </w:rPr>
            </w:pPr>
          </w:p>
        </w:tc>
        <w:tc>
          <w:tcPr>
            <w:tcW w:w="60" w:type="dxa"/>
            <w:vAlign w:val="bottom"/>
            <w:shd w:val="clear" w:color="auto" w:fill="D4EEF4"/>
          </w:tcPr>
          <w:p>
            <w:pPr>
              <w:spacing w:after="0"/>
              <w:rPr>
                <w:sz w:val="19"/>
                <w:szCs w:val="19"/>
                <w:color w:val="auto"/>
              </w:rPr>
            </w:pPr>
          </w:p>
        </w:tc>
        <w:tc>
          <w:tcPr>
            <w:tcW w:w="240" w:type="dxa"/>
            <w:vAlign w:val="bottom"/>
            <w:tcBorders>
              <w:bottom w:val="single" w:sz="8" w:color="auto"/>
            </w:tcBorders>
            <w:shd w:val="clear" w:color="auto" w:fill="D4EEF4"/>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26</w:t>
            </w:r>
          </w:p>
        </w:tc>
        <w:tc>
          <w:tcPr>
            <w:tcW w:w="100" w:type="dxa"/>
            <w:vAlign w:val="bottom"/>
            <w:shd w:val="clear" w:color="auto" w:fill="D4EEF4"/>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Depreciation expense was approximately $14 thousand and $20 thousand for the years ended December 31, 2023 and December 31, 2022, respectively.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Intangible assets consist of the following (in thousands):</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9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3"/>
                <w:szCs w:val="13"/>
                <w:color w:val="auto"/>
              </w:rPr>
            </w:pPr>
          </w:p>
        </w:tc>
        <w:tc>
          <w:tcPr>
            <w:tcW w:w="130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660" w:type="dxa"/>
            <w:vAlign w:val="bottom"/>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700" w:type="dxa"/>
            <w:vAlign w:val="bottom"/>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7"/>
                <w:szCs w:val="17"/>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980" w:type="dxa"/>
            <w:vAlign w:val="bottom"/>
            <w:tcBorders>
              <w:top w:val="single" w:sz="8" w:color="D4EEF4"/>
            </w:tcBorders>
            <w:shd w:val="clear" w:color="auto" w:fill="D4EEF4"/>
          </w:tcPr>
          <w:p>
            <w:pPr>
              <w:spacing w:after="0" w:line="174" w:lineRule="exact"/>
              <w:rPr>
                <w:sz w:val="20"/>
                <w:szCs w:val="20"/>
                <w:color w:val="auto"/>
              </w:rPr>
            </w:pPr>
            <w:r>
              <w:rPr>
                <w:rFonts w:ascii="Times New Roman" w:cs="Times New Roman" w:eastAsia="Times New Roman" w:hAnsi="Times New Roman"/>
                <w:sz w:val="16"/>
                <w:szCs w:val="16"/>
                <w:color w:val="auto"/>
              </w:rPr>
              <w:t>Patents and merger costs</w:t>
            </w:r>
          </w:p>
        </w:tc>
        <w:tc>
          <w:tcPr>
            <w:tcW w:w="76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shd w:val="clear" w:color="auto" w:fill="D4EEF4"/>
              </w:rPr>
              <w:t>$   22,003</w:t>
            </w:r>
          </w:p>
        </w:tc>
        <w:tc>
          <w:tcPr>
            <w:tcW w:w="180" w:type="dxa"/>
            <w:vAlign w:val="bottom"/>
            <w:tcBorders>
              <w:top w:val="single" w:sz="8" w:color="D4EEF4"/>
            </w:tcBorders>
            <w:shd w:val="clear" w:color="auto" w:fill="D4EEF4"/>
          </w:tcPr>
          <w:p>
            <w:pPr>
              <w:spacing w:after="0"/>
              <w:rPr>
                <w:sz w:val="15"/>
                <w:szCs w:val="15"/>
                <w:color w:val="auto"/>
              </w:rPr>
            </w:pPr>
          </w:p>
        </w:tc>
        <w:tc>
          <w:tcPr>
            <w:tcW w:w="300" w:type="dxa"/>
            <w:vAlign w:val="bottom"/>
            <w:tcBorders>
              <w:top w:val="single" w:sz="8" w:color="auto"/>
            </w:tcBorders>
            <w:shd w:val="clear" w:color="auto" w:fill="D4EEF4"/>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rPr>
              <w:t>(13,254)</w:t>
            </w:r>
          </w:p>
        </w:tc>
        <w:tc>
          <w:tcPr>
            <w:tcW w:w="280" w:type="dxa"/>
            <w:vAlign w:val="bottom"/>
            <w:tcBorders>
              <w:top w:val="single" w:sz="8" w:color="D4EEF4"/>
            </w:tcBorders>
            <w:shd w:val="clear" w:color="auto" w:fill="D4EEF4"/>
          </w:tcPr>
          <w:p>
            <w:pPr>
              <w:spacing w:after="0"/>
              <w:rPr>
                <w:sz w:val="15"/>
                <w:szCs w:val="15"/>
                <w:color w:val="auto"/>
              </w:rPr>
            </w:pPr>
          </w:p>
        </w:tc>
        <w:tc>
          <w:tcPr>
            <w:tcW w:w="10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rPr>
              <w:t>8,749</w:t>
            </w:r>
          </w:p>
        </w:tc>
        <w:tc>
          <w:tcPr>
            <w:tcW w:w="200" w:type="dxa"/>
            <w:vAlign w:val="bottom"/>
            <w:tcBorders>
              <w:top w:val="single" w:sz="8" w:color="D4EEF4"/>
            </w:tcBorders>
            <w:shd w:val="clear" w:color="auto" w:fill="D4EEF4"/>
          </w:tcPr>
          <w:p>
            <w:pPr>
              <w:spacing w:after="0"/>
              <w:rPr>
                <w:sz w:val="15"/>
                <w:szCs w:val="15"/>
                <w:color w:val="auto"/>
              </w:rPr>
            </w:pPr>
          </w:p>
        </w:tc>
        <w:tc>
          <w:tcPr>
            <w:tcW w:w="10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rPr>
              <w:t>22,003</w:t>
            </w:r>
          </w:p>
        </w:tc>
        <w:tc>
          <w:tcPr>
            <w:tcW w:w="200" w:type="dxa"/>
            <w:vAlign w:val="bottom"/>
            <w:tcBorders>
              <w:top w:val="single" w:sz="8" w:color="D4EEF4"/>
            </w:tcBorders>
            <w:shd w:val="clear" w:color="auto" w:fill="D4EEF4"/>
          </w:tcPr>
          <w:p>
            <w:pPr>
              <w:spacing w:after="0"/>
              <w:rPr>
                <w:sz w:val="15"/>
                <w:szCs w:val="15"/>
                <w:color w:val="auto"/>
              </w:rPr>
            </w:pPr>
          </w:p>
        </w:tc>
        <w:tc>
          <w:tcPr>
            <w:tcW w:w="8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rPr>
              <w:t>(11,310)</w:t>
            </w:r>
          </w:p>
        </w:tc>
        <w:tc>
          <w:tcPr>
            <w:tcW w:w="200" w:type="dxa"/>
            <w:vAlign w:val="bottom"/>
            <w:tcBorders>
              <w:top w:val="single" w:sz="8" w:color="D4EEF4"/>
            </w:tcBorders>
            <w:shd w:val="clear" w:color="auto" w:fill="D4EEF4"/>
          </w:tcPr>
          <w:p>
            <w:pPr>
              <w:spacing w:after="0"/>
              <w:rPr>
                <w:sz w:val="15"/>
                <w:szCs w:val="15"/>
                <w:color w:val="auto"/>
              </w:rPr>
            </w:pPr>
          </w:p>
        </w:tc>
        <w:tc>
          <w:tcPr>
            <w:tcW w:w="10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shd w:val="clear" w:color="auto" w:fill="D4EEF4"/>
              </w:rPr>
              <w:t>$</w:t>
            </w:r>
          </w:p>
        </w:tc>
        <w:tc>
          <w:tcPr>
            <w:tcW w:w="700" w:type="dxa"/>
            <w:vAlign w:val="bottom"/>
            <w:tcBorders>
              <w:top w:val="single" w:sz="8" w:color="auto"/>
            </w:tcBorders>
            <w:shd w:val="clear" w:color="auto" w:fill="D4EEF4"/>
          </w:tcPr>
          <w:p>
            <w:pPr>
              <w:jc w:val="right"/>
              <w:spacing w:after="0" w:line="174" w:lineRule="exact"/>
              <w:rPr>
                <w:sz w:val="20"/>
                <w:szCs w:val="20"/>
                <w:color w:val="auto"/>
              </w:rPr>
            </w:pPr>
            <w:r>
              <w:rPr>
                <w:rFonts w:ascii="Times New Roman" w:cs="Times New Roman" w:eastAsia="Times New Roman" w:hAnsi="Times New Roman"/>
                <w:sz w:val="16"/>
                <w:szCs w:val="16"/>
                <w:color w:val="auto"/>
                <w:shd w:val="clear" w:color="auto" w:fill="D4EEF4"/>
              </w:rPr>
              <w:t>10,693</w:t>
            </w:r>
          </w:p>
        </w:tc>
        <w:tc>
          <w:tcPr>
            <w:tcW w:w="100" w:type="dxa"/>
            <w:vAlign w:val="bottom"/>
            <w:tcBorders>
              <w:top w:val="single" w:sz="8" w:color="D4EEF4"/>
            </w:tcBorders>
            <w:shd w:val="clear" w:color="auto" w:fill="D4EEF4"/>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20" w:right="1440" w:bottom="175" w:gutter="0" w:footer="0" w:header="0"/>
          <w:type w:val="continuous"/>
        </w:sectPr>
      </w:pPr>
    </w:p>
    <w:bookmarkStart w:id="78" w:name="page79"/>
    <w:bookmarkEnd w:id="78"/>
    <w:p>
      <w:pPr>
        <w:ind w:right="980" w:firstLine="490"/>
        <w:spacing w:after="0" w:line="277" w:lineRule="auto"/>
        <w:rPr>
          <w:sz w:val="20"/>
          <w:szCs w:val="20"/>
          <w:color w:val="auto"/>
        </w:rPr>
      </w:pPr>
      <w:r>
        <w:rPr>
          <w:rFonts w:ascii="Times New Roman" w:cs="Times New Roman" w:eastAsia="Times New Roman" w:hAnsi="Times New Roman"/>
          <w:sz w:val="20"/>
          <w:szCs w:val="20"/>
          <w:color w:val="auto"/>
        </w:rPr>
        <w:t>Future amortization expense for intangible assets over their remaining useful lives is as follows (in thousands):</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Patents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4EEF4"/>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trademarks</w:t>
            </w:r>
          </w:p>
        </w:tc>
        <w:tc>
          <w:tcPr>
            <w:tcW w:w="40" w:type="dxa"/>
            <w:vAlign w:val="bottom"/>
            <w:tcBorders>
              <w:bottom w:val="single" w:sz="8" w:color="D4EEF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2024</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6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1,944</w:t>
            </w:r>
          </w:p>
        </w:tc>
        <w:tc>
          <w:tcPr>
            <w:tcW w:w="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1,944</w:t>
            </w:r>
          </w:p>
        </w:tc>
        <w:tc>
          <w:tcPr>
            <w:tcW w:w="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2028 and thereafter</w:t>
            </w:r>
          </w:p>
        </w:tc>
        <w:tc>
          <w:tcPr>
            <w:tcW w:w="100" w:type="dxa"/>
            <w:vAlign w:val="bottom"/>
            <w:shd w:val="clear" w:color="auto" w:fill="D4EEF4"/>
          </w:tcPr>
          <w:p>
            <w:pPr>
              <w:spacing w:after="0"/>
              <w:rPr>
                <w:sz w:val="19"/>
                <w:szCs w:val="19"/>
                <w:color w:val="auto"/>
              </w:rPr>
            </w:pPr>
          </w:p>
        </w:tc>
        <w:tc>
          <w:tcPr>
            <w:tcW w:w="300" w:type="dxa"/>
            <w:vAlign w:val="bottom"/>
            <w:tcBorders>
              <w:bottom w:val="single" w:sz="8" w:color="auto"/>
            </w:tcBorders>
            <w:shd w:val="clear" w:color="auto" w:fill="D4EEF4"/>
          </w:tcPr>
          <w:p>
            <w:pPr>
              <w:spacing w:after="0"/>
              <w:rPr>
                <w:sz w:val="19"/>
                <w:szCs w:val="19"/>
                <w:color w:val="auto"/>
              </w:rPr>
            </w:pPr>
          </w:p>
        </w:tc>
        <w:tc>
          <w:tcPr>
            <w:tcW w:w="6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Amortization expense was $1.9 million for the year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Warrants</w:t>
      </w:r>
    </w:p>
    <w:p>
      <w:pPr>
        <w:spacing w:after="0" w:line="124"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20"/>
          <w:szCs w:val="20"/>
          <w:i w:val="1"/>
          <w:iCs w:val="1"/>
          <w:color w:val="auto"/>
        </w:rPr>
        <w:t>ASC 815 Derivatives and Hedging.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Issued as Part of the Units in the 2018 PIPE Offering</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2018 PIPE Warrants were issued on December 19, 2018 in the 2018 PIPE Offering, pursuant to a Warrant Agreement with each of the investors in the 2018 PIPE Offering, and prior to their expiration on December 21, 2023, entitled the holders to purchase 34,241 shares of the Company’s common stock at an exercise price equal to $30.00 per share, subject to adjustments.</w:t>
      </w:r>
    </w:p>
    <w:p>
      <w:pPr>
        <w:spacing w:after="0" w:line="194" w:lineRule="exact"/>
        <w:rPr>
          <w:sz w:val="20"/>
          <w:szCs w:val="20"/>
          <w:color w:val="auto"/>
        </w:rPr>
      </w:pPr>
    </w:p>
    <w:p>
      <w:pPr>
        <w:ind w:right="440" w:firstLine="490"/>
        <w:spacing w:after="0" w:line="258" w:lineRule="auto"/>
        <w:rPr>
          <w:sz w:val="20"/>
          <w:szCs w:val="20"/>
          <w:color w:val="auto"/>
        </w:rPr>
      </w:pPr>
      <w:r>
        <w:rPr>
          <w:rFonts w:ascii="Times New Roman" w:cs="Times New Roman" w:eastAsia="Times New Roman" w:hAnsi="Times New Roman"/>
          <w:sz w:val="20"/>
          <w:szCs w:val="20"/>
          <w:color w:val="auto"/>
        </w:rPr>
        <w:t>In the event of a change of control of the Company, the holders of unexercised warrants had the option to present their unexercised warrants to the Company, or its successor, to be purchased by the Company, or its successor, in an amount equal to the per share value determined by the Black-Scholes methodology.</w:t>
      </w:r>
    </w:p>
    <w:p>
      <w:pPr>
        <w:spacing w:after="0" w:line="188"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Since the Company may have been obligated to settle the 2018 PIPE Warrants in cash, the Company classified the 2018 PIPE Warrants as long-term liabilities at their fair value and re-measured the warrants at each balance sheet date until they were exercised or expire. Any change in the fair value is recognized as Other income (expense) in the Company’s consolidated statements of operations.</w:t>
      </w:r>
    </w:p>
    <w:p>
      <w:pPr>
        <w:spacing w:after="0" w:line="19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There were no 2018 PIPE Warrants outstanding at December 31, 2023 as the warrants were either exercised or expired, and the Company estimated the fair value of the liability for the 2018 PIPE Warrants at approximately $1 thousand at December 31, 2022. During 2023, 21,789 2018 PIPE Warrants were exercised for net proceeds of $0.2 million, and the Company issued 9,683 shares of common stock. The remaining 12,452 2018 PIPE Warrants expired. The increase of $0.2 million and the decrease of $30 thousand in the fair value of the liability for the 2018 PIPE Warrants during the years ended December 31, 2023 and 2022, respectively, was recorded as Other income in the consolidated statements of operations.</w:t>
      </w:r>
    </w:p>
    <w:p>
      <w:pPr>
        <w:spacing w:after="0" w:line="20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The Company has calculated the fair value of the 2018 PIPE Warrants using a Black-Scholes option-pricing model. The following summarizes certain key assumptions used in estimating the fair values: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660" w:type="dxa"/>
            <w:vAlign w:val="bottom"/>
            <w:tcBorders>
              <w:bottom w:val="single" w:sz="8" w:color="D4EEF4"/>
            </w:tcBorders>
          </w:tcPr>
          <w:p>
            <w:pPr>
              <w:spacing w:after="0"/>
              <w:rPr>
                <w:sz w:val="17"/>
                <w:szCs w:val="17"/>
                <w:color w:val="auto"/>
              </w:rPr>
            </w:pPr>
          </w:p>
        </w:tc>
        <w:tc>
          <w:tcPr>
            <w:tcW w:w="15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r>
      <w:tr>
        <w:trPr>
          <w:trHeight w:val="220"/>
        </w:trPr>
        <w:tc>
          <w:tcPr>
            <w:tcW w:w="766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Volatility</w:t>
            </w:r>
          </w:p>
        </w:tc>
        <w:tc>
          <w:tcPr>
            <w:tcW w:w="17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117%</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Contractual term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19"/>
                <w:szCs w:val="19"/>
                <w:color w:val="auto"/>
              </w:rPr>
            </w:pPr>
          </w:p>
        </w:tc>
      </w:tr>
      <w:tr>
        <w:trPr>
          <w:trHeight w:val="230"/>
        </w:trPr>
        <w:tc>
          <w:tcPr>
            <w:tcW w:w="76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7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Risk-free rate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4859655</wp:posOffset>
                </wp:positionH>
                <wp:positionV relativeFrom="paragraph">
                  <wp:posOffset>-607060</wp:posOffset>
                </wp:positionV>
                <wp:extent cx="977900" cy="14605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7900" cy="146050"/>
                        </a:xfrm>
                        <a:prstGeom prst="rect">
                          <a:avLst/>
                        </a:prstGeom>
                        <a:solidFill>
                          <a:srgbClr val="D4EEF4"/>
                        </a:solidFill>
                      </wps:spPr>
                      <wps:bodyPr/>
                    </wps:wsp>
                  </a:graphicData>
                </a:graphic>
              </wp:anchor>
            </w:drawing>
          </mc:Choice>
          <mc:Fallback>
            <w:pict>
              <v:rect id="Shape 15" o:spid="_x0000_s1040" style="position:absolute;margin-left:382.65pt;margin-top:-47.7999pt;width:7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20" w:right="1440" w:bottom="175" w:gutter="0" w:footer="0" w:header="0"/>
          <w:type w:val="continuous"/>
        </w:sectPr>
      </w:pPr>
    </w:p>
    <w:bookmarkStart w:id="79" w:name="page80"/>
    <w:bookmarkEnd w:id="79"/>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These assumptions include the following estimates:</w:t>
      </w:r>
    </w:p>
    <w:p>
      <w:pPr>
        <w:spacing w:after="0" w:line="63" w:lineRule="exact"/>
        <w:rPr>
          <w:sz w:val="20"/>
          <w:szCs w:val="20"/>
          <w:color w:val="auto"/>
        </w:rPr>
      </w:pPr>
    </w:p>
    <w:p>
      <w:pPr>
        <w:ind w:left="860" w:right="340" w:hanging="370"/>
        <w:spacing w:after="0" w:line="276" w:lineRule="auto"/>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Volatility: </w:t>
      </w:r>
      <w:r>
        <w:rPr>
          <w:rFonts w:ascii="Times New Roman" w:cs="Times New Roman" w:eastAsia="Times New Roman" w:hAnsi="Times New Roman"/>
          <w:sz w:val="20"/>
          <w:szCs w:val="20"/>
          <w:color w:val="auto"/>
        </w:rPr>
        <w:t>The Company calculated the estimated volatility rate based on its historical volatility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warrants.</w:t>
      </w:r>
    </w:p>
    <w:p>
      <w:pPr>
        <w:spacing w:after="0" w:line="64" w:lineRule="exact"/>
        <w:rPr>
          <w:rFonts w:ascii="Arial" w:cs="Arial" w:eastAsia="Arial" w:hAnsi="Arial"/>
          <w:sz w:val="20"/>
          <w:szCs w:val="20"/>
          <w:color w:val="auto"/>
        </w:rPr>
      </w:pPr>
    </w:p>
    <w:p>
      <w:pPr>
        <w:ind w:left="860" w:right="680" w:hanging="370"/>
        <w:spacing w:after="0" w:line="276" w:lineRule="auto"/>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Contractual term: </w:t>
      </w:r>
      <w:r>
        <w:rPr>
          <w:rFonts w:ascii="Times New Roman" w:cs="Times New Roman" w:eastAsia="Times New Roman" w:hAnsi="Times New Roman"/>
          <w:sz w:val="20"/>
          <w:szCs w:val="20"/>
          <w:color w:val="auto"/>
        </w:rPr>
        <w:t>The expected life of the warrants, which is based on the contractual term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warrants.</w:t>
      </w:r>
    </w:p>
    <w:p>
      <w:pPr>
        <w:spacing w:after="0" w:line="64" w:lineRule="exact"/>
        <w:rPr>
          <w:rFonts w:ascii="Arial" w:cs="Arial" w:eastAsia="Arial" w:hAnsi="Arial"/>
          <w:sz w:val="20"/>
          <w:szCs w:val="20"/>
          <w:color w:val="auto"/>
        </w:rPr>
      </w:pPr>
    </w:p>
    <w:p>
      <w:pPr>
        <w:jc w:val="both"/>
        <w:ind w:left="860" w:right="560" w:hanging="370"/>
        <w:spacing w:after="0" w:line="258" w:lineRule="auto"/>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The Company has never declared or paid any cash dividends and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currently plan to pay cash dividends in the foreseeable future. Consequently, the Company used an expected dividend yield of zero.</w:t>
      </w:r>
    </w:p>
    <w:p>
      <w:pPr>
        <w:spacing w:after="0" w:line="81" w:lineRule="exact"/>
        <w:rPr>
          <w:rFonts w:ascii="Arial" w:cs="Arial" w:eastAsia="Arial" w:hAnsi="Arial"/>
          <w:sz w:val="20"/>
          <w:szCs w:val="20"/>
          <w:color w:val="auto"/>
        </w:rPr>
      </w:pPr>
    </w:p>
    <w:p>
      <w:pPr>
        <w:ind w:left="860" w:right="480" w:hanging="370"/>
        <w:spacing w:after="0" w:line="276" w:lineRule="auto"/>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rate: </w:t>
      </w:r>
      <w:r>
        <w:rPr>
          <w:rFonts w:ascii="Times New Roman" w:cs="Times New Roman" w:eastAsia="Times New Roman" w:hAnsi="Times New Roman"/>
          <w:sz w:val="20"/>
          <w:szCs w:val="20"/>
          <w:color w:val="auto"/>
        </w:rPr>
        <w:t>The risk-free interest rate is based on the U.S. Treasury rate for similar periods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life of the warrants.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Leases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Facility Leases</w:t>
      </w:r>
    </w:p>
    <w:p>
      <w:pPr>
        <w:spacing w:after="0" w:line="120"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auto"/>
        </w:rPr>
        <w:t>The Company's operating lease for its headquarters facility office space in Redwood City, California began in June 2021 and expired in May 2023. In April 2023, the Company entered into a twenty-four month lease extension commencing on June 1, 2023. The term of the lease extension expires in May 2025.</w:t>
      </w:r>
    </w:p>
    <w:p>
      <w:pPr>
        <w:spacing w:after="0" w:line="6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Company’s operating lease ROU assets, current operating lease liabilities and long-term operating lease liabilities each appear as a separate line within the Company’s consolidated balance sheet. As of December 31, 2023 and December 31, 2022, the Company’s short-term liabilities were equal to $0.3 million and $0.2 million, respectively, and the long-term operating lease liabilities were equal to $0.1 million as of December 31, 2023. There were no long-term operating lease liabilities as of December 31, 2022.</w:t>
      </w:r>
    </w:p>
    <w:p>
      <w:pPr>
        <w:spacing w:after="0" w:line="77"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The Company recorded an increase to its right-of-use asset by $0.6 million and an increase to its lease liability by $0.6 million as a result of the lease extension. The weighted average discount rate related to the Company’s lease liabilities was 8.25% as of December 31, 2023 over a remaining term of 17 months, and 9% as of December 31, 2022 over the remaining term of 5 months. The discount rates were determined based on estimates of the Company's incremental borrowing rate, as the discount rates implicit in the Company’s leases cannot be readily determined.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lease expense were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028"/>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r>
      <w:tr>
        <w:trPr>
          <w:trHeight w:val="155"/>
        </w:trPr>
        <w:tc>
          <w:tcPr>
            <w:tcW w:w="4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r>
      <w:tr>
        <w:trPr>
          <w:trHeight w:val="203"/>
        </w:trPr>
        <w:tc>
          <w:tcPr>
            <w:tcW w:w="4900" w:type="dxa"/>
            <w:vAlign w:val="bottom"/>
            <w:tcBorders>
              <w:bottom w:val="single" w:sz="8" w:color="D4EEF4"/>
            </w:tcBorders>
          </w:tcPr>
          <w:p>
            <w:pPr>
              <w:spacing w:after="0"/>
              <w:rPr>
                <w:sz w:val="17"/>
                <w:szCs w:val="17"/>
                <w:color w:val="auto"/>
              </w:rPr>
            </w:pPr>
          </w:p>
        </w:tc>
        <w:tc>
          <w:tcPr>
            <w:tcW w:w="1280" w:type="dxa"/>
            <w:vAlign w:val="bottom"/>
            <w:tcBorders>
              <w:bottom w:val="single" w:sz="8" w:color="D4EEF4"/>
            </w:tcBorders>
          </w:tcPr>
          <w:p>
            <w:pPr>
              <w:spacing w:after="0"/>
              <w:rPr>
                <w:sz w:val="17"/>
                <w:szCs w:val="17"/>
                <w:color w:val="auto"/>
              </w:rPr>
            </w:pPr>
          </w:p>
        </w:tc>
        <w:tc>
          <w:tcPr>
            <w:tcW w:w="20" w:type="dxa"/>
            <w:vAlign w:val="bottom"/>
            <w:tcBorders>
              <w:bottom w:val="single" w:sz="8" w:color="D4EE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D4EE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4EEF4"/>
            </w:tcBorders>
          </w:tcPr>
          <w:p>
            <w:pPr>
              <w:spacing w:after="0"/>
              <w:rPr>
                <w:sz w:val="17"/>
                <w:szCs w:val="17"/>
                <w:color w:val="auto"/>
              </w:rPr>
            </w:pPr>
          </w:p>
        </w:tc>
      </w:tr>
      <w:tr>
        <w:trPr>
          <w:trHeight w:val="220"/>
        </w:trPr>
        <w:tc>
          <w:tcPr>
            <w:tcW w:w="490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Operating lease cost:</w:t>
            </w:r>
          </w:p>
        </w:tc>
        <w:tc>
          <w:tcPr>
            <w:tcW w:w="128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220" w:type="dxa"/>
            <w:vAlign w:val="bottom"/>
            <w:shd w:val="clear" w:color="auto" w:fill="D4EEF4"/>
          </w:tcPr>
          <w:p>
            <w:pPr>
              <w:spacing w:after="0"/>
              <w:rPr>
                <w:sz w:val="19"/>
                <w:szCs w:val="19"/>
                <w:color w:val="auto"/>
              </w:rPr>
            </w:pPr>
          </w:p>
        </w:tc>
        <w:tc>
          <w:tcPr>
            <w:tcW w:w="32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1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cost</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00" w:type="dxa"/>
            <w:vAlign w:val="bottom"/>
          </w:tcPr>
          <w:p>
            <w:pPr>
              <w:spacing w:after="0"/>
              <w:rPr>
                <w:sz w:val="19"/>
                <w:szCs w:val="19"/>
                <w:color w:val="auto"/>
              </w:rPr>
            </w:pPr>
          </w:p>
        </w:tc>
      </w:tr>
      <w:tr>
        <w:trPr>
          <w:trHeight w:val="230"/>
        </w:trPr>
        <w:tc>
          <w:tcPr>
            <w:tcW w:w="49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Short-term lease cost</w:t>
            </w:r>
          </w:p>
        </w:tc>
        <w:tc>
          <w:tcPr>
            <w:tcW w:w="128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40" w:type="dxa"/>
            <w:vAlign w:val="bottom"/>
            <w:tcBorders>
              <w:bottom w:val="single" w:sz="8" w:color="auto"/>
            </w:tcBorders>
            <w:shd w:val="clear" w:color="auto" w:fill="D4EEF4"/>
          </w:tcPr>
          <w:p>
            <w:pPr>
              <w:spacing w:after="0"/>
              <w:rPr>
                <w:sz w:val="19"/>
                <w:szCs w:val="19"/>
                <w:color w:val="auto"/>
              </w:rPr>
            </w:pPr>
          </w:p>
        </w:tc>
        <w:tc>
          <w:tcPr>
            <w:tcW w:w="12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320" w:type="dxa"/>
            <w:vAlign w:val="bottom"/>
            <w:shd w:val="clear" w:color="auto" w:fill="D4EEF4"/>
          </w:tcPr>
          <w:p>
            <w:pPr>
              <w:spacing w:after="0"/>
              <w:rPr>
                <w:sz w:val="19"/>
                <w:szCs w:val="19"/>
                <w:color w:val="auto"/>
              </w:rPr>
            </w:pPr>
          </w:p>
        </w:tc>
        <w:tc>
          <w:tcPr>
            <w:tcW w:w="160" w:type="dxa"/>
            <w:vAlign w:val="bottom"/>
            <w:tcBorders>
              <w:bottom w:val="single" w:sz="8" w:color="auto"/>
            </w:tcBorders>
            <w:shd w:val="clear" w:color="auto" w:fill="D4EEF4"/>
          </w:tcPr>
          <w:p>
            <w:pPr>
              <w:spacing w:after="0"/>
              <w:rPr>
                <w:sz w:val="19"/>
                <w:szCs w:val="19"/>
                <w:color w:val="auto"/>
              </w:rPr>
            </w:pPr>
          </w:p>
        </w:tc>
        <w:tc>
          <w:tcPr>
            <w:tcW w:w="12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shd w:val="clear" w:color="auto" w:fill="D4EEF4"/>
          </w:tcPr>
          <w:p>
            <w:pPr>
              <w:spacing w:after="0"/>
              <w:rPr>
                <w:sz w:val="19"/>
                <w:szCs w:val="19"/>
                <w:color w:val="auto"/>
              </w:rPr>
            </w:pPr>
          </w:p>
        </w:tc>
      </w:tr>
      <w:tr>
        <w:trPr>
          <w:trHeight w:val="220"/>
        </w:trPr>
        <w:tc>
          <w:tcPr>
            <w:tcW w:w="4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operating lease cost</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356</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353</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6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3"/>
                <w:szCs w:val="13"/>
                <w:color w:val="auto"/>
              </w:rPr>
            </w:pPr>
          </w:p>
        </w:tc>
        <w:tc>
          <w:tcPr>
            <w:tcW w:w="9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r>
      <w:tr>
        <w:trPr>
          <w:trHeight w:val="203"/>
        </w:trPr>
        <w:tc>
          <w:tcPr>
            <w:tcW w:w="6380" w:type="dxa"/>
            <w:vAlign w:val="bottom"/>
            <w:tcBorders>
              <w:bottom w:val="single" w:sz="8" w:color="D4EEF4"/>
            </w:tcBorders>
          </w:tcPr>
          <w:p>
            <w:pPr>
              <w:spacing w:after="0"/>
              <w:rPr>
                <w:sz w:val="17"/>
                <w:szCs w:val="17"/>
                <w:color w:val="auto"/>
              </w:rPr>
            </w:pPr>
          </w:p>
        </w:tc>
        <w:tc>
          <w:tcPr>
            <w:tcW w:w="680" w:type="dxa"/>
            <w:vAlign w:val="bottom"/>
            <w:tcBorders>
              <w:bottom w:val="single" w:sz="8" w:color="D4EEF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D4EEF4"/>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D4EEF4"/>
            </w:tcBorders>
          </w:tcPr>
          <w:p>
            <w:pPr>
              <w:spacing w:after="0"/>
              <w:rPr>
                <w:sz w:val="17"/>
                <w:szCs w:val="17"/>
                <w:color w:val="auto"/>
              </w:rPr>
            </w:pPr>
          </w:p>
        </w:tc>
      </w:tr>
      <w:tr>
        <w:trPr>
          <w:trHeight w:val="220"/>
        </w:trPr>
        <w:tc>
          <w:tcPr>
            <w:tcW w:w="63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6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76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66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66"/>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68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3"/>
              </w:rPr>
              <w:t>341</w:t>
            </w:r>
          </w:p>
        </w:tc>
        <w:tc>
          <w:tcPr>
            <w:tcW w:w="26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20" w:right="1440" w:bottom="175" w:gutter="0" w:footer="0" w:header="0"/>
          <w:type w:val="continuous"/>
        </w:sectPr>
      </w:pPr>
    </w:p>
    <w:bookmarkStart w:id="80" w:name="page81"/>
    <w:bookmarkEnd w:id="80"/>
    <w:p>
      <w:pPr>
        <w:ind w:left="500"/>
        <w:spacing w:after="0"/>
        <w:rPr>
          <w:sz w:val="20"/>
          <w:szCs w:val="20"/>
          <w:color w:val="auto"/>
        </w:rPr>
      </w:pPr>
      <w:r>
        <w:rPr>
          <w:rFonts w:ascii="Times New Roman" w:cs="Times New Roman" w:eastAsia="Times New Roman" w:hAnsi="Times New Roman"/>
          <w:sz w:val="20"/>
          <w:szCs w:val="20"/>
          <w:color w:val="auto"/>
        </w:rPr>
        <w:t>The following is a schedule by year of future maturities of the Company’s operating lease liabilities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2024</w:t>
            </w:r>
          </w:p>
        </w:tc>
        <w:tc>
          <w:tcPr>
            <w:tcW w:w="2720" w:type="dxa"/>
            <w:vAlign w:val="bottom"/>
            <w:shd w:val="clear" w:color="auto" w:fill="D4EEF4"/>
          </w:tcPr>
          <w:p>
            <w:pPr>
              <w:spacing w:after="0"/>
              <w:rPr>
                <w:sz w:val="19"/>
                <w:szCs w:val="19"/>
                <w:color w:val="auto"/>
              </w:rPr>
            </w:pPr>
          </w:p>
        </w:tc>
        <w:tc>
          <w:tcPr>
            <w:tcW w:w="860" w:type="dxa"/>
            <w:vAlign w:val="bottom"/>
            <w:shd w:val="clear" w:color="auto" w:fill="D4EEF4"/>
          </w:tcPr>
          <w:p>
            <w:pPr>
              <w:spacing w:after="0"/>
              <w:rPr>
                <w:sz w:val="19"/>
                <w:szCs w:val="19"/>
                <w:color w:val="auto"/>
              </w:rPr>
            </w:pPr>
          </w:p>
        </w:tc>
        <w:tc>
          <w:tcPr>
            <w:tcW w:w="10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00" w:type="dxa"/>
            <w:vAlign w:val="bottom"/>
            <w:shd w:val="clear" w:color="auto" w:fill="D4EEF4"/>
          </w:tcPr>
          <w:p>
            <w:pPr>
              <w:spacing w:after="0"/>
              <w:rPr>
                <w:sz w:val="19"/>
                <w:szCs w:val="19"/>
                <w:color w:val="auto"/>
              </w:rPr>
            </w:pPr>
          </w:p>
        </w:tc>
      </w:tr>
      <w:tr>
        <w:trPr>
          <w:trHeight w:val="230"/>
        </w:trPr>
        <w:tc>
          <w:tcPr>
            <w:tcW w:w="460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2025</w:t>
            </w:r>
          </w:p>
        </w:tc>
        <w:tc>
          <w:tcPr>
            <w:tcW w:w="2720" w:type="dxa"/>
            <w:vAlign w:val="bottom"/>
            <w:tcBorders>
              <w:bottom w:val="single" w:sz="8" w:color="D4EEF4"/>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00" w:type="dxa"/>
            <w:vAlign w:val="bottom"/>
            <w:tcBorders>
              <w:bottom w:val="single" w:sz="8" w:color="D4EEF4"/>
            </w:tcBorders>
          </w:tcPr>
          <w:p>
            <w:pPr>
              <w:spacing w:after="0"/>
              <w:rPr>
                <w:sz w:val="19"/>
                <w:szCs w:val="19"/>
                <w:color w:val="auto"/>
              </w:rPr>
            </w:pPr>
          </w:p>
        </w:tc>
      </w:tr>
      <w:tr>
        <w:trPr>
          <w:trHeight w:val="220"/>
        </w:trPr>
        <w:tc>
          <w:tcPr>
            <w:tcW w:w="4600" w:type="dxa"/>
            <w:vAlign w:val="bottom"/>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lease payments</w:t>
            </w:r>
          </w:p>
        </w:tc>
        <w:tc>
          <w:tcPr>
            <w:tcW w:w="2720" w:type="dxa"/>
            <w:vAlign w:val="bottom"/>
            <w:shd w:val="clear" w:color="auto" w:fill="D4EEF4"/>
          </w:tcPr>
          <w:p>
            <w:pPr>
              <w:spacing w:after="0"/>
              <w:rPr>
                <w:sz w:val="19"/>
                <w:szCs w:val="19"/>
                <w:color w:val="auto"/>
              </w:rPr>
            </w:pPr>
          </w:p>
        </w:tc>
        <w:tc>
          <w:tcPr>
            <w:tcW w:w="860" w:type="dxa"/>
            <w:vAlign w:val="bottom"/>
            <w:shd w:val="clear" w:color="auto" w:fill="D4EEF4"/>
          </w:tcPr>
          <w:p>
            <w:pPr>
              <w:spacing w:after="0"/>
              <w:rPr>
                <w:sz w:val="19"/>
                <w:szCs w:val="19"/>
                <w:color w:val="auto"/>
              </w:rPr>
            </w:pPr>
          </w:p>
        </w:tc>
        <w:tc>
          <w:tcPr>
            <w:tcW w:w="10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430</w:t>
            </w:r>
          </w:p>
        </w:tc>
        <w:tc>
          <w:tcPr>
            <w:tcW w:w="100" w:type="dxa"/>
            <w:vAlign w:val="bottom"/>
            <w:shd w:val="clear" w:color="auto" w:fill="D4EEF4"/>
          </w:tcPr>
          <w:p>
            <w:pPr>
              <w:spacing w:after="0"/>
              <w:rPr>
                <w:sz w:val="19"/>
                <w:szCs w:val="19"/>
                <w:color w:val="auto"/>
              </w:rPr>
            </w:pPr>
          </w:p>
        </w:tc>
      </w:tr>
      <w:tr>
        <w:trPr>
          <w:trHeight w:val="230"/>
        </w:trPr>
        <w:tc>
          <w:tcPr>
            <w:tcW w:w="460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Less interest</w:t>
            </w:r>
          </w:p>
        </w:tc>
        <w:tc>
          <w:tcPr>
            <w:tcW w:w="2720" w:type="dxa"/>
            <w:vAlign w:val="bottom"/>
            <w:tcBorders>
              <w:bottom w:val="single" w:sz="8" w:color="D4EEF4"/>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Borders>
              <w:bottom w:val="single" w:sz="8" w:color="D4EEF4"/>
            </w:tcBorders>
          </w:tcPr>
          <w:p>
            <w:pPr>
              <w:spacing w:after="0"/>
              <w:rPr>
                <w:sz w:val="19"/>
                <w:szCs w:val="19"/>
                <w:color w:val="auto"/>
              </w:rPr>
            </w:pPr>
          </w:p>
        </w:tc>
      </w:tr>
      <w:tr>
        <w:trPr>
          <w:trHeight w:val="220"/>
        </w:trPr>
        <w:tc>
          <w:tcPr>
            <w:tcW w:w="4600" w:type="dxa"/>
            <w:vAlign w:val="bottom"/>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720" w:type="dxa"/>
            <w:vAlign w:val="bottom"/>
            <w:shd w:val="clear" w:color="auto" w:fill="D4EEF4"/>
          </w:tcPr>
          <w:p>
            <w:pPr>
              <w:spacing w:after="0"/>
              <w:rPr>
                <w:sz w:val="19"/>
                <w:szCs w:val="19"/>
                <w:color w:val="auto"/>
              </w:rPr>
            </w:pPr>
          </w:p>
        </w:tc>
        <w:tc>
          <w:tcPr>
            <w:tcW w:w="860" w:type="dxa"/>
            <w:vAlign w:val="bottom"/>
            <w:tcBorders>
              <w:bottom w:val="single" w:sz="8" w:color="auto"/>
            </w:tcBorders>
            <w:shd w:val="clear" w:color="auto" w:fill="D4EEF4"/>
          </w:tcPr>
          <w:p>
            <w:pPr>
              <w:jc w:val="right"/>
              <w:ind w:right="6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403</w:t>
            </w:r>
          </w:p>
        </w:tc>
        <w:tc>
          <w:tcPr>
            <w:tcW w:w="100" w:type="dxa"/>
            <w:vAlign w:val="bottom"/>
            <w:shd w:val="clear" w:color="auto" w:fill="D4EEF4"/>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Commitments and Contingencies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Stockholders’ Equity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Preferred Stock</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is authorized to issue 10,000,000 shares of Preferred Stock.</w:t>
      </w:r>
    </w:p>
    <w:p>
      <w:pPr>
        <w:spacing w:after="0" w:line="360"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Public Offering of Common Stock and Concurrent Private Placement of Common Stock and Pre-Funded Warrants</w:t>
      </w:r>
    </w:p>
    <w:p>
      <w:pPr>
        <w:spacing w:after="0" w:line="169"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per-funded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Purchase Agreement</w:t>
      </w:r>
    </w:p>
    <w:p>
      <w:pPr>
        <w:spacing w:after="0" w:line="240" w:lineRule="exact"/>
        <w:rPr>
          <w:sz w:val="20"/>
          <w:szCs w:val="20"/>
          <w:color w:val="auto"/>
        </w:rPr>
      </w:pPr>
    </w:p>
    <w:p>
      <w:pPr>
        <w:ind w:right="40" w:firstLine="490"/>
        <w:spacing w:after="0" w:line="261" w:lineRule="auto"/>
        <w:rPr>
          <w:sz w:val="20"/>
          <w:szCs w:val="20"/>
          <w:color w:val="auto"/>
        </w:rPr>
      </w:pPr>
      <w:r>
        <w:rPr>
          <w:rFonts w:ascii="Times New Roman" w:cs="Times New Roman" w:eastAsia="Times New Roman" w:hAnsi="Times New Roman"/>
          <w:sz w:val="19"/>
          <w:szCs w:val="19"/>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spacing w:after="0" w:line="187" w:lineRule="exact"/>
        <w:rPr>
          <w:sz w:val="20"/>
          <w:szCs w:val="20"/>
          <w:color w:val="auto"/>
        </w:rPr>
      </w:pPr>
    </w:p>
    <w:p>
      <w:pPr>
        <w:ind w:right="240" w:firstLine="490"/>
        <w:spacing w:after="0" w:line="270" w:lineRule="auto"/>
        <w:rPr>
          <w:sz w:val="20"/>
          <w:szCs w:val="20"/>
          <w:color w:val="auto"/>
        </w:rPr>
      </w:pPr>
      <w:r>
        <w:rPr>
          <w:rFonts w:ascii="Times New Roman" w:cs="Times New Roman" w:eastAsia="Times New Roman" w:hAnsi="Times New Roman"/>
          <w:sz w:val="19"/>
          <w:szCs w:val="19"/>
          <w:color w:val="auto"/>
        </w:rPr>
        <w:t>The warrants were separated into two tranches with 8,598,870 Tranche A warrants with an exercise price of $1.75 and aggregate proceeds of up to approximately $15.0 million, and 14,000,000 Tranche B warrants with an exercise price of $2.50 and aggregate proceeds of up to $35.0 million. The Tranche A warrants were immediately exercisable and were required to be exercised within 30 days of announcement of positive top-line data from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20" w:right="1440" w:bottom="175" w:gutter="0" w:footer="0" w:header="0"/>
          <w:type w:val="continuous"/>
        </w:sectPr>
      </w:pPr>
    </w:p>
    <w:bookmarkStart w:id="81" w:name="page82"/>
    <w:bookmarkEnd w:id="81"/>
    <w:p>
      <w:pPr>
        <w:ind w:right="80"/>
        <w:spacing w:after="0" w:line="247" w:lineRule="auto"/>
        <w:rPr>
          <w:sz w:val="20"/>
          <w:szCs w:val="20"/>
          <w:color w:val="auto"/>
        </w:rPr>
      </w:pPr>
      <w:r>
        <w:rPr>
          <w:rFonts w:ascii="Times New Roman" w:cs="Times New Roman" w:eastAsia="Times New Roman" w:hAnsi="Times New Roman"/>
          <w:sz w:val="20"/>
          <w:szCs w:val="20"/>
          <w:color w:val="auto"/>
        </w:rPr>
        <w:t>randomized withdrawal period of Study C602. On September 26, 2023, the Company announced positive top-line data and subsequently received $15.0 million from the exercise of the Tranche A warrants. The Tranche B warrants are also immediately exercisable and expire upon the earlier of 3.5 years from the date of issuance or 30 days following receipt of FDA approval of DCCR for the treatment of PWS. During 2023, certain investors exercised their Tranche B warrants and the Company received $18.1 million. The receipt of the aggregate exercise price of up to $16.9 million for the remaining Tranche B warrants is contingent upon the exercise of such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Underwritten Public Offering</w:t>
      </w:r>
    </w:p>
    <w:p>
      <w:pPr>
        <w:spacing w:after="0" w:line="12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auto"/>
        </w:rPr>
        <w:t>On March 31, 2022, the Company sold 2,666,667 shares of its common stock at a public offering price of $3.75, and for certain investors, in lieu of common stock, pre-funded warrants (the March 2022 pre-funded warrants) to purchase 1,333,333 shares of its common stock at a public offering price $3.60 per pre-funded warrant, which represents the per share public offering price for the common stock less the $0.15 per share exercise price for each March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196"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In 2023, 2,070,934 March 2022 warrants were exercised for gross proceeds of $9.3 million and all 1,280,965 March 2022 pre-funded warrants were exercised using the cashless exercise option with no additional proceeds received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 the Market Offering</w:t>
      </w:r>
    </w:p>
    <w:p>
      <w:pPr>
        <w:spacing w:after="0" w:line="110" w:lineRule="exact"/>
        <w:rPr>
          <w:sz w:val="20"/>
          <w:szCs w:val="20"/>
          <w:color w:val="auto"/>
        </w:rPr>
      </w:pPr>
    </w:p>
    <w:p>
      <w:pPr>
        <w:ind w:right="100" w:firstLine="490"/>
        <w:spacing w:after="0" w:line="237" w:lineRule="auto"/>
        <w:rPr>
          <w:sz w:val="20"/>
          <w:szCs w:val="20"/>
          <w:color w:val="auto"/>
        </w:rPr>
      </w:pPr>
      <w:r>
        <w:rPr>
          <w:rFonts w:ascii="Times New Roman" w:cs="Times New Roman" w:eastAsia="Times New Roman" w:hAnsi="Times New Roman"/>
          <w:sz w:val="20"/>
          <w:szCs w:val="20"/>
          <w:color w:val="auto"/>
        </w:rPr>
        <w:t>In July 2021, the Company entered into a Controlled Equity Offering Sales Agreement under which the Company may sell shares of its common stock having an aggregate offering price of up to $25.0 million from time to time in any method permitted by law deemed to be an “at the market” Rule 415 under the Securities Act of 1933, as amended. As of December 31, 2023, the Company has sold 1,877,170 shares of common stock through the at the market program, totaling $7.4 million in net proceeds. The Controlled Equity Offering Sales Agreement was terminated in connection with the October 2, 2023 financing.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Common Stock Warrants</w:t>
      </w:r>
    </w:p>
    <w:p>
      <w:pPr>
        <w:spacing w:after="0" w:line="110" w:lineRule="exact"/>
        <w:rPr>
          <w:sz w:val="20"/>
          <w:szCs w:val="20"/>
          <w:color w:val="auto"/>
        </w:rPr>
      </w:pPr>
    </w:p>
    <w:p>
      <w:pPr>
        <w:ind w:right="220" w:firstLine="490"/>
        <w:spacing w:after="0" w:line="294" w:lineRule="auto"/>
        <w:rPr>
          <w:sz w:val="20"/>
          <w:szCs w:val="20"/>
          <w:color w:val="auto"/>
        </w:rPr>
      </w:pPr>
      <w:r>
        <w:rPr>
          <w:rFonts w:ascii="Times New Roman" w:cs="Times New Roman" w:eastAsia="Times New Roman" w:hAnsi="Times New Roman"/>
          <w:sz w:val="19"/>
          <w:szCs w:val="19"/>
          <w:color w:val="auto"/>
        </w:rPr>
        <w:t>As of December 31, 2023, the Company had 6,804 common stock warrants outstanding from the 2010/2012 convertible notes, with an exercise price of $365.25 and expire in November 2024. The Company also had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20" w:right="1440" w:bottom="175" w:gutter="0" w:footer="0" w:header="0"/>
          <w:type w:val="continuous"/>
        </w:sectPr>
      </w:pPr>
    </w:p>
    <w:bookmarkStart w:id="82" w:name="page83"/>
    <w:bookmarkEnd w:id="82"/>
    <w:p>
      <w:pPr>
        <w:ind w:right="20"/>
        <w:spacing w:after="0" w:line="267" w:lineRule="auto"/>
        <w:rPr>
          <w:sz w:val="20"/>
          <w:szCs w:val="20"/>
          <w:color w:val="auto"/>
        </w:rPr>
      </w:pPr>
      <w:r>
        <w:rPr>
          <w:rFonts w:ascii="Times New Roman" w:cs="Times New Roman" w:eastAsia="Times New Roman" w:hAnsi="Times New Roman"/>
          <w:sz w:val="20"/>
          <w:szCs w:val="20"/>
          <w:color w:val="auto"/>
        </w:rPr>
        <w:t>outstanding 1,100 common stock warrants issued to the underwriter in the Company’s IPO, with an exercise price of $535.50 and a term of 10 years, expiring in November 2024.</w:t>
      </w:r>
    </w:p>
    <w:p>
      <w:pPr>
        <w:spacing w:after="0" w:line="49"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20"/>
          <w:szCs w:val="20"/>
          <w:color w:val="auto"/>
        </w:rPr>
        <w:t>As of December 31, 2023 and December 31, 2022, the following table summarizes the Company's outstanding common stock warrants: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0" w:type="dxa"/>
            <w:vAlign w:val="bottom"/>
          </w:tcPr>
          <w:p>
            <w:pPr>
              <w:spacing w:after="0"/>
              <w:rPr>
                <w:sz w:val="17"/>
                <w:szCs w:val="17"/>
                <w:color w:val="auto"/>
              </w:rPr>
            </w:pPr>
          </w:p>
        </w:tc>
        <w:tc>
          <w:tcPr>
            <w:tcW w:w="250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center"/>
              <w:ind w:right="65"/>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center"/>
              <w:ind w:right="65"/>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5"/>
                <w:szCs w:val="15"/>
                <w:color w:val="auto"/>
              </w:rPr>
            </w:pPr>
          </w:p>
        </w:tc>
        <w:tc>
          <w:tcPr>
            <w:tcW w:w="1220" w:type="dxa"/>
            <w:vAlign w:val="bottom"/>
            <w:gridSpan w:val="2"/>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5"/>
                <w:szCs w:val="15"/>
                <w:color w:val="auto"/>
              </w:rPr>
            </w:pPr>
          </w:p>
        </w:tc>
        <w:tc>
          <w:tcPr>
            <w:tcW w:w="1240" w:type="dxa"/>
            <w:vAlign w:val="bottom"/>
            <w:gridSpan w:val="2"/>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22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Expiration Date</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D4EEF4"/>
            </w:tcBorders>
          </w:tcPr>
          <w:p>
            <w:pPr>
              <w:spacing w:after="0"/>
              <w:rPr>
                <w:sz w:val="17"/>
                <w:szCs w:val="17"/>
                <w:color w:val="auto"/>
              </w:rPr>
            </w:pPr>
          </w:p>
        </w:tc>
        <w:tc>
          <w:tcPr>
            <w:tcW w:w="20" w:type="dxa"/>
            <w:vAlign w:val="bottom"/>
            <w:tcBorders>
              <w:bottom w:val="single" w:sz="8" w:color="D4EEF4"/>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 Shares</w:t>
            </w:r>
          </w:p>
        </w:tc>
        <w:tc>
          <w:tcPr>
            <w:tcW w:w="100" w:type="dxa"/>
            <w:vAlign w:val="bottom"/>
            <w:tcBorders>
              <w:bottom w:val="single" w:sz="8" w:color="D4EEF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180" w:type="dxa"/>
            <w:vAlign w:val="bottom"/>
            <w:tcBorders>
              <w:bottom w:val="single" w:sz="8" w:color="D4EEF4"/>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Warrant Shares</w:t>
            </w:r>
          </w:p>
        </w:tc>
        <w:tc>
          <w:tcPr>
            <w:tcW w:w="100" w:type="dxa"/>
            <w:vAlign w:val="bottom"/>
            <w:tcBorders>
              <w:bottom w:val="single" w:sz="8" w:color="D4EEF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Borders>
              <w:bottom w:val="single" w:sz="8" w:color="D4EEF4"/>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D4EEF4"/>
          </w:tcPr>
          <w:p>
            <w:pPr>
              <w:spacing w:after="0" w:line="201" w:lineRule="exact"/>
              <w:rPr>
                <w:sz w:val="20"/>
                <w:szCs w:val="20"/>
                <w:color w:val="auto"/>
              </w:rPr>
            </w:pPr>
            <w:r>
              <w:rPr>
                <w:rFonts w:ascii="Times New Roman" w:cs="Times New Roman" w:eastAsia="Times New Roman" w:hAnsi="Times New Roman"/>
                <w:sz w:val="20"/>
                <w:szCs w:val="20"/>
                <w:color w:val="auto"/>
              </w:rPr>
              <w:t>Common stock warrants</w:t>
            </w:r>
          </w:p>
        </w:tc>
        <w:tc>
          <w:tcPr>
            <w:tcW w:w="114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80" w:type="dxa"/>
            <w:vAlign w:val="bottom"/>
            <w:shd w:val="clear" w:color="auto" w:fill="D4EEF4"/>
          </w:tcPr>
          <w:p>
            <w:pPr>
              <w:spacing w:after="0"/>
              <w:rPr>
                <w:sz w:val="17"/>
                <w:szCs w:val="17"/>
                <w:color w:val="auto"/>
              </w:rPr>
            </w:pPr>
          </w:p>
        </w:tc>
        <w:tc>
          <w:tcPr>
            <w:tcW w:w="940" w:type="dxa"/>
            <w:vAlign w:val="bottom"/>
            <w:shd w:val="clear" w:color="auto" w:fill="D4EEF4"/>
          </w:tcPr>
          <w:p>
            <w:pPr>
              <w:spacing w:after="0"/>
              <w:rPr>
                <w:sz w:val="17"/>
                <w:szCs w:val="17"/>
                <w:color w:val="auto"/>
              </w:rPr>
            </w:pPr>
          </w:p>
        </w:tc>
        <w:tc>
          <w:tcPr>
            <w:tcW w:w="180" w:type="dxa"/>
            <w:vAlign w:val="bottom"/>
            <w:shd w:val="clear" w:color="auto" w:fill="D4EEF4"/>
          </w:tcPr>
          <w:p>
            <w:pPr>
              <w:spacing w:after="0"/>
              <w:rPr>
                <w:sz w:val="17"/>
                <w:szCs w:val="17"/>
                <w:color w:val="auto"/>
              </w:rPr>
            </w:pPr>
          </w:p>
        </w:tc>
        <w:tc>
          <w:tcPr>
            <w:tcW w:w="116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280" w:type="dxa"/>
            <w:vAlign w:val="bottom"/>
            <w:shd w:val="clear" w:color="auto" w:fill="D4EEF4"/>
          </w:tcPr>
          <w:p>
            <w:pPr>
              <w:spacing w:after="0"/>
              <w:rPr>
                <w:sz w:val="17"/>
                <w:szCs w:val="17"/>
                <w:color w:val="auto"/>
              </w:rPr>
            </w:pPr>
          </w:p>
        </w:tc>
        <w:tc>
          <w:tcPr>
            <w:tcW w:w="960" w:type="dxa"/>
            <w:vAlign w:val="bottom"/>
            <w:shd w:val="clear" w:color="auto" w:fill="D4EEF4"/>
          </w:tcPr>
          <w:p>
            <w:pPr>
              <w:spacing w:after="0"/>
              <w:rPr>
                <w:sz w:val="17"/>
                <w:szCs w:val="17"/>
                <w:color w:val="auto"/>
              </w:rPr>
            </w:pPr>
          </w:p>
        </w:tc>
        <w:tc>
          <w:tcPr>
            <w:tcW w:w="220" w:type="dxa"/>
            <w:vAlign w:val="bottom"/>
            <w:shd w:val="clear" w:color="auto" w:fill="D4EEF4"/>
          </w:tcPr>
          <w:p>
            <w:pPr>
              <w:spacing w:after="0"/>
              <w:rPr>
                <w:sz w:val="17"/>
                <w:szCs w:val="17"/>
                <w:color w:val="auto"/>
              </w:rPr>
            </w:pPr>
          </w:p>
        </w:tc>
        <w:tc>
          <w:tcPr>
            <w:tcW w:w="1280" w:type="dxa"/>
            <w:vAlign w:val="bottom"/>
            <w:shd w:val="clear" w:color="auto" w:fill="D4EEF4"/>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November</w:t>
            </w:r>
          </w:p>
        </w:tc>
        <w:tc>
          <w:tcPr>
            <w:tcW w:w="0" w:type="dxa"/>
            <w:vAlign w:val="bottom"/>
          </w:tcPr>
          <w:p>
            <w:pPr>
              <w:spacing w:after="0"/>
              <w:rPr>
                <w:sz w:val="1"/>
                <w:szCs w:val="1"/>
                <w:color w:val="auto"/>
              </w:rPr>
            </w:pPr>
          </w:p>
        </w:tc>
      </w:tr>
      <w:tr>
        <w:trPr>
          <w:trHeight w:val="249"/>
        </w:trPr>
        <w:tc>
          <w:tcPr>
            <w:tcW w:w="2700" w:type="dxa"/>
            <w:vAlign w:val="bottom"/>
            <w:shd w:val="clear" w:color="auto" w:fill="D4EEF4"/>
          </w:tcPr>
          <w:p>
            <w:pPr>
              <w:spacing w:after="0"/>
              <w:rPr>
                <w:sz w:val="21"/>
                <w:szCs w:val="21"/>
                <w:color w:val="auto"/>
              </w:rPr>
            </w:pPr>
          </w:p>
        </w:tc>
        <w:tc>
          <w:tcPr>
            <w:tcW w:w="20" w:type="dxa"/>
            <w:vAlign w:val="bottom"/>
            <w:shd w:val="clear" w:color="auto" w:fill="D4EEF4"/>
          </w:tcPr>
          <w:p>
            <w:pPr>
              <w:spacing w:after="0"/>
              <w:rPr>
                <w:sz w:val="21"/>
                <w:szCs w:val="21"/>
                <w:color w:val="auto"/>
              </w:rPr>
            </w:pP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7,904</w:t>
            </w:r>
          </w:p>
        </w:tc>
        <w:tc>
          <w:tcPr>
            <w:tcW w:w="100" w:type="dxa"/>
            <w:vAlign w:val="bottom"/>
            <w:shd w:val="clear" w:color="auto" w:fill="D4EEF4"/>
          </w:tcPr>
          <w:p>
            <w:pPr>
              <w:spacing w:after="0"/>
              <w:rPr>
                <w:sz w:val="21"/>
                <w:szCs w:val="21"/>
                <w:color w:val="auto"/>
              </w:rPr>
            </w:pPr>
          </w:p>
        </w:tc>
        <w:tc>
          <w:tcPr>
            <w:tcW w:w="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388.94</w:t>
            </w:r>
          </w:p>
        </w:tc>
        <w:tc>
          <w:tcPr>
            <w:tcW w:w="180" w:type="dxa"/>
            <w:vAlign w:val="bottom"/>
            <w:shd w:val="clear" w:color="auto" w:fill="D4EEF4"/>
          </w:tcPr>
          <w:p>
            <w:pPr>
              <w:spacing w:after="0"/>
              <w:rPr>
                <w:sz w:val="21"/>
                <w:szCs w:val="21"/>
                <w:color w:val="auto"/>
              </w:rPr>
            </w:pPr>
          </w:p>
        </w:tc>
        <w:tc>
          <w:tcPr>
            <w:tcW w:w="1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7,904</w:t>
            </w:r>
          </w:p>
        </w:tc>
        <w:tc>
          <w:tcPr>
            <w:tcW w:w="100" w:type="dxa"/>
            <w:vAlign w:val="bottom"/>
            <w:shd w:val="clear" w:color="auto" w:fill="D4EEF4"/>
          </w:tcPr>
          <w:p>
            <w:pPr>
              <w:spacing w:after="0"/>
              <w:rPr>
                <w:sz w:val="21"/>
                <w:szCs w:val="21"/>
                <w:color w:val="auto"/>
              </w:rPr>
            </w:pPr>
          </w:p>
        </w:tc>
        <w:tc>
          <w:tcPr>
            <w:tcW w:w="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388.94</w:t>
            </w:r>
          </w:p>
        </w:tc>
        <w:tc>
          <w:tcPr>
            <w:tcW w:w="220" w:type="dxa"/>
            <w:vAlign w:val="bottom"/>
            <w:shd w:val="clear" w:color="auto" w:fill="D4EEF4"/>
          </w:tcPr>
          <w:p>
            <w:pPr>
              <w:spacing w:after="0"/>
              <w:rPr>
                <w:sz w:val="21"/>
                <w:szCs w:val="21"/>
                <w:color w:val="auto"/>
              </w:rPr>
            </w:pPr>
          </w:p>
        </w:tc>
        <w:tc>
          <w:tcPr>
            <w:tcW w:w="128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2018 PIPE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34,241</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2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December 2023</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March 2022 Common warrants</w:t>
            </w: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1,929,066</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13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4,000,000</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220" w:type="dxa"/>
            <w:vAlign w:val="bottom"/>
            <w:shd w:val="clear" w:color="auto" w:fill="D4EEF4"/>
          </w:tcPr>
          <w:p>
            <w:pPr>
              <w:spacing w:after="0"/>
              <w:rPr>
                <w:sz w:val="19"/>
                <w:szCs w:val="19"/>
                <w:color w:val="auto"/>
              </w:rPr>
            </w:pPr>
          </w:p>
        </w:tc>
        <w:tc>
          <w:tcPr>
            <w:tcW w:w="128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8"/>
              </w:rPr>
              <w:t>March 2027</w:t>
            </w:r>
          </w:p>
        </w:tc>
        <w:tc>
          <w:tcPr>
            <w:tcW w:w="0" w:type="dxa"/>
            <w:vAlign w:val="bottom"/>
          </w:tcPr>
          <w:p>
            <w:pPr>
              <w:spacing w:after="0"/>
              <w:rPr>
                <w:sz w:val="1"/>
                <w:szCs w:val="1"/>
                <w:color w:val="auto"/>
              </w:rPr>
            </w:pPr>
          </w:p>
        </w:tc>
      </w:tr>
      <w:tr>
        <w:trPr>
          <w:trHeight w:val="211"/>
        </w:trPr>
        <w:tc>
          <w:tcPr>
            <w:tcW w:w="27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March 2022 Pre-funded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1,280,965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2027</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May 2023 Tranche A Pre-</w:t>
            </w:r>
          </w:p>
        </w:tc>
        <w:tc>
          <w:tcPr>
            <w:tcW w:w="114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80" w:type="dxa"/>
            <w:vAlign w:val="bottom"/>
            <w:shd w:val="clear" w:color="auto" w:fill="D4EEF4"/>
          </w:tcPr>
          <w:p>
            <w:pPr>
              <w:spacing w:after="0"/>
              <w:rPr>
                <w:sz w:val="18"/>
                <w:szCs w:val="18"/>
                <w:color w:val="auto"/>
              </w:rPr>
            </w:pPr>
          </w:p>
        </w:tc>
        <w:tc>
          <w:tcPr>
            <w:tcW w:w="940" w:type="dxa"/>
            <w:vAlign w:val="bottom"/>
            <w:shd w:val="clear" w:color="auto" w:fill="D4EEF4"/>
          </w:tcPr>
          <w:p>
            <w:pPr>
              <w:spacing w:after="0"/>
              <w:rPr>
                <w:sz w:val="18"/>
                <w:szCs w:val="18"/>
                <w:color w:val="auto"/>
              </w:rPr>
            </w:pPr>
          </w:p>
        </w:tc>
        <w:tc>
          <w:tcPr>
            <w:tcW w:w="180" w:type="dxa"/>
            <w:vAlign w:val="bottom"/>
            <w:shd w:val="clear" w:color="auto" w:fill="D4EEF4"/>
          </w:tcPr>
          <w:p>
            <w:pPr>
              <w:spacing w:after="0"/>
              <w:rPr>
                <w:sz w:val="18"/>
                <w:szCs w:val="18"/>
                <w:color w:val="auto"/>
              </w:rPr>
            </w:pPr>
          </w:p>
        </w:tc>
        <w:tc>
          <w:tcPr>
            <w:tcW w:w="11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80" w:type="dxa"/>
            <w:vAlign w:val="bottom"/>
            <w:shd w:val="clear" w:color="auto" w:fill="D4EEF4"/>
          </w:tcPr>
          <w:p>
            <w:pPr>
              <w:spacing w:after="0"/>
              <w:rPr>
                <w:sz w:val="18"/>
                <w:szCs w:val="18"/>
                <w:color w:val="auto"/>
              </w:rPr>
            </w:pPr>
          </w:p>
        </w:tc>
        <w:tc>
          <w:tcPr>
            <w:tcW w:w="96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1280" w:type="dxa"/>
            <w:vAlign w:val="bottom"/>
            <w:shd w:val="clear" w:color="auto" w:fill="D4EEF4"/>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November</w:t>
            </w:r>
          </w:p>
        </w:tc>
        <w:tc>
          <w:tcPr>
            <w:tcW w:w="0" w:type="dxa"/>
            <w:vAlign w:val="bottom"/>
          </w:tcPr>
          <w:p>
            <w:pPr>
              <w:spacing w:after="0"/>
              <w:rPr>
                <w:sz w:val="1"/>
                <w:szCs w:val="1"/>
                <w:color w:val="auto"/>
              </w:rPr>
            </w:pPr>
          </w:p>
        </w:tc>
      </w:tr>
      <w:tr>
        <w:trPr>
          <w:trHeight w:val="249"/>
        </w:trPr>
        <w:tc>
          <w:tcPr>
            <w:tcW w:w="272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funded warrants</w:t>
            </w: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2,758,281</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80" w:type="dxa"/>
            <w:vAlign w:val="bottom"/>
            <w:shd w:val="clear" w:color="auto" w:fill="D4EEF4"/>
          </w:tcPr>
          <w:p>
            <w:pPr>
              <w:spacing w:after="0"/>
              <w:rPr>
                <w:sz w:val="21"/>
                <w:szCs w:val="21"/>
                <w:color w:val="auto"/>
              </w:rPr>
            </w:pPr>
          </w:p>
        </w:tc>
        <w:tc>
          <w:tcPr>
            <w:tcW w:w="1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shd w:val="clear" w:color="auto" w:fill="D4EEF4"/>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10"/>
        </w:trPr>
        <w:tc>
          <w:tcPr>
            <w:tcW w:w="27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May 2023 Tranche B warrants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November</w:t>
            </w:r>
          </w:p>
        </w:tc>
        <w:tc>
          <w:tcPr>
            <w:tcW w:w="0" w:type="dxa"/>
            <w:vAlign w:val="bottom"/>
          </w:tcPr>
          <w:p>
            <w:pPr>
              <w:spacing w:after="0"/>
              <w:rPr>
                <w:sz w:val="1"/>
                <w:szCs w:val="1"/>
                <w:color w:val="auto"/>
              </w:rPr>
            </w:pPr>
          </w:p>
        </w:tc>
      </w:tr>
      <w:tr>
        <w:trPr>
          <w:trHeight w:val="249"/>
        </w:trPr>
        <w:tc>
          <w:tcPr>
            <w:tcW w:w="2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tcPr>
          <w:p>
            <w:pPr>
              <w:jc w:val="center"/>
              <w:ind w:left="120"/>
              <w:spacing w:after="0" w:line="250" w:lineRule="exact"/>
              <w:rPr>
                <w:sz w:val="20"/>
                <w:szCs w:val="20"/>
                <w:color w:val="auto"/>
              </w:rPr>
            </w:pPr>
            <w:r>
              <w:rPr>
                <w:rFonts w:ascii="Times New Roman" w:cs="Times New Roman" w:eastAsia="Times New Roman" w:hAnsi="Times New Roman"/>
                <w:sz w:val="20"/>
                <w:szCs w:val="20"/>
                <w:color w:val="auto"/>
                <w:w w:val="91"/>
              </w:rPr>
              <w:t xml:space="preserve">2026 </w:t>
            </w:r>
            <w:r>
              <w:rPr>
                <w:rFonts w:ascii="Times New Roman" w:cs="Times New Roman" w:eastAsia="Times New Roman" w:hAnsi="Times New Roman"/>
                <w:sz w:val="26"/>
                <w:szCs w:val="26"/>
                <w:color w:val="auto"/>
                <w:w w:val="91"/>
                <w:vertAlign w:val="superscript"/>
              </w:rPr>
              <w:t>(1)</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May 2023 Tranche B Pre-</w:t>
            </w:r>
          </w:p>
        </w:tc>
        <w:tc>
          <w:tcPr>
            <w:tcW w:w="114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80" w:type="dxa"/>
            <w:vAlign w:val="bottom"/>
            <w:shd w:val="clear" w:color="auto" w:fill="D4EEF4"/>
          </w:tcPr>
          <w:p>
            <w:pPr>
              <w:spacing w:after="0"/>
              <w:rPr>
                <w:sz w:val="18"/>
                <w:szCs w:val="18"/>
                <w:color w:val="auto"/>
              </w:rPr>
            </w:pPr>
          </w:p>
        </w:tc>
        <w:tc>
          <w:tcPr>
            <w:tcW w:w="940" w:type="dxa"/>
            <w:vAlign w:val="bottom"/>
            <w:shd w:val="clear" w:color="auto" w:fill="D4EEF4"/>
          </w:tcPr>
          <w:p>
            <w:pPr>
              <w:spacing w:after="0"/>
              <w:rPr>
                <w:sz w:val="18"/>
                <w:szCs w:val="18"/>
                <w:color w:val="auto"/>
              </w:rPr>
            </w:pPr>
          </w:p>
        </w:tc>
        <w:tc>
          <w:tcPr>
            <w:tcW w:w="180" w:type="dxa"/>
            <w:vAlign w:val="bottom"/>
            <w:shd w:val="clear" w:color="auto" w:fill="D4EEF4"/>
          </w:tcPr>
          <w:p>
            <w:pPr>
              <w:spacing w:after="0"/>
              <w:rPr>
                <w:sz w:val="18"/>
                <w:szCs w:val="18"/>
                <w:color w:val="auto"/>
              </w:rPr>
            </w:pPr>
          </w:p>
        </w:tc>
        <w:tc>
          <w:tcPr>
            <w:tcW w:w="11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280" w:type="dxa"/>
            <w:vAlign w:val="bottom"/>
            <w:shd w:val="clear" w:color="auto" w:fill="D4EEF4"/>
          </w:tcPr>
          <w:p>
            <w:pPr>
              <w:spacing w:after="0"/>
              <w:rPr>
                <w:sz w:val="18"/>
                <w:szCs w:val="18"/>
                <w:color w:val="auto"/>
              </w:rPr>
            </w:pPr>
          </w:p>
        </w:tc>
        <w:tc>
          <w:tcPr>
            <w:tcW w:w="96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1280" w:type="dxa"/>
            <w:vAlign w:val="bottom"/>
            <w:shd w:val="clear" w:color="auto" w:fill="D4EEF4"/>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November</w:t>
            </w:r>
          </w:p>
        </w:tc>
        <w:tc>
          <w:tcPr>
            <w:tcW w:w="0" w:type="dxa"/>
            <w:vAlign w:val="bottom"/>
          </w:tcPr>
          <w:p>
            <w:pPr>
              <w:spacing w:after="0"/>
              <w:rPr>
                <w:sz w:val="1"/>
                <w:szCs w:val="1"/>
                <w:color w:val="auto"/>
              </w:rPr>
            </w:pPr>
          </w:p>
        </w:tc>
      </w:tr>
      <w:tr>
        <w:trPr>
          <w:trHeight w:val="249"/>
        </w:trPr>
        <w:tc>
          <w:tcPr>
            <w:tcW w:w="272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20"/>
                <w:szCs w:val="20"/>
                <w:color w:val="auto"/>
              </w:rPr>
              <w:t>funded warrants</w:t>
            </w:r>
          </w:p>
        </w:tc>
        <w:tc>
          <w:tcPr>
            <w:tcW w:w="1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451,632</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80" w:type="dxa"/>
            <w:vAlign w:val="bottom"/>
            <w:shd w:val="clear" w:color="auto" w:fill="D4EEF4"/>
          </w:tcPr>
          <w:p>
            <w:pPr>
              <w:spacing w:after="0"/>
              <w:rPr>
                <w:sz w:val="21"/>
                <w:szCs w:val="21"/>
                <w:color w:val="auto"/>
              </w:rPr>
            </w:pPr>
          </w:p>
        </w:tc>
        <w:tc>
          <w:tcPr>
            <w:tcW w:w="1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shd w:val="clear" w:color="auto" w:fill="D4EEF4"/>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10"/>
        </w:trPr>
        <w:tc>
          <w:tcPr>
            <w:tcW w:w="27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October 2023 Pre-funded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20"/>
        </w:trPr>
        <w:tc>
          <w:tcPr>
            <w:tcW w:w="270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auto"/>
            </w:tcBorders>
            <w:shd w:val="clear" w:color="auto" w:fill="D4EEF4"/>
          </w:tcPr>
          <w:p>
            <w:pPr>
              <w:spacing w:after="0"/>
              <w:rPr>
                <w:sz w:val="19"/>
                <w:szCs w:val="19"/>
                <w:color w:val="auto"/>
              </w:rPr>
            </w:pPr>
          </w:p>
        </w:tc>
        <w:tc>
          <w:tcPr>
            <w:tcW w:w="114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13,071,883</w:t>
            </w:r>
          </w:p>
        </w:tc>
        <w:tc>
          <w:tcPr>
            <w:tcW w:w="100" w:type="dxa"/>
            <w:vAlign w:val="bottom"/>
            <w:tcBorders>
              <w:top w:val="single" w:sz="8" w:color="D4EEF4"/>
            </w:tcBorders>
            <w:shd w:val="clear" w:color="auto" w:fill="D4EEF4"/>
          </w:tcPr>
          <w:p>
            <w:pPr>
              <w:spacing w:after="0"/>
              <w:rPr>
                <w:sz w:val="19"/>
                <w:szCs w:val="19"/>
                <w:color w:val="auto"/>
              </w:rPr>
            </w:pPr>
          </w:p>
        </w:tc>
        <w:tc>
          <w:tcPr>
            <w:tcW w:w="280" w:type="dxa"/>
            <w:vAlign w:val="bottom"/>
            <w:tcBorders>
              <w:top w:val="single" w:sz="8" w:color="D4EEF4"/>
            </w:tcBorders>
            <w:shd w:val="clear" w:color="auto" w:fill="D4EEF4"/>
          </w:tcPr>
          <w:p>
            <w:pPr>
              <w:spacing w:after="0"/>
              <w:rPr>
                <w:sz w:val="19"/>
                <w:szCs w:val="19"/>
                <w:color w:val="auto"/>
              </w:rPr>
            </w:pPr>
          </w:p>
        </w:tc>
        <w:tc>
          <w:tcPr>
            <w:tcW w:w="940" w:type="dxa"/>
            <w:vAlign w:val="bottom"/>
            <w:tcBorders>
              <w:top w:val="single" w:sz="8" w:color="D4EEF4"/>
            </w:tcBorders>
            <w:shd w:val="clear" w:color="auto" w:fill="D4EEF4"/>
          </w:tcPr>
          <w:p>
            <w:pPr>
              <w:spacing w:after="0"/>
              <w:rPr>
                <w:sz w:val="19"/>
                <w:szCs w:val="19"/>
                <w:color w:val="auto"/>
              </w:rPr>
            </w:pPr>
          </w:p>
        </w:tc>
        <w:tc>
          <w:tcPr>
            <w:tcW w:w="180" w:type="dxa"/>
            <w:vAlign w:val="bottom"/>
            <w:tcBorders>
              <w:top w:val="single" w:sz="8" w:color="D4EEF4"/>
            </w:tcBorders>
            <w:shd w:val="clear" w:color="auto" w:fill="D4EEF4"/>
          </w:tcPr>
          <w:p>
            <w:pPr>
              <w:spacing w:after="0"/>
              <w:rPr>
                <w:sz w:val="19"/>
                <w:szCs w:val="19"/>
                <w:color w:val="auto"/>
              </w:rPr>
            </w:pPr>
          </w:p>
        </w:tc>
        <w:tc>
          <w:tcPr>
            <w:tcW w:w="11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5,323,110</w:t>
            </w:r>
          </w:p>
        </w:tc>
        <w:tc>
          <w:tcPr>
            <w:tcW w:w="100" w:type="dxa"/>
            <w:vAlign w:val="bottom"/>
            <w:tcBorders>
              <w:top w:val="single" w:sz="8" w:color="D4EEF4"/>
            </w:tcBorders>
            <w:shd w:val="clear" w:color="auto" w:fill="D4EEF4"/>
          </w:tcPr>
          <w:p>
            <w:pPr>
              <w:spacing w:after="0"/>
              <w:rPr>
                <w:sz w:val="19"/>
                <w:szCs w:val="19"/>
                <w:color w:val="auto"/>
              </w:rPr>
            </w:pPr>
          </w:p>
        </w:tc>
        <w:tc>
          <w:tcPr>
            <w:tcW w:w="280" w:type="dxa"/>
            <w:vAlign w:val="bottom"/>
            <w:tcBorders>
              <w:top w:val="single" w:sz="8" w:color="D4EEF4"/>
            </w:tcBorders>
            <w:shd w:val="clear" w:color="auto" w:fill="D4EEF4"/>
          </w:tcPr>
          <w:p>
            <w:pPr>
              <w:spacing w:after="0"/>
              <w:rPr>
                <w:sz w:val="19"/>
                <w:szCs w:val="19"/>
                <w:color w:val="auto"/>
              </w:rPr>
            </w:pPr>
          </w:p>
        </w:tc>
        <w:tc>
          <w:tcPr>
            <w:tcW w:w="960" w:type="dxa"/>
            <w:vAlign w:val="bottom"/>
            <w:tcBorders>
              <w:top w:val="single" w:sz="8" w:color="D4EEF4"/>
            </w:tcBorders>
            <w:shd w:val="clear" w:color="auto" w:fill="D4EEF4"/>
          </w:tcPr>
          <w:p>
            <w:pPr>
              <w:spacing w:after="0"/>
              <w:rPr>
                <w:sz w:val="19"/>
                <w:szCs w:val="19"/>
                <w:color w:val="auto"/>
              </w:rPr>
            </w:pPr>
          </w:p>
        </w:tc>
        <w:tc>
          <w:tcPr>
            <w:tcW w:w="220" w:type="dxa"/>
            <w:vAlign w:val="bottom"/>
            <w:tcBorders>
              <w:top w:val="single" w:sz="8" w:color="D4EEF4"/>
            </w:tcBorders>
            <w:shd w:val="clear" w:color="auto" w:fill="D4EEF4"/>
          </w:tcPr>
          <w:p>
            <w:pPr>
              <w:spacing w:after="0"/>
              <w:rPr>
                <w:sz w:val="19"/>
                <w:szCs w:val="19"/>
                <w:color w:val="auto"/>
              </w:rPr>
            </w:pPr>
          </w:p>
        </w:tc>
        <w:tc>
          <w:tcPr>
            <w:tcW w:w="128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640" w:hanging="200"/>
        <w:spacing w:after="0"/>
        <w:tabs>
          <w:tab w:leader="none" w:pos="1640" w:val="left"/>
        </w:tabs>
        <w:numPr>
          <w:ilvl w:val="0"/>
          <w:numId w:val="4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Subject to earlier expiration as described above.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Incentive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2014 Plan</w:t>
      </w:r>
    </w:p>
    <w:p>
      <w:pPr>
        <w:spacing w:after="0" w:line="116" w:lineRule="exact"/>
        <w:rPr>
          <w:sz w:val="20"/>
          <w:szCs w:val="20"/>
          <w:color w:val="auto"/>
        </w:rPr>
      </w:pPr>
    </w:p>
    <w:p>
      <w:pPr>
        <w:ind w:right="120" w:firstLine="490"/>
        <w:spacing w:after="0" w:line="239" w:lineRule="auto"/>
        <w:rPr>
          <w:sz w:val="20"/>
          <w:szCs w:val="20"/>
          <w:color w:val="auto"/>
        </w:rPr>
      </w:pPr>
      <w:r>
        <w:rPr>
          <w:rFonts w:ascii="Times New Roman" w:cs="Times New Roman" w:eastAsia="Times New Roman" w:hAnsi="Times New Roman"/>
          <w:sz w:val="20"/>
          <w:szCs w:val="20"/>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97" w:lineRule="exact"/>
        <w:rPr>
          <w:sz w:val="20"/>
          <w:szCs w:val="20"/>
          <w:color w:val="auto"/>
        </w:rPr>
      </w:pPr>
    </w:p>
    <w:p>
      <w:pPr>
        <w:ind w:right="160" w:firstLine="490"/>
        <w:spacing w:after="0" w:line="235" w:lineRule="auto"/>
        <w:rPr>
          <w:sz w:val="20"/>
          <w:szCs w:val="20"/>
          <w:color w:val="auto"/>
        </w:rPr>
      </w:pPr>
      <w:r>
        <w:rPr>
          <w:rFonts w:ascii="Times New Roman" w:cs="Times New Roman" w:eastAsia="Times New Roman" w:hAnsi="Times New Roman"/>
          <w:sz w:val="20"/>
          <w:szCs w:val="20"/>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202" w:lineRule="exact"/>
        <w:rPr>
          <w:sz w:val="20"/>
          <w:szCs w:val="20"/>
          <w:color w:val="auto"/>
        </w:rPr>
      </w:pPr>
    </w:p>
    <w:p>
      <w:pPr>
        <w:ind w:firstLine="490"/>
        <w:spacing w:after="0" w:line="239" w:lineRule="auto"/>
        <w:rPr>
          <w:sz w:val="20"/>
          <w:szCs w:val="20"/>
          <w:color w:val="auto"/>
        </w:rPr>
      </w:pPr>
      <w:r>
        <w:rPr>
          <w:rFonts w:ascii="Times New Roman" w:cs="Times New Roman" w:eastAsia="Times New Roman" w:hAnsi="Times New Roman"/>
          <w:sz w:val="20"/>
          <w:szCs w:val="20"/>
          <w:color w:val="auto"/>
        </w:rPr>
        <w:t>On March 23, 2023, the Company filed a Registration Statement on Form S-8 which registered 238,329 shares available for grant and issuance under the 2014 Plan, all of which became available for grant and issuance under the 2014 Plan on January 1, 2023. On May 25, 2023, the stockholders approved the Amended and Restated 2014 Plan which included an increase of 1.8 million shares available for grant and issuance. As of December 31, 2023, a total of 1,465 shares were available for future grant under the 2014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Inducement Plan</w:t>
      </w:r>
    </w:p>
    <w:p>
      <w:pPr>
        <w:spacing w:after="0" w:line="116"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Company’s 2014 Equity Incentive Plan.</w:t>
      </w:r>
    </w:p>
    <w:p>
      <w:pPr>
        <w:sectPr>
          <w:pgSz w:w="12240" w:h="15840" w:orient="portrait"/>
          <w:cols w:equalWidth="0" w:num="1">
            <w:col w:w="9360"/>
          </w:cols>
          <w:pgMar w:left="1440" w:top="1412" w:right="144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12" w:right="1440" w:bottom="175" w:gutter="0" w:footer="0" w:header="0"/>
          <w:type w:val="continuous"/>
        </w:sectPr>
      </w:pPr>
    </w:p>
    <w:bookmarkStart w:id="83" w:name="page84"/>
    <w:bookmarkEnd w:id="83"/>
    <w:p>
      <w:pPr>
        <w:ind w:right="180" w:firstLine="490"/>
        <w:spacing w:after="0" w:line="235" w:lineRule="auto"/>
        <w:rPr>
          <w:sz w:val="20"/>
          <w:szCs w:val="20"/>
          <w:color w:val="auto"/>
        </w:rPr>
      </w:pPr>
      <w:r>
        <w:rPr>
          <w:rFonts w:ascii="Times New Roman" w:cs="Times New Roman" w:eastAsia="Times New Roman" w:hAnsi="Times New Roman"/>
          <w:sz w:val="20"/>
          <w:szCs w:val="20"/>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March 23, 2023, the Company filed a Registration Statement on Form S-8 which registered 500,000 shares available for issuance under the Inducement Plan, all of which became available for grant and issuance under the Inducement Plan on February 17, 2023.</w:t>
      </w:r>
    </w:p>
    <w:p>
      <w:pPr>
        <w:spacing w:after="0" w:line="202" w:lineRule="exact"/>
        <w:rPr>
          <w:sz w:val="20"/>
          <w:szCs w:val="20"/>
          <w:color w:val="auto"/>
        </w:rPr>
      </w:pPr>
    </w:p>
    <w:p>
      <w:pPr>
        <w:ind w:right="20" w:firstLine="490"/>
        <w:spacing w:after="0" w:line="360" w:lineRule="auto"/>
        <w:rPr>
          <w:sz w:val="20"/>
          <w:szCs w:val="20"/>
          <w:color w:val="auto"/>
        </w:rPr>
      </w:pPr>
      <w:r>
        <w:rPr>
          <w:rFonts w:ascii="Times New Roman" w:cs="Times New Roman" w:eastAsia="Times New Roman" w:hAnsi="Times New Roman"/>
          <w:sz w:val="20"/>
          <w:szCs w:val="20"/>
          <w:color w:val="auto"/>
        </w:rPr>
        <w:t xml:space="preserve">As of December 31, 2023, a total of 445,668 shares were available for future grant under the Inducement Plan. </w:t>
      </w:r>
      <w:r>
        <w:rPr>
          <w:rFonts w:ascii="Times New Roman" w:cs="Times New Roman" w:eastAsia="Times New Roman" w:hAnsi="Times New Roman"/>
          <w:sz w:val="20"/>
          <w:szCs w:val="20"/>
          <w:b w:val="1"/>
          <w:bCs w:val="1"/>
          <w:color w:val="auto"/>
        </w:rPr>
        <w:t>Stock-based compensation expense</w:t>
      </w:r>
    </w:p>
    <w:p>
      <w:pPr>
        <w:ind w:right="100" w:firstLine="490"/>
        <w:spacing w:after="0" w:line="236" w:lineRule="auto"/>
        <w:rPr>
          <w:sz w:val="20"/>
          <w:szCs w:val="20"/>
          <w:color w:val="auto"/>
        </w:rPr>
      </w:pPr>
      <w:r>
        <w:rPr>
          <w:rFonts w:ascii="Times New Roman" w:cs="Times New Roman" w:eastAsia="Times New Roman" w:hAnsi="Times New Roman"/>
          <w:sz w:val="20"/>
          <w:szCs w:val="20"/>
          <w:color w:val="auto"/>
        </w:rPr>
        <w:t>The Company recognized stock-based compensation expense related to options and restricted stock units granted to employees, directors and consultants for the years ended December 31, 2023 and 2022 of $5.9 million and $2.5 million, respectively. The compensation expense is allocated on a departmental basis, based on the classification of the option holder. For the year ended December 31, 2023, the total income tax benefit related to stock-based compensation was $1.9 million, however, due to net operating losses and a full valuation allowance, no tax benefit was recognized in the financial statements. The total income tax benefit related to stock-based compensation for the year ended December 31, 2022 was zero.</w:t>
      </w:r>
    </w:p>
    <w:p>
      <w:pPr>
        <w:spacing w:after="0" w:line="208"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auto"/>
        </w:rPr>
        <w:t>Stock compensation expense was recognized in the consolidated statements of operations as follows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828"/>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r>
      <w:tr>
        <w:trPr>
          <w:trHeight w:val="155"/>
        </w:trPr>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7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r>
      <w:tr>
        <w:trPr>
          <w:trHeight w:val="203"/>
        </w:trPr>
        <w:tc>
          <w:tcPr>
            <w:tcW w:w="3940" w:type="dxa"/>
            <w:vAlign w:val="bottom"/>
            <w:tcBorders>
              <w:bottom w:val="single" w:sz="8" w:color="D4EEF4"/>
            </w:tcBorders>
          </w:tcPr>
          <w:p>
            <w:pPr>
              <w:spacing w:after="0"/>
              <w:rPr>
                <w:sz w:val="17"/>
                <w:szCs w:val="17"/>
                <w:color w:val="auto"/>
              </w:rPr>
            </w:pPr>
          </w:p>
        </w:tc>
        <w:tc>
          <w:tcPr>
            <w:tcW w:w="1760" w:type="dxa"/>
            <w:vAlign w:val="bottom"/>
            <w:tcBorders>
              <w:bottom w:val="single" w:sz="8" w:color="D4EE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D4EE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4EEF4"/>
            </w:tcBorders>
          </w:tcPr>
          <w:p>
            <w:pPr>
              <w:spacing w:after="0"/>
              <w:rPr>
                <w:sz w:val="17"/>
                <w:szCs w:val="17"/>
                <w:color w:val="auto"/>
              </w:rPr>
            </w:pPr>
          </w:p>
        </w:tc>
      </w:tr>
      <w:tr>
        <w:trPr>
          <w:trHeight w:val="220"/>
        </w:trPr>
        <w:tc>
          <w:tcPr>
            <w:tcW w:w="39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1760" w:type="dxa"/>
            <w:vAlign w:val="bottom"/>
            <w:shd w:val="clear" w:color="auto" w:fill="D4EEF4"/>
          </w:tcPr>
          <w:p>
            <w:pPr>
              <w:spacing w:after="0"/>
              <w:rPr>
                <w:sz w:val="19"/>
                <w:szCs w:val="19"/>
                <w:color w:val="auto"/>
              </w:rPr>
            </w:pPr>
          </w:p>
        </w:tc>
        <w:tc>
          <w:tcPr>
            <w:tcW w:w="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2,434</w:t>
            </w:r>
          </w:p>
        </w:tc>
        <w:tc>
          <w:tcPr>
            <w:tcW w:w="180" w:type="dxa"/>
            <w:vAlign w:val="bottom"/>
            <w:shd w:val="clear" w:color="auto" w:fill="D4EEF4"/>
          </w:tcPr>
          <w:p>
            <w:pPr>
              <w:spacing w:after="0"/>
              <w:rPr>
                <w:sz w:val="19"/>
                <w:szCs w:val="19"/>
                <w:color w:val="auto"/>
              </w:rPr>
            </w:pPr>
          </w:p>
        </w:tc>
        <w:tc>
          <w:tcPr>
            <w:tcW w:w="1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692</w:t>
            </w:r>
          </w:p>
        </w:tc>
        <w:tc>
          <w:tcPr>
            <w:tcW w:w="100" w:type="dxa"/>
            <w:vAlign w:val="bottom"/>
            <w:shd w:val="clear" w:color="auto" w:fill="D4EEF4"/>
          </w:tcPr>
          <w:p>
            <w:pPr>
              <w:spacing w:after="0"/>
              <w:rPr>
                <w:sz w:val="19"/>
                <w:szCs w:val="19"/>
                <w:color w:val="auto"/>
              </w:rPr>
            </w:pPr>
          </w:p>
        </w:tc>
      </w:tr>
      <w:tr>
        <w:trPr>
          <w:trHeight w:val="230"/>
        </w:trPr>
        <w:tc>
          <w:tcPr>
            <w:tcW w:w="394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760" w:type="dxa"/>
            <w:vAlign w:val="bottom"/>
            <w:tcBorders>
              <w:bottom w:val="single" w:sz="8" w:color="D4EE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3,511</w:t>
            </w:r>
          </w:p>
        </w:tc>
        <w:tc>
          <w:tcPr>
            <w:tcW w:w="180" w:type="dxa"/>
            <w:vAlign w:val="bottom"/>
            <w:tcBorders>
              <w:bottom w:val="single" w:sz="8" w:color="D4EE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1,838</w:t>
            </w:r>
          </w:p>
        </w:tc>
        <w:tc>
          <w:tcPr>
            <w:tcW w:w="100" w:type="dxa"/>
            <w:vAlign w:val="bottom"/>
            <w:tcBorders>
              <w:bottom w:val="single" w:sz="8" w:color="D4EEF4"/>
            </w:tcBorders>
          </w:tcPr>
          <w:p>
            <w:pPr>
              <w:spacing w:after="0"/>
              <w:rPr>
                <w:sz w:val="19"/>
                <w:szCs w:val="19"/>
                <w:color w:val="auto"/>
              </w:rPr>
            </w:pPr>
          </w:p>
        </w:tc>
      </w:tr>
      <w:tr>
        <w:trPr>
          <w:trHeight w:val="220"/>
        </w:trPr>
        <w:tc>
          <w:tcPr>
            <w:tcW w:w="3940" w:type="dxa"/>
            <w:vAlign w:val="bottom"/>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760" w:type="dxa"/>
            <w:vAlign w:val="bottom"/>
            <w:shd w:val="clear" w:color="auto" w:fill="D4EEF4"/>
          </w:tcPr>
          <w:p>
            <w:pPr>
              <w:spacing w:after="0"/>
              <w:rPr>
                <w:sz w:val="19"/>
                <w:szCs w:val="19"/>
                <w:color w:val="auto"/>
              </w:rPr>
            </w:pPr>
          </w:p>
        </w:tc>
        <w:tc>
          <w:tcPr>
            <w:tcW w:w="1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5,945</w:t>
            </w:r>
          </w:p>
        </w:tc>
        <w:tc>
          <w:tcPr>
            <w:tcW w:w="180" w:type="dxa"/>
            <w:vAlign w:val="bottom"/>
            <w:shd w:val="clear" w:color="auto" w:fill="D4EEF4"/>
          </w:tcPr>
          <w:p>
            <w:pPr>
              <w:spacing w:after="0"/>
              <w:rPr>
                <w:sz w:val="19"/>
                <w:szCs w:val="19"/>
                <w:color w:val="auto"/>
              </w:rPr>
            </w:pPr>
          </w:p>
        </w:tc>
        <w:tc>
          <w:tcPr>
            <w:tcW w:w="1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2,530</w:t>
            </w:r>
          </w:p>
        </w:tc>
        <w:tc>
          <w:tcPr>
            <w:tcW w:w="100" w:type="dxa"/>
            <w:vAlign w:val="bottom"/>
            <w:shd w:val="clear" w:color="auto" w:fill="D4EEF4"/>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Company granted options to purchase 1,821,784 and 283,919 of the Company’s common stock during the years ended December 31, 2023 and 2022, respectively. There were no performance-based options granted in 2023 and 2022, respectively. The fair value of each award granted was estimated on the date of grant using the Black-Scholes option pricing model with the following assumptions: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55"/>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c>
          <w:tcPr>
            <w:tcW w:w="9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4420" w:type="dxa"/>
            <w:vAlign w:val="bottom"/>
          </w:tcPr>
          <w:p>
            <w:pPr>
              <w:spacing w:after="0"/>
              <w:rPr>
                <w:sz w:val="17"/>
                <w:szCs w:val="17"/>
                <w:color w:val="auto"/>
              </w:rPr>
            </w:pP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0"/>
        </w:trPr>
        <w:tc>
          <w:tcPr>
            <w:tcW w:w="442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Expected life (years)</w:t>
            </w:r>
          </w:p>
        </w:tc>
        <w:tc>
          <w:tcPr>
            <w:tcW w:w="100" w:type="dxa"/>
            <w:vAlign w:val="bottom"/>
            <w:tcBorders>
              <w:top w:val="single" w:sz="8" w:color="D4EEF4"/>
            </w:tcBorders>
            <w:shd w:val="clear" w:color="auto" w:fill="D4EEF4"/>
          </w:tcPr>
          <w:p>
            <w:pPr>
              <w:spacing w:after="0"/>
              <w:rPr>
                <w:sz w:val="19"/>
                <w:szCs w:val="19"/>
                <w:color w:val="auto"/>
              </w:rPr>
            </w:pPr>
          </w:p>
        </w:tc>
        <w:tc>
          <w:tcPr>
            <w:tcW w:w="960" w:type="dxa"/>
            <w:vAlign w:val="bottom"/>
            <w:tcBorders>
              <w:top w:val="single" w:sz="8" w:color="auto"/>
            </w:tcBorders>
            <w:shd w:val="clear" w:color="auto" w:fill="D4EEF4"/>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5.3-6.1</w:t>
            </w:r>
          </w:p>
        </w:tc>
        <w:tc>
          <w:tcPr>
            <w:tcW w:w="100" w:type="dxa"/>
            <w:vAlign w:val="bottom"/>
            <w:tcBorders>
              <w:top w:val="single" w:sz="8" w:color="D4EEF4"/>
            </w:tcBorders>
            <w:shd w:val="clear" w:color="auto" w:fill="D4EEF4"/>
          </w:tcPr>
          <w:p>
            <w:pPr>
              <w:spacing w:after="0"/>
              <w:rPr>
                <w:sz w:val="19"/>
                <w:szCs w:val="19"/>
                <w:color w:val="auto"/>
              </w:rPr>
            </w:pPr>
          </w:p>
        </w:tc>
        <w:tc>
          <w:tcPr>
            <w:tcW w:w="980" w:type="dxa"/>
            <w:vAlign w:val="bottom"/>
            <w:tcBorders>
              <w:top w:val="single" w:sz="8" w:color="auto"/>
            </w:tcBorders>
            <w:shd w:val="clear" w:color="auto" w:fill="D4EEF4"/>
          </w:tcPr>
          <w:p>
            <w:pPr>
              <w:jc w:val="center"/>
              <w:spacing w:after="0" w:line="220" w:lineRule="exact"/>
              <w:rPr>
                <w:sz w:val="20"/>
                <w:szCs w:val="20"/>
                <w:color w:val="auto"/>
              </w:rPr>
            </w:pPr>
            <w:r>
              <w:rPr>
                <w:rFonts w:ascii="Times New Roman" w:cs="Times New Roman" w:eastAsia="Times New Roman" w:hAnsi="Times New Roman"/>
                <w:sz w:val="20"/>
                <w:szCs w:val="20"/>
                <w:color w:val="auto"/>
              </w:rPr>
              <w:t>5.5-6.0</w:t>
            </w: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3.5%-4.5%</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1.7%-3.1%</w:t>
            </w:r>
          </w:p>
        </w:tc>
      </w:tr>
      <w:tr>
        <w:trPr>
          <w:trHeight w:val="230"/>
        </w:trPr>
        <w:tc>
          <w:tcPr>
            <w:tcW w:w="44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Volatility</w:t>
            </w:r>
          </w:p>
        </w:tc>
        <w:tc>
          <w:tcPr>
            <w:tcW w:w="1060" w:type="dxa"/>
            <w:vAlign w:val="bottom"/>
            <w:gridSpan w:val="2"/>
            <w:shd w:val="clear" w:color="auto" w:fill="D4EEF4"/>
          </w:tcPr>
          <w:p>
            <w:pPr>
              <w:jc w:val="center"/>
              <w:spacing w:after="0"/>
              <w:rPr>
                <w:sz w:val="20"/>
                <w:szCs w:val="20"/>
                <w:color w:val="auto"/>
              </w:rPr>
            </w:pPr>
            <w:r>
              <w:rPr>
                <w:rFonts w:ascii="Times New Roman" w:cs="Times New Roman" w:eastAsia="Times New Roman" w:hAnsi="Times New Roman"/>
                <w:sz w:val="20"/>
                <w:szCs w:val="20"/>
                <w:color w:val="auto"/>
                <w:w w:val="99"/>
              </w:rPr>
              <w:t>98%-122%</w:t>
            </w:r>
          </w:p>
        </w:tc>
        <w:tc>
          <w:tcPr>
            <w:tcW w:w="1080" w:type="dxa"/>
            <w:vAlign w:val="bottom"/>
            <w:gridSpan w:val="2"/>
            <w:shd w:val="clear" w:color="auto" w:fill="D4EEF4"/>
          </w:tcPr>
          <w:p>
            <w:pPr>
              <w:jc w:val="center"/>
              <w:ind w:left="30"/>
              <w:spacing w:after="0"/>
              <w:rPr>
                <w:sz w:val="20"/>
                <w:szCs w:val="20"/>
                <w:color w:val="auto"/>
              </w:rPr>
            </w:pPr>
            <w:r>
              <w:rPr>
                <w:rFonts w:ascii="Times New Roman" w:cs="Times New Roman" w:eastAsia="Times New Roman" w:hAnsi="Times New Roman"/>
                <w:sz w:val="20"/>
                <w:szCs w:val="20"/>
                <w:color w:val="auto"/>
                <w:w w:val="99"/>
              </w:rPr>
              <w:t>88%-95%</w:t>
            </w:r>
          </w:p>
        </w:tc>
      </w:tr>
      <w:tr>
        <w:trPr>
          <w:trHeight w:val="266"/>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Dividend rate</w:t>
            </w:r>
          </w:p>
        </w:tc>
        <w:tc>
          <w:tcPr>
            <w:tcW w:w="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w:t>
            </w:r>
          </w:p>
        </w:tc>
      </w:tr>
    </w:tbl>
    <w:p>
      <w:pPr>
        <w:spacing w:after="0" w:line="2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These assumptions include the following estimates:</w:t>
      </w:r>
    </w:p>
    <w:p>
      <w:pPr>
        <w:spacing w:after="0" w:line="63" w:lineRule="exact"/>
        <w:rPr>
          <w:sz w:val="20"/>
          <w:szCs w:val="20"/>
          <w:color w:val="auto"/>
        </w:rPr>
      </w:pPr>
    </w:p>
    <w:p>
      <w:pPr>
        <w:ind w:left="860" w:right="100" w:hanging="370"/>
        <w:spacing w:after="0" w:line="246" w:lineRule="auto"/>
        <w:tabs>
          <w:tab w:leader="none" w:pos="86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life: </w:t>
      </w:r>
      <w:r>
        <w:rPr>
          <w:rFonts w:ascii="Times New Roman" w:cs="Times New Roman" w:eastAsia="Times New Roman" w:hAnsi="Times New Roman"/>
          <w:sz w:val="20"/>
          <w:szCs w:val="20"/>
          <w:color w:val="auto"/>
        </w:rPr>
        <w:t>The expected life of stock options represents the period of time that the options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ectPr>
          <w:pgSz w:w="12240" w:h="15840" w:orient="portrait"/>
          <w:cols w:equalWidth="0" w:num="1">
            <w:col w:w="9360"/>
          </w:cols>
          <w:pgMar w:left="1440" w:top="141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12" w:right="1440" w:bottom="175" w:gutter="0" w:footer="0" w:header="0"/>
          <w:type w:val="continuous"/>
        </w:sectPr>
      </w:pPr>
    </w:p>
    <w:bookmarkStart w:id="84" w:name="page85"/>
    <w:bookmarkEnd w:id="84"/>
    <w:p>
      <w:pPr>
        <w:ind w:left="860" w:right="260" w:hanging="370"/>
        <w:spacing w:after="0" w:line="276"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The risk-free interest rate is based on the yields of U.S. Treasury securities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maturities similar to the expected life of the stock options.</w:t>
      </w:r>
    </w:p>
    <w:p>
      <w:pPr>
        <w:spacing w:after="0" w:line="64" w:lineRule="exact"/>
        <w:rPr>
          <w:rFonts w:ascii="Arial" w:cs="Arial" w:eastAsia="Arial" w:hAnsi="Arial"/>
          <w:sz w:val="20"/>
          <w:szCs w:val="20"/>
          <w:color w:val="auto"/>
        </w:rPr>
      </w:pPr>
    </w:p>
    <w:p>
      <w:pPr>
        <w:ind w:left="860" w:right="140" w:hanging="370"/>
        <w:spacing w:after="0" w:line="276"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Volatility: </w:t>
      </w:r>
      <w:r>
        <w:rPr>
          <w:rFonts w:ascii="Times New Roman" w:cs="Times New Roman" w:eastAsia="Times New Roman" w:hAnsi="Times New Roman"/>
          <w:sz w:val="20"/>
          <w:szCs w:val="20"/>
          <w:color w:val="auto"/>
        </w:rPr>
        <w:t>The estimated volatility rate is based on the volatilities of the Company’s common stock for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historical period equal to the expected life of the stock options.</w:t>
      </w:r>
    </w:p>
    <w:p>
      <w:pPr>
        <w:spacing w:after="0" w:line="64" w:lineRule="exact"/>
        <w:rPr>
          <w:rFonts w:ascii="Arial" w:cs="Arial" w:eastAsia="Arial" w:hAnsi="Arial"/>
          <w:sz w:val="20"/>
          <w:szCs w:val="20"/>
          <w:color w:val="auto"/>
        </w:rPr>
      </w:pPr>
    </w:p>
    <w:p>
      <w:pPr>
        <w:jc w:val="both"/>
        <w:ind w:left="860" w:right="180" w:hanging="370"/>
        <w:spacing w:after="0" w:line="258"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Dividend rate: </w:t>
      </w:r>
      <w:r>
        <w:rPr>
          <w:rFonts w:ascii="Times New Roman" w:cs="Times New Roman" w:eastAsia="Times New Roman" w:hAnsi="Times New Roman"/>
          <w:sz w:val="20"/>
          <w:szCs w:val="20"/>
          <w:color w:val="auto"/>
        </w:rPr>
        <w:t>The Company has never declared or paid any cash dividends and does not presently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pay cash dividends in the foreseeable future. Consequently, the Company used an expected dividend yield of zero.</w:t>
      </w:r>
    </w:p>
    <w:p>
      <w:pPr>
        <w:spacing w:after="0" w:line="187"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stock option transactions for the years ended December 31, 2023 and 2022 as issued under the 2014 Plan and the Inducement Plan:</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Price per</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8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2021</w:t>
            </w:r>
          </w:p>
        </w:tc>
        <w:tc>
          <w:tcPr>
            <w:tcW w:w="80" w:type="dxa"/>
            <w:vAlign w:val="bottom"/>
            <w:tcBorders>
              <w:top w:val="single" w:sz="8" w:color="D4EEF4"/>
            </w:tcBorders>
            <w:shd w:val="clear" w:color="auto" w:fill="D4EEF4"/>
          </w:tcPr>
          <w:p>
            <w:pPr>
              <w:spacing w:after="0"/>
              <w:rPr>
                <w:sz w:val="19"/>
                <w:szCs w:val="19"/>
                <w:color w:val="auto"/>
              </w:rPr>
            </w:pPr>
          </w:p>
        </w:tc>
        <w:tc>
          <w:tcPr>
            <w:tcW w:w="10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408,329</w:t>
            </w:r>
          </w:p>
        </w:tc>
        <w:tc>
          <w:tcPr>
            <w:tcW w:w="12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46.28</w:t>
            </w:r>
          </w:p>
        </w:tc>
        <w:tc>
          <w:tcPr>
            <w:tcW w:w="160" w:type="dxa"/>
            <w:vAlign w:val="bottom"/>
            <w:tcBorders>
              <w:top w:val="single" w:sz="8" w:color="D4EEF4"/>
            </w:tcBorders>
            <w:shd w:val="clear" w:color="auto" w:fill="D4EEF4"/>
          </w:tcPr>
          <w:p>
            <w:pPr>
              <w:spacing w:after="0"/>
              <w:rPr>
                <w:sz w:val="19"/>
                <w:szCs w:val="19"/>
                <w:color w:val="auto"/>
              </w:rPr>
            </w:pPr>
          </w:p>
        </w:tc>
        <w:tc>
          <w:tcPr>
            <w:tcW w:w="10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7.94</w:t>
            </w:r>
          </w:p>
        </w:tc>
        <w:tc>
          <w:tcPr>
            <w:tcW w:w="18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auto"/>
            </w:tcBorders>
            <w:shd w:val="clear" w:color="auto" w:fill="D4EEF4"/>
          </w:tcPr>
          <w:p>
            <w:pPr>
              <w:spacing w:after="0"/>
              <w:rPr>
                <w:sz w:val="19"/>
                <w:szCs w:val="19"/>
                <w:color w:val="auto"/>
              </w:rPr>
            </w:pPr>
          </w:p>
        </w:tc>
        <w:tc>
          <w:tcPr>
            <w:tcW w:w="900" w:type="dxa"/>
            <w:vAlign w:val="bottom"/>
            <w:tcBorders>
              <w:top w:val="single" w:sz="8" w:color="auto"/>
            </w:tcBorders>
            <w:shd w:val="clear" w:color="auto" w:fill="D4EEF4"/>
          </w:tcPr>
          <w:p>
            <w:pPr>
              <w:spacing w:after="0"/>
              <w:rPr>
                <w:sz w:val="19"/>
                <w:szCs w:val="19"/>
                <w:color w:val="auto"/>
              </w:rPr>
            </w:pPr>
          </w:p>
        </w:tc>
        <w:tc>
          <w:tcPr>
            <w:tcW w:w="8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granted</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Options canceled/forfeited</w:t>
            </w:r>
          </w:p>
        </w:tc>
        <w:tc>
          <w:tcPr>
            <w:tcW w:w="126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(5,674)</w:t>
            </w:r>
          </w:p>
        </w:tc>
        <w:tc>
          <w:tcPr>
            <w:tcW w:w="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19.31</w:t>
            </w:r>
          </w:p>
        </w:tc>
        <w:tc>
          <w:tcPr>
            <w:tcW w:w="160" w:type="dxa"/>
            <w:vAlign w:val="bottom"/>
            <w:shd w:val="clear" w:color="auto" w:fill="D4EEF4"/>
          </w:tcPr>
          <w:p>
            <w:pPr>
              <w:spacing w:after="0"/>
              <w:rPr>
                <w:sz w:val="19"/>
                <w:szCs w:val="19"/>
                <w:color w:val="auto"/>
              </w:rPr>
            </w:pPr>
          </w:p>
        </w:tc>
        <w:tc>
          <w:tcPr>
            <w:tcW w:w="106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90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686,574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28.83</w:t>
            </w:r>
          </w:p>
        </w:tc>
        <w:tc>
          <w:tcPr>
            <w:tcW w:w="160" w:type="dxa"/>
            <w:vAlign w:val="bottom"/>
          </w:tcPr>
          <w:p>
            <w:pPr>
              <w:spacing w:after="0"/>
              <w:rPr>
                <w:sz w:val="19"/>
                <w:szCs w:val="19"/>
                <w:color w:val="auto"/>
              </w:rPr>
            </w:pPr>
          </w:p>
        </w:tc>
        <w:tc>
          <w:tcPr>
            <w:tcW w:w="10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Options granted</w:t>
            </w:r>
          </w:p>
        </w:tc>
        <w:tc>
          <w:tcPr>
            <w:tcW w:w="11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1,821,784</w:t>
            </w:r>
          </w:p>
        </w:tc>
        <w:tc>
          <w:tcPr>
            <w:tcW w:w="120" w:type="dxa"/>
            <w:vAlign w:val="bottom"/>
            <w:shd w:val="clear" w:color="auto" w:fill="D4EEF4"/>
          </w:tcPr>
          <w:p>
            <w:pPr>
              <w:spacing w:after="0"/>
              <w:rPr>
                <w:sz w:val="19"/>
                <w:szCs w:val="19"/>
                <w:color w:val="auto"/>
              </w:rPr>
            </w:pPr>
          </w:p>
        </w:tc>
        <w:tc>
          <w:tcPr>
            <w:tcW w:w="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160" w:type="dxa"/>
            <w:vAlign w:val="bottom"/>
            <w:shd w:val="clear" w:color="auto" w:fill="D4EEF4"/>
          </w:tcPr>
          <w:p>
            <w:pPr>
              <w:spacing w:after="0"/>
              <w:rPr>
                <w:sz w:val="19"/>
                <w:szCs w:val="19"/>
                <w:color w:val="auto"/>
              </w:rPr>
            </w:pPr>
          </w:p>
        </w:tc>
        <w:tc>
          <w:tcPr>
            <w:tcW w:w="106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90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exercised</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(89,993)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Options canceled/forfeited</w:t>
            </w:r>
          </w:p>
        </w:tc>
        <w:tc>
          <w:tcPr>
            <w:tcW w:w="126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(48,700)</w:t>
            </w:r>
          </w:p>
        </w:tc>
        <w:tc>
          <w:tcPr>
            <w:tcW w:w="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67.84</w:t>
            </w:r>
          </w:p>
        </w:tc>
        <w:tc>
          <w:tcPr>
            <w:tcW w:w="160" w:type="dxa"/>
            <w:vAlign w:val="bottom"/>
            <w:shd w:val="clear" w:color="auto" w:fill="D4EEF4"/>
          </w:tcPr>
          <w:p>
            <w:pPr>
              <w:spacing w:after="0"/>
              <w:rPr>
                <w:sz w:val="19"/>
                <w:szCs w:val="19"/>
                <w:color w:val="auto"/>
              </w:rPr>
            </w:pPr>
          </w:p>
        </w:tc>
        <w:tc>
          <w:tcPr>
            <w:tcW w:w="106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90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5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2023</w:t>
            </w:r>
          </w:p>
        </w:tc>
        <w:tc>
          <w:tcPr>
            <w:tcW w:w="80" w:type="dxa"/>
            <w:vAlign w:val="bottom"/>
          </w:tcPr>
          <w:p>
            <w:pPr>
              <w:spacing w:after="0"/>
              <w:rPr>
                <w:sz w:val="22"/>
                <w:szCs w:val="22"/>
                <w:color w:val="auto"/>
              </w:rPr>
            </w:pPr>
          </w:p>
        </w:tc>
        <w:tc>
          <w:tcPr>
            <w:tcW w:w="10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2,369,665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11.56</w:t>
            </w:r>
          </w:p>
        </w:tc>
        <w:tc>
          <w:tcPr>
            <w:tcW w:w="160" w:type="dxa"/>
            <w:vAlign w:val="bottom"/>
          </w:tcPr>
          <w:p>
            <w:pPr>
              <w:spacing w:after="0"/>
              <w:rPr>
                <w:sz w:val="22"/>
                <w:szCs w:val="22"/>
                <w:color w:val="auto"/>
              </w:rPr>
            </w:pPr>
          </w:p>
        </w:tc>
        <w:tc>
          <w:tcPr>
            <w:tcW w:w="10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8.72</w:t>
            </w:r>
          </w:p>
        </w:tc>
        <w:tc>
          <w:tcPr>
            <w:tcW w:w="3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70,834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580" w:type="dxa"/>
            <w:vAlign w:val="bottom"/>
            <w:tcBorders>
              <w:top w:val="single" w:sz="8" w:color="D4EEF4"/>
            </w:tcBorders>
            <w:shd w:val="clear" w:color="auto" w:fill="D4EEF4"/>
          </w:tcPr>
          <w:p>
            <w:pPr>
              <w:spacing w:after="0" w:line="215" w:lineRule="exact"/>
              <w:rPr>
                <w:sz w:val="20"/>
                <w:szCs w:val="20"/>
                <w:color w:val="auto"/>
              </w:rPr>
            </w:pPr>
            <w:r>
              <w:rPr>
                <w:rFonts w:ascii="Times New Roman" w:cs="Times New Roman" w:eastAsia="Times New Roman" w:hAnsi="Times New Roman"/>
                <w:sz w:val="20"/>
                <w:szCs w:val="20"/>
                <w:color w:val="auto"/>
              </w:rPr>
              <w:t>Options exercisable at December 31, 2023</w:t>
            </w:r>
          </w:p>
        </w:tc>
        <w:tc>
          <w:tcPr>
            <w:tcW w:w="80" w:type="dxa"/>
            <w:vAlign w:val="bottom"/>
            <w:tcBorders>
              <w:top w:val="single" w:sz="8" w:color="D4EEF4"/>
            </w:tcBorders>
            <w:shd w:val="clear" w:color="auto" w:fill="D4EEF4"/>
          </w:tcPr>
          <w:p>
            <w:pPr>
              <w:spacing w:after="0"/>
              <w:rPr>
                <w:sz w:val="18"/>
                <w:szCs w:val="18"/>
                <w:color w:val="auto"/>
              </w:rPr>
            </w:pPr>
          </w:p>
        </w:tc>
        <w:tc>
          <w:tcPr>
            <w:tcW w:w="1060" w:type="dxa"/>
            <w:vAlign w:val="bottom"/>
            <w:tcBorders>
              <w:top w:val="single" w:sz="8" w:color="auto"/>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797,988</w:t>
            </w:r>
          </w:p>
        </w:tc>
        <w:tc>
          <w:tcPr>
            <w:tcW w:w="120" w:type="dxa"/>
            <w:vAlign w:val="bottom"/>
            <w:tcBorders>
              <w:top w:val="single" w:sz="8" w:color="D4EEF4"/>
            </w:tcBorders>
            <w:shd w:val="clear" w:color="auto" w:fill="D4EEF4"/>
          </w:tcPr>
          <w:p>
            <w:pPr>
              <w:spacing w:after="0"/>
              <w:rPr>
                <w:sz w:val="18"/>
                <w:szCs w:val="18"/>
                <w:color w:val="auto"/>
              </w:rPr>
            </w:pPr>
          </w:p>
        </w:tc>
        <w:tc>
          <w:tcPr>
            <w:tcW w:w="60" w:type="dxa"/>
            <w:vAlign w:val="bottom"/>
            <w:tcBorders>
              <w:top w:val="single" w:sz="8" w:color="D4EEF4"/>
            </w:tcBorders>
            <w:shd w:val="clear" w:color="auto" w:fill="D4EEF4"/>
          </w:tcPr>
          <w:p>
            <w:pPr>
              <w:spacing w:after="0"/>
              <w:rPr>
                <w:sz w:val="18"/>
                <w:szCs w:val="18"/>
                <w:color w:val="auto"/>
              </w:rPr>
            </w:pPr>
          </w:p>
        </w:tc>
        <w:tc>
          <w:tcPr>
            <w:tcW w:w="140" w:type="dxa"/>
            <w:vAlign w:val="bottom"/>
            <w:tcBorders>
              <w:top w:val="single" w:sz="8" w:color="auto"/>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18.31</w:t>
            </w:r>
          </w:p>
        </w:tc>
        <w:tc>
          <w:tcPr>
            <w:tcW w:w="160" w:type="dxa"/>
            <w:vAlign w:val="bottom"/>
            <w:tcBorders>
              <w:top w:val="single" w:sz="8" w:color="D4EEF4"/>
            </w:tcBorders>
            <w:shd w:val="clear" w:color="auto" w:fill="D4EEF4"/>
          </w:tcPr>
          <w:p>
            <w:pPr>
              <w:spacing w:after="0"/>
              <w:rPr>
                <w:sz w:val="18"/>
                <w:szCs w:val="18"/>
                <w:color w:val="auto"/>
              </w:rPr>
            </w:pPr>
          </w:p>
        </w:tc>
        <w:tc>
          <w:tcPr>
            <w:tcW w:w="1060" w:type="dxa"/>
            <w:vAlign w:val="bottom"/>
            <w:tcBorders>
              <w:top w:val="single" w:sz="8" w:color="auto"/>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7.76</w:t>
            </w:r>
          </w:p>
        </w:tc>
        <w:tc>
          <w:tcPr>
            <w:tcW w:w="180" w:type="dxa"/>
            <w:vAlign w:val="bottom"/>
            <w:tcBorders>
              <w:top w:val="single" w:sz="8" w:color="D4EEF4"/>
            </w:tcBorders>
            <w:shd w:val="clear" w:color="auto" w:fill="D4EEF4"/>
          </w:tcPr>
          <w:p>
            <w:pPr>
              <w:spacing w:after="0"/>
              <w:rPr>
                <w:sz w:val="18"/>
                <w:szCs w:val="18"/>
                <w:color w:val="auto"/>
              </w:rPr>
            </w:pPr>
          </w:p>
        </w:tc>
        <w:tc>
          <w:tcPr>
            <w:tcW w:w="140" w:type="dxa"/>
            <w:vAlign w:val="bottom"/>
            <w:tcBorders>
              <w:top w:val="single" w:sz="8" w:color="auto"/>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20,320</w:t>
            </w:r>
          </w:p>
        </w:tc>
        <w:tc>
          <w:tcPr>
            <w:tcW w:w="80" w:type="dxa"/>
            <w:vAlign w:val="bottom"/>
            <w:tcBorders>
              <w:top w:val="single" w:sz="8" w:color="D4EEF4"/>
            </w:tcBorders>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vested and expected to vest at</w:t>
            </w: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5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2,346,707</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weighted-average grant date fair value of employee options granted was $5.04 and $2.62 per share for the years ended December 31, 2023 and December 31, 2022, respectively. At December 31, 2023 total unrecognized employee stock-based compensation for options that are expected to vest was $9.1 million, which is expected to be recognized over the weighted-average remaining vesting period of 2.5 years.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114" w:lineRule="exact"/>
        <w:rPr>
          <w:sz w:val="20"/>
          <w:szCs w:val="20"/>
          <w:color w:val="auto"/>
        </w:rPr>
      </w:pPr>
    </w:p>
    <w:p>
      <w:pPr>
        <w:ind w:right="140" w:firstLine="490"/>
        <w:spacing w:after="0" w:line="237" w:lineRule="auto"/>
        <w:rPr>
          <w:sz w:val="20"/>
          <w:szCs w:val="20"/>
          <w:color w:val="auto"/>
        </w:rPr>
      </w:pPr>
      <w:r>
        <w:rPr>
          <w:rFonts w:ascii="Times New Roman" w:cs="Times New Roman" w:eastAsia="Times New Roman" w:hAnsi="Times New Roman"/>
          <w:sz w:val="20"/>
          <w:szCs w:val="20"/>
          <w:color w:val="auto"/>
        </w:rPr>
        <w:t>There were 420,710 and 8,965 restricted stock units granted by the Company during the years ended December 31, 2023 and December 31, 2022, respectively, to employees and certain directors. In 2023, 414,710 restricted stock units were granted to employees with a six-month vesting period, and all such restricted stock units vested during 2023. The restricted stock units granted to certain directors in 2022 were 100% vested on the grant date and represent compensation for past board services. The shares were valued based on the Company’s common stock price on the grant date.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34" w:right="1440" w:bottom="175" w:gutter="0" w:footer="0" w:header="0"/>
          <w:type w:val="continuous"/>
        </w:sectPr>
      </w:pPr>
    </w:p>
    <w:bookmarkStart w:id="85" w:name="page86"/>
    <w:bookmarkEnd w:id="85"/>
    <w:p>
      <w:pPr>
        <w:ind w:right="40" w:firstLine="562"/>
        <w:spacing w:after="0" w:line="253" w:lineRule="auto"/>
        <w:rPr>
          <w:sz w:val="20"/>
          <w:szCs w:val="20"/>
          <w:color w:val="auto"/>
        </w:rPr>
      </w:pPr>
      <w:r>
        <w:rPr>
          <w:rFonts w:ascii="Times New Roman" w:cs="Times New Roman" w:eastAsia="Times New Roman" w:hAnsi="Times New Roman"/>
          <w:sz w:val="20"/>
          <w:szCs w:val="20"/>
          <w:color w:val="auto"/>
        </w:rPr>
        <w:t>The following table summarizes restricted stock unit transactions for the years ended December 31, 2023 and 2022 as issued under the 2014 Plan:</w:t>
      </w:r>
    </w:p>
    <w:tbl>
      <w:tblPr>
        <w:tblLayout w:type="fixed"/>
        <w:tblInd w:w="0" w:type="dxa"/>
        <w:tblCellMar>
          <w:top w:w="0" w:type="dxa"/>
          <w:left w:w="0" w:type="dxa"/>
          <w:bottom w:w="0" w:type="dxa"/>
          <w:right w:w="0" w:type="dxa"/>
        </w:tblCellMar>
      </w:tblPr>
      <w:tr>
        <w:trPr>
          <w:trHeight w:val="159"/>
        </w:trPr>
        <w:tc>
          <w:tcPr>
            <w:tcW w:w="6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6"/>
              <w:spacing w:after="0" w:line="159"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Fair Value per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94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2021</w:t>
            </w:r>
          </w:p>
        </w:tc>
        <w:tc>
          <w:tcPr>
            <w:tcW w:w="10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29,050</w:t>
            </w:r>
          </w:p>
        </w:tc>
        <w:tc>
          <w:tcPr>
            <w:tcW w:w="16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auto"/>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57.75</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Restricted stock units vested</w:t>
            </w:r>
          </w:p>
        </w:tc>
        <w:tc>
          <w:tcPr>
            <w:tcW w:w="12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(18,646)</w:t>
            </w:r>
          </w:p>
        </w:tc>
        <w:tc>
          <w:tcPr>
            <w:tcW w:w="1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32.55</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cancelled/forfeited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4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2022</w:t>
            </w:r>
          </w:p>
        </w:tc>
        <w:tc>
          <w:tcPr>
            <w:tcW w:w="10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19,068</w:t>
            </w:r>
          </w:p>
        </w:tc>
        <w:tc>
          <w:tcPr>
            <w:tcW w:w="16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auto"/>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57.75</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420,710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Restricted stock units vested</w:t>
            </w:r>
          </w:p>
        </w:tc>
        <w:tc>
          <w:tcPr>
            <w:tcW w:w="12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(423,248)</w:t>
            </w:r>
          </w:p>
        </w:tc>
        <w:tc>
          <w:tcPr>
            <w:tcW w:w="1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cancelled/forfeited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4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2023</w:t>
            </w:r>
          </w:p>
        </w:tc>
        <w:tc>
          <w:tcPr>
            <w:tcW w:w="10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15,534</w:t>
            </w:r>
          </w:p>
        </w:tc>
        <w:tc>
          <w:tcPr>
            <w:tcW w:w="16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auto"/>
              <w:bottom w:val="single" w:sz="8" w:color="auto"/>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43.92</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right="120" w:firstLine="490"/>
        <w:spacing w:after="0" w:line="239" w:lineRule="auto"/>
        <w:rPr>
          <w:sz w:val="20"/>
          <w:szCs w:val="20"/>
          <w:color w:val="auto"/>
        </w:rPr>
      </w:pPr>
      <w:r>
        <w:rPr>
          <w:rFonts w:ascii="Times New Roman" w:cs="Times New Roman" w:eastAsia="Times New Roman" w:hAnsi="Times New Roman"/>
          <w:sz w:val="20"/>
          <w:szCs w:val="20"/>
          <w:color w:val="auto"/>
        </w:rPr>
        <w:t>The weighted-average grant-date fair value of all restricted stock units granted was $5.49 and $5.33 per share during the year ended December 31, 2023 and 2022, respectively. The fair value of all restricted stock units vested during the year ended December 31, 2023 and 2022 was $12.0 million and $0.1 million, respectively. At December 31, 2023, total unrecognized employee stock-based compensation related to restricted stock units was $0.2 million, which is expected to be recognized over the weighted-average remaining vesting period of 0.2 years.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2014 Employee Stock Purchase Plan</w:t>
      </w:r>
    </w:p>
    <w:p>
      <w:pPr>
        <w:spacing w:after="0" w:line="110" w:lineRule="exact"/>
        <w:rPr>
          <w:sz w:val="20"/>
          <w:szCs w:val="20"/>
          <w:color w:val="auto"/>
        </w:rPr>
      </w:pPr>
    </w:p>
    <w:p>
      <w:pPr>
        <w:ind w:right="80" w:firstLine="490"/>
        <w:spacing w:after="0" w:line="237" w:lineRule="auto"/>
        <w:rPr>
          <w:sz w:val="20"/>
          <w:szCs w:val="20"/>
          <w:color w:val="auto"/>
        </w:rPr>
      </w:pPr>
      <w:r>
        <w:rPr>
          <w:rFonts w:ascii="Times New Roman" w:cs="Times New Roman" w:eastAsia="Times New Roman" w:hAnsi="Times New Roman"/>
          <w:sz w:val="20"/>
          <w:szCs w:val="20"/>
          <w:color w:val="auto"/>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94" w:lineRule="exact"/>
        <w:rPr>
          <w:sz w:val="20"/>
          <w:szCs w:val="20"/>
          <w:color w:val="auto"/>
        </w:rPr>
      </w:pPr>
    </w:p>
    <w:p>
      <w:pPr>
        <w:ind w:left="860" w:hanging="370"/>
        <w:spacing w:after="0"/>
        <w:tabs>
          <w:tab w:leader="none" w:pos="86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1.0% of the outstanding shares of the Company’s common stock on the first day of such year;</w:t>
      </w:r>
    </w:p>
    <w:p>
      <w:pPr>
        <w:spacing w:after="0" w:line="123" w:lineRule="exact"/>
        <w:rPr>
          <w:rFonts w:ascii="Arial" w:cs="Arial" w:eastAsia="Arial" w:hAnsi="Arial"/>
          <w:sz w:val="20"/>
          <w:szCs w:val="20"/>
          <w:color w:val="auto"/>
        </w:rPr>
      </w:pPr>
    </w:p>
    <w:p>
      <w:pPr>
        <w:ind w:left="860" w:hanging="370"/>
        <w:spacing w:after="0"/>
        <w:tabs>
          <w:tab w:leader="none" w:pos="86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3,729 shares; or</w:t>
      </w:r>
    </w:p>
    <w:p>
      <w:pPr>
        <w:spacing w:after="0" w:line="123" w:lineRule="exact"/>
        <w:rPr>
          <w:rFonts w:ascii="Arial" w:cs="Arial" w:eastAsia="Arial" w:hAnsi="Arial"/>
          <w:sz w:val="20"/>
          <w:szCs w:val="20"/>
          <w:color w:val="auto"/>
        </w:rPr>
      </w:pPr>
    </w:p>
    <w:p>
      <w:pPr>
        <w:ind w:left="860" w:hanging="370"/>
        <w:spacing w:after="0"/>
        <w:tabs>
          <w:tab w:leader="none" w:pos="86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such amount as determined by the board of directors.</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2023, there were no purchases by employees under this plan.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Income Taxes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geographical distribution of loss before income taxes are summarized below (in thousands):</w:t>
      </w:r>
    </w:p>
    <w:p>
      <w:pPr>
        <w:spacing w:after="0" w:line="276"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436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08"/>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D4EEF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D4EEF4"/>
            </w:tcBorders>
          </w:tcPr>
          <w:p>
            <w:pPr>
              <w:spacing w:after="0"/>
              <w:rPr>
                <w:sz w:val="15"/>
                <w:szCs w:val="15"/>
                <w:color w:val="auto"/>
              </w:rPr>
            </w:pPr>
          </w:p>
        </w:tc>
      </w:tr>
      <w:tr>
        <w:trPr>
          <w:trHeight w:val="220"/>
        </w:trPr>
        <w:tc>
          <w:tcPr>
            <w:tcW w:w="436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United States</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(39,180</w:t>
            </w:r>
          </w:p>
        </w:tc>
        <w:tc>
          <w:tcPr>
            <w:tcW w:w="160" w:type="dxa"/>
            <w:vAlign w:val="bottom"/>
            <w:shd w:val="clear" w:color="auto" w:fill="D4EEF4"/>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(24,173</w:t>
            </w:r>
          </w:p>
        </w:tc>
        <w:tc>
          <w:tcPr>
            <w:tcW w:w="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EF4"/>
              </w:rPr>
              <w:t>)</w:t>
            </w:r>
          </w:p>
        </w:tc>
      </w:tr>
      <w:tr>
        <w:trPr>
          <w:trHeight w:val="230"/>
        </w:trPr>
        <w:tc>
          <w:tcPr>
            <w:tcW w:w="436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8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16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Borders>
              <w:bottom w:val="single" w:sz="8" w:color="D4EEF4"/>
            </w:tcBorders>
          </w:tcPr>
          <w:p>
            <w:pPr>
              <w:spacing w:after="0"/>
              <w:rPr>
                <w:sz w:val="19"/>
                <w:szCs w:val="19"/>
                <w:color w:val="auto"/>
              </w:rPr>
            </w:pPr>
          </w:p>
        </w:tc>
      </w:tr>
      <w:tr>
        <w:trPr>
          <w:trHeight w:val="220"/>
        </w:trPr>
        <w:tc>
          <w:tcPr>
            <w:tcW w:w="436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Loss before income taxes</w:t>
            </w:r>
          </w:p>
        </w:tc>
        <w:tc>
          <w:tcPr>
            <w:tcW w:w="8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(38,988</w:t>
            </w:r>
          </w:p>
        </w:tc>
        <w:tc>
          <w:tcPr>
            <w:tcW w:w="160" w:type="dxa"/>
            <w:vAlign w:val="bottom"/>
            <w:shd w:val="clear" w:color="auto" w:fill="D4EEF4"/>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(24,067</w:t>
            </w:r>
          </w:p>
        </w:tc>
        <w:tc>
          <w:tcPr>
            <w:tcW w:w="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EF4"/>
              </w:rPr>
              <w:t>)</w:t>
            </w: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20" w:right="1440" w:bottom="175" w:gutter="0" w:footer="0" w:header="0"/>
          <w:type w:val="continuous"/>
        </w:sectPr>
      </w:pPr>
    </w:p>
    <w:bookmarkStart w:id="86" w:name="page87"/>
    <w:bookmarkEnd w:id="86"/>
    <w:p>
      <w:pPr>
        <w:ind w:right="520" w:firstLine="490"/>
        <w:spacing w:after="0" w:line="277" w:lineRule="auto"/>
        <w:rPr>
          <w:sz w:val="20"/>
          <w:szCs w:val="20"/>
          <w:color w:val="auto"/>
        </w:rPr>
      </w:pPr>
      <w:r>
        <w:rPr>
          <w:rFonts w:ascii="Times New Roman" w:cs="Times New Roman" w:eastAsia="Times New Roman" w:hAnsi="Times New Roman"/>
          <w:sz w:val="20"/>
          <w:szCs w:val="20"/>
          <w:color w:val="auto"/>
        </w:rPr>
        <w:t>The provision for income tax benefit differs from the amount estimated by applying the statutory federal income tax rate to the operating loss due to the following (in thousands):</w:t>
      </w:r>
    </w:p>
    <w:p>
      <w:pPr>
        <w:spacing w:after="0" w:line="205"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440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20" w:type="dxa"/>
            <w:vAlign w:val="bottom"/>
            <w:tcBorders>
              <w:bottom w:val="single" w:sz="8" w:color="D4EEF4"/>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D4EEF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01"/>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D4EEF4"/>
            </w:tcBorders>
          </w:tcPr>
          <w:p>
            <w:pPr>
              <w:spacing w:after="0"/>
              <w:rPr>
                <w:sz w:val="15"/>
                <w:szCs w:val="15"/>
                <w:color w:val="auto"/>
              </w:rPr>
            </w:pPr>
          </w:p>
        </w:tc>
      </w:tr>
      <w:tr>
        <w:trPr>
          <w:trHeight w:val="201"/>
        </w:trPr>
        <w:tc>
          <w:tcPr>
            <w:tcW w:w="4400" w:type="dxa"/>
            <w:vAlign w:val="bottom"/>
            <w:shd w:val="clear" w:color="auto" w:fill="D4EEF4"/>
          </w:tcPr>
          <w:p>
            <w:pPr>
              <w:spacing w:after="0" w:line="201" w:lineRule="exact"/>
              <w:rPr>
                <w:sz w:val="20"/>
                <w:szCs w:val="20"/>
                <w:color w:val="auto"/>
              </w:rPr>
            </w:pPr>
            <w:r>
              <w:rPr>
                <w:rFonts w:ascii="Times New Roman" w:cs="Times New Roman" w:eastAsia="Times New Roman" w:hAnsi="Times New Roman"/>
                <w:sz w:val="20"/>
                <w:szCs w:val="20"/>
                <w:color w:val="auto"/>
              </w:rPr>
              <w:t>Tax (benefit) on the loss before income tax expense</w:t>
            </w:r>
          </w:p>
        </w:tc>
        <w:tc>
          <w:tcPr>
            <w:tcW w:w="8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180" w:type="dxa"/>
            <w:vAlign w:val="bottom"/>
            <w:shd w:val="clear" w:color="auto" w:fill="D4EEF4"/>
          </w:tcPr>
          <w:p>
            <w:pPr>
              <w:spacing w:after="0"/>
              <w:rPr>
                <w:sz w:val="17"/>
                <w:szCs w:val="17"/>
                <w:color w:val="auto"/>
              </w:rPr>
            </w:pPr>
          </w:p>
        </w:tc>
        <w:tc>
          <w:tcPr>
            <w:tcW w:w="740" w:type="dxa"/>
            <w:vAlign w:val="bottom"/>
            <w:shd w:val="clear" w:color="auto" w:fill="D4EEF4"/>
          </w:tcPr>
          <w:p>
            <w:pPr>
              <w:spacing w:after="0"/>
              <w:rPr>
                <w:sz w:val="17"/>
                <w:szCs w:val="17"/>
                <w:color w:val="auto"/>
              </w:rPr>
            </w:pPr>
          </w:p>
        </w:tc>
        <w:tc>
          <w:tcPr>
            <w:tcW w:w="140" w:type="dxa"/>
            <w:vAlign w:val="bottom"/>
            <w:shd w:val="clear" w:color="auto" w:fill="D4EEF4"/>
          </w:tcPr>
          <w:p>
            <w:pPr>
              <w:spacing w:after="0"/>
              <w:rPr>
                <w:sz w:val="17"/>
                <w:szCs w:val="17"/>
                <w:color w:val="auto"/>
              </w:rPr>
            </w:pPr>
          </w:p>
        </w:tc>
        <w:tc>
          <w:tcPr>
            <w:tcW w:w="200" w:type="dxa"/>
            <w:vAlign w:val="bottom"/>
            <w:shd w:val="clear" w:color="auto" w:fill="D4EEF4"/>
          </w:tcPr>
          <w:p>
            <w:pPr>
              <w:spacing w:after="0"/>
              <w:rPr>
                <w:sz w:val="17"/>
                <w:szCs w:val="17"/>
                <w:color w:val="auto"/>
              </w:rPr>
            </w:pPr>
          </w:p>
        </w:tc>
        <w:tc>
          <w:tcPr>
            <w:tcW w:w="720" w:type="dxa"/>
            <w:vAlign w:val="bottom"/>
            <w:shd w:val="clear" w:color="auto" w:fill="D4EEF4"/>
          </w:tcPr>
          <w:p>
            <w:pPr>
              <w:spacing w:after="0"/>
              <w:rPr>
                <w:sz w:val="17"/>
                <w:szCs w:val="17"/>
                <w:color w:val="auto"/>
              </w:rPr>
            </w:pPr>
          </w:p>
        </w:tc>
        <w:tc>
          <w:tcPr>
            <w:tcW w:w="80" w:type="dxa"/>
            <w:vAlign w:val="bottom"/>
            <w:shd w:val="clear" w:color="auto" w:fill="D4EEF4"/>
          </w:tcPr>
          <w:p>
            <w:pPr>
              <w:spacing w:after="0"/>
              <w:rPr>
                <w:sz w:val="17"/>
                <w:szCs w:val="17"/>
                <w:color w:val="auto"/>
              </w:rPr>
            </w:pPr>
          </w:p>
        </w:tc>
      </w:tr>
      <w:tr>
        <w:trPr>
          <w:trHeight w:val="249"/>
        </w:trPr>
        <w:tc>
          <w:tcPr>
            <w:tcW w:w="440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20"/>
                <w:szCs w:val="20"/>
                <w:color w:val="auto"/>
              </w:rPr>
              <w:t>computed at the federal statutory rate</w:t>
            </w:r>
          </w:p>
        </w:tc>
        <w:tc>
          <w:tcPr>
            <w:tcW w:w="80" w:type="dxa"/>
            <w:vAlign w:val="bottom"/>
            <w:shd w:val="clear" w:color="auto" w:fill="D4EEF4"/>
          </w:tcPr>
          <w:p>
            <w:pPr>
              <w:spacing w:after="0"/>
              <w:rPr>
                <w:sz w:val="21"/>
                <w:szCs w:val="21"/>
                <w:color w:val="auto"/>
              </w:rPr>
            </w:pPr>
          </w:p>
        </w:tc>
        <w:tc>
          <w:tcPr>
            <w:tcW w:w="20" w:type="dxa"/>
            <w:vAlign w:val="bottom"/>
            <w:shd w:val="clear" w:color="auto" w:fill="D4EEF4"/>
          </w:tcPr>
          <w:p>
            <w:pPr>
              <w:spacing w:after="0"/>
              <w:rPr>
                <w:sz w:val="21"/>
                <w:szCs w:val="21"/>
                <w:color w:val="auto"/>
              </w:rPr>
            </w:pPr>
          </w:p>
        </w:tc>
        <w:tc>
          <w:tcPr>
            <w:tcW w:w="180" w:type="dxa"/>
            <w:vAlign w:val="bottom"/>
            <w:shd w:val="clear" w:color="auto" w:fill="D4EEF4"/>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(8,187)</w:t>
            </w:r>
          </w:p>
        </w:tc>
        <w:tc>
          <w:tcPr>
            <w:tcW w:w="140" w:type="dxa"/>
            <w:vAlign w:val="bottom"/>
            <w:shd w:val="clear" w:color="auto" w:fill="D4EEF4"/>
          </w:tcPr>
          <w:p>
            <w:pPr>
              <w:spacing w:after="0"/>
              <w:rPr>
                <w:sz w:val="21"/>
                <w:szCs w:val="21"/>
                <w:color w:val="auto"/>
              </w:rPr>
            </w:pPr>
          </w:p>
        </w:tc>
        <w:tc>
          <w:tcPr>
            <w:tcW w:w="2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(5,055)</w:t>
            </w:r>
          </w:p>
        </w:tc>
        <w:tc>
          <w:tcPr>
            <w:tcW w:w="80" w:type="dxa"/>
            <w:vAlign w:val="bottom"/>
            <w:shd w:val="clear" w:color="auto" w:fill="D4EEF4"/>
          </w:tcPr>
          <w:p>
            <w:pPr>
              <w:spacing w:after="0"/>
              <w:rPr>
                <w:sz w:val="21"/>
                <w:szCs w:val="21"/>
                <w:color w:val="auto"/>
              </w:rPr>
            </w:pPr>
          </w:p>
        </w:tc>
      </w:tr>
      <w:tr>
        <w:trPr>
          <w:trHeight w:val="211"/>
        </w:trPr>
        <w:tc>
          <w:tcPr>
            <w:tcW w:w="44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State tax (benefit) at statutory rate, net of federal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benefit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(505)</w:t>
            </w: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(527)</w:t>
            </w: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8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5,702</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Change in research and development credits</w:t>
            </w:r>
          </w:p>
        </w:tc>
        <w:tc>
          <w:tcPr>
            <w:tcW w:w="8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8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(1,631)</w:t>
            </w:r>
          </w:p>
        </w:tc>
        <w:tc>
          <w:tcPr>
            <w:tcW w:w="200" w:type="dxa"/>
            <w:vAlign w:val="bottom"/>
            <w:shd w:val="clear" w:color="auto" w:fill="D4EEF4"/>
          </w:tcPr>
          <w:p>
            <w:pPr>
              <w:spacing w:after="0"/>
              <w:rPr>
                <w:sz w:val="19"/>
                <w:szCs w:val="19"/>
                <w:color w:val="auto"/>
              </w:rPr>
            </w:pPr>
          </w:p>
        </w:tc>
        <w:tc>
          <w:tcPr>
            <w:tcW w:w="8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(652)</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(600)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(734)</w:t>
            </w: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Change in fair value of warrants</w:t>
            </w:r>
          </w:p>
        </w:tc>
        <w:tc>
          <w:tcPr>
            <w:tcW w:w="8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8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Section 162(m) limitation</w:t>
            </w:r>
          </w:p>
        </w:tc>
        <w:tc>
          <w:tcPr>
            <w:tcW w:w="8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589</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Change in net operating loss true up</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Change in capital losses</w:t>
            </w:r>
          </w:p>
        </w:tc>
        <w:tc>
          <w:tcPr>
            <w:tcW w:w="8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8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Change in state rates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80" w:type="dxa"/>
            <w:vAlign w:val="bottom"/>
          </w:tcPr>
          <w:p>
            <w:pPr>
              <w:spacing w:after="0"/>
              <w:rPr>
                <w:sz w:val="19"/>
                <w:szCs w:val="19"/>
                <w:color w:val="auto"/>
              </w:rPr>
            </w:pPr>
          </w:p>
        </w:tc>
      </w:tr>
      <w:tr>
        <w:trPr>
          <w:trHeight w:val="25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Other</w:t>
            </w:r>
          </w:p>
        </w:tc>
        <w:tc>
          <w:tcPr>
            <w:tcW w:w="80" w:type="dxa"/>
            <w:vAlign w:val="bottom"/>
            <w:shd w:val="clear" w:color="auto" w:fill="D4EEF4"/>
          </w:tcPr>
          <w:p>
            <w:pPr>
              <w:spacing w:after="0"/>
              <w:rPr>
                <w:sz w:val="21"/>
                <w:szCs w:val="21"/>
                <w:color w:val="auto"/>
              </w:rPr>
            </w:pPr>
          </w:p>
        </w:tc>
        <w:tc>
          <w:tcPr>
            <w:tcW w:w="2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4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8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00"/>
        </w:trPr>
        <w:tc>
          <w:tcPr>
            <w:tcW w:w="4400" w:type="dxa"/>
            <w:vAlign w:val="bottom"/>
            <w:tcBorders>
              <w:top w:val="single" w:sz="8" w:color="D4EEF4"/>
            </w:tcBorders>
          </w:tcPr>
          <w:p>
            <w:pPr>
              <w:spacing w:after="0" w:line="200" w:lineRule="exact"/>
              <w:rPr>
                <w:sz w:val="20"/>
                <w:szCs w:val="20"/>
                <w:color w:val="auto"/>
              </w:rPr>
            </w:pPr>
            <w:r>
              <w:rPr>
                <w:rFonts w:ascii="Times New Roman" w:cs="Times New Roman" w:eastAsia="Times New Roman" w:hAnsi="Times New Roman"/>
                <w:sz w:val="20"/>
                <w:szCs w:val="20"/>
                <w:color w:val="auto"/>
              </w:rPr>
              <w:t>Provision for income tax benefit</w:t>
            </w:r>
          </w:p>
        </w:tc>
        <w:tc>
          <w:tcPr>
            <w:tcW w:w="80" w:type="dxa"/>
            <w:vAlign w:val="bottom"/>
            <w:tcBorders>
              <w:top w:val="single" w:sz="8" w:color="D4EEF4"/>
            </w:tcBorders>
          </w:tcPr>
          <w:p>
            <w:pPr>
              <w:spacing w:after="0"/>
              <w:rPr>
                <w:sz w:val="17"/>
                <w:szCs w:val="17"/>
                <w:color w:val="auto"/>
              </w:rPr>
            </w:pPr>
          </w:p>
        </w:tc>
        <w:tc>
          <w:tcPr>
            <w:tcW w:w="20" w:type="dxa"/>
            <w:vAlign w:val="bottom"/>
            <w:tcBorders>
              <w:top w:val="single" w:sz="8" w:color="D4EEF4"/>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D4EEF4"/>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D4EEF4"/>
            </w:tcBorders>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2023 and 2022 (in thousands):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440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2"/>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D4EEF4"/>
            </w:tcBorders>
          </w:tcPr>
          <w:p>
            <w:pPr>
              <w:spacing w:after="0"/>
              <w:rPr>
                <w:sz w:val="15"/>
                <w:szCs w:val="15"/>
                <w:color w:val="auto"/>
              </w:rPr>
            </w:pPr>
          </w:p>
        </w:tc>
        <w:tc>
          <w:tcPr>
            <w:tcW w:w="40" w:type="dxa"/>
            <w:vAlign w:val="bottom"/>
            <w:tcBorders>
              <w:top w:val="single" w:sz="8" w:color="auto"/>
              <w:bottom w:val="single" w:sz="8" w:color="D4EEF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01"/>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D4EEF4"/>
            </w:tcBorders>
          </w:tcPr>
          <w:p>
            <w:pPr>
              <w:spacing w:after="0"/>
              <w:rPr>
                <w:sz w:val="15"/>
                <w:szCs w:val="15"/>
                <w:color w:val="auto"/>
              </w:rPr>
            </w:pPr>
          </w:p>
        </w:tc>
      </w:tr>
      <w:tr>
        <w:trPr>
          <w:trHeight w:val="220"/>
        </w:trPr>
        <w:tc>
          <w:tcPr>
            <w:tcW w:w="440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Non-current deferred tax assets:</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4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 and state net operating loss carryforwards</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49,024</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Research and other credits</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6,352</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4,146</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2,828</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Reserves and accruals</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Fixed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Capital loss carryover</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2,682</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Lease liability</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Borders>
              <w:bottom w:val="single" w:sz="8" w:color="D4EEF4"/>
            </w:tcBorders>
          </w:tcPr>
          <w:p>
            <w:pPr>
              <w:ind w:left="200"/>
              <w:spacing w:after="0"/>
              <w:rPr>
                <w:sz w:val="20"/>
                <w:szCs w:val="20"/>
                <w:color w:val="auto"/>
              </w:rPr>
            </w:pPr>
            <w:r>
              <w:rPr>
                <w:rFonts w:ascii="Times New Roman" w:cs="Times New Roman" w:eastAsia="Times New Roman" w:hAnsi="Times New Roman"/>
                <w:sz w:val="20"/>
                <w:szCs w:val="20"/>
                <w:color w:val="auto"/>
              </w:rPr>
              <w:t>Other deferred tax assets</w:t>
            </w:r>
          </w:p>
        </w:tc>
        <w:tc>
          <w:tcPr>
            <w:tcW w:w="8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00" w:type="dxa"/>
            <w:vAlign w:val="bottom"/>
            <w:tcBorders>
              <w:bottom w:val="single" w:sz="8" w:color="D4EEF4"/>
            </w:tcBorders>
          </w:tcPr>
          <w:p>
            <w:pPr>
              <w:spacing w:after="0"/>
              <w:rPr>
                <w:sz w:val="19"/>
                <w:szCs w:val="19"/>
                <w:color w:val="auto"/>
              </w:rPr>
            </w:pPr>
          </w:p>
        </w:tc>
        <w:tc>
          <w:tcPr>
            <w:tcW w:w="4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Borders>
              <w:bottom w:val="single" w:sz="8" w:color="D4EEF4"/>
            </w:tcBorders>
          </w:tcPr>
          <w:p>
            <w:pPr>
              <w:spacing w:after="0"/>
              <w:rPr>
                <w:sz w:val="19"/>
                <w:szCs w:val="19"/>
                <w:color w:val="auto"/>
              </w:rPr>
            </w:pPr>
          </w:p>
        </w:tc>
      </w:tr>
      <w:tr>
        <w:trPr>
          <w:trHeight w:val="220"/>
        </w:trPr>
        <w:tc>
          <w:tcPr>
            <w:tcW w:w="4400" w:type="dxa"/>
            <w:vAlign w:val="bottom"/>
            <w:shd w:val="clear" w:color="auto" w:fill="D4EEF4"/>
          </w:tcPr>
          <w:p>
            <w:pPr>
              <w:ind w:left="400"/>
              <w:spacing w:after="0" w:line="220" w:lineRule="exact"/>
              <w:rPr>
                <w:sz w:val="20"/>
                <w:szCs w:val="20"/>
                <w:color w:val="auto"/>
              </w:rPr>
            </w:pPr>
            <w:r>
              <w:rPr>
                <w:rFonts w:ascii="Times New Roman" w:cs="Times New Roman" w:eastAsia="Times New Roman" w:hAnsi="Times New Roman"/>
                <w:sz w:val="20"/>
                <w:szCs w:val="20"/>
                <w:color w:val="auto"/>
              </w:rPr>
              <w:t>Gross non-current deferred tax assets</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67,879</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7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59,940</w:t>
            </w:r>
          </w:p>
        </w:tc>
        <w:tc>
          <w:tcPr>
            <w:tcW w:w="80" w:type="dxa"/>
            <w:vAlign w:val="bottom"/>
            <w:shd w:val="clear" w:color="auto" w:fill="D4EEF4"/>
          </w:tcPr>
          <w:p>
            <w:pPr>
              <w:spacing w:after="0"/>
              <w:rPr>
                <w:sz w:val="19"/>
                <w:szCs w:val="19"/>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(2,888)</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84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(86)</w:t>
            </w:r>
          </w:p>
        </w:tc>
        <w:tc>
          <w:tcPr>
            <w:tcW w:w="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8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20"/>
        </w:trPr>
        <w:tc>
          <w:tcPr>
            <w:tcW w:w="440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non-current deferred tax liabilities</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(2,923)</w:t>
            </w:r>
          </w:p>
        </w:tc>
        <w:tc>
          <w:tcPr>
            <w:tcW w:w="80" w:type="dxa"/>
            <w:vAlign w:val="bottom"/>
          </w:tcPr>
          <w:p>
            <w:pPr>
              <w:spacing w:after="0"/>
              <w:rPr>
                <w:sz w:val="19"/>
                <w:szCs w:val="19"/>
                <w:color w:val="auto"/>
              </w:rPr>
            </w:pP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8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spacing w:after="0"/>
              <w:rPr>
                <w:sz w:val="19"/>
                <w:szCs w:val="19"/>
                <w:color w:val="auto"/>
              </w:rPr>
            </w:pPr>
          </w:p>
        </w:tc>
        <w:tc>
          <w:tcPr>
            <w:tcW w:w="7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65,956</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spacing w:after="0"/>
              <w:rPr>
                <w:sz w:val="19"/>
                <w:szCs w:val="19"/>
                <w:color w:val="auto"/>
              </w:rPr>
            </w:pPr>
          </w:p>
        </w:tc>
        <w:tc>
          <w:tcPr>
            <w:tcW w:w="7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57,017</w:t>
            </w:r>
          </w:p>
        </w:tc>
        <w:tc>
          <w:tcPr>
            <w:tcW w:w="80" w:type="dxa"/>
            <w:vAlign w:val="bottom"/>
            <w:shd w:val="clear" w:color="auto" w:fill="D4EEF4"/>
          </w:tcPr>
          <w:p>
            <w:pPr>
              <w:spacing w:after="0"/>
              <w:rPr>
                <w:sz w:val="19"/>
                <w:szCs w:val="19"/>
                <w:color w:val="auto"/>
              </w:rPr>
            </w:pPr>
          </w:p>
        </w:tc>
      </w:tr>
      <w:tr>
        <w:trPr>
          <w:trHeight w:val="220"/>
        </w:trPr>
        <w:tc>
          <w:tcPr>
            <w:tcW w:w="4400" w:type="dxa"/>
            <w:vAlign w:val="bottom"/>
            <w:tcBorders>
              <w:bottom w:val="single" w:sz="8" w:color="D4EEF4"/>
            </w:tcBorders>
          </w:tcPr>
          <w:p>
            <w:pPr>
              <w:spacing w:after="0" w:line="220" w:lineRule="exact"/>
              <w:rPr>
                <w:sz w:val="20"/>
                <w:szCs w:val="20"/>
                <w:color w:val="auto"/>
              </w:rPr>
            </w:pPr>
            <w:r>
              <w:rPr>
                <w:rFonts w:ascii="Times New Roman" w:cs="Times New Roman" w:eastAsia="Times New Roman" w:hAnsi="Times New Roman"/>
                <w:sz w:val="20"/>
                <w:szCs w:val="20"/>
                <w:color w:val="auto"/>
              </w:rPr>
              <w:t>Valuation allowance</w:t>
            </w:r>
          </w:p>
        </w:tc>
        <w:tc>
          <w:tcPr>
            <w:tcW w:w="8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(65,956)</w:t>
            </w:r>
          </w:p>
        </w:tc>
        <w:tc>
          <w:tcPr>
            <w:tcW w:w="100" w:type="dxa"/>
            <w:vAlign w:val="bottom"/>
            <w:tcBorders>
              <w:bottom w:val="single" w:sz="8" w:color="D4EEF4"/>
            </w:tcBorders>
          </w:tcPr>
          <w:p>
            <w:pPr>
              <w:spacing w:after="0"/>
              <w:rPr>
                <w:sz w:val="19"/>
                <w:szCs w:val="19"/>
                <w:color w:val="auto"/>
              </w:rPr>
            </w:pPr>
          </w:p>
        </w:tc>
        <w:tc>
          <w:tcPr>
            <w:tcW w:w="4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(57,017)</w:t>
            </w:r>
          </w:p>
        </w:tc>
        <w:tc>
          <w:tcPr>
            <w:tcW w:w="80" w:type="dxa"/>
            <w:vAlign w:val="bottom"/>
            <w:tcBorders>
              <w:bottom w:val="single" w:sz="8" w:color="D4EEF4"/>
            </w:tcBorders>
          </w:tcPr>
          <w:p>
            <w:pPr>
              <w:spacing w:after="0"/>
              <w:rPr>
                <w:sz w:val="19"/>
                <w:szCs w:val="19"/>
                <w:color w:val="auto"/>
              </w:rPr>
            </w:pPr>
          </w:p>
        </w:tc>
      </w:tr>
      <w:tr>
        <w:trPr>
          <w:trHeight w:val="220"/>
        </w:trPr>
        <w:tc>
          <w:tcPr>
            <w:tcW w:w="440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w:t>
            </w:r>
          </w:p>
        </w:tc>
        <w:tc>
          <w:tcPr>
            <w:tcW w:w="8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7" w:lineRule="exact"/>
        <w:rPr>
          <w:sz w:val="20"/>
          <w:szCs w:val="20"/>
          <w:color w:val="auto"/>
        </w:rPr>
      </w:pPr>
    </w:p>
    <w:p>
      <w:pPr>
        <w:ind w:right="80" w:firstLine="490"/>
        <w:spacing w:after="0" w:line="270" w:lineRule="auto"/>
        <w:rPr>
          <w:sz w:val="20"/>
          <w:szCs w:val="20"/>
          <w:color w:val="auto"/>
        </w:rPr>
      </w:pPr>
      <w:r>
        <w:rPr>
          <w:rFonts w:ascii="Times New Roman" w:cs="Times New Roman" w:eastAsia="Times New Roman" w:hAnsi="Times New Roman"/>
          <w:sz w:val="19"/>
          <w:szCs w:val="19"/>
          <w:color w:val="auto"/>
        </w:rPr>
        <w:t>The Company has recorded a full valuation allowance against its net deferred tax assets due to the uncertainty as to whether such assets will be realized. The valuation allowance increased by $8.9 million from December 31, 2022 to December 31, 2023 primarily due to the generation of current year net operating losses, research and development credits claimed, capitalized research and developments costs, and stock-based compensation.</w:t>
      </w:r>
    </w:p>
    <w:p>
      <w:pPr>
        <w:spacing w:after="0" w:line="177" w:lineRule="exact"/>
        <w:rPr>
          <w:sz w:val="20"/>
          <w:szCs w:val="20"/>
          <w:color w:val="auto"/>
        </w:rPr>
      </w:pPr>
    </w:p>
    <w:p>
      <w:pPr>
        <w:ind w:right="20" w:firstLine="490"/>
        <w:spacing w:after="0" w:line="278" w:lineRule="auto"/>
        <w:rPr>
          <w:sz w:val="20"/>
          <w:szCs w:val="20"/>
          <w:color w:val="auto"/>
        </w:rPr>
      </w:pPr>
      <w:r>
        <w:rPr>
          <w:rFonts w:ascii="Times New Roman" w:cs="Times New Roman" w:eastAsia="Times New Roman" w:hAnsi="Times New Roman"/>
          <w:sz w:val="19"/>
          <w:szCs w:val="19"/>
          <w:color w:val="auto"/>
        </w:rPr>
        <w:t>As of December 31, 2023, the Company had $206.7 million of federal, $111.0 million of state and $2.3 million of foreign net operating losses available to offset future taxable income. The Federal net operating loss carryforwards arising from years prior to 2018 began to expire in 2022, however post 2017 federal net operating loss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20" w:right="1440" w:bottom="175" w:gutter="0" w:footer="0" w:header="0"/>
          <w:type w:val="continuous"/>
        </w:sectPr>
      </w:pPr>
    </w:p>
    <w:bookmarkStart w:id="87" w:name="page88"/>
    <w:bookmarkEnd w:id="87"/>
    <w:p>
      <w:pPr>
        <w:ind w:right="40"/>
        <w:spacing w:after="0" w:line="244" w:lineRule="auto"/>
        <w:rPr>
          <w:sz w:val="20"/>
          <w:szCs w:val="20"/>
          <w:color w:val="auto"/>
        </w:rPr>
      </w:pPr>
      <w:r>
        <w:rPr>
          <w:rFonts w:ascii="Times New Roman" w:cs="Times New Roman" w:eastAsia="Times New Roman" w:hAnsi="Times New Roman"/>
          <w:sz w:val="20"/>
          <w:szCs w:val="20"/>
          <w:color w:val="auto"/>
        </w:rPr>
        <w:t>carryforwards of $93.1 million may be carried forward indefinitely. The state net operating loss carryforwards will begin to expire in 2028 and the foreign net operating loss carryforward can be carried forward indefinitely, if not utilized. As of December 31, 2023, the Company also had $6.4 million of federal and $3.4 million of state research and development credit carryforwards. The federal research and development credit carryforward begin to expire in 2024 and the state research and development credit can be carried forward indefinitely. Beginning in fiscal year 2023, the Tax Cuts and Jobs Act of 2017 eliminates the option to deduct research and development expenditures currently and requires taxpayers to amortize such costs over a period of five or fifteen years. While it is possible that Congress may modify, defer, or repeal such provision, we have no assurance that the provision will be modified, deferred or repealed.</w:t>
      </w:r>
    </w:p>
    <w:p>
      <w:pPr>
        <w:spacing w:after="0" w:line="206"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is currently in the process of analyzing whether there was an ownership change, as defined under Section 382 of the Internal Revenue Code, resulting from the issuance of new shares during 2018 through 2023 and expects that analysis to completed during 2024. As such, as of the date of these consolidated financial statements the Company is not able to determine the impact on the net operating loss (NOL) carryforwards, if any.</w:t>
      </w:r>
    </w:p>
    <w:p>
      <w:pPr>
        <w:spacing w:after="0" w:line="206" w:lineRule="exact"/>
        <w:rPr>
          <w:sz w:val="20"/>
          <w:szCs w:val="20"/>
          <w:color w:val="auto"/>
        </w:rPr>
      </w:pPr>
    </w:p>
    <w:p>
      <w:pPr>
        <w:ind w:right="320" w:firstLine="490"/>
        <w:spacing w:after="0" w:line="305" w:lineRule="auto"/>
        <w:rPr>
          <w:sz w:val="20"/>
          <w:szCs w:val="20"/>
          <w:color w:val="auto"/>
        </w:rPr>
      </w:pPr>
      <w:r>
        <w:rPr>
          <w:rFonts w:ascii="Times New Roman" w:cs="Times New Roman" w:eastAsia="Times New Roman" w:hAnsi="Times New Roman"/>
          <w:sz w:val="19"/>
          <w:szCs w:val="19"/>
          <w:color w:val="auto"/>
        </w:rPr>
        <w:t>U.S. taxes and foreign withholding taxes have not been provided on undistributed earnings for certain non-U.S. subsidiaries as of December 31, 2023, as the earnings, if any, are intended to be indefinitely reinvested.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tables summarize the activities of gross unrecognized tax benefits (in thousands):</w:t>
      </w:r>
    </w:p>
    <w:p>
      <w:pPr>
        <w:spacing w:after="0" w:line="276"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r>
      <w:tr>
        <w:trPr>
          <w:trHeight w:val="174"/>
        </w:trPr>
        <w:tc>
          <w:tcPr>
            <w:tcW w:w="4400" w:type="dxa"/>
            <w:vAlign w:val="bottom"/>
            <w:tcBorders>
              <w:bottom w:val="single" w:sz="8" w:color="D4EEF4"/>
            </w:tcBorders>
          </w:tcPr>
          <w:p>
            <w:pPr>
              <w:spacing w:after="0"/>
              <w:rPr>
                <w:sz w:val="15"/>
                <w:szCs w:val="15"/>
                <w:color w:val="auto"/>
              </w:rPr>
            </w:pPr>
          </w:p>
        </w:tc>
        <w:tc>
          <w:tcPr>
            <w:tcW w:w="100" w:type="dxa"/>
            <w:vAlign w:val="bottom"/>
            <w:tcBorders>
              <w:bottom w:val="single" w:sz="8" w:color="D4EEF4"/>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D4EEF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4EEF4"/>
            </w:tcBorders>
          </w:tcPr>
          <w:p>
            <w:pPr>
              <w:spacing w:after="0"/>
              <w:rPr>
                <w:sz w:val="15"/>
                <w:szCs w:val="15"/>
                <w:color w:val="auto"/>
              </w:rPr>
            </w:pPr>
          </w:p>
        </w:tc>
      </w:tr>
      <w:tr>
        <w:trPr>
          <w:trHeight w:val="220"/>
        </w:trPr>
        <w:tc>
          <w:tcPr>
            <w:tcW w:w="440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Beginning balance</w:t>
            </w:r>
          </w:p>
        </w:tc>
        <w:tc>
          <w:tcPr>
            <w:tcW w:w="100" w:type="dxa"/>
            <w:vAlign w:val="bottom"/>
            <w:shd w:val="clear" w:color="auto" w:fill="D4EEF4"/>
          </w:tcPr>
          <w:p>
            <w:pPr>
              <w:spacing w:after="0"/>
              <w:rPr>
                <w:sz w:val="19"/>
                <w:szCs w:val="19"/>
                <w:color w:val="auto"/>
              </w:rPr>
            </w:pPr>
          </w:p>
        </w:tc>
        <w:tc>
          <w:tcPr>
            <w:tcW w:w="2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1,936</w:t>
            </w:r>
          </w:p>
        </w:tc>
        <w:tc>
          <w:tcPr>
            <w:tcW w:w="140" w:type="dxa"/>
            <w:vAlign w:val="bottom"/>
            <w:shd w:val="clear" w:color="auto" w:fill="D4EEF4"/>
          </w:tcPr>
          <w:p>
            <w:pPr>
              <w:spacing w:after="0"/>
              <w:rPr>
                <w:sz w:val="19"/>
                <w:szCs w:val="19"/>
                <w:color w:val="auto"/>
              </w:rPr>
            </w:pPr>
          </w:p>
        </w:tc>
        <w:tc>
          <w:tcPr>
            <w:tcW w:w="220" w:type="dxa"/>
            <w:vAlign w:val="bottom"/>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1,557</w:t>
            </w:r>
          </w:p>
        </w:tc>
        <w:tc>
          <w:tcPr>
            <w:tcW w:w="60" w:type="dxa"/>
            <w:vAlign w:val="bottom"/>
            <w:shd w:val="clear" w:color="auto" w:fill="D4EEF4"/>
          </w:tcPr>
          <w:p>
            <w:pPr>
              <w:spacing w:after="0"/>
              <w:rPr>
                <w:sz w:val="19"/>
                <w:szCs w:val="19"/>
                <w:color w:val="auto"/>
              </w:rPr>
            </w:pPr>
          </w:p>
        </w:tc>
      </w:tr>
      <w:tr>
        <w:trPr>
          <w:trHeight w:val="230"/>
        </w:trPr>
        <w:tc>
          <w:tcPr>
            <w:tcW w:w="440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Increase related to current year tax positions</w:t>
            </w:r>
          </w:p>
        </w:tc>
        <w:tc>
          <w:tcPr>
            <w:tcW w:w="10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140" w:type="dxa"/>
            <w:vAlign w:val="bottom"/>
            <w:tcBorders>
              <w:bottom w:val="single" w:sz="8" w:color="D4EEF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60" w:type="dxa"/>
            <w:vAlign w:val="bottom"/>
            <w:tcBorders>
              <w:bottom w:val="single" w:sz="8" w:color="D4EEF4"/>
            </w:tcBorders>
          </w:tcPr>
          <w:p>
            <w:pPr>
              <w:spacing w:after="0"/>
              <w:rPr>
                <w:sz w:val="19"/>
                <w:szCs w:val="19"/>
                <w:color w:val="auto"/>
              </w:rPr>
            </w:pPr>
          </w:p>
        </w:tc>
      </w:tr>
      <w:tr>
        <w:trPr>
          <w:trHeight w:val="220"/>
        </w:trPr>
        <w:tc>
          <w:tcPr>
            <w:tcW w:w="440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Ending balance</w:t>
            </w:r>
          </w:p>
        </w:tc>
        <w:tc>
          <w:tcPr>
            <w:tcW w:w="10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2,938</w:t>
            </w:r>
          </w:p>
        </w:tc>
        <w:tc>
          <w:tcPr>
            <w:tcW w:w="140" w:type="dxa"/>
            <w:vAlign w:val="bottom"/>
            <w:shd w:val="clear" w:color="auto" w:fill="D4EEF4"/>
          </w:tcPr>
          <w:p>
            <w:pPr>
              <w:spacing w:after="0"/>
              <w:rPr>
                <w:sz w:val="19"/>
                <w:szCs w:val="19"/>
                <w:color w:val="auto"/>
              </w:rPr>
            </w:pPr>
          </w:p>
        </w:tc>
        <w:tc>
          <w:tcPr>
            <w:tcW w:w="220" w:type="dxa"/>
            <w:vAlign w:val="bottom"/>
            <w:tcBorders>
              <w:bottom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1,936</w:t>
            </w:r>
          </w:p>
        </w:tc>
        <w:tc>
          <w:tcPr>
            <w:tcW w:w="60" w:type="dxa"/>
            <w:vAlign w:val="bottom"/>
            <w:shd w:val="clear" w:color="auto" w:fill="D4EEF4"/>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Company uses the “more likely than not” criterion for recognizing the tax benefit of uncertain tax positions and to establish measurement criteria for income tax benefits. The Company has determined it has $2.9 million of unrecognized assets and liabilities related to uncertain tax positions as of December 31, 2023.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spacing w:after="0" w:line="8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There were no unrecognized tax benefits that would impact the effective tax rate as of December 31, 2023 and December 31, 2022. As of December 31, 2023, unrecognized tax benefits of $2.9 million would be offset by a change in valuation allowance.</w:t>
      </w:r>
    </w:p>
    <w:p>
      <w:pPr>
        <w:spacing w:after="0" w:line="6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files income tax returns in the U.S. federal jurisdiction, certain state jurisdictions, United Kingdom and Ireland. In the normal course of business, the Company is subject to examination by federal, state, local and foreign jurisdictions, where applicable. In the U.S federal jurisdiction, tax years 2003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20" w:right="1440" w:bottom="175"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Note 11. Net Loss per Share</w:t>
      </w:r>
    </w:p>
    <w:p>
      <w:pPr>
        <w:spacing w:after="0" w:line="12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 xml:space="preserve">Basic net loss per share is computed by dividing net loss by the weighted-average number of common shares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cs="Times New Roman" w:eastAsia="Times New Roman" w:hAnsi="Times New Roman"/>
          <w:sz w:val="20"/>
          <w:szCs w:val="20"/>
          <w:i w:val="1"/>
          <w:iCs w:val="1"/>
          <w:color w:val="auto"/>
        </w:rPr>
        <w:t>ASC 260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Earnings Per Shares</w:t>
      </w:r>
      <w:r>
        <w:rPr>
          <w:rFonts w:ascii="Times New Roman" w:cs="Times New Roman" w:eastAsia="Times New Roman" w:hAnsi="Times New Roman"/>
          <w:sz w:val="20"/>
          <w:szCs w:val="20"/>
          <w:color w:val="auto"/>
        </w:rPr>
        <w:t>. Diluted net loss per share is computed by dividing net loss by the weighted-average number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outstanding and dilutive potential common stock that would be issued upon the exercise or vesting of common stock awards, restricted stock units and exercise of common stock warrants that are not pre-funded. The Company applies the two-class method to calculate basic and diluted earnings per share as its warrants issued in March 2022 and May 2023 are participating securities. However, the two-class method does not impact the net loss per share of common stock as the March 2022 and May 2023 common warrants issued do not participate in losses</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For the years ended December 31, 2023 and 2022, the effect of issuing the respective potential common stock is anti-dilutive due to the net losses in those periods and therefore the number of shares used to compute basic and diluted net loss per share are the same in each of those periods.</w:t>
      </w:r>
    </w:p>
    <w:p>
      <w:pPr>
        <w:spacing w:after="0" w:line="213"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The following securities are included in the weighted-average common shares outstanding used to calculate basic and diluted net loss per common share:</w:t>
      </w:r>
    </w:p>
    <w:p>
      <w:pPr>
        <w:spacing w:after="0" w:line="399"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60" w:type="dxa"/>
            <w:vAlign w:val="bottom"/>
          </w:tcPr>
          <w:p>
            <w:pPr>
              <w:spacing w:after="0"/>
              <w:rPr>
                <w:sz w:val="17"/>
                <w:szCs w:val="17"/>
                <w:color w:val="auto"/>
              </w:rPr>
            </w:pPr>
          </w:p>
        </w:tc>
      </w:tr>
      <w:tr>
        <w:trPr>
          <w:trHeight w:val="174"/>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348"/>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420" w:type="dxa"/>
            <w:vAlign w:val="bottom"/>
            <w:gridSpan w:val="2"/>
          </w:tcPr>
          <w:p>
            <w:pPr>
              <w:jc w:val="right"/>
              <w:ind w:right="340"/>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5"/>
                <w:szCs w:val="15"/>
                <w:color w:val="auto"/>
              </w:rPr>
            </w:pPr>
          </w:p>
        </w:tc>
      </w:tr>
      <w:tr>
        <w:trPr>
          <w:trHeight w:val="220"/>
        </w:trPr>
        <w:tc>
          <w:tcPr>
            <w:tcW w:w="382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Common stock</w:t>
            </w:r>
          </w:p>
        </w:tc>
        <w:tc>
          <w:tcPr>
            <w:tcW w:w="140" w:type="dxa"/>
            <w:vAlign w:val="bottom"/>
            <w:tcBorders>
              <w:top w:val="single" w:sz="8" w:color="D4EEF4"/>
            </w:tcBorders>
            <w:shd w:val="clear" w:color="auto" w:fill="D4EEF4"/>
          </w:tcPr>
          <w:p>
            <w:pPr>
              <w:spacing w:after="0"/>
              <w:rPr>
                <w:sz w:val="19"/>
                <w:szCs w:val="19"/>
                <w:color w:val="auto"/>
              </w:rPr>
            </w:pPr>
          </w:p>
        </w:tc>
        <w:tc>
          <w:tcPr>
            <w:tcW w:w="120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15,040,036</w:t>
            </w:r>
          </w:p>
        </w:tc>
        <w:tc>
          <w:tcPr>
            <w:tcW w:w="200" w:type="dxa"/>
            <w:vAlign w:val="bottom"/>
            <w:tcBorders>
              <w:top w:val="single" w:sz="8" w:color="D4EEF4"/>
            </w:tcBorders>
            <w:shd w:val="clear" w:color="auto" w:fill="D4EEF4"/>
          </w:tcPr>
          <w:p>
            <w:pPr>
              <w:spacing w:after="0"/>
              <w:rPr>
                <w:sz w:val="19"/>
                <w:szCs w:val="19"/>
                <w:color w:val="auto"/>
              </w:rPr>
            </w:pPr>
          </w:p>
        </w:tc>
        <w:tc>
          <w:tcPr>
            <w:tcW w:w="122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7,409,165</w:t>
            </w:r>
          </w:p>
        </w:tc>
        <w:tc>
          <w:tcPr>
            <w:tcW w:w="60" w:type="dxa"/>
            <w:vAlign w:val="bottom"/>
            <w:tcBorders>
              <w:top w:val="single" w:sz="8" w:color="D4EEF4"/>
            </w:tcBorders>
            <w:shd w:val="clear" w:color="auto" w:fill="D4EEF4"/>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March 2022 pre-funded warrants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290,665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987,923</w:t>
            </w:r>
          </w:p>
        </w:tc>
        <w:tc>
          <w:tcPr>
            <w:tcW w:w="60" w:type="dxa"/>
            <w:vAlign w:val="bottom"/>
          </w:tcPr>
          <w:p>
            <w:pPr>
              <w:spacing w:after="0"/>
              <w:rPr>
                <w:sz w:val="19"/>
                <w:szCs w:val="19"/>
                <w:color w:val="auto"/>
              </w:rPr>
            </w:pPr>
          </w:p>
        </w:tc>
      </w:tr>
      <w:tr>
        <w:trPr>
          <w:trHeight w:val="210"/>
        </w:trPr>
        <w:tc>
          <w:tcPr>
            <w:tcW w:w="3820" w:type="dxa"/>
            <w:vAlign w:val="bottom"/>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May 2023 Tranche A pre-funded exchange</w:t>
            </w:r>
          </w:p>
        </w:tc>
        <w:tc>
          <w:tcPr>
            <w:tcW w:w="140" w:type="dxa"/>
            <w:vAlign w:val="bottom"/>
            <w:shd w:val="clear" w:color="auto" w:fill="D4EEF4"/>
          </w:tcPr>
          <w:p>
            <w:pPr>
              <w:spacing w:after="0"/>
              <w:rPr>
                <w:sz w:val="18"/>
                <w:szCs w:val="18"/>
                <w:color w:val="auto"/>
              </w:rPr>
            </w:pPr>
          </w:p>
        </w:tc>
        <w:tc>
          <w:tcPr>
            <w:tcW w:w="120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1220" w:type="dxa"/>
            <w:vAlign w:val="bottom"/>
            <w:shd w:val="clear" w:color="auto" w:fill="D4EEF4"/>
          </w:tcPr>
          <w:p>
            <w:pPr>
              <w:spacing w:after="0"/>
              <w:rPr>
                <w:sz w:val="18"/>
                <w:szCs w:val="18"/>
                <w:color w:val="auto"/>
              </w:rPr>
            </w:pPr>
          </w:p>
        </w:tc>
        <w:tc>
          <w:tcPr>
            <w:tcW w:w="60" w:type="dxa"/>
            <w:vAlign w:val="bottom"/>
            <w:shd w:val="clear" w:color="auto" w:fill="D4EEF4"/>
          </w:tcPr>
          <w:p>
            <w:pPr>
              <w:spacing w:after="0"/>
              <w:rPr>
                <w:sz w:val="18"/>
                <w:szCs w:val="18"/>
                <w:color w:val="auto"/>
              </w:rPr>
            </w:pPr>
          </w:p>
        </w:tc>
      </w:tr>
      <w:tr>
        <w:trPr>
          <w:trHeight w:val="249"/>
        </w:trPr>
        <w:tc>
          <w:tcPr>
            <w:tcW w:w="38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warrants</w:t>
            </w:r>
          </w:p>
        </w:tc>
        <w:tc>
          <w:tcPr>
            <w:tcW w:w="13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778,904</w:t>
            </w:r>
          </w:p>
        </w:tc>
        <w:tc>
          <w:tcPr>
            <w:tcW w:w="14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4EEF4"/>
          </w:tcPr>
          <w:p>
            <w:pPr>
              <w:spacing w:after="0"/>
              <w:rPr>
                <w:sz w:val="21"/>
                <w:szCs w:val="21"/>
                <w:color w:val="auto"/>
              </w:rPr>
            </w:pPr>
          </w:p>
        </w:tc>
      </w:tr>
      <w:tr>
        <w:trPr>
          <w:trHeight w:val="210"/>
        </w:trPr>
        <w:tc>
          <w:tcPr>
            <w:tcW w:w="38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May 2023 Tranche B pre-funded exchange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warrants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92,801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30"/>
        </w:trPr>
        <w:tc>
          <w:tcPr>
            <w:tcW w:w="38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October 2023 pre-funded warrants</w:t>
            </w:r>
          </w:p>
        </w:tc>
        <w:tc>
          <w:tcPr>
            <w:tcW w:w="13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289,726</w:t>
            </w:r>
          </w:p>
        </w:tc>
        <w:tc>
          <w:tcPr>
            <w:tcW w:w="14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4EEF4"/>
          </w:tcPr>
          <w:p>
            <w:pPr>
              <w:spacing w:after="0"/>
              <w:rPr>
                <w:sz w:val="19"/>
                <w:szCs w:val="19"/>
                <w:color w:val="auto"/>
              </w:rPr>
            </w:pPr>
          </w:p>
        </w:tc>
      </w:tr>
      <w:tr>
        <w:trPr>
          <w:trHeight w:val="220"/>
        </w:trPr>
        <w:tc>
          <w:tcPr>
            <w:tcW w:w="38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16,492,132</w:t>
            </w: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8,397,088</w:t>
            </w:r>
          </w:p>
        </w:tc>
        <w:tc>
          <w:tcPr>
            <w:tcW w:w="6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25" w:lineRule="exact"/>
        <w:rPr>
          <w:sz w:val="20"/>
          <w:szCs w:val="20"/>
          <w:color w:val="auto"/>
        </w:rPr>
      </w:pPr>
    </w:p>
    <w:tbl>
      <w:tblPr>
        <w:tblLayout w:type="fixed"/>
        <w:tblInd w:w="132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74"/>
        </w:trPr>
        <w:tc>
          <w:tcPr>
            <w:tcW w:w="440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50"/>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bottom w:val="single" w:sz="8" w:color="D4EEF4"/>
            </w:tcBorders>
          </w:tcPr>
          <w:p>
            <w:pPr>
              <w:spacing w:after="0"/>
              <w:rPr>
                <w:sz w:val="15"/>
                <w:szCs w:val="15"/>
                <w:color w:val="auto"/>
              </w:rPr>
            </w:pPr>
          </w:p>
        </w:tc>
        <w:tc>
          <w:tcPr>
            <w:tcW w:w="200" w:type="dxa"/>
            <w:vAlign w:val="bottom"/>
            <w:tcBorders>
              <w:top w:val="single" w:sz="8" w:color="auto"/>
              <w:bottom w:val="single" w:sz="8" w:color="D4EEF4"/>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0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D4EEF4"/>
            </w:tcBorders>
          </w:tcPr>
          <w:p>
            <w:pPr>
              <w:spacing w:after="0"/>
              <w:rPr>
                <w:sz w:val="15"/>
                <w:szCs w:val="15"/>
                <w:color w:val="auto"/>
              </w:rPr>
            </w:pPr>
          </w:p>
        </w:tc>
      </w:tr>
      <w:tr>
        <w:trPr>
          <w:trHeight w:val="200"/>
        </w:trPr>
        <w:tc>
          <w:tcPr>
            <w:tcW w:w="4400" w:type="dxa"/>
            <w:vAlign w:val="bottom"/>
            <w:shd w:val="clear" w:color="auto" w:fill="D4EEF4"/>
          </w:tcPr>
          <w:p>
            <w:pPr>
              <w:spacing w:after="0" w:line="201" w:lineRule="exact"/>
              <w:rPr>
                <w:sz w:val="20"/>
                <w:szCs w:val="20"/>
                <w:color w:val="auto"/>
              </w:rPr>
            </w:pPr>
            <w:r>
              <w:rPr>
                <w:rFonts w:ascii="Times New Roman" w:cs="Times New Roman" w:eastAsia="Times New Roman" w:hAnsi="Times New Roman"/>
                <w:sz w:val="20"/>
                <w:szCs w:val="20"/>
                <w:color w:val="auto"/>
              </w:rPr>
              <w:t>Warrants issued to 2010/2012 convertible note</w:t>
            </w:r>
          </w:p>
        </w:tc>
        <w:tc>
          <w:tcPr>
            <w:tcW w:w="80" w:type="dxa"/>
            <w:vAlign w:val="bottom"/>
            <w:shd w:val="clear" w:color="auto" w:fill="D4EEF4"/>
          </w:tcPr>
          <w:p>
            <w:pPr>
              <w:spacing w:after="0"/>
              <w:rPr>
                <w:sz w:val="17"/>
                <w:szCs w:val="17"/>
                <w:color w:val="auto"/>
              </w:rPr>
            </w:pPr>
          </w:p>
        </w:tc>
        <w:tc>
          <w:tcPr>
            <w:tcW w:w="1020" w:type="dxa"/>
            <w:vAlign w:val="bottom"/>
            <w:shd w:val="clear" w:color="auto" w:fill="D4EEF4"/>
          </w:tcPr>
          <w:p>
            <w:pPr>
              <w:spacing w:after="0"/>
              <w:rPr>
                <w:sz w:val="17"/>
                <w:szCs w:val="17"/>
                <w:color w:val="auto"/>
              </w:rPr>
            </w:pPr>
          </w:p>
        </w:tc>
        <w:tc>
          <w:tcPr>
            <w:tcW w:w="20" w:type="dxa"/>
            <w:vAlign w:val="bottom"/>
            <w:shd w:val="clear" w:color="auto" w:fill="D4EEF4"/>
          </w:tcPr>
          <w:p>
            <w:pPr>
              <w:spacing w:after="0"/>
              <w:rPr>
                <w:sz w:val="17"/>
                <w:szCs w:val="17"/>
                <w:color w:val="auto"/>
              </w:rPr>
            </w:pPr>
          </w:p>
        </w:tc>
        <w:tc>
          <w:tcPr>
            <w:tcW w:w="200" w:type="dxa"/>
            <w:vAlign w:val="bottom"/>
            <w:shd w:val="clear" w:color="auto" w:fill="D4EEF4"/>
          </w:tcPr>
          <w:p>
            <w:pPr>
              <w:spacing w:after="0"/>
              <w:rPr>
                <w:sz w:val="17"/>
                <w:szCs w:val="17"/>
                <w:color w:val="auto"/>
              </w:rPr>
            </w:pPr>
          </w:p>
        </w:tc>
        <w:tc>
          <w:tcPr>
            <w:tcW w:w="920" w:type="dxa"/>
            <w:vAlign w:val="bottom"/>
            <w:shd w:val="clear" w:color="auto" w:fill="D4EEF4"/>
          </w:tcPr>
          <w:p>
            <w:pPr>
              <w:spacing w:after="0"/>
              <w:rPr>
                <w:sz w:val="17"/>
                <w:szCs w:val="17"/>
                <w:color w:val="auto"/>
              </w:rPr>
            </w:pPr>
          </w:p>
        </w:tc>
        <w:tc>
          <w:tcPr>
            <w:tcW w:w="80" w:type="dxa"/>
            <w:vAlign w:val="bottom"/>
            <w:shd w:val="clear" w:color="auto" w:fill="D4EEF4"/>
          </w:tcPr>
          <w:p>
            <w:pPr>
              <w:spacing w:after="0"/>
              <w:rPr>
                <w:sz w:val="17"/>
                <w:szCs w:val="17"/>
                <w:color w:val="auto"/>
              </w:rPr>
            </w:pPr>
          </w:p>
        </w:tc>
      </w:tr>
      <w:tr>
        <w:trPr>
          <w:trHeight w:val="249"/>
        </w:trPr>
        <w:tc>
          <w:tcPr>
            <w:tcW w:w="4400" w:type="dxa"/>
            <w:vAlign w:val="bottom"/>
            <w:shd w:val="clear" w:color="auto" w:fill="D4EEF4"/>
          </w:tcPr>
          <w:p>
            <w:pPr>
              <w:ind w:left="140"/>
              <w:spacing w:after="0"/>
              <w:rPr>
                <w:sz w:val="20"/>
                <w:szCs w:val="20"/>
                <w:color w:val="auto"/>
              </w:rPr>
            </w:pPr>
            <w:r>
              <w:rPr>
                <w:rFonts w:ascii="Times New Roman" w:cs="Times New Roman" w:eastAsia="Times New Roman" w:hAnsi="Times New Roman"/>
                <w:sz w:val="20"/>
                <w:szCs w:val="20"/>
                <w:color w:val="auto"/>
              </w:rPr>
              <w:t>holders to purchase common stock</w:t>
            </w:r>
          </w:p>
        </w:tc>
        <w:tc>
          <w:tcPr>
            <w:tcW w:w="80" w:type="dxa"/>
            <w:vAlign w:val="bottom"/>
            <w:shd w:val="clear" w:color="auto" w:fill="D4EEF4"/>
          </w:tcPr>
          <w:p>
            <w:pPr>
              <w:spacing w:after="0"/>
              <w:rPr>
                <w:sz w:val="21"/>
                <w:szCs w:val="21"/>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6,804</w:t>
            </w:r>
          </w:p>
        </w:tc>
        <w:tc>
          <w:tcPr>
            <w:tcW w:w="2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6,804</w:t>
            </w:r>
          </w:p>
        </w:tc>
        <w:tc>
          <w:tcPr>
            <w:tcW w:w="80" w:type="dxa"/>
            <w:vAlign w:val="bottom"/>
            <w:shd w:val="clear" w:color="auto" w:fill="D4EEF4"/>
          </w:tcPr>
          <w:p>
            <w:pPr>
              <w:spacing w:after="0"/>
              <w:rPr>
                <w:sz w:val="21"/>
                <w:szCs w:val="21"/>
                <w:color w:val="auto"/>
              </w:rPr>
            </w:pPr>
          </w:p>
        </w:tc>
      </w:tr>
      <w:tr>
        <w:trPr>
          <w:trHeight w:val="211"/>
        </w:trPr>
        <w:tc>
          <w:tcPr>
            <w:tcW w:w="44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Warrants issued to underwriter to purchase common</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1,100</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1,100</w:t>
            </w: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2018 PIPE warrants</w:t>
            </w:r>
          </w:p>
        </w:tc>
        <w:tc>
          <w:tcPr>
            <w:tcW w:w="1120" w:type="dxa"/>
            <w:vAlign w:val="bottom"/>
            <w:gridSpan w:val="3"/>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F4"/>
          </w:tcPr>
          <w:p>
            <w:pPr>
              <w:spacing w:after="0"/>
              <w:rPr>
                <w:sz w:val="19"/>
                <w:szCs w:val="19"/>
                <w:color w:val="auto"/>
              </w:rPr>
            </w:pPr>
          </w:p>
        </w:tc>
        <w:tc>
          <w:tcPr>
            <w:tcW w:w="100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34,241</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March 2022 common warrants</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1,929,066</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4,000,000</w:t>
            </w: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May 2023 Tranche B warrants</w:t>
            </w:r>
          </w:p>
        </w:tc>
        <w:tc>
          <w:tcPr>
            <w:tcW w:w="1120" w:type="dxa"/>
            <w:vAlign w:val="bottom"/>
            <w:gridSpan w:val="3"/>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6,750,000</w:t>
            </w:r>
          </w:p>
        </w:tc>
        <w:tc>
          <w:tcPr>
            <w:tcW w:w="200" w:type="dxa"/>
            <w:vAlign w:val="bottom"/>
            <w:shd w:val="clear" w:color="auto" w:fill="D4EEF4"/>
          </w:tcPr>
          <w:p>
            <w:pPr>
              <w:spacing w:after="0"/>
              <w:rPr>
                <w:sz w:val="19"/>
                <w:szCs w:val="19"/>
                <w:color w:val="auto"/>
              </w:rPr>
            </w:pPr>
          </w:p>
        </w:tc>
        <w:tc>
          <w:tcPr>
            <w:tcW w:w="100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2,369,665</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686,574</w:t>
            </w:r>
          </w:p>
        </w:tc>
      </w:tr>
      <w:tr>
        <w:trPr>
          <w:trHeight w:val="230"/>
        </w:trPr>
        <w:tc>
          <w:tcPr>
            <w:tcW w:w="44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Outstanding restricted stock units</w:t>
            </w:r>
          </w:p>
        </w:tc>
        <w:tc>
          <w:tcPr>
            <w:tcW w:w="1120" w:type="dxa"/>
            <w:vAlign w:val="bottom"/>
            <w:gridSpan w:val="3"/>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15,534</w:t>
            </w:r>
          </w:p>
        </w:tc>
        <w:tc>
          <w:tcPr>
            <w:tcW w:w="200" w:type="dxa"/>
            <w:vAlign w:val="bottom"/>
            <w:shd w:val="clear" w:color="auto" w:fill="D4EEF4"/>
          </w:tcPr>
          <w:p>
            <w:pPr>
              <w:spacing w:after="0"/>
              <w:rPr>
                <w:sz w:val="19"/>
                <w:szCs w:val="19"/>
                <w:color w:val="auto"/>
              </w:rPr>
            </w:pPr>
          </w:p>
        </w:tc>
        <w:tc>
          <w:tcPr>
            <w:tcW w:w="100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19,068</w:t>
            </w:r>
          </w:p>
        </w:tc>
      </w:tr>
      <w:tr>
        <w:trPr>
          <w:trHeight w:val="220"/>
        </w:trPr>
        <w:tc>
          <w:tcPr>
            <w:tcW w:w="44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11,072,169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4,747,787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Defined Contribution Plan</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The Company sponsors a 401(k) Plan, which stipulates that eligible employees can elect to contribute to the 401(k) Plan, subject to certain limitations of eligible compensation. The Company may match employee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16" w:right="1440" w:bottom="175" w:gutter="0" w:footer="0" w:header="0"/>
          <w:type w:val="continuous"/>
        </w:sectPr>
      </w:pPr>
    </w:p>
    <w:bookmarkStart w:id="89" w:name="page90"/>
    <w:bookmarkEnd w:id="89"/>
    <w:p>
      <w:pPr>
        <w:ind w:right="540"/>
        <w:spacing w:after="0" w:line="277" w:lineRule="auto"/>
        <w:rPr>
          <w:sz w:val="20"/>
          <w:szCs w:val="20"/>
          <w:color w:val="auto"/>
        </w:rPr>
      </w:pPr>
      <w:r>
        <w:rPr>
          <w:rFonts w:ascii="Times New Roman" w:cs="Times New Roman" w:eastAsia="Times New Roman" w:hAnsi="Times New Roman"/>
          <w:sz w:val="20"/>
          <w:szCs w:val="20"/>
          <w:color w:val="auto"/>
        </w:rPr>
        <w:t>contributions in amounts to be determined at the Company’s sole discretion. The Company made no matching contributions during the years ended December 31, 2023 and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Subsequent Events</w:t>
      </w:r>
    </w:p>
    <w:p>
      <w:pPr>
        <w:spacing w:after="0" w:line="12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On February 8, 2024, the Company entered into a six-month office license agreement to license 4,141 square feet of additional space adjacent to its existing office where the Company is currently located in Redwood City, California. The term of the new space expires October 31, 2024, unless terminated earlier in accordance with the license agreement.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20" w:right="1440" w:bottom="175" w:gutter="0" w:footer="0" w:header="0"/>
          <w:type w:val="continuous"/>
        </w:sectPr>
      </w:pPr>
    </w:p>
    <w:bookmarkStart w:id="90" w:name="page91"/>
    <w:bookmarkEnd w:id="90"/>
    <w:p>
      <w:pPr>
        <w:jc w:val="center"/>
        <w:ind w:left="1460" w:right="260"/>
        <w:spacing w:after="0" w:line="255"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26" w:lineRule="exact"/>
        <w:rPr>
          <w:sz w:val="20"/>
          <w:szCs w:val="20"/>
          <w:color w:val="auto"/>
        </w:rPr>
      </w:pPr>
    </w:p>
    <w:p>
      <w:pPr>
        <w:ind w:right="2700" w:firstLine="2699"/>
        <w:spacing w:after="0" w:line="336" w:lineRule="auto"/>
        <w:rPr>
          <w:sz w:val="20"/>
          <w:szCs w:val="20"/>
          <w:color w:val="auto"/>
        </w:rPr>
      </w:pPr>
      <w:r>
        <w:rPr>
          <w:rFonts w:ascii="Times New Roman" w:cs="Times New Roman" w:eastAsia="Times New Roman" w:hAnsi="Times New Roman"/>
          <w:sz w:val="20"/>
          <w:szCs w:val="20"/>
          <w:b w:val="1"/>
          <w:bCs w:val="1"/>
          <w:color w:val="auto"/>
        </w:rPr>
        <w:t>ITEM 9A. CONTROLS AND PROCEDURES Disclosure Controls and Procedures</w:t>
      </w:r>
    </w:p>
    <w:p>
      <w:pPr>
        <w:spacing w:after="0" w:line="1" w:lineRule="exact"/>
        <w:rPr>
          <w:sz w:val="20"/>
          <w:szCs w:val="20"/>
          <w:color w:val="auto"/>
        </w:rPr>
      </w:pPr>
    </w:p>
    <w:p>
      <w:pPr>
        <w:ind w:right="20" w:firstLine="490"/>
        <w:spacing w:after="0" w:line="218"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reports filed under the Securities Exchange Act of 1934, as amended (the Exchange Act), is recorded, processed, summarized and reported within the time periods specified in U.S. Securities and Exchange Commission,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80" w:lineRule="exact"/>
        <w:rPr>
          <w:sz w:val="20"/>
          <w:szCs w:val="20"/>
          <w:color w:val="auto"/>
        </w:rPr>
      </w:pPr>
    </w:p>
    <w:p>
      <w:pPr>
        <w:ind w:right="120" w:firstLine="490"/>
        <w:spacing w:after="0" w:line="217" w:lineRule="auto"/>
        <w:rPr>
          <w:sz w:val="20"/>
          <w:szCs w:val="20"/>
          <w:color w:val="auto"/>
        </w:rPr>
      </w:pPr>
      <w:r>
        <w:rPr>
          <w:rFonts w:ascii="Times New Roman" w:cs="Times New Roman" w:eastAsia="Times New Roman" w:hAnsi="Times New Roman"/>
          <w:sz w:val="20"/>
          <w:szCs w:val="20"/>
          <w:color w:val="auto"/>
        </w:rPr>
        <w:t>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w:t>
      </w:r>
    </w:p>
    <w:p>
      <w:pPr>
        <w:spacing w:after="0" w:line="88" w:lineRule="exact"/>
        <w:rPr>
          <w:sz w:val="20"/>
          <w:szCs w:val="20"/>
          <w:color w:val="auto"/>
        </w:rPr>
      </w:pPr>
    </w:p>
    <w:p>
      <w:pPr>
        <w:ind w:right="60" w:firstLine="490"/>
        <w:spacing w:after="0" w:line="214"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83" w:lineRule="exact"/>
        <w:rPr>
          <w:sz w:val="20"/>
          <w:szCs w:val="20"/>
          <w:color w:val="auto"/>
        </w:rPr>
      </w:pPr>
    </w:p>
    <w:p>
      <w:pPr>
        <w:ind w:right="280" w:firstLine="490"/>
        <w:spacing w:after="0" w:line="22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75" w:lineRule="exact"/>
        <w:rPr>
          <w:sz w:val="20"/>
          <w:szCs w:val="20"/>
          <w:color w:val="auto"/>
        </w:rPr>
      </w:pPr>
    </w:p>
    <w:p>
      <w:pPr>
        <w:jc w:val="both"/>
        <w:ind w:right="80" w:firstLine="490"/>
        <w:spacing w:after="0" w:line="226" w:lineRule="auto"/>
        <w:rPr>
          <w:sz w:val="20"/>
          <w:szCs w:val="20"/>
          <w:color w:val="auto"/>
        </w:rPr>
      </w:pPr>
      <w:r>
        <w:rPr>
          <w:rFonts w:ascii="Times New Roman" w:cs="Times New Roman" w:eastAsia="Times New Roman" w:hAnsi="Times New Roman"/>
          <w:sz w:val="20"/>
          <w:szCs w:val="20"/>
          <w:color w:val="auto"/>
        </w:rPr>
        <w:t xml:space="preserve">Management conducted an evaluation of the effectiveness of our control over financial reporting based on the 2013 framework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Based on this evaluation, management concluded that our internal control over financial reporting was effective as of December 31, 2023.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Controls</w:t>
      </w:r>
    </w:p>
    <w:p>
      <w:pPr>
        <w:spacing w:after="0" w:line="88" w:lineRule="exact"/>
        <w:rPr>
          <w:sz w:val="20"/>
          <w:szCs w:val="20"/>
          <w:color w:val="auto"/>
        </w:rPr>
      </w:pPr>
    </w:p>
    <w:p>
      <w:pPr>
        <w:ind w:right="60" w:firstLine="490"/>
        <w:spacing w:after="0" w:line="187"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our last fiscal quarter ended December 31, 2023 that have materially affected, or are reasonably likely to materially affect, our internal control over financial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392" w:right="1440" w:bottom="175"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392" w:right="1440" w:bottom="175"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jc w:val="center"/>
        <w:ind w:left="14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6"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jc w:val="center"/>
        <w:ind w:left="1480" w:right="520"/>
        <w:spacing w:after="0" w:line="28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TRANSACTIONS,AND DIRECTOR INDEPENDENCE</w:t>
      </w:r>
    </w:p>
    <w:p>
      <w:pPr>
        <w:spacing w:after="0" w:line="36"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16" w:right="1440" w:bottom="175"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24" w:lineRule="exact"/>
        <w:rPr>
          <w:sz w:val="20"/>
          <w:szCs w:val="20"/>
          <w:color w:val="auto"/>
        </w:rPr>
      </w:pPr>
    </w:p>
    <w:p>
      <w:pPr>
        <w:ind w:left="360" w:hanging="360"/>
        <w:spacing w:after="0"/>
        <w:tabs>
          <w:tab w:leader="none" w:pos="3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See “Index to Financial Statements” in Part II, Item 8 of this Annual Report on Form 10-</w:t>
      </w:r>
    </w:p>
    <w:p>
      <w:pPr>
        <w:spacing w:after="0" w:line="28"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w:t>
      </w:r>
    </w:p>
    <w:p>
      <w:pPr>
        <w:spacing w:after="0" w:line="92" w:lineRule="exact"/>
        <w:rPr>
          <w:rFonts w:ascii="Times New Roman" w:cs="Times New Roman" w:eastAsia="Times New Roman" w:hAnsi="Times New Roman"/>
          <w:sz w:val="20"/>
          <w:szCs w:val="20"/>
          <w:color w:val="auto"/>
        </w:rPr>
      </w:pPr>
    </w:p>
    <w:p>
      <w:pPr>
        <w:ind w:left="360" w:right="300" w:hanging="360"/>
        <w:spacing w:after="0" w:line="277" w:lineRule="auto"/>
        <w:tabs>
          <w:tab w:leader="none" w:pos="3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Schedules: All schedules have been omitted because the information called for is not required or is shown either in the financial statements or in the notes thereto.</w:t>
      </w:r>
    </w:p>
    <w:p>
      <w:pPr>
        <w:spacing w:after="0" w:line="49" w:lineRule="exact"/>
        <w:rPr>
          <w:rFonts w:ascii="Times New Roman" w:cs="Times New Roman" w:eastAsia="Times New Roman" w:hAnsi="Times New Roman"/>
          <w:sz w:val="20"/>
          <w:szCs w:val="20"/>
          <w:color w:val="auto"/>
        </w:rPr>
      </w:pPr>
    </w:p>
    <w:p>
      <w:pPr>
        <w:ind w:left="360" w:right="40" w:hanging="360"/>
        <w:spacing w:after="0" w:line="277" w:lineRule="auto"/>
        <w:tabs>
          <w:tab w:leader="none" w:pos="3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index to exhibits are filed or incorporated by reference as part of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16" w:right="1440" w:bottom="175"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38"/>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Underwriting Agreement, dated as of September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28, 2023, by and between Soleno Therapeutics,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 and Guggenheim Securities, LLC, 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representative of the underwriters named therein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September 29, 2023</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Stock Purchase Agreement, dated as of July 18,</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2017, and between Soleno Therapeutics, Inc., 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Delaware corporation, and NeoForce Holdings,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 a Delaware corporation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24,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Joint Venture Agreement, dated as of December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4, 2017, by and among Soleno Therapeutics,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 Capnia, Inc., and OptAsia Healthcare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Limited</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8,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2.3</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PRC IP Purchase Agreement, dated as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December 4, 2017, by and between OptAsia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Healthcare Limited and Capnia, Inc.</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8,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2.4</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Transition Services Agreement, dated as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December 4, 2017, by and among Soleno</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Therapeutics, Inc., a Delaware corporation,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Capnia, Inc. and OptAsia Healthcare, Ltd., 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Hong Kong company</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December 8,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Amended and Restated Certificate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Incorporation of Soleno Therapeutics, Inc.</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7,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Amended and Restated Bylaws of Soleno</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Therapeutics, Inc.</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1,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 of Designation of Preferences, Rights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and Limitations of Series A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Preferred Stock.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3.4</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 of Designation of Preferences, Rights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and Limitations of Series B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Preferred Stock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 of Amendment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May 11,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3.6</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 of Amendment to the Certificate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Incorporation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6,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3.7</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 of Amendment to the Certificate of</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August 25, 2022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40" w:type="dxa"/>
            <w:vAlign w:val="bottom"/>
            <w:vMerge w:val="continue"/>
          </w:tcPr>
          <w:p>
            <w:pPr>
              <w:spacing w:after="0"/>
              <w:rPr>
                <w:sz w:val="13"/>
                <w:szCs w:val="13"/>
                <w:color w:val="auto"/>
              </w:rPr>
            </w:pPr>
          </w:p>
        </w:tc>
        <w:tc>
          <w:tcPr>
            <w:tcW w:w="4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Incorporation</w:t>
            </w:r>
          </w:p>
        </w:tc>
        <w:tc>
          <w:tcPr>
            <w:tcW w:w="100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41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the Registrant's common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5,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16" w:right="1440" w:bottom="175" w:gutter="0" w:footer="0" w:header="0"/>
          <w:type w:val="continuous"/>
        </w:sectPr>
      </w:pPr>
    </w:p>
    <w:bookmarkStart w:id="95" w:name="page96"/>
    <w:bookmarkEnd w:id="9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201"/>
        </w:trPr>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5"/>
              </w:rPr>
              <w:t>4.2</w:t>
            </w:r>
          </w:p>
        </w:tc>
        <w:tc>
          <w:tcPr>
            <w:tcW w:w="10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Amended and Restated Investors’ Rights</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Agreement, dated March 20, 2008, by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among Soleno Therapeutics, Inc. and certain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holders of the Soleno Therapeutics, Inc.’s capital</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stock named therein.</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Series A Warrant Agreement.</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the Series A Warrant certificate.</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4.5</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Underwriters’ Compensation Warrant.</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February 2010 and March 2010 in connection</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with the 2010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4.7</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February 2010 and March 2010 in connection</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with the 2010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4.8</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November 2010 in connection with the 2010</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4.9</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November 2010 in connection with the 2010</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4.10</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January 2012 in connection with the 2012</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4.11</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January 2012 in connection with Soleno</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Therapeutics, Inc.’s 2012 convertible note</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4.12</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2012 and August 2012 in connection with</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the 2012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4.13</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2012 and August 2012 in connection with</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the 2012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4.14</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April, August and October 2014 in connection</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with the 2014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4.15</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April, August and October 2014 in connection</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with the 2014 convertible note financing.</w:t>
            </w:r>
          </w:p>
        </w:tc>
      </w:tr>
    </w:tbl>
    <w:p>
      <w:pPr>
        <w:spacing w:after="0" w:line="20" w:lineRule="exact"/>
        <w:rPr>
          <w:sz w:val="20"/>
          <w:szCs w:val="20"/>
          <w:color w:val="auto"/>
        </w:rPr>
      </w:pPr>
      <w:r>
        <w:rPr>
          <w:sz w:val="20"/>
          <w:szCs w:val="20"/>
          <w:color w:val="auto"/>
        </w:rPr>
        <w:br w:type="column"/>
      </w:r>
    </w:p>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3"/>
        </w:trPr>
        <w:tc>
          <w:tcPr>
            <w:tcW w:w="10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July 1,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4.2</w:t>
            </w: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August 5,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4.3</w:t>
            </w: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August 5,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4.4</w:t>
            </w:r>
          </w:p>
        </w:tc>
      </w:tr>
      <w:tr>
        <w:trPr>
          <w:trHeight w:val="4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August 5,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4.5</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4.6</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4.7</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4.8</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4.9</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4.10</w:t>
            </w:r>
          </w:p>
        </w:tc>
      </w:tr>
      <w:tr>
        <w:trPr>
          <w:trHeight w:val="115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4.11</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4.12</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4.13</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4.14</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4.15</w:t>
            </w:r>
          </w:p>
        </w:tc>
      </w:tr>
    </w:tbl>
    <w:p>
      <w:pPr>
        <w:spacing w:after="0" w:line="200" w:lineRule="exact"/>
        <w:rPr>
          <w:sz w:val="20"/>
          <w:szCs w:val="20"/>
          <w:color w:val="auto"/>
        </w:rPr>
      </w:pPr>
    </w:p>
    <w:p>
      <w:pPr>
        <w:sectPr>
          <w:pgSz w:w="12240" w:h="15840" w:orient="portrait"/>
          <w:cols w:equalWidth="0" w:num="2">
            <w:col w:w="4860" w:space="100"/>
            <w:col w:w="440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20" w:right="1440" w:bottom="175"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0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56"/>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4.16</w:t>
            </w:r>
          </w:p>
        </w:tc>
        <w:tc>
          <w:tcPr>
            <w:tcW w:w="100" w:type="dxa"/>
            <w:vAlign w:val="bottom"/>
          </w:tcPr>
          <w:p>
            <w:pPr>
              <w:spacing w:after="0"/>
              <w:rPr>
                <w:sz w:val="22"/>
                <w:szCs w:val="22"/>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Form of unit certificate.</w:t>
            </w:r>
          </w:p>
        </w:tc>
        <w:tc>
          <w:tcPr>
            <w:tcW w:w="100" w:type="dxa"/>
            <w:vAlign w:val="bottom"/>
          </w:tcPr>
          <w:p>
            <w:pPr>
              <w:spacing w:after="0"/>
              <w:rPr>
                <w:sz w:val="22"/>
                <w:szCs w:val="22"/>
                <w:color w:val="auto"/>
              </w:rPr>
            </w:pPr>
          </w:p>
        </w:tc>
        <w:tc>
          <w:tcPr>
            <w:tcW w:w="1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2"/>
                <w:szCs w:val="22"/>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August 5, 2014</w:t>
            </w:r>
          </w:p>
        </w:tc>
        <w:tc>
          <w:tcPr>
            <w:tcW w:w="100" w:type="dxa"/>
            <w:vAlign w:val="bottom"/>
          </w:tcPr>
          <w:p>
            <w:pPr>
              <w:spacing w:after="0"/>
              <w:rPr>
                <w:sz w:val="22"/>
                <w:szCs w:val="22"/>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4.16</w:t>
            </w:r>
          </w:p>
        </w:tc>
        <w:tc>
          <w:tcPr>
            <w:tcW w:w="8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4.17</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Series B Warrant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4.17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4.18</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the Series B Warrant certificate.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4.18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4.19</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the Series C Warrant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S-4</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April 1,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4.19</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4.20</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the Series C Warrant certificate.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S-4</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April 1,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4.20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Series D Common Stock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Warrant.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4.23</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Series D common stock Warrant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4.24</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Series A Convertible Preferred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4.25</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4.26</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Series B Convertible Preferred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4.27</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Common Stock Purchase Warrant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13,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4.28</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Common Stock Purchase Warrant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19, 2018</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4.29</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Description of the Registrant’s Securities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Registered Pursuant to Section 12 of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Securities Exchange Act of 1934</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March 4, 2020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4.29</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4.30</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Pre-Funded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30,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Common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30,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Tranche A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December 19,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4.33</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Tranche B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December 19,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9.10</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Voting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9.20</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Voting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9.30</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Voting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27,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20" w:right="1440" w:bottom="175" w:gutter="0" w:footer="0" w:header="0"/>
          <w:type w:val="continuous"/>
        </w:sectPr>
      </w:pPr>
    </w:p>
    <w:bookmarkStart w:id="97" w:name="page98"/>
    <w:bookmarkEnd w:id="9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201"/>
        </w:trPr>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Form of Indemnification Agreement between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the Registrant and each of its directors and</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executive officers.</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1999 Incentive Stock Plan and forms of</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agreements thereunder.</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2010 Equity Incentive Plan and forms of</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agreements thereunder.</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2014 Equity Incentive Plan and forms of</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agreements thereunder.</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2014 Employee Stock Purchase Plan and forms</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of agreements thereunder.</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Offer Letter, dated June 22, 2007, by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between Soleno Therapeutics, Inc. and Ernest</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Mario, Ph.D.</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Employment Agreement, dated April 6, 2010,</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and between Soleno Therapeutics, Inc. and</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Anish Bhatnagar.</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Offer Letter, dated May 29, 2013, between</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Soleno Therapeutics, Inc. and Anthony Wondka.</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Offer Letter, dated April 17, 2014, by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between Soleno Therapeutics, Inc. and Antoun</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Nabhan.</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Asset Purchase Agreement dated May 11, 2010,</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and between Soleno Therapeutics, Inc. and</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BioMedical Drug Development Inc.</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Convertible Note and Warrant Purchase</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Agreement, dated February 10, 2010, by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among Soleno Therapeutics, Inc. and the</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investors named therein.</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Amendment No. 1 to Convertible Note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Warrant Purchase Agreement, Convertible</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Shares, dated November 10, 2010, by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among Soleno Therapeutics, Inc. and the</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investors named therein.</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10.13</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Amendment No. 2 to Convertible Note and</w:t>
            </w:r>
          </w:p>
        </w:tc>
      </w:tr>
      <w:tr>
        <w:trPr>
          <w:trHeight w:val="258"/>
        </w:trPr>
        <w:tc>
          <w:tcPr>
            <w:tcW w:w="840" w:type="dxa"/>
            <w:vAlign w:val="bottom"/>
          </w:tcPr>
          <w:p>
            <w:pPr>
              <w:spacing w:after="0"/>
              <w:rPr>
                <w:sz w:val="22"/>
                <w:szCs w:val="22"/>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Warrant Purchase Agreement, Convertible</w:t>
            </w:r>
          </w:p>
        </w:tc>
      </w:tr>
    </w:tbl>
    <w:p>
      <w:pPr>
        <w:ind w:left="940" w:right="200"/>
        <w:spacing w:after="0" w:line="242" w:lineRule="auto"/>
        <w:rPr>
          <w:sz w:val="20"/>
          <w:szCs w:val="20"/>
          <w:color w:val="auto"/>
        </w:rPr>
      </w:pPr>
      <w:r>
        <w:rPr>
          <w:rFonts w:ascii="Times New Roman" w:cs="Times New Roman" w:eastAsia="Times New Roman" w:hAnsi="Times New Roman"/>
          <w:sz w:val="20"/>
          <w:szCs w:val="20"/>
          <w:color w:val="auto"/>
        </w:rPr>
        <w:t>Promissory Notes and Warrants to Purchase Shares, dated January 17, 2012, by and among Soleno Therapeutics, Inc. and the investors named therein.</w:t>
      </w:r>
    </w:p>
    <w:p>
      <w:pPr>
        <w:spacing w:after="0" w:line="20" w:lineRule="exact"/>
        <w:rPr>
          <w:sz w:val="20"/>
          <w:szCs w:val="20"/>
          <w:color w:val="auto"/>
        </w:rPr>
      </w:pPr>
      <w:r>
        <w:rPr>
          <w:sz w:val="20"/>
          <w:szCs w:val="20"/>
          <w:color w:val="auto"/>
        </w:rPr>
        <w:br w:type="column"/>
      </w:r>
    </w:p>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3"/>
        </w:trPr>
        <w:tc>
          <w:tcPr>
            <w:tcW w:w="10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bl>
    <w:p>
      <w:pPr>
        <w:spacing w:after="0" w:line="200" w:lineRule="exact"/>
        <w:rPr>
          <w:sz w:val="20"/>
          <w:szCs w:val="20"/>
          <w:color w:val="auto"/>
        </w:r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2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10.1</w:t>
            </w:r>
          </w:p>
        </w:tc>
      </w:tr>
      <w:tr>
        <w:trPr>
          <w:trHeight w:val="69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10.2</w:t>
            </w:r>
          </w:p>
        </w:tc>
      </w:tr>
      <w:tr>
        <w:trPr>
          <w:trHeight w:val="69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10.3</w:t>
            </w:r>
          </w:p>
        </w:tc>
      </w:tr>
      <w:tr>
        <w:trPr>
          <w:trHeight w:val="69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July 1,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10.4</w:t>
            </w:r>
          </w:p>
        </w:tc>
      </w:tr>
      <w:tr>
        <w:trPr>
          <w:trHeight w:val="69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July 1,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10.5</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10.6</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10.7</w:t>
            </w:r>
          </w:p>
        </w:tc>
      </w:tr>
      <w:tr>
        <w:trPr>
          <w:trHeight w:val="69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10.8</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7"/>
              </w:rPr>
              <w:t>10.9</w:t>
            </w:r>
          </w:p>
        </w:tc>
      </w:tr>
      <w:tr>
        <w:trPr>
          <w:trHeight w:val="92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rPr>
              <w:t>10.10</w:t>
            </w:r>
          </w:p>
        </w:tc>
      </w:tr>
      <w:tr>
        <w:trPr>
          <w:trHeight w:val="115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rPr>
              <w:t>10.11</w:t>
            </w:r>
          </w:p>
        </w:tc>
      </w:tr>
      <w:tr>
        <w:trPr>
          <w:trHeight w:val="161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rPr>
              <w:t>10.12</w:t>
            </w:r>
          </w:p>
        </w:tc>
      </w:tr>
      <w:tr>
        <w:trPr>
          <w:trHeight w:val="161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10, 2014</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rPr>
              <w:t>10.13</w:t>
            </w:r>
          </w:p>
        </w:tc>
      </w:tr>
    </w:tbl>
    <w:p>
      <w:pPr>
        <w:spacing w:after="0" w:line="200" w:lineRule="exact"/>
        <w:rPr>
          <w:sz w:val="20"/>
          <w:szCs w:val="20"/>
          <w:color w:val="auto"/>
        </w:rPr>
      </w:pPr>
    </w:p>
    <w:p>
      <w:pPr>
        <w:sectPr>
          <w:pgSz w:w="12240" w:h="15840" w:orient="portrait"/>
          <w:cols w:equalWidth="0" w:num="2">
            <w:col w:w="4860" w:space="100"/>
            <w:col w:w="4400"/>
          </w:cols>
          <w:pgMar w:left="1440" w:top="1420" w:right="144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420" w:right="1440" w:bottom="175"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10.14</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Convertible Note and Warrant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Agreement, dated January 16, 2012, by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among Soleno Therapeutics, Inc. and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investors named therein.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10.14</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10.15</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Omnibus Amendment to Convertible Note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Warrant Purchase Agreement,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Shares, dated July 31, 2012,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10.15</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Omnibus Amendment to Convertible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Shares, dated April 28, 2014,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Convertible Note and Warrant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Agreement, dated April 28, 2014, by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among Soleno Therapeutics, Inc. and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investors named therein.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Omnibus Amendment to Convertible Note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Warrant Purchase Agreement,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Shares, dated May 5, 2014,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10.18</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Sublease, dated May 20, 2014, by and among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Soleno Therapeutics, Inc. and Silicon Valley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Finance Group.</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1,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10.19</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10.20</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Offer Letter, dated June 24, 2014,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between Soleno Therapeutics, Inc. and David 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O’Toole.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22,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10.20</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Loan Agreement by and between Soleno</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Therapeutics, Inc. and the investors named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therein, dated September 29, 2014.</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September 29,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Revised Second Tranche Closing Notice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Letter Amendment dated August 18, 2014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relating to the August 2014 Notes.</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10.23</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Second Tranche Subsequent Closing Notice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Letter Amendment dated October 22, 2014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relating to the October 2014 Notes.</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10.24</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Warrant Exercise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March 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20" w:right="1440" w:bottom="175"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0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1"/>
        </w:trPr>
        <w:tc>
          <w:tcPr>
            <w:tcW w:w="8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10.25</w:t>
            </w:r>
          </w:p>
        </w:tc>
        <w:tc>
          <w:tcPr>
            <w:tcW w:w="10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Advisory Agreement by and between Soleno</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Therapeutics, Inc. and Maxim Group LLC,</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dated March 4, 2015.</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S-4</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April 1,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10.25</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10.26</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Agreement and First Amendment to Asset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Purchase Agreement between the Company,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BDDI and affiliate of BDDI, dated June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2015.</w:t>
            </w:r>
          </w:p>
        </w:tc>
        <w:tc>
          <w:tcPr>
            <w:tcW w:w="100" w:type="dxa"/>
            <w:vAlign w:val="bottom"/>
          </w:tcPr>
          <w:p>
            <w:pPr>
              <w:spacing w:after="0"/>
              <w:rPr>
                <w:sz w:val="23"/>
                <w:szCs w:val="23"/>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10.27</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Common Stock Purchase Agreement between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 Company and an affiliate of BDDI,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June 30, 2015.</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10.28</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Registration Rights Agreement between the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Company and Aspire Capital Fund, LLC,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July 24, 2015.</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27,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10.29</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Common Stock Purchase Agreement between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 Company and Aspire Capital Fund, LLC,</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dated July 24, 2015.</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27,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10.30</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Engagement Letter dated September 17, 2015,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between Soleno Therapeutics, Inc. and Maxim</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Group, LLC.</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Securities Purchase Agreement dated October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12, 2015.</w:t>
            </w:r>
          </w:p>
        </w:tc>
        <w:tc>
          <w:tcPr>
            <w:tcW w:w="100" w:type="dxa"/>
            <w:vAlign w:val="bottom"/>
          </w:tcPr>
          <w:p>
            <w:pPr>
              <w:spacing w:after="0"/>
              <w:rPr>
                <w:sz w:val="23"/>
                <w:szCs w:val="23"/>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Registration Rights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10.33</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Lock-Up Agreement.</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10.34</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Amendment No. 1 to Securities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Agreement dated October 29, 2015.</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22,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10.35</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Transfer and Distribution Agreement: United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States: by and between Soleno Therapeutics,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 and Bemes, Inc. signed January 26, 2016.</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January 28,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10.36</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Engagement Letter dated June 26, 2016,</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between Soleno Therapeutics, Inc. and Maxim</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Group, LLC.</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10.37</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Securities Purchase Agreement dated June 29,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3"/>
                <w:szCs w:val="23"/>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10.38</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Registration Rights Agreement dated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June 29, 2016.</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10.39</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Amendment No. 1 to Securities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Agreement dated September 20, 2016.</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September 20,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10.39</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1420" w:right="1440" w:bottom="175" w:gutter="0" w:footer="0" w:header="0"/>
          <w:type w:val="continuous"/>
        </w:sectPr>
      </w:pPr>
    </w:p>
    <w:bookmarkStart w:id="100" w:name="page101"/>
    <w:bookmarkEnd w:id="100"/>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201"/>
        </w:trPr>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10.40</w:t>
            </w:r>
          </w:p>
        </w:tc>
        <w:tc>
          <w:tcPr>
            <w:tcW w:w="10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Agreement and Plan of Merger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Reorganization, dated as of December 22, 2016,</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and among Soleno Therapeutics, Inc., a</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Delaware corporation, Essentialis, Inc., a</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Delaware corporation, Company E Merger Sub,</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Inc., a Delaware corporation and a wholly-</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owned subsidiary of Soleno Therapeutics, and</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Neil Cowen as the stockholders’ representative.</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10.41</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Registration Rights Agreement between the</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Company and Aspire Capital Fund, LLC, dated</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January 27,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10.42</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Common Stock Purchase Agreement between</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the Company and Aspire Capital Fund, LLC,</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dated January 27,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10.43</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Stock Purchase Agreement made by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between the Company and NeoForce Holdings,</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Inc. a Delaware corporation dated July 18,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10.44</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Joint Venture Agreement dated as of December</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4, 2017 by and among Soleno Therapeutics,</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Inc., Capnia, Inc., and OptAsia Healthcare</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Limited</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10.45</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Securities Purchase Agreement, dated as of</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December 11,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10.46</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Confidential Consulting Agreement, dated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September 5, 2017 by and between FLG</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Partners, LLC and the Company</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10.47</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Securities Purchase Agreement, dated as of</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December 19, 2018</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10.48</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Employment Agreement with Kristen Yen</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10.49</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Underwriting Agreement, dated as of June 24,</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2020, by and between the Company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Guggenheim Securities, LLC dated June 24,</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2020</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10.50</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2020 Inducement Equity Incentive Plan, as</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amended on January 24, 2024</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10.51</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Employment Agreement by and between the</w:t>
            </w:r>
          </w:p>
        </w:tc>
      </w:tr>
      <w:tr>
        <w:trPr>
          <w:trHeight w:val="230"/>
        </w:trPr>
        <w:tc>
          <w:tcPr>
            <w:tcW w:w="840" w:type="dxa"/>
            <w:vAlign w:val="bottom"/>
          </w:tcPr>
          <w:p>
            <w:pPr>
              <w:spacing w:after="0"/>
              <w:rPr>
                <w:sz w:val="20"/>
                <w:szCs w:val="20"/>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Company and James Mackaness, dated as of</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November 11, 2020</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10.52</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Amendment to Employment Agreement by and</w:t>
            </w:r>
          </w:p>
        </w:tc>
      </w:tr>
      <w:tr>
        <w:trPr>
          <w:trHeight w:val="230"/>
        </w:trPr>
        <w:tc>
          <w:tcPr>
            <w:tcW w:w="84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between the Company and James Mackaness,</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dated as of January 8, 2021</w:t>
            </w:r>
          </w:p>
        </w:tc>
      </w:tr>
    </w:tbl>
    <w:p>
      <w:pPr>
        <w:spacing w:after="0" w:line="20" w:lineRule="exact"/>
        <w:rPr>
          <w:sz w:val="20"/>
          <w:szCs w:val="20"/>
          <w:color w:val="auto"/>
        </w:rPr>
      </w:pPr>
      <w:r>
        <w:rPr>
          <w:sz w:val="20"/>
          <w:szCs w:val="20"/>
          <w:color w:val="auto"/>
        </w:rPr>
        <w:br w:type="column"/>
      </w:r>
    </w:p>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3"/>
        </w:trPr>
        <w:tc>
          <w:tcPr>
            <w:tcW w:w="10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80" w:type="dxa"/>
        <w:tblCellMar>
          <w:top w:w="0" w:type="dxa"/>
          <w:left w:w="0" w:type="dxa"/>
          <w:bottom w:w="0" w:type="dxa"/>
          <w:right w:w="0" w:type="dxa"/>
        </w:tblCellMar>
      </w:tblPr>
      <w:tr>
        <w:trPr>
          <w:trHeight w:val="266"/>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27, 2016</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2.1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February 1, 2017</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10.51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February 1, 2017</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10.52</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July 24, 2017</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2.1</w:t>
            </w:r>
          </w:p>
        </w:tc>
      </w:tr>
      <w:tr>
        <w:trPr>
          <w:trHeight w:val="115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8, 2017</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2.1</w:t>
            </w:r>
          </w:p>
        </w:tc>
      </w:tr>
      <w:tr>
        <w:trPr>
          <w:trHeight w:val="69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13, 2017</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June 4, 2018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r>
      <w:tr>
        <w:trPr>
          <w:trHeight w:val="69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19, 2018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r>
      <w:tr>
        <w:trPr>
          <w:trHeight w:val="4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March 29, 2019</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10.48</w:t>
            </w:r>
          </w:p>
        </w:tc>
      </w:tr>
      <w:tr>
        <w:trPr>
          <w:trHeight w:val="115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June 26, 2020</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1.1</w:t>
            </w:r>
          </w:p>
        </w:tc>
      </w:tr>
      <w:tr>
        <w:trPr>
          <w:trHeight w:val="69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January 30, 2024</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November 13, 2020</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January 13, 2021</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r>
    </w:tbl>
    <w:p>
      <w:pPr>
        <w:spacing w:after="0" w:line="200" w:lineRule="exact"/>
        <w:rPr>
          <w:sz w:val="20"/>
          <w:szCs w:val="20"/>
          <w:color w:val="auto"/>
        </w:rPr>
      </w:pPr>
    </w:p>
    <w:p>
      <w:pPr>
        <w:sectPr>
          <w:pgSz w:w="12240" w:h="15840" w:orient="portrait"/>
          <w:cols w:equalWidth="0" w:num="2">
            <w:col w:w="4860" w:space="100"/>
            <w:col w:w="4400"/>
          </w:cols>
          <w:pgMar w:left="1440" w:top="1420" w:right="144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1420" w:right="1440" w:bottom="175"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Filed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10.53</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Amendment to Employment Agreement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between the Company and Kristen Yen, dated 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of January 8, 2021</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January 13, 2021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10.54</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Amendment to Employment Agreement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between the Company and Patricia Hirano,</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dated as of January 8, 2021</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January 13, 2021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10.55</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Lease agreement between the Company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Hudson Towers at Shore Center, LLC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April 16, 2021</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10-Q</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May 5, 2021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10.55</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10.56</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Securities Purchase Agreement dated December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16, 2022</w:t>
            </w:r>
          </w:p>
        </w:tc>
        <w:tc>
          <w:tcPr>
            <w:tcW w:w="100" w:type="dxa"/>
            <w:vAlign w:val="bottom"/>
          </w:tcPr>
          <w:p>
            <w:pPr>
              <w:spacing w:after="0"/>
              <w:rPr>
                <w:sz w:val="23"/>
                <w:szCs w:val="23"/>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December 19,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10.57</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Amendment to lease agreement between Soleno</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Therapeutics, Inc. and Hudson Towers at Shore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Center, LLC, dated as of April 24, 2023</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10-Q</w:t>
            </w:r>
          </w:p>
        </w:tc>
        <w:tc>
          <w:tcPr>
            <w:tcW w:w="100" w:type="dxa"/>
            <w:vAlign w:val="bottom"/>
          </w:tcPr>
          <w:p>
            <w:pPr>
              <w:spacing w:after="0"/>
              <w:rPr>
                <w:sz w:val="23"/>
                <w:szCs w:val="23"/>
                <w:color w:val="auto"/>
              </w:rPr>
            </w:pPr>
          </w:p>
        </w:tc>
        <w:tc>
          <w:tcPr>
            <w:tcW w:w="1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August 8, 2023</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10.58</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License Agreement for Space and Services,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dated February 8, 2024, by and between Soleno</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Therapeutics, Inc. and Hudson Towers at Shore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Center, LLC</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10.59</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Outside Director Compensation Policy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Subsidiaries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Consent of Marcum LLP</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Required Under Rule 13a-14(a) and 15d-14(a)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of the Securities Exchange Act of 1934, 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amended</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7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Certification of Principal Financial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Accounting Officer Required Under Rule 13a-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14(a) and 15d-14(a) of the Securities Exchange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Act of 1934, as amended</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Required Under Rule 13a-14(b) of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Securities Exchange Act of 1934, as amended,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and 18 U.S.C. §1350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Certification of Principal Financial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Accounting Officer Required Under Rule 13a-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14(b) of the Securities Exchange Act of 1934, 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amended, and 18 U.S.C. §1350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Compensation Recovery Policy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1420" w:right="1440" w:bottom="175"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0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1"/>
        </w:trPr>
        <w:tc>
          <w:tcPr>
            <w:tcW w:w="8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101.INS</w:t>
            </w:r>
          </w:p>
        </w:tc>
        <w:tc>
          <w:tcPr>
            <w:tcW w:w="10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Inline XBRL Instance Document – the instance</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document does not appear in the Interactive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Data file because XBRL tags are embedded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within the Inline XBRL document.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101.SCH</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With Embedded Linkbase Documents</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40" w:right="4860" w:hanging="670"/>
        <w:spacing w:after="0" w:line="305" w:lineRule="auto"/>
        <w:tabs>
          <w:tab w:leader="none" w:pos="9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(embedded within the Inline XBRL document).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1420" w:right="1440" w:bottom="175" w:gutter="0" w:footer="0" w:header="0"/>
          <w:type w:val="continuous"/>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4" w:lineRule="exact"/>
        <w:rPr>
          <w:sz w:val="20"/>
          <w:szCs w:val="20"/>
          <w:color w:val="auto"/>
        </w:rPr>
      </w:pPr>
    </w:p>
    <w:p>
      <w:pPr>
        <w:ind w:left="20" w:right="10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2660" w:type="dxa"/>
            <w:vAlign w:val="bottom"/>
          </w:tcPr>
          <w:p>
            <w:pPr>
              <w:spacing w:after="0"/>
              <w:rPr>
                <w:sz w:val="23"/>
                <w:szCs w:val="23"/>
                <w:color w:val="auto"/>
              </w:rPr>
            </w:pPr>
          </w:p>
        </w:tc>
        <w:tc>
          <w:tcPr>
            <w:tcW w:w="670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auto"/>
              </w:rPr>
              <w:t>Soleno Therapeutics, Inc.</w:t>
            </w:r>
          </w:p>
        </w:tc>
      </w:tr>
      <w:tr>
        <w:trPr>
          <w:trHeight w:val="443"/>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Date: March 6, 2024</w:t>
            </w:r>
          </w:p>
        </w:tc>
        <w:tc>
          <w:tcPr>
            <w:tcW w:w="670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By: /S/ ANISH BHATNAGAR</w:t>
            </w:r>
          </w:p>
        </w:tc>
      </w:tr>
      <w:tr>
        <w:trPr>
          <w:trHeight w:val="261"/>
        </w:trPr>
        <w:tc>
          <w:tcPr>
            <w:tcW w:w="26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4" w:lineRule="exact"/>
        <w:rPr>
          <w:sz w:val="20"/>
          <w:szCs w:val="20"/>
          <w:color w:val="auto"/>
        </w:rPr>
      </w:pPr>
    </w:p>
    <w:p>
      <w:pPr>
        <w:ind w:left="20" w:right="20" w:firstLine="490"/>
        <w:spacing w:after="0" w:line="245"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2" w:lineRule="exact"/>
        <w:rPr>
          <w:sz w:val="20"/>
          <w:szCs w:val="20"/>
          <w:color w:val="auto"/>
        </w:rPr>
      </w:pPr>
    </w:p>
    <w:p>
      <w:pPr>
        <w:ind w:left="20" w:right="6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346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44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458"/>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ANISH BHATNAGAR</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President, Chief Executive Officer and</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Anish Bhatnagar</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 (Principal Executive Officer)</w:t>
            </w:r>
          </w:p>
        </w:tc>
        <w:tc>
          <w:tcPr>
            <w:tcW w:w="1440" w:type="dxa"/>
            <w:vAlign w:val="bottom"/>
          </w:tcPr>
          <w:p>
            <w:pPr>
              <w:spacing w:after="0"/>
              <w:rPr>
                <w:sz w:val="24"/>
                <w:szCs w:val="24"/>
                <w:color w:val="auto"/>
              </w:rPr>
            </w:pPr>
          </w:p>
        </w:tc>
      </w:tr>
      <w:tr>
        <w:trPr>
          <w:trHeight w:val="35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JAMES MACKANESS</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Financial Officer (Principal</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James Mackaness</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and Accounting Officer)</w:t>
            </w:r>
          </w:p>
        </w:tc>
        <w:tc>
          <w:tcPr>
            <w:tcW w:w="1440" w:type="dxa"/>
            <w:vAlign w:val="bottom"/>
          </w:tcPr>
          <w:p>
            <w:pPr>
              <w:spacing w:after="0"/>
              <w:rPr>
                <w:sz w:val="24"/>
                <w:szCs w:val="24"/>
                <w:color w:val="auto"/>
              </w:rPr>
            </w:pPr>
          </w:p>
        </w:tc>
      </w:tr>
      <w:tr>
        <w:trPr>
          <w:trHeight w:val="35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ERNEST MARIO</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Ernest Mario</w:t>
            </w:r>
          </w:p>
        </w:tc>
        <w:tc>
          <w:tcPr>
            <w:tcW w:w="3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ANDREW SINCLAIR</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Andrew Sinclair</w:t>
            </w:r>
          </w:p>
        </w:tc>
        <w:tc>
          <w:tcPr>
            <w:tcW w:w="3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WILLIAM G. HARRIS</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William G. Harris</w:t>
            </w:r>
          </w:p>
        </w:tc>
        <w:tc>
          <w:tcPr>
            <w:tcW w:w="3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GWEN MELINCOFF</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Gwen Melincoff</w:t>
            </w:r>
          </w:p>
        </w:tc>
        <w:tc>
          <w:tcPr>
            <w:tcW w:w="3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3"/>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BIRGITTE VOLCK</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Birgitte Volck</w:t>
            </w:r>
          </w:p>
        </w:tc>
        <w:tc>
          <w:tcPr>
            <w:tcW w:w="3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3"/>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MATTHEW PAULS</w:t>
            </w:r>
          </w:p>
        </w:tc>
        <w:tc>
          <w:tcPr>
            <w:tcW w:w="3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4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March 6, 2024</w:t>
            </w:r>
          </w:p>
        </w:tc>
      </w:tr>
      <w:tr>
        <w:trPr>
          <w:trHeight w:val="287"/>
        </w:trPr>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Matthew Pauls</w:t>
            </w:r>
          </w:p>
        </w:tc>
        <w:tc>
          <w:tcPr>
            <w:tcW w:w="34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380"/>
          </w:cols>
          <w:pgMar w:left="142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102</w:t>
      </w:r>
    </w:p>
    <w:sectPr>
      <w:pgSz w:w="12240" w:h="15840" w:orient="portrait"/>
      <w:cols w:equalWidth="0" w:num="1">
        <w:col w:w="9380"/>
      </w:cols>
      <w:pgMar w:left="1420" w:top="1416" w:right="144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Roman"/>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2"/>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2024-04-22T16:15:10Z</dcterms:created>
  <dcterms:modified xsi:type="dcterms:W3CDTF">2024-04-22T16:15:10Z</dcterms:modified>
</cp:coreProperties>
</file>