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99060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4"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117475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5"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46"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For the fiscal year ended: December 31, 2017</w:t>
      </w:r>
    </w:p>
    <w:p>
      <w:pPr>
        <w:spacing w:after="0" w:line="50"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53" w:lineRule="exact"/>
        <w:rPr>
          <w:sz w:val="24"/>
          <w:szCs w:val="24"/>
          <w:color w:val="auto"/>
        </w:rPr>
      </w:pPr>
    </w:p>
    <w:tbl>
      <w:tblPr>
        <w:tblLayout w:type="fixed"/>
        <w:tblInd w:w="384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660" w:type="dxa"/>
            <w:vAlign w:val="bottom"/>
            <w:tcBorders>
              <w:bottom w:val="single" w:sz="8" w:color="auto"/>
            </w:tcBorders>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w w:val="92"/>
              </w:rPr>
              <w:t>to</w:t>
            </w:r>
          </w:p>
        </w:tc>
        <w:tc>
          <w:tcPr>
            <w:tcW w:w="660" w:type="dxa"/>
            <w:vAlign w:val="bottom"/>
            <w:tcBorders>
              <w:bottom w:val="single" w:sz="8" w:color="auto"/>
            </w:tcBorders>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58"/>
        </w:trPr>
        <w:tc>
          <w:tcPr>
            <w:tcW w:w="3000" w:type="dxa"/>
            <w:vAlign w:val="bottom"/>
            <w:gridSpan w:val="3"/>
          </w:tcPr>
          <w:p>
            <w:pPr>
              <w:ind w:left="760"/>
              <w:spacing w:after="0"/>
              <w:rPr>
                <w:sz w:val="20"/>
                <w:szCs w:val="20"/>
                <w:color w:val="auto"/>
              </w:rPr>
            </w:pPr>
            <w:r>
              <w:rPr>
                <w:rFonts w:ascii="Arial" w:cs="Arial" w:eastAsia="Arial" w:hAnsi="Arial"/>
                <w:sz w:val="16"/>
                <w:szCs w:val="16"/>
                <w:b w:val="1"/>
                <w:bCs w:val="1"/>
                <w:color w:val="auto"/>
                <w:w w:val="90"/>
              </w:rPr>
              <w:t>Commission File No.: 001-36593</w:t>
            </w: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98425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5"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Soleno Therapeutics, Inc.</w:t>
      </w:r>
    </w:p>
    <w:p>
      <w:pPr>
        <w:spacing w:after="0" w:line="53"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(formerly known as Capnia, Inc.)</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109855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4" w:lineRule="exact"/>
        <w:rPr>
          <w:sz w:val="24"/>
          <w:szCs w:val="24"/>
          <w:color w:val="auto"/>
        </w:rPr>
      </w:pPr>
    </w:p>
    <w:tbl>
      <w:tblPr>
        <w:tblLayout w:type="fixed"/>
        <w:tblInd w:w="1760" w:type="dxa"/>
        <w:tblCellMar>
          <w:top w:w="0" w:type="dxa"/>
          <w:left w:w="0" w:type="dxa"/>
          <w:bottom w:w="0" w:type="dxa"/>
          <w:right w:w="0" w:type="dxa"/>
        </w:tblCellMar>
      </w:tblPr>
      <w:tr>
        <w:trPr>
          <w:trHeight w:val="194"/>
        </w:trPr>
        <w:tc>
          <w:tcPr>
            <w:tcW w:w="4340" w:type="dxa"/>
            <w:vAlign w:val="bottom"/>
          </w:tcPr>
          <w:p>
            <w:pPr>
              <w:jc w:val="center"/>
              <w:ind w:right="1803"/>
              <w:spacing w:after="0"/>
              <w:rPr>
                <w:sz w:val="20"/>
                <w:szCs w:val="20"/>
                <w:color w:val="auto"/>
              </w:rPr>
            </w:pPr>
            <w:r>
              <w:rPr>
                <w:rFonts w:ascii="Arial" w:cs="Arial" w:eastAsia="Arial" w:hAnsi="Arial"/>
                <w:sz w:val="16"/>
                <w:szCs w:val="16"/>
                <w:b w:val="1"/>
                <w:bCs w:val="1"/>
                <w:color w:val="auto"/>
                <w:w w:val="93"/>
              </w:rPr>
              <w:t>Delaware</w:t>
            </w:r>
          </w:p>
        </w:tc>
        <w:tc>
          <w:tcPr>
            <w:tcW w:w="3020" w:type="dxa"/>
            <w:vAlign w:val="bottom"/>
          </w:tcPr>
          <w:p>
            <w:pPr>
              <w:jc w:val="right"/>
              <w:ind w:right="104"/>
              <w:spacing w:after="0"/>
              <w:rPr>
                <w:sz w:val="20"/>
                <w:szCs w:val="20"/>
                <w:color w:val="auto"/>
              </w:rPr>
            </w:pPr>
            <w:r>
              <w:rPr>
                <w:rFonts w:ascii="Arial" w:cs="Arial" w:eastAsia="Arial" w:hAnsi="Arial"/>
                <w:sz w:val="16"/>
                <w:szCs w:val="16"/>
                <w:b w:val="1"/>
                <w:bCs w:val="1"/>
                <w:color w:val="auto"/>
              </w:rPr>
              <w:t>77-0523891</w:t>
            </w:r>
          </w:p>
        </w:tc>
      </w:tr>
      <w:tr>
        <w:trPr>
          <w:trHeight w:val="149"/>
        </w:trPr>
        <w:tc>
          <w:tcPr>
            <w:tcW w:w="4340" w:type="dxa"/>
            <w:vAlign w:val="bottom"/>
          </w:tcPr>
          <w:p>
            <w:pPr>
              <w:jc w:val="center"/>
              <w:ind w:right="1803"/>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020" w:type="dxa"/>
            <w:vAlign w:val="bottom"/>
          </w:tcPr>
          <w:p>
            <w:pPr>
              <w:jc w:val="center"/>
              <w:ind w:left="1804"/>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340" w:type="dxa"/>
            <w:vAlign w:val="bottom"/>
          </w:tcPr>
          <w:p>
            <w:pPr>
              <w:jc w:val="center"/>
              <w:ind w:right="1803"/>
              <w:spacing w:after="0"/>
              <w:rPr>
                <w:sz w:val="20"/>
                <w:szCs w:val="20"/>
                <w:color w:val="auto"/>
              </w:rPr>
            </w:pPr>
            <w:r>
              <w:rPr>
                <w:rFonts w:ascii="Arial" w:cs="Arial" w:eastAsia="Arial" w:hAnsi="Arial"/>
                <w:sz w:val="14"/>
                <w:szCs w:val="14"/>
                <w:b w:val="1"/>
                <w:bCs w:val="1"/>
                <w:color w:val="auto"/>
                <w:w w:val="95"/>
              </w:rPr>
              <w:t>Incorporation or Organization)</w:t>
            </w:r>
          </w:p>
        </w:tc>
        <w:tc>
          <w:tcPr>
            <w:tcW w:w="3020" w:type="dxa"/>
            <w:vAlign w:val="bottom"/>
          </w:tcPr>
          <w:p>
            <w:pPr>
              <w:jc w:val="center"/>
              <w:ind w:left="1804"/>
              <w:spacing w:after="0"/>
              <w:rPr>
                <w:sz w:val="20"/>
                <w:szCs w:val="20"/>
                <w:color w:val="auto"/>
              </w:rPr>
            </w:pPr>
            <w:r>
              <w:rPr>
                <w:rFonts w:ascii="Arial" w:cs="Arial" w:eastAsia="Arial" w:hAnsi="Arial"/>
                <w:sz w:val="14"/>
                <w:szCs w:val="14"/>
                <w:b w:val="1"/>
                <w:bCs w:val="1"/>
                <w:color w:val="auto"/>
                <w:w w:val="96"/>
              </w:rPr>
              <w:t>Identification No.)</w:t>
            </w:r>
          </w:p>
        </w:tc>
      </w:tr>
      <w:tr>
        <w:trPr>
          <w:trHeight w:val="268"/>
        </w:trPr>
        <w:tc>
          <w:tcPr>
            <w:tcW w:w="4340" w:type="dxa"/>
            <w:vAlign w:val="bottom"/>
          </w:tcPr>
          <w:p>
            <w:pPr>
              <w:jc w:val="center"/>
              <w:ind w:right="1803"/>
              <w:spacing w:after="0"/>
              <w:rPr>
                <w:sz w:val="20"/>
                <w:szCs w:val="20"/>
                <w:color w:val="auto"/>
              </w:rPr>
            </w:pPr>
            <w:r>
              <w:rPr>
                <w:rFonts w:ascii="Arial" w:cs="Arial" w:eastAsia="Arial" w:hAnsi="Arial"/>
                <w:sz w:val="16"/>
                <w:szCs w:val="16"/>
                <w:b w:val="1"/>
                <w:bCs w:val="1"/>
                <w:color w:val="auto"/>
                <w:w w:val="91"/>
              </w:rPr>
              <w:t>1235 Radio Road, Suite 110</w:t>
            </w:r>
          </w:p>
        </w:tc>
        <w:tc>
          <w:tcPr>
            <w:tcW w:w="3020" w:type="dxa"/>
            <w:vAlign w:val="bottom"/>
          </w:tcPr>
          <w:p>
            <w:pPr>
              <w:spacing w:after="0"/>
              <w:rPr>
                <w:sz w:val="23"/>
                <w:szCs w:val="23"/>
                <w:color w:val="auto"/>
              </w:rPr>
            </w:pPr>
          </w:p>
        </w:tc>
      </w:tr>
      <w:tr>
        <w:trPr>
          <w:trHeight w:val="207"/>
        </w:trPr>
        <w:tc>
          <w:tcPr>
            <w:tcW w:w="4340" w:type="dxa"/>
            <w:vAlign w:val="bottom"/>
          </w:tcPr>
          <w:p>
            <w:pPr>
              <w:jc w:val="center"/>
              <w:ind w:right="1803"/>
              <w:spacing w:after="0"/>
              <w:rPr>
                <w:sz w:val="20"/>
                <w:szCs w:val="20"/>
                <w:color w:val="auto"/>
              </w:rPr>
            </w:pPr>
            <w:r>
              <w:rPr>
                <w:rFonts w:ascii="Arial" w:cs="Arial" w:eastAsia="Arial" w:hAnsi="Arial"/>
                <w:sz w:val="16"/>
                <w:szCs w:val="16"/>
                <w:b w:val="1"/>
                <w:bCs w:val="1"/>
                <w:color w:val="auto"/>
                <w:w w:val="93"/>
              </w:rPr>
              <w:t>Redwood City, California</w:t>
            </w:r>
          </w:p>
        </w:tc>
        <w:tc>
          <w:tcPr>
            <w:tcW w:w="3020" w:type="dxa"/>
            <w:vAlign w:val="bottom"/>
          </w:tcPr>
          <w:p>
            <w:pPr>
              <w:jc w:val="right"/>
              <w:ind w:right="284"/>
              <w:spacing w:after="0"/>
              <w:rPr>
                <w:sz w:val="20"/>
                <w:szCs w:val="20"/>
                <w:color w:val="auto"/>
              </w:rPr>
            </w:pPr>
            <w:r>
              <w:rPr>
                <w:rFonts w:ascii="Arial" w:cs="Arial" w:eastAsia="Arial" w:hAnsi="Arial"/>
                <w:sz w:val="16"/>
                <w:szCs w:val="16"/>
                <w:b w:val="1"/>
                <w:bCs w:val="1"/>
                <w:color w:val="auto"/>
              </w:rPr>
              <w:t>94065</w:t>
            </w:r>
          </w:p>
        </w:tc>
      </w:tr>
      <w:tr>
        <w:trPr>
          <w:trHeight w:val="186"/>
        </w:trPr>
        <w:tc>
          <w:tcPr>
            <w:tcW w:w="4340" w:type="dxa"/>
            <w:vAlign w:val="bottom"/>
          </w:tcPr>
          <w:p>
            <w:pPr>
              <w:jc w:val="center"/>
              <w:ind w:right="1803"/>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20" w:type="dxa"/>
            <w:vAlign w:val="bottom"/>
          </w:tcPr>
          <w:p>
            <w:pPr>
              <w:jc w:val="center"/>
              <w:ind w:left="1804"/>
              <w:spacing w:after="0"/>
              <w:rPr>
                <w:sz w:val="20"/>
                <w:szCs w:val="20"/>
                <w:color w:val="auto"/>
              </w:rPr>
            </w:pPr>
            <w:r>
              <w:rPr>
                <w:rFonts w:ascii="Arial" w:cs="Arial" w:eastAsia="Arial" w:hAnsi="Arial"/>
                <w:sz w:val="14"/>
                <w:szCs w:val="14"/>
                <w:b w:val="1"/>
                <w:bCs w:val="1"/>
                <w:color w:val="auto"/>
                <w:w w:val="95"/>
              </w:rPr>
              <w:t>(Zip Code)</w:t>
            </w:r>
          </w:p>
        </w:tc>
      </w:tr>
    </w:tbl>
    <w:p>
      <w:pPr>
        <w:spacing w:after="0" w:line="7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Registrant’s telephone number, including area code: (650) 213-8444</w:t>
      </w:r>
    </w:p>
    <w:p>
      <w:pPr>
        <w:spacing w:after="0" w:line="127"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20"/>
          </w:cols>
          <w:pgMar w:left="240" w:top="230" w:right="439" w:bottom="1440" w:gutter="0" w:footer="0" w:header="0"/>
        </w:sectPr>
      </w:pPr>
    </w:p>
    <w:p>
      <w:pPr>
        <w:spacing w:after="0" w:line="131" w:lineRule="exact"/>
        <w:rPr>
          <w:sz w:val="24"/>
          <w:szCs w:val="24"/>
          <w:color w:val="auto"/>
        </w:rPr>
      </w:pPr>
    </w:p>
    <w:p>
      <w:pPr>
        <w:jc w:val="center"/>
        <w:ind w:right="460"/>
        <w:spacing w:after="0"/>
        <w:rPr>
          <w:sz w:val="20"/>
          <w:szCs w:val="20"/>
          <w:color w:val="auto"/>
        </w:rPr>
      </w:pPr>
      <w:r>
        <w:rPr>
          <w:rFonts w:ascii="Arial" w:cs="Arial" w:eastAsia="Arial" w:hAnsi="Arial"/>
          <w:sz w:val="14"/>
          <w:szCs w:val="14"/>
          <w:b w:val="1"/>
          <w:bCs w:val="1"/>
          <w:u w:val="single" w:color="auto"/>
          <w:color w:val="auto"/>
        </w:rPr>
        <w:t>Title of Each Class:</w:t>
      </w:r>
    </w:p>
    <w:p>
      <w:pPr>
        <w:spacing w:after="0" w:line="14" w:lineRule="exact"/>
        <w:rPr>
          <w:sz w:val="24"/>
          <w:szCs w:val="24"/>
          <w:color w:val="auto"/>
        </w:rPr>
      </w:pPr>
    </w:p>
    <w:p>
      <w:pPr>
        <w:jc w:val="center"/>
        <w:ind w:right="460"/>
        <w:spacing w:after="0"/>
        <w:rPr>
          <w:sz w:val="20"/>
          <w:szCs w:val="20"/>
          <w:color w:val="auto"/>
        </w:rPr>
      </w:pPr>
      <w:r>
        <w:rPr>
          <w:rFonts w:ascii="Arial" w:cs="Arial" w:eastAsia="Arial" w:hAnsi="Arial"/>
          <w:sz w:val="15"/>
          <w:szCs w:val="15"/>
          <w:b w:val="1"/>
          <w:bCs w:val="1"/>
          <w:color w:val="auto"/>
        </w:rPr>
        <w:t>Common Stock, par value $0.001 per share</w:t>
      </w:r>
    </w:p>
    <w:p>
      <w:pPr>
        <w:spacing w:after="0" w:line="20" w:lineRule="exact"/>
        <w:rPr>
          <w:sz w:val="24"/>
          <w:szCs w:val="24"/>
          <w:color w:val="auto"/>
        </w:rPr>
      </w:pPr>
    </w:p>
    <w:p>
      <w:pPr>
        <w:jc w:val="center"/>
        <w:ind w:right="460"/>
        <w:spacing w:after="0"/>
        <w:rPr>
          <w:sz w:val="20"/>
          <w:szCs w:val="20"/>
          <w:color w:val="auto"/>
        </w:rPr>
      </w:pPr>
      <w:r>
        <w:rPr>
          <w:rFonts w:ascii="Arial" w:cs="Arial" w:eastAsia="Arial" w:hAnsi="Arial"/>
          <w:sz w:val="14"/>
          <w:szCs w:val="14"/>
          <w:b w:val="1"/>
          <w:bCs w:val="1"/>
          <w:color w:val="auto"/>
        </w:rPr>
        <w:t>Series A warrants to purchase Common Stock</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jc w:val="center"/>
        <w:ind w:right="1260"/>
        <w:spacing w:after="0"/>
        <w:rPr>
          <w:sz w:val="20"/>
          <w:szCs w:val="20"/>
          <w:color w:val="auto"/>
        </w:rPr>
      </w:pPr>
      <w:r>
        <w:rPr>
          <w:rFonts w:ascii="Arial" w:cs="Arial" w:eastAsia="Arial" w:hAnsi="Arial"/>
          <w:sz w:val="12"/>
          <w:szCs w:val="12"/>
          <w:b w:val="1"/>
          <w:bCs w:val="1"/>
          <w:u w:val="single" w:color="auto"/>
          <w:color w:val="auto"/>
        </w:rPr>
        <w:t>Name of Each Exchange on which Registered:</w:t>
      </w:r>
    </w:p>
    <w:p>
      <w:pPr>
        <w:spacing w:after="0" w:line="37"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The NASDAQ Capital Market</w:t>
      </w:r>
    </w:p>
    <w:p>
      <w:pPr>
        <w:spacing w:after="0" w:line="8"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The NASDAQ Capital Market</w:t>
      </w:r>
    </w:p>
    <w:p>
      <w:pPr>
        <w:spacing w:after="0" w:line="65" w:lineRule="exact"/>
        <w:rPr>
          <w:sz w:val="24"/>
          <w:szCs w:val="24"/>
          <w:color w:val="auto"/>
        </w:rPr>
      </w:pPr>
    </w:p>
    <w:p>
      <w:pPr>
        <w:sectPr>
          <w:pgSz w:w="11900" w:h="16838" w:orient="portrait"/>
          <w:cols w:equalWidth="0" w:num="2">
            <w:col w:w="6420" w:space="720"/>
            <w:col w:w="4080"/>
          </w:cols>
          <w:pgMar w:left="240" w:top="230" w:right="439" w:bottom="1440" w:gutter="0" w:footer="0" w:header="0"/>
          <w:type w:val="continuous"/>
        </w:sectPr>
      </w:pPr>
    </w:p>
    <w:p>
      <w:pPr>
        <w:jc w:val="center"/>
        <w:ind w:right="-199"/>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114935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2" w:lineRule="exact"/>
        <w:rPr>
          <w:sz w:val="24"/>
          <w:szCs w:val="24"/>
          <w:color w:val="auto"/>
        </w:rPr>
      </w:pPr>
    </w:p>
    <w:p>
      <w:pPr>
        <w:ind w:left="540" w:right="2720"/>
        <w:spacing w:after="0" w:line="214"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left="200" w:right="80" w:firstLine="331"/>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left="200" w:right="180" w:firstLine="331"/>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w:t>
      </w:r>
    </w:p>
    <w:p>
      <w:pPr>
        <w:spacing w:after="0" w:line="1" w:lineRule="exact"/>
        <w:rPr>
          <w:sz w:val="24"/>
          <w:szCs w:val="24"/>
          <w:color w:val="auto"/>
        </w:rPr>
      </w:pPr>
    </w:p>
    <w:p>
      <w:pPr>
        <w:ind w:left="200"/>
        <w:spacing w:after="0" w:line="161" w:lineRule="exact"/>
        <w:tabs>
          <w:tab w:leader="none" w:pos="660" w:val="left"/>
          <w:tab w:leader="none" w:pos="12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1" w:lineRule="exact"/>
        <w:rPr>
          <w:sz w:val="24"/>
          <w:szCs w:val="24"/>
          <w:color w:val="auto"/>
        </w:rPr>
      </w:pPr>
    </w:p>
    <w:p>
      <w:pPr>
        <w:ind w:left="200" w:right="80" w:firstLine="331"/>
        <w:spacing w:after="0" w:line="176"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5" w:lineRule="exact"/>
        <w:rPr>
          <w:sz w:val="24"/>
          <w:szCs w:val="24"/>
          <w:color w:val="auto"/>
        </w:rPr>
      </w:pPr>
    </w:p>
    <w:p>
      <w:pPr>
        <w:ind w:left="200" w:right="120" w:firstLine="331"/>
        <w:spacing w:after="0" w:line="26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20"/>
          </w:cols>
          <w:pgMar w:left="240" w:top="230" w:right="439" w:bottom="1440" w:gutter="0" w:footer="0" w:header="0"/>
          <w:type w:val="continuous"/>
        </w:sectPr>
      </w:pPr>
    </w:p>
    <w:p>
      <w:pPr>
        <w:spacing w:after="0" w:line="1" w:lineRule="exact"/>
        <w:rPr>
          <w:sz w:val="24"/>
          <w:szCs w:val="24"/>
          <w:color w:val="auto"/>
        </w:rPr>
      </w:pPr>
    </w:p>
    <w:p>
      <w:pPr>
        <w:ind w:left="200"/>
        <w:spacing w:after="0" w:line="161" w:lineRule="exact"/>
        <w:tabs>
          <w:tab w:leader="none" w:pos="1840" w:val="left"/>
          <w:tab w:leader="none" w:pos="910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75" w:lineRule="exact"/>
        <w:rPr>
          <w:sz w:val="24"/>
          <w:szCs w:val="24"/>
          <w:color w:val="auto"/>
        </w:rPr>
      </w:pPr>
    </w:p>
    <w:p>
      <w:pPr>
        <w:ind w:left="200"/>
        <w:spacing w:after="0" w:line="161" w:lineRule="exact"/>
        <w:tabs>
          <w:tab w:leader="none" w:pos="1840" w:val="left"/>
          <w:tab w:leader="none" w:pos="910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123" w:lineRule="exact"/>
        <w:rPr>
          <w:sz w:val="24"/>
          <w:szCs w:val="24"/>
          <w:color w:val="auto"/>
        </w:rPr>
      </w:pPr>
    </w:p>
    <w:p>
      <w:pPr>
        <w:ind w:left="9120"/>
        <w:spacing w:after="0"/>
        <w:rPr>
          <w:sz w:val="20"/>
          <w:szCs w:val="20"/>
          <w:color w:val="auto"/>
        </w:rPr>
      </w:pPr>
      <w:r>
        <w:rPr>
          <w:rFonts w:ascii="Arial" w:cs="Arial" w:eastAsia="Arial" w:hAnsi="Arial"/>
          <w:sz w:val="14"/>
          <w:szCs w:val="14"/>
          <w:color w:val="auto"/>
        </w:rPr>
        <w:t>Emerging growth company</w:t>
      </w:r>
    </w:p>
    <w:p>
      <w:pPr>
        <w:spacing w:after="0" w:line="28" w:lineRule="exact"/>
        <w:rPr>
          <w:sz w:val="24"/>
          <w:szCs w:val="24"/>
          <w:color w:val="auto"/>
        </w:rPr>
      </w:pPr>
    </w:p>
    <w:p>
      <w:pPr>
        <w:ind w:left="200" w:right="1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540"/>
        <w:spacing w:after="0" w:line="161" w:lineRule="exact"/>
        <w:tabs>
          <w:tab w:leader="none" w:pos="6580" w:val="left"/>
          <w:tab w:leader="none" w:pos="71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6" w:lineRule="exact"/>
        <w:rPr>
          <w:sz w:val="24"/>
          <w:szCs w:val="24"/>
          <w:color w:val="auto"/>
        </w:rPr>
      </w:pPr>
    </w:p>
    <w:p>
      <w:pPr>
        <w:ind w:left="200" w:firstLine="331"/>
        <w:spacing w:after="0" w:line="238" w:lineRule="auto"/>
        <w:rPr>
          <w:sz w:val="20"/>
          <w:szCs w:val="20"/>
          <w:color w:val="auto"/>
        </w:rPr>
      </w:pPr>
      <w:r>
        <w:rPr>
          <w:rFonts w:ascii="Arial" w:cs="Arial" w:eastAsia="Arial" w:hAnsi="Arial"/>
          <w:sz w:val="14"/>
          <w:szCs w:val="14"/>
          <w:color w:val="auto"/>
        </w:rPr>
        <w:t>The aggregate market value of voting stock held by non-affiliates of the registrant on June 30, 2017, based on the closing price of $2.51 for shares of the registrant’s common stock as reported by the NASDAQ Capital Market, was approximately $6.8 million. Shares of Common Stock beneficially held by each executive officer, director and holder of 5% or more of the outstanding Common Stock have been excluded in that such persons may be deemed affiliates.</w:t>
      </w:r>
    </w:p>
    <w:p>
      <w:pPr>
        <w:spacing w:after="0" w:line="7" w:lineRule="exact"/>
        <w:rPr>
          <w:sz w:val="24"/>
          <w:szCs w:val="24"/>
          <w:color w:val="auto"/>
        </w:rPr>
      </w:pPr>
    </w:p>
    <w:p>
      <w:pPr>
        <w:ind w:left="540"/>
        <w:spacing w:after="0"/>
        <w:rPr>
          <w:sz w:val="20"/>
          <w:szCs w:val="20"/>
          <w:color w:val="auto"/>
        </w:rPr>
      </w:pPr>
      <w:r>
        <w:rPr>
          <w:rFonts w:ascii="Arial" w:cs="Arial" w:eastAsia="Arial" w:hAnsi="Arial"/>
          <w:sz w:val="14"/>
          <w:szCs w:val="14"/>
          <w:color w:val="auto"/>
        </w:rPr>
        <w:t xml:space="preserve">As of March </w:t>
      </w:r>
      <w:r>
        <w:rPr>
          <w:rFonts w:ascii="Arial" w:cs="Arial" w:eastAsia="Arial" w:hAnsi="Arial"/>
          <w:sz w:val="14"/>
          <w:szCs w:val="14"/>
          <w:u w:val="single" w:color="auto"/>
          <w:color w:val="auto"/>
        </w:rPr>
        <w:t>21</w:t>
      </w:r>
      <w:r>
        <w:rPr>
          <w:rFonts w:ascii="Arial" w:cs="Arial" w:eastAsia="Arial" w:hAnsi="Arial"/>
          <w:sz w:val="14"/>
          <w:szCs w:val="14"/>
          <w:color w:val="auto"/>
        </w:rPr>
        <w:t xml:space="preserve">, 2018 there were </w:t>
      </w:r>
      <w:r>
        <w:rPr>
          <w:rFonts w:ascii="Arial" w:cs="Arial" w:eastAsia="Arial" w:hAnsi="Arial"/>
          <w:sz w:val="14"/>
          <w:szCs w:val="14"/>
          <w:u w:val="single" w:color="auto"/>
          <w:color w:val="auto"/>
        </w:rPr>
        <w:t>19,486,729</w:t>
      </w:r>
      <w:r>
        <w:rPr>
          <w:rFonts w:ascii="Arial" w:cs="Arial" w:eastAsia="Arial" w:hAnsi="Arial"/>
          <w:sz w:val="14"/>
          <w:szCs w:val="14"/>
          <w:color w:val="auto"/>
        </w:rPr>
        <w:t xml:space="preserve">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98425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99" w:lineRule="exact"/>
        <w:rPr>
          <w:sz w:val="24"/>
          <w:szCs w:val="24"/>
          <w:color w:val="auto"/>
        </w:rPr>
      </w:pPr>
    </w:p>
    <w:p>
      <w:pPr>
        <w:sectPr>
          <w:pgSz w:w="11900" w:h="16838" w:orient="portrait"/>
          <w:cols w:equalWidth="0" w:num="2">
            <w:col w:w="11020" w:space="60"/>
            <w:col w:w="140"/>
          </w:cols>
          <w:pgMar w:left="240" w:top="230" w:right="439" w:bottom="1440" w:gutter="0" w:footer="0" w:header="0"/>
          <w:type w:val="continuous"/>
        </w:sectPr>
      </w:pPr>
    </w:p>
    <w:p>
      <w:pPr>
        <w:jc w:val="center"/>
        <w:ind w:right="-199"/>
        <w:spacing w:after="0"/>
        <w:rPr>
          <w:sz w:val="20"/>
          <w:szCs w:val="20"/>
          <w:color w:val="auto"/>
        </w:rPr>
      </w:pPr>
      <w:r>
        <w:rPr>
          <w:rFonts w:ascii="Arial" w:cs="Arial" w:eastAsia="Arial" w:hAnsi="Arial"/>
          <w:sz w:val="16"/>
          <w:szCs w:val="16"/>
          <w:b w:val="1"/>
          <w:bCs w:val="1"/>
          <w:color w:val="auto"/>
        </w:rPr>
        <w:t>DOCUMENTS INCORPORATED BY REFERENCE</w:t>
      </w:r>
    </w:p>
    <w:p>
      <w:pPr>
        <w:spacing w:after="0" w:line="41" w:lineRule="exact"/>
        <w:rPr>
          <w:sz w:val="24"/>
          <w:szCs w:val="24"/>
          <w:color w:val="auto"/>
        </w:rPr>
      </w:pPr>
    </w:p>
    <w:p>
      <w:pPr>
        <w:ind w:left="200" w:right="240" w:firstLine="331"/>
        <w:spacing w:after="0" w:line="234" w:lineRule="auto"/>
        <w:rPr>
          <w:sz w:val="20"/>
          <w:szCs w:val="20"/>
          <w:color w:val="auto"/>
        </w:rPr>
      </w:pPr>
      <w:r>
        <w:rPr>
          <w:rFonts w:ascii="Arial" w:cs="Arial" w:eastAsia="Arial" w:hAnsi="Arial"/>
          <w:sz w:val="14"/>
          <w:szCs w:val="14"/>
          <w:color w:val="auto"/>
        </w:rPr>
        <w:t>Portions of the registrant’s Definitive Proxy Statement to be filed with the Commission pursuant to Regulation 14A in connection with the registrant’s 2018 Annual Meeting of Stockholders, to be filed subsequent to the date hereof, are incorporated by reference into Part III of this Report. Such Definitive Proxy Statement will be filed with the Securities and Exchange Commission not later than 120 days after the conclusion of the registrant’s fiscal year ended December 31, 2017.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93345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136525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020" w:type="dxa"/>
            <w:vAlign w:val="bottom"/>
            <w:gridSpan w:val="31"/>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160" w:type="dxa"/>
            <w:vAlign w:val="bottom"/>
          </w:tcPr>
          <w:p>
            <w:pPr>
              <w:spacing w:after="0"/>
              <w:rPr>
                <w:sz w:val="17"/>
                <w:szCs w:val="17"/>
                <w:color w:val="auto"/>
              </w:rPr>
            </w:pPr>
          </w:p>
        </w:tc>
      </w:tr>
      <w:tr>
        <w:trPr>
          <w:trHeight w:val="515"/>
        </w:trPr>
        <w:tc>
          <w:tcPr>
            <w:tcW w:w="2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20" w:type="dxa"/>
            <w:vAlign w:val="bottom"/>
            <w:gridSpan w:val="16"/>
          </w:tcPr>
          <w:p>
            <w:pPr>
              <w:jc w:val="center"/>
              <w:ind w:right="3000"/>
              <w:spacing w:after="0"/>
              <w:rPr>
                <w:sz w:val="20"/>
                <w:szCs w:val="20"/>
                <w:color w:val="auto"/>
              </w:rPr>
            </w:pPr>
            <w:r>
              <w:rPr>
                <w:rFonts w:ascii="Arial" w:cs="Arial" w:eastAsia="Arial" w:hAnsi="Arial"/>
                <w:sz w:val="18"/>
                <w:szCs w:val="18"/>
                <w:b w:val="1"/>
                <w:bCs w:val="1"/>
                <w:color w:val="auto"/>
                <w:w w:val="88"/>
              </w:rPr>
              <w:t>Soleno Therapeutics, Inc.</w:t>
            </w:r>
          </w:p>
        </w:tc>
        <w:tc>
          <w:tcPr>
            <w:tcW w:w="116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20" w:type="dxa"/>
            <w:vAlign w:val="bottom"/>
            <w:gridSpan w:val="16"/>
          </w:tcPr>
          <w:p>
            <w:pPr>
              <w:jc w:val="center"/>
              <w:ind w:right="2980"/>
              <w:spacing w:after="0"/>
              <w:rPr>
                <w:sz w:val="20"/>
                <w:szCs w:val="20"/>
                <w:color w:val="auto"/>
              </w:rPr>
            </w:pPr>
            <w:r>
              <w:rPr>
                <w:rFonts w:ascii="Arial" w:cs="Arial" w:eastAsia="Arial" w:hAnsi="Arial"/>
                <w:sz w:val="18"/>
                <w:szCs w:val="18"/>
                <w:b w:val="1"/>
                <w:bCs w:val="1"/>
                <w:color w:val="auto"/>
                <w:w w:val="92"/>
              </w:rPr>
              <w:t>(formerly known as Capnia, Inc.)</w:t>
            </w:r>
          </w:p>
        </w:tc>
        <w:tc>
          <w:tcPr>
            <w:tcW w:w="11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20" w:type="dxa"/>
            <w:vAlign w:val="bottom"/>
            <w:gridSpan w:val="16"/>
          </w:tcPr>
          <w:p>
            <w:pPr>
              <w:jc w:val="center"/>
              <w:ind w:right="3000"/>
              <w:spacing w:after="0"/>
              <w:rPr>
                <w:sz w:val="20"/>
                <w:szCs w:val="20"/>
                <w:color w:val="auto"/>
              </w:rPr>
            </w:pPr>
            <w:r>
              <w:rPr>
                <w:rFonts w:ascii="Arial" w:cs="Arial" w:eastAsia="Arial" w:hAnsi="Arial"/>
                <w:sz w:val="18"/>
                <w:szCs w:val="18"/>
                <w:b w:val="1"/>
                <w:bCs w:val="1"/>
                <w:color w:val="auto"/>
                <w:w w:val="93"/>
              </w:rPr>
              <w:t>Annual Report on Form 10-K</w:t>
            </w:r>
          </w:p>
        </w:tc>
        <w:tc>
          <w:tcPr>
            <w:tcW w:w="116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60" w:type="dxa"/>
            <w:vAlign w:val="bottom"/>
            <w:gridSpan w:val="17"/>
          </w:tcPr>
          <w:p>
            <w:pPr>
              <w:jc w:val="center"/>
              <w:ind w:right="2560"/>
              <w:spacing w:after="0"/>
              <w:rPr>
                <w:sz w:val="20"/>
                <w:szCs w:val="20"/>
                <w:color w:val="auto"/>
              </w:rPr>
            </w:pPr>
            <w:r>
              <w:rPr>
                <w:rFonts w:ascii="Arial" w:cs="Arial" w:eastAsia="Arial" w:hAnsi="Arial"/>
                <w:sz w:val="18"/>
                <w:szCs w:val="18"/>
                <w:b w:val="1"/>
                <w:bCs w:val="1"/>
                <w:color w:val="auto"/>
                <w:w w:val="90"/>
              </w:rPr>
              <w:t>For the Year Ended December 31, 2017</w:t>
            </w:r>
          </w:p>
        </w:tc>
        <w:tc>
          <w:tcPr>
            <w:tcW w:w="1160" w:type="dxa"/>
            <w:vAlign w:val="bottom"/>
          </w:tcPr>
          <w:p>
            <w:pPr>
              <w:spacing w:after="0"/>
              <w:rPr>
                <w:sz w:val="20"/>
                <w:szCs w:val="20"/>
                <w:color w:val="auto"/>
              </w:rPr>
            </w:pPr>
          </w:p>
        </w:tc>
      </w:tr>
      <w:tr>
        <w:trPr>
          <w:trHeight w:val="432"/>
        </w:trPr>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20" w:type="dxa"/>
            <w:vAlign w:val="bottom"/>
            <w:gridSpan w:val="11"/>
          </w:tcPr>
          <w:p>
            <w:pPr>
              <w:jc w:val="center"/>
              <w:ind w:right="4000"/>
              <w:spacing w:after="0"/>
              <w:rPr>
                <w:sz w:val="20"/>
                <w:szCs w:val="20"/>
                <w:color w:val="auto"/>
              </w:rPr>
            </w:pPr>
            <w:r>
              <w:rPr>
                <w:rFonts w:ascii="Arial" w:cs="Arial" w:eastAsia="Arial" w:hAnsi="Arial"/>
                <w:sz w:val="18"/>
                <w:szCs w:val="18"/>
                <w:b w:val="1"/>
                <w:bCs w:val="1"/>
                <w:color w:val="auto"/>
              </w:rPr>
              <w:t>INDEX</w:t>
            </w:r>
          </w:p>
        </w:tc>
        <w:tc>
          <w:tcPr>
            <w:tcW w:w="116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EE"/>
            </w:tcBorders>
            <w:gridSpan w:val="2"/>
          </w:tcPr>
          <w:p>
            <w:pPr>
              <w:jc w:val="cente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040" w:type="dxa"/>
            <w:vAlign w:val="bottom"/>
            <w:gridSpan w:val="9"/>
          </w:tcPr>
          <w:p>
            <w:pPr>
              <w:spacing w:after="0"/>
              <w:rPr>
                <w:sz w:val="24"/>
                <w:szCs w:val="24"/>
                <w:color w:val="auto"/>
              </w:rPr>
            </w:pPr>
          </w:p>
        </w:tc>
        <w:tc>
          <w:tcPr>
            <w:tcW w:w="1160" w:type="dxa"/>
            <w:vAlign w:val="bottom"/>
          </w:tcPr>
          <w:p>
            <w:pPr>
              <w:spacing w:after="0"/>
              <w:rPr>
                <w:sz w:val="24"/>
                <w:szCs w:val="24"/>
                <w:color w:val="auto"/>
              </w:rPr>
            </w:pPr>
          </w:p>
        </w:tc>
      </w:tr>
      <w:tr>
        <w:trPr>
          <w:trHeight w:val="304"/>
        </w:trPr>
        <w:tc>
          <w:tcPr>
            <w:tcW w:w="2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960" w:type="dxa"/>
            <w:vAlign w:val="bottom"/>
            <w:gridSpan w:val="2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Risk Factors</w:t>
              </w:r>
            </w:hyperlink>
          </w:p>
        </w:tc>
        <w:tc>
          <w:tcPr>
            <w:tcW w:w="8040" w:type="dxa"/>
            <w:vAlign w:val="bottom"/>
            <w:gridSpan w:val="24"/>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2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Unresolved Staff Comments</w:t>
              </w:r>
            </w:hyperlink>
          </w:p>
        </w:tc>
        <w:tc>
          <w:tcPr>
            <w:tcW w:w="6900" w:type="dxa"/>
            <w:vAlign w:val="bottom"/>
            <w:gridSpan w:val="19"/>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2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59">
              <w:r>
                <w:rPr>
                  <w:rFonts w:ascii="Arial" w:cs="Arial" w:eastAsia="Arial" w:hAnsi="Arial"/>
                  <w:sz w:val="18"/>
                  <w:szCs w:val="18"/>
                  <w:color w:val="0000EE"/>
                  <w:w w:val="87"/>
                </w:rPr>
                <w:t>Properties</w:t>
              </w:r>
            </w:hyperlink>
          </w:p>
        </w:tc>
        <w:tc>
          <w:tcPr>
            <w:tcW w:w="8220" w:type="dxa"/>
            <w:vAlign w:val="bottom"/>
            <w:gridSpan w:val="25"/>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2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960" w:type="dxa"/>
            <w:vAlign w:val="bottom"/>
            <w:gridSpan w:val="28"/>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Legal Proceedings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960" w:type="dxa"/>
            <w:vAlign w:val="bottom"/>
            <w:gridSpan w:val="28"/>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Mine Safety Disclosures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2"/>
        </w:trPr>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PART II</w:t>
              </w:r>
            </w:hyperlink>
          </w:p>
        </w:tc>
        <w:tc>
          <w:tcPr>
            <w:tcW w:w="4000" w:type="dxa"/>
            <w:vAlign w:val="bottom"/>
            <w:gridSpan w:val="8"/>
          </w:tcPr>
          <w:p>
            <w:pPr>
              <w:spacing w:after="0"/>
              <w:rPr>
                <w:sz w:val="24"/>
                <w:szCs w:val="24"/>
                <w:color w:val="auto"/>
              </w:rPr>
            </w:pPr>
          </w:p>
        </w:tc>
        <w:tc>
          <w:tcPr>
            <w:tcW w:w="1160" w:type="dxa"/>
            <w:vAlign w:val="bottom"/>
          </w:tcPr>
          <w:p>
            <w:pPr>
              <w:spacing w:after="0"/>
              <w:rPr>
                <w:sz w:val="24"/>
                <w:szCs w:val="24"/>
                <w:color w:val="auto"/>
              </w:rPr>
            </w:pPr>
          </w:p>
        </w:tc>
      </w:tr>
      <w:tr>
        <w:trPr>
          <w:trHeight w:val="304"/>
        </w:trPr>
        <w:tc>
          <w:tcPr>
            <w:tcW w:w="2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960" w:type="dxa"/>
            <w:vAlign w:val="bottom"/>
            <w:gridSpan w:val="2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Market for Registrant’s Common Equity, Related Stockholder Matters and Issuer Purchases of Equity Securities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2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21"/>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04"/>
        </w:trPr>
        <w:tc>
          <w:tcPr>
            <w:tcW w:w="2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00" w:type="dxa"/>
            <w:vAlign w:val="bottom"/>
            <w:tcBorders>
              <w:bottom w:val="single" w:sz="8" w:color="0000EE"/>
            </w:tcBorders>
            <w:gridSpan w:val="24"/>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Management’s Discussion and Analysis of Financial Condition and Results of Operation</w:t>
              </w:r>
            </w:hyperlink>
          </w:p>
        </w:tc>
        <w:tc>
          <w:tcPr>
            <w:tcW w:w="2560" w:type="dxa"/>
            <w:vAlign w:val="bottom"/>
            <w:gridSpan w:val="4"/>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04"/>
        </w:trPr>
        <w:tc>
          <w:tcPr>
            <w:tcW w:w="2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8960" w:type="dxa"/>
            <w:vAlign w:val="bottom"/>
            <w:gridSpan w:val="2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Quantitative and Qualitative Disclosures About Market Risk</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04"/>
        </w:trPr>
        <w:tc>
          <w:tcPr>
            <w:tcW w:w="2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6"/>
          </w:tcPr>
          <w:p>
            <w:pPr>
              <w:spacing w:after="0"/>
              <w:rPr>
                <w:sz w:val="24"/>
                <w:szCs w:val="24"/>
                <w:color w:val="auto"/>
              </w:rPr>
            </w:pPr>
          </w:p>
        </w:tc>
        <w:tc>
          <w:tcPr>
            <w:tcW w:w="4600" w:type="dxa"/>
            <w:vAlign w:val="bottom"/>
            <w:gridSpan w:val="10"/>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04"/>
        </w:trPr>
        <w:tc>
          <w:tcPr>
            <w:tcW w:w="2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960" w:type="dxa"/>
            <w:vAlign w:val="bottom"/>
            <w:gridSpan w:val="28"/>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Changes in and Disagreements with Accountants on Accounting and Financial Disclosure</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04"/>
        </w:trPr>
        <w:tc>
          <w:tcPr>
            <w:tcW w:w="2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118">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8"/>
          </w:tcPr>
          <w:p>
            <w:pPr>
              <w:spacing w:after="0"/>
              <w:rPr>
                <w:sz w:val="24"/>
                <w:szCs w:val="24"/>
                <w:color w:val="auto"/>
              </w:rPr>
            </w:pPr>
          </w:p>
        </w:tc>
        <w:tc>
          <w:tcPr>
            <w:tcW w:w="2480" w:type="dxa"/>
            <w:vAlign w:val="bottom"/>
            <w:gridSpan w:val="3"/>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04"/>
        </w:trPr>
        <w:tc>
          <w:tcPr>
            <w:tcW w:w="2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8960" w:type="dxa"/>
            <w:vAlign w:val="bottom"/>
            <w:gridSpan w:val="28"/>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Other Information</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412"/>
        </w:trPr>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PART III</w:t>
              </w:r>
            </w:hyperlink>
          </w:p>
        </w:tc>
        <w:tc>
          <w:tcPr>
            <w:tcW w:w="3960" w:type="dxa"/>
            <w:vAlign w:val="bottom"/>
            <w:gridSpan w:val="6"/>
          </w:tcPr>
          <w:p>
            <w:pPr>
              <w:spacing w:after="0"/>
              <w:rPr>
                <w:sz w:val="24"/>
                <w:szCs w:val="24"/>
                <w:color w:val="auto"/>
              </w:rPr>
            </w:pPr>
          </w:p>
        </w:tc>
        <w:tc>
          <w:tcPr>
            <w:tcW w:w="1160" w:type="dxa"/>
            <w:vAlign w:val="bottom"/>
          </w:tcPr>
          <w:p>
            <w:pPr>
              <w:spacing w:after="0"/>
              <w:rPr>
                <w:sz w:val="24"/>
                <w:szCs w:val="24"/>
                <w:color w:val="auto"/>
              </w:rPr>
            </w:pPr>
          </w:p>
        </w:tc>
      </w:tr>
      <w:tr>
        <w:trPr>
          <w:trHeight w:val="304"/>
        </w:trPr>
        <w:tc>
          <w:tcPr>
            <w:tcW w:w="2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8960" w:type="dxa"/>
            <w:vAlign w:val="bottom"/>
            <w:gridSpan w:val="28"/>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Directors, Executive Officers and Corporate Governance</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04"/>
        </w:trPr>
        <w:tc>
          <w:tcPr>
            <w:tcW w:w="2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120">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24"/>
                <w:szCs w:val="24"/>
                <w:color w:val="auto"/>
              </w:rPr>
            </w:pPr>
          </w:p>
        </w:tc>
        <w:tc>
          <w:tcPr>
            <w:tcW w:w="4860" w:type="dxa"/>
            <w:vAlign w:val="bottom"/>
            <w:gridSpan w:val="15"/>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04"/>
        </w:trPr>
        <w:tc>
          <w:tcPr>
            <w:tcW w:w="2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8960" w:type="dxa"/>
            <w:vAlign w:val="bottom"/>
            <w:gridSpan w:val="28"/>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Security Ownership of Certain Beneficial Owners and Management and Related Stockholder Matters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04"/>
        </w:trPr>
        <w:tc>
          <w:tcPr>
            <w:tcW w:w="2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89"/>
              </w:rPr>
            </w:pPr>
            <w:hyperlink w:anchor="page120">
              <w:r>
                <w:rPr>
                  <w:rFonts w:ascii="Arial" w:cs="Arial" w:eastAsia="Arial" w:hAnsi="Arial"/>
                  <w:sz w:val="18"/>
                  <w:szCs w:val="18"/>
                  <w:color w:val="0000EE"/>
                  <w:w w:val="89"/>
                </w:rPr>
                <w:t>Certain Relationships and Related Transactions, and Director Independence</w:t>
              </w:r>
            </w:hyperlink>
          </w:p>
        </w:tc>
        <w:tc>
          <w:tcPr>
            <w:tcW w:w="1840" w:type="dxa"/>
            <w:vAlign w:val="bottom"/>
            <w:tcBorders>
              <w:top w:val="single" w:sz="8" w:color="0000EE"/>
            </w:tcBorders>
            <w:gridSpan w:val="3"/>
          </w:tcPr>
          <w:p>
            <w:pPr>
              <w:spacing w:after="0"/>
              <w:rPr>
                <w:sz w:val="24"/>
                <w:szCs w:val="24"/>
                <w:color w:val="auto"/>
              </w:rPr>
            </w:pPr>
          </w:p>
        </w:tc>
        <w:tc>
          <w:tcPr>
            <w:tcW w:w="1660" w:type="dxa"/>
            <w:vAlign w:val="bottom"/>
            <w:gridSpan w:val="2"/>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04"/>
        </w:trPr>
        <w:tc>
          <w:tcPr>
            <w:tcW w:w="2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8960" w:type="dxa"/>
            <w:vAlign w:val="bottom"/>
            <w:gridSpan w:val="28"/>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Principal Accounting Fees and Services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412"/>
        </w:trPr>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gridSpan w:val="13"/>
          </w:tcPr>
          <w:p>
            <w:pPr>
              <w:jc w:val="center"/>
              <w:ind w:right="3980"/>
              <w:spacing w:after="0"/>
              <w:rPr>
                <w:rFonts w:ascii="Arial" w:cs="Arial" w:eastAsia="Arial" w:hAnsi="Arial"/>
                <w:sz w:val="18"/>
                <w:szCs w:val="18"/>
                <w:b w:val="1"/>
                <w:bCs w:val="1"/>
                <w:color w:val="0000EE"/>
                <w:w w:val="98"/>
              </w:rPr>
            </w:pPr>
            <w:hyperlink w:anchor="page120">
              <w:r>
                <w:rPr>
                  <w:rFonts w:ascii="Arial" w:cs="Arial" w:eastAsia="Arial" w:hAnsi="Arial"/>
                  <w:sz w:val="18"/>
                  <w:szCs w:val="18"/>
                  <w:b w:val="1"/>
                  <w:bCs w:val="1"/>
                  <w:color w:val="0000EE"/>
                  <w:w w:val="98"/>
                </w:rPr>
                <w:t>PART IV</w:t>
              </w:r>
            </w:hyperlink>
          </w:p>
        </w:tc>
        <w:tc>
          <w:tcPr>
            <w:tcW w:w="1160" w:type="dxa"/>
            <w:vAlign w:val="bottom"/>
          </w:tcPr>
          <w:p>
            <w:pPr>
              <w:spacing w:after="0"/>
              <w:rPr>
                <w:sz w:val="24"/>
                <w:szCs w:val="24"/>
                <w:color w:val="auto"/>
              </w:rPr>
            </w:pPr>
          </w:p>
        </w:tc>
      </w:tr>
      <w:tr>
        <w:trPr>
          <w:trHeight w:val="304"/>
        </w:trPr>
        <w:tc>
          <w:tcPr>
            <w:tcW w:w="2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280" w:type="dxa"/>
            <w:vAlign w:val="bottom"/>
            <w:gridSpan w:val="15"/>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6"/>
          </w:tcPr>
          <w:p>
            <w:pPr>
              <w:spacing w:after="0"/>
              <w:rPr>
                <w:sz w:val="24"/>
                <w:szCs w:val="24"/>
                <w:color w:val="auto"/>
              </w:rPr>
            </w:pPr>
          </w:p>
        </w:tc>
        <w:tc>
          <w:tcPr>
            <w:tcW w:w="3980" w:type="dxa"/>
            <w:vAlign w:val="bottom"/>
            <w:gridSpan w:val="7"/>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04"/>
        </w:trPr>
        <w:tc>
          <w:tcPr>
            <w:tcW w:w="200" w:type="dxa"/>
            <w:vAlign w:val="bottom"/>
          </w:tcPr>
          <w:p>
            <w:pPr>
              <w:spacing w:after="0"/>
              <w:rPr>
                <w:sz w:val="24"/>
                <w:szCs w:val="24"/>
                <w:color w:val="auto"/>
              </w:rPr>
            </w:pPr>
          </w:p>
        </w:tc>
        <w:tc>
          <w:tcPr>
            <w:tcW w:w="860" w:type="dxa"/>
            <w:vAlign w:val="bottom"/>
            <w:gridSpan w:val="2"/>
          </w:tcPr>
          <w:p>
            <w:pPr>
              <w:spacing w:after="0"/>
              <w:rPr>
                <w:rFonts w:ascii="Arial" w:cs="Arial" w:eastAsia="Arial" w:hAnsi="Arial"/>
                <w:sz w:val="18"/>
                <w:szCs w:val="18"/>
                <w:color w:val="0000EE"/>
                <w:w w:val="97"/>
              </w:rPr>
            </w:pPr>
            <w:hyperlink w:anchor="page127">
              <w:r>
                <w:rPr>
                  <w:rFonts w:ascii="Arial" w:cs="Arial" w:eastAsia="Arial" w:hAnsi="Arial"/>
                  <w:sz w:val="18"/>
                  <w:szCs w:val="18"/>
                  <w:color w:val="0000EE"/>
                  <w:w w:val="97"/>
                </w:rPr>
                <w:t>Signatures</w:t>
              </w:r>
            </w:hyperlink>
          </w:p>
        </w:tc>
        <w:tc>
          <w:tcPr>
            <w:tcW w:w="3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or the Exchange Act, particularly in Part I, Item 1: “Business,” Part I, Item 1A: “Risk Factors” and Part 2, Item 7: “Management’s Discussion and Analysis of Financial Condition and Results of Operations.” These statements are often identified by the use of words such as “may,” “will,” “expect,” “believe,” “anticipate,” “intend,” “could,” “should,” “estimate,” “plan” or “continue,” and similar expressions or variations. All statements other than statements of historical fact could be deemed forward-looking, including, but not limited to: any projections of financial information; any statements about historical results that may suggest trends for our business; any statements of the plans, strategies, and objectives of management for future operations; any statements of expectation or belief regarding future events, technology developments, our products, product sales, the regulatory regime for our products, expenses, liquidity, cash flow, market growth rates or enforceability of our intellectual property rights and related litigation expenses; and any statements of assumptions underlying any of the foregoing. Such forward-looking statements are subject to risks, uncertainties and other factors that could cause actual results and the timing of certain events to differ materially from future results expressed or implied by such forward-looking statements. Accordingly, we caution you not to place undue reliance on these statements. Particular uncertainties that could affect future results include: our ability to achieve or maintain profitability; our ability to obtain substantial additional capital that may be necessary to expand our business; our ability to maintain internal control over financial reporting; our dependence on, and need to attract and retain, key management and other personnel; our ability to obtain, protect and enforce our intellectual property rights; potential advantages that our competitors and potential competitors may have in securing funding or developing products; business interruptions such as earthquakes and other natural disasters; our ability to comply with laws and regulations; potential product liability claims; and our ability to use our net operating loss carryforwards to offset future taxable income. For a discussion of some of the factors that could cause actual results to differ materially from our forward-looking statements, see the discussion on risk factors that appear in Part I, Item 1A: “Risk Factors” of this Annual Report on Form 10-K and other risks and uncertainties detailed in this and our other reports and filings with the Securities and Exchange Commission, or SEC.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200" w:right="120" w:firstLine="441"/>
        <w:spacing w:after="0" w:line="289" w:lineRule="auto"/>
        <w:rPr>
          <w:sz w:val="20"/>
          <w:szCs w:val="20"/>
          <w:color w:val="auto"/>
        </w:rPr>
      </w:pPr>
      <w:r>
        <w:rPr>
          <w:rFonts w:ascii="Arial" w:cs="Arial" w:eastAsia="Arial" w:hAnsi="Arial"/>
          <w:sz w:val="16"/>
          <w:szCs w:val="16"/>
          <w:color w:val="auto"/>
        </w:rPr>
        <w:t>On March 7, 2017, we completed our merger, or the Merger, with Essentialis, Inc., a Delaware corporation, or Essentialis in accordance with the Merger Agreement by and between Soleno Therapeutics and Essentialis dated December 22, 2016, or the Merger Agreement. After the Merger, our primary focus is transitioning to the development and commercialization of novel therapeutics for the treatment of rare diseases. Essentialis was a privately held, clinical stage biotechnology company focused on the development of breakthrough medicines for the treatment of rare diseases where there is increased mortality and risk of cardiovascular and endocrine complications. Prior to the Merger, Essentialis’s efforts were focused primarily on developing and testing product candidates that target the ATP-sensitive potassium channel, a metabolically regulated membrane protein whose modulation has the potential to impact a wide range of rare metabolic, cardiovascular, and CNS diseases. Essentialis has tested Diazoxide Choline Controlled Release Tablet, or DCCR, as a treatment for Prader-Willi Syndrome, or PWS, a complex metabolic/neurobehavioral disorder. DCCR has orphan designation for the treatment of PWS in the United States, or U.S., as well as in the European Union, or E.U.</w:t>
      </w:r>
    </w:p>
    <w:p>
      <w:pPr>
        <w:spacing w:after="0" w:line="16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Our current research and development efforts are primarily focused on advancing our lead candidate, DCCR tablets for the treatment of PWS, into late-stage clinical development, with a secondary emphasis on our joint venture with OptAsia Healthcare Limited, a Hong Kong company limited by shares, or OAHL, for the development and commercialization of Capnia’s Sensalyze technology, which includes the CoSense End-Tidal Carbon Monoxide monitor that assists in the detection of excessive hemolysis in neonates, and other related products. CoSense is 510(k) cleared for sale in the U.S. and received CE Mark certification for sale in the E.U. We continue to separately evaluate alternatives for our Serenz portfolio.</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Diazoxide Choline Controlled-Release Tablets</w:t>
      </w:r>
    </w:p>
    <w:p>
      <w:pPr>
        <w:spacing w:after="0" w:line="121" w:lineRule="exact"/>
        <w:rPr>
          <w:sz w:val="20"/>
          <w:szCs w:val="20"/>
          <w:color w:val="auto"/>
        </w:rPr>
      </w:pPr>
    </w:p>
    <w:p>
      <w:pPr>
        <w:jc w:val="both"/>
        <w:ind w:left="200" w:right="60" w:firstLine="441"/>
        <w:spacing w:after="0" w:line="297" w:lineRule="auto"/>
        <w:rPr>
          <w:sz w:val="20"/>
          <w:szCs w:val="20"/>
          <w:color w:val="auto"/>
        </w:rPr>
      </w:pPr>
      <w:r>
        <w:rPr>
          <w:rFonts w:ascii="Arial" w:cs="Arial" w:eastAsia="Arial" w:hAnsi="Arial"/>
          <w:sz w:val="16"/>
          <w:szCs w:val="16"/>
          <w:color w:val="auto"/>
        </w:rPr>
        <w:t>DCCR tablets consist of the active ingredient diazoxide choline, the choline salt of diazoxide, which is a benzothiadiazine. Once solubilized from the formulation, diazoxide choline is rapidly hydrolyzed to diazoxide prior to absorption. Diazoxide acts by stimulating ion flux through ATP-sensitive K+ channels (K</w:t>
      </w:r>
      <w:r>
        <w:rPr>
          <w:rFonts w:ascii="Arial" w:cs="Arial" w:eastAsia="Arial" w:hAnsi="Arial"/>
          <w:sz w:val="13"/>
          <w:szCs w:val="13"/>
          <w:color w:val="auto"/>
        </w:rPr>
        <w:t>ATP</w:t>
      </w:r>
      <w:r>
        <w:rPr>
          <w:rFonts w:ascii="Arial" w:cs="Arial" w:eastAsia="Arial" w:hAnsi="Arial"/>
          <w:sz w:val="16"/>
          <w:szCs w:val="16"/>
          <w:color w:val="auto"/>
        </w:rPr>
        <w:t>). The K</w:t>
      </w:r>
      <w:r>
        <w:rPr>
          <w:rFonts w:ascii="Arial" w:cs="Arial" w:eastAsia="Arial" w:hAnsi="Arial"/>
          <w:sz w:val="13"/>
          <w:szCs w:val="13"/>
          <w:color w:val="auto"/>
        </w:rPr>
        <w:t>ATP</w:t>
      </w:r>
      <w:r>
        <w:rPr>
          <w:rFonts w:ascii="Arial" w:cs="Arial" w:eastAsia="Arial" w:hAnsi="Arial"/>
          <w:sz w:val="16"/>
          <w:szCs w:val="16"/>
          <w:color w:val="auto"/>
        </w:rPr>
        <w:t xml:space="preserve"> channel links the cellular energy status to the membrane potential. Diazoxide appears to act on signs and symptoms of PWS in a variety of ways. Agonizing the K</w:t>
      </w:r>
      <w:r>
        <w:rPr>
          <w:rFonts w:ascii="Arial" w:cs="Arial" w:eastAsia="Arial" w:hAnsi="Arial"/>
          <w:sz w:val="13"/>
          <w:szCs w:val="13"/>
          <w:color w:val="auto"/>
        </w:rPr>
        <w:t>ATP</w:t>
      </w:r>
      <w:r>
        <w:rPr>
          <w:rFonts w:ascii="Arial" w:cs="Arial" w:eastAsia="Arial" w:hAnsi="Arial"/>
          <w:sz w:val="16"/>
          <w:szCs w:val="16"/>
          <w:color w:val="auto"/>
        </w:rPr>
        <w:t xml:space="preserve"> channel in the hypothalamus has the potential to address hyperphagia, which is an abnormally increased appetite for food. Agonizing the channel in GABAergic neurons improves GABA signaling and may reduce aggressive behaviors.</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U.S., diazoxide was first approved in 1973 as an intravenous formulation for the emergency treatment of malignant hypertension. In 1976, immediate-release oral formulations, including Proglycem</w:t>
      </w:r>
      <w:r>
        <w:rPr>
          <w:rFonts w:ascii="Arial" w:cs="Arial" w:eastAsia="Arial" w:hAnsi="Arial"/>
          <w:sz w:val="15"/>
          <w:szCs w:val="15"/>
          <w:color w:val="auto"/>
        </w:rPr>
        <w:t>®</w:t>
      </w:r>
      <w:r>
        <w:rPr>
          <w:rFonts w:ascii="Arial" w:cs="Arial" w:eastAsia="Arial" w:hAnsi="Arial"/>
          <w:sz w:val="18"/>
          <w:szCs w:val="18"/>
          <w:color w:val="auto"/>
        </w:rPr>
        <w:t xml:space="preserve"> Oral Suspension and Capsules, or Proglycem, were approved and there has been nearly 40 years of use of the 2-3 times a day orally-administered drug in the approved indications. In addition to the short-term use (&lt;3 months) in the approved indications for Proglycem, there are also extensive data on chronic use in children with congenital hyperinsulinism, or CI, and in adults with insulinoma. Insulinoma patients tend to be older, with 50% of them over 70 years old. The average duration of use of Proglycem in CI and insulinoma patients is 5 years and 7 years, respectively.</w:t>
      </w:r>
    </w:p>
    <w:p>
      <w:pPr>
        <w:spacing w:after="0" w:line="19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DCCR tablets were formulated with the goals of improving the safety and bioavailability of orally-administered diazoxide and reducing the frequency of daily dosing required by current diazoxide formulations. Diazoxide choline is formulated into a controlled-release tablet that lowers peak plasma concentration compared to diazoxide oral suspension and slows release of diazoxide from DCCR, making it suitable for once-a-day dosing. The control of release and absorption of diazoxide achieved using DCCR results in very level and consistent intraday circulating drug levels, and consistent levels of diazoxide in tissues that are the site of action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97" w:lineRule="auto"/>
        <w:rPr>
          <w:sz w:val="20"/>
          <w:szCs w:val="20"/>
          <w:color w:val="auto"/>
        </w:rPr>
      </w:pPr>
      <w:r>
        <w:rPr>
          <w:rFonts w:ascii="Arial" w:cs="Arial" w:eastAsia="Arial" w:hAnsi="Arial"/>
          <w:sz w:val="16"/>
          <w:szCs w:val="16"/>
          <w:color w:val="auto"/>
        </w:rPr>
        <w:t>of the drug (the hypothalamus). In circulation, diazoxide is extensively protein bound. Only unbound diazoxide is active. The consistent absorption of diazoxide may also result in some level of disequilibrium in protein binding, potentiating the therapeutic response to treatment. The controlled rate of absorption, level intraday circulating drug levels and the disequilibrium in protein binding likely results in the potential for improved therapeutic response to treatment. Avoiding significant swings in circulating drug levels also has the potential to reduce adverse events which are often associated with transiently high circulating drug levels that often follow rapid absorption from immediate release product formulations.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Prader Willi Syndrome</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PWS is a rare, complex neurobehavioral/metabolic disorder, which is due to the absence of normally active paternally expressed genes from the chromosome 15q11-q13 region. PWS is an imprinted condition with 70-75% of the cases due to a de novo deletion in the paternally inherited chromosome 15 11-q13 region, 20-30% from maternal uniparental disomy 15, or UPD, where the affected individual inherited 2 copies of chromosome from their mother and no copy from their father, and the remaining 2-5% from either microdeletions or epimutations of the imprinting center (i.e., imprinting defects; IDs). The committee on genetics of the American Academy of Pediatrics states PWS affects both genders equally and occurs in people from all geographic regions; its estimated incidence is 1 in 15,000 to 1 in 25,000 live births. The mortality rate among PWS patients is 3% a year across all ages and 7% in those over 30 years of age. The mean age of death reported from a 40-year mortality study in the U.S. was 29.5 ± 15 years (range: 2 months - 67 years).</w:t>
      </w:r>
    </w:p>
    <w:p>
      <w:pPr>
        <w:spacing w:after="0" w:line="192"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to hyperphagia, typical behavioral disturbances associated with PWS include skin picking, difficulty with change in routine, obsessive and compulsive behaviors and mood fluctuations. The majority of older adolescent and adult PWS patients display some degree of aggressive or threatening behaviors including being verbally aggressive, seeking to intimidate others, being physically aggressive including attacking others and destroying property, throwing temper tantrums and directing rage or anger at others.</w:t>
      </w:r>
    </w:p>
    <w:p>
      <w:pPr>
        <w:spacing w:after="0" w:line="187"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Other complications in PWS patients include greater risk for autistic symptomatology, psychosis, sleep disorders, distress, food stealing, withdrawal, sulking, nail-biting, hoarding and overeating, and more pronounced attention-deficit hyperactivity disorder symptoms, insistence on sameness, and their association with maladaptive conduct problems. The reported rates of psychotic symptoms, between 6% and 28%, are higher than those for individuals with other intellectual disabilities. Individuals with PWS show age-related increases in internalizing problems such as anxiety, sadness and a feeling of low self-esteem. Males are at greater risk for aggressive behavior, depression and dependent personality disorder and overall severity of psychopathology than females. Cognitively, most individuals with PWS function in the mild mental retardation range with a mean IQ in the 60s to low 70s. The combination of food-related preoccupations and numerous maladaptive behaviors makes it difficult for individuals with PWS to perform to their IQ potential.</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Unmet Medical Needs in PWS</w:t>
      </w:r>
    </w:p>
    <w:p>
      <w:pPr>
        <w:spacing w:after="0" w:line="11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The target indication for DCCR is the treatment of PWS. Currently, the only approved treatment related to PWS is growth hormone, which only addresses the short stature and limits the accumulation of visceral fat, reduces hypotonia, may reduce cognitive impairment, but has no effect on hyperphagia. A global patient survey conducted by the Foundation for Prader-Willi Research (n=779), found that 96.5% of respondents rated reducing hunger and 91.2% rated improving behavior around food as very important or most important symptom to be relieved by a new treatment. Physical function and body composition symptoms for which a high percentage of respondents indicated were very important or most important included: 92.9% indicated improving metabolic health (reduces fat / increases muscle) and 81.3% indicated the related symptom of improving activity and stamina. The behavioral and cognitive symptoms rated by respondents as very or most important were: 85.2% indicated reduction of obsessive/compulsive behavior, 84.6% indicated improvements to intellect/development, and 83.2% indicated reduction of temper outburst severity and frequency. See the Foundation for Prader-Willi Research: Prader-Willi Syndrome “Patient Voices” Online Survey and Results.</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Therefore, there is a clear unmet need in the treatment of PWS to reduce hyperphagia and improve behaviors around food, and to reduce other behavioral and cognitive impacts of this complex disease. In addition, improving metabolic health is also an important unmet need.</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Clinical Trial of DCCR for PWS</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A Phase II clinical trial has been conducted to evaluate the safety and preliminary efficacy if DCCR in the treatment of PWS subjects. This study, PC025, was a single-center, randomized withdrawal study and enrolled 13 overweight and obese subjects with genetically-confirmed PWS who were between the ages of 11 and 21. The first phase of the study was open label during which subjects were initiated on a DCCR dose that was escalated every 14 days at the discretion of the investigator. Any subject who showed an increase in resting energy expenditure and/or a reduction in hyperphagia from baseline at certain study visits would be designated a responder, whereas all others would be designated non-responders. This 10-week open-label treatment phase was followed by randomized double-blind, placebo-controlled, withdrawal phase. Responders were randomized in a 1:1 ratio either to continue on active treatment at the dose they were treated with, or to the placebo equivalent of that dose for an additional 4 weeks. Of the 13 subjects who enrolled, 11 were designated as responders; the remaining two subjects had discontinued prematurely.</w:t>
      </w:r>
    </w:p>
    <w:p>
      <w:pPr>
        <w:spacing w:after="0" w:line="166"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Key efficacy results included a statistically significant reduction in hyperphagia from baseline to the end of the open-label treatment phase. In addition, greater improvement in hyperphagia from baseline was observed in those subjects with moderate to severe hyperphagia who received DCCR doses of 4.2 mg/kg (the planned population and target dose for the Phase III study). There was a significant improvement in the number of subjects reporting one or more aggressive and destructive behaviors. During the open-label treatment phase, a mean decrease in body fat mass and increases in lean body mass and lean body mass / fat mass ratio were seen. These changes were associated with a statistically significant reduction in waist circumference, consistent with the loss of visceral fat. Statistically significant reductions from baseline in LDL cholesterol and non-HDL cholesterol were observed. The change in triglycerides, while marked, did not reach statistical significance.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Safety of DCCR in the Treatment of PWS</w:t>
      </w:r>
    </w:p>
    <w:p>
      <w:pPr>
        <w:spacing w:after="0" w:line="117"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Many of the adverse events were common medical complications of PWS including ear and respiratory infections, hypersomnia, peripheral edema, skin picking and constipation. The most common adverse events that occurred during the study included peripheral edema, hyperglycemia, impaired glucose tolerance, upper respiratory tract infections, ear infection, headache, somnolence, constipation, and bruises.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Regulatory Status of DCCR for the Treatment of PWS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DCCR is being developed in the U.S. under a current IND, and is designated as an Orphan Product. We announced the successful completion of a scientific advice meeting with FDA on July 5, 2017. The FDA expressed support for change in hyperphagia score (without a change in weight) compared to placebo as the primary endpoint for the study. In addition, based on the data provided in the meeting briefing information, the dosing paradigm proposed by the Company for the study was accepted. The FDA proposed, and Soleno agreed, that the duration of the randomized, double-blind, placebo-controlled study should be shorter (3-4 months) and that DCCR safety information could be obtained in a long-term, safety extension study. On September 25, 2017 we announced the receipt of advice from the Committee for Medicinal Products for Human Use (CHMP) of the EMA regarding DCCR for the treatment of PWS. The EMA indicated that a single pivotal trial would support a Marketing Authorisation Application. They also indicated their general acceptance of several key aspects of the proposed development plan, on which general agreement had been reached previously with the FDA. The EMA expressed their support for change in hyperphagia compared to placebo as the primary endpoint for the study. In addition, the dosing paradigm proposed by Soleno for the study was accepted. The EMA also commented that Soleno could treat children with hyperphagia in the study without further toxicology work. On October 12, 2017, we announced the receipt of a positive opinion from the Committee for Orphan Medicinal Products (COMP) of</w:t>
      </w:r>
    </w:p>
    <w:p>
      <w:pPr>
        <w:spacing w:after="0" w:line="1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24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the EMA recommending DCCR for designation as an orphan medicinal product for the treatment of PWS. The designation has subsequently been granted as EU/3/17/1941.</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An estimated 300,000 to 400,000 individuals worldwide have PWS. An overall prevalence ranging from 1:15,000 to 1:25,000 has been reported regardless of geography or ethnicity. The numbers of identified PWS patients is growing at a rate that is higher than the rate of general population because of improved rates of diagnosis. We anticipate that DCCR could be the first effective treatment for hyperphagia in PWS to reach the market both in the U.S. and Europe and would therefore be likely to be used in a large proportion of patients.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Newly diagnosed PWS patients tend to be treated by a multi-disciplinary team led by a pediatric endocrinologist. Many patients receive care at larger clinics devoted to PWS in university-associated hospitals or at children’s hospitals. This concentration of care allows us to consider marketing DCCR without a partner by assembling a small, dedicated salesforce to target the limited number of major PWS treatment centers in the U.S. In contrast to the situation in the U.S., we are likely to need to identify a marketing partner for DCCR in Europe, Japan, and the rest of the world.</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Pricing</w:t>
      </w:r>
    </w:p>
    <w:p>
      <w:pPr>
        <w:spacing w:after="0" w:line="11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We have not conducted a formal pricing analysis of DCCR in PWS. We anticipate that pricing at launch may be influenced by the product label negotiated with the FDA, pharmacoeconomic data developed to support pricing and the potential for greater sales under negotiated government contracts.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Currently, the only approved products for PWS are Genotropin</w:t>
      </w:r>
      <w:r>
        <w:rPr>
          <w:rFonts w:ascii="Arial" w:cs="Arial" w:eastAsia="Arial" w:hAnsi="Arial"/>
          <w:sz w:val="15"/>
          <w:szCs w:val="15"/>
          <w:color w:val="auto"/>
        </w:rPr>
        <w:t>®</w:t>
      </w:r>
      <w:r>
        <w:rPr>
          <w:rFonts w:ascii="Arial" w:cs="Arial" w:eastAsia="Arial" w:hAnsi="Arial"/>
          <w:sz w:val="18"/>
          <w:szCs w:val="18"/>
          <w:color w:val="auto"/>
        </w:rPr>
        <w:t xml:space="preserve"> (somatropin), and Omnitrope</w:t>
      </w:r>
      <w:r>
        <w:rPr>
          <w:rFonts w:ascii="Arial" w:cs="Arial" w:eastAsia="Arial" w:hAnsi="Arial"/>
          <w:sz w:val="15"/>
          <w:szCs w:val="15"/>
          <w:color w:val="auto"/>
        </w:rPr>
        <w:t>®</w:t>
      </w:r>
      <w:r>
        <w:rPr>
          <w:rFonts w:ascii="Arial" w:cs="Arial" w:eastAsia="Arial" w:hAnsi="Arial"/>
          <w:sz w:val="18"/>
          <w:szCs w:val="18"/>
          <w:color w:val="auto"/>
        </w:rPr>
        <w:t xml:space="preserve"> (somatropin) which are approved only for growth failure due to PWS. There are no approved products to address PWS-associated hyperphagia and behaviors, or for any other abnormalities associated with the disease. However, to our knowledge, there are a number of therapeutic products at various stages of clinical development for the treatment of PWS, including for hyperphagia, by Levo Therapeutics, Inc., Alizé Pharma SAS, Zafgen, Inc., Rhythm Pharmaceuticals, Inc., Saniona AB, Insys Therapeutics, Inc., and GLWL Research, Inc.</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Essentialis Acquisition</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On December 22, 2016, the Company entered into the Merger Agreement with Essentialis. Consummation of the merger was subject to various closing conditions, including the Company’s consummation of a financing of at least $8 million at, or substantially contemporaneous with, the closing of the Merger and the receipt of stockholder approval of the Merger at a special meeting of stockholders.</w:t>
      </w:r>
    </w:p>
    <w:p>
      <w:pPr>
        <w:spacing w:after="0" w:line="166"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On March 6, 2017, the Company held a special shareholder meeting and received approval for issuance of the merger shares under the Merger Agreement with Essentialis, issuance of the shares of common stock for the $8 million of concurrent financing and issuance of the shares of common Stock for the $2 million investment by Aspire Capital.</w:t>
      </w:r>
    </w:p>
    <w:p>
      <w:pPr>
        <w:spacing w:after="0" w:line="18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On March 7, 2017, the Company completed the merger with Essentialis and issued 3,783,388 shares of common stock to shareholders of Essentialis. The Company held back 182,676 shares of common stock as partial recourse to satisfy indemnification claims, and such shares will be issued to Essentialis stockholders on the 1-year anniversary of the closing of the merger. The Company is also obligated to issue an additional 913,389 shares of common stock to Essentialis stockholders upon the achievement of a development milestone. Assuming</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that we issue all of the shares of our common stock held back and the development milestone is achieved, we would issue a total of 4,879,453 shares of common stock to Essentialis stockholders. Additionally, upon the achievement of certain commercial milestones associated with the sale of Essentialis’ product in accordance with the terms of the Merger Agreement, we are obligated to make cash earnout payments of up to a maximum of $30 million to Essentialis stockholders. The merger consideration described above will be reduced by any such shares of common stock issuable, or cash earnout payments payable, to Essentialis’ management carve-out plan participants and other service providers of Essentialis, in each case, in accordance with the terms of the Merger Agreement.</w:t>
      </w:r>
    </w:p>
    <w:p>
      <w:pPr>
        <w:spacing w:after="0" w:line="193"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On May 8, 2017, we received stockholder approval to amend the Amended and Restated Certificate of Incorporation of the Company, to change the name of the Company to Soleno Therapeutics, Inc.</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Joint Venture for CoSense</w:t>
      </w:r>
    </w:p>
    <w:p>
      <w:pPr>
        <w:spacing w:after="0" w:line="12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December 2017, we entered into a joint venture with OAHL with respect to our CoSense product by selling shares of Capnia, our previously wholly owned subsidiary, to OAHL. CoSense was our first Sensalyze Technology Platform product to receive 510(k) clearance from the FDA and CE Mark certification. CoSense measures CO, which can be elevated due to endogenous causes such as excessive breakdown of red blood cells, or hemolysis, or exogenous causes such as CO poisoning and smoke inhalation. Under the terms of the joint venture agreement, OAHL will invest up to $2.2 million in tranches to purchase shares of our Capnia subsidiary and as a result of this investment, Capnia will no longer be a wholly-owned subsidiary of us. Going forward, OAHL will be responsible for funding the operations of Capnia. In addition, OAHL has the option to buy our remaining interest in Capnia as set forth in the joint venture agreement. As of December 31, 2017, OAHL had acquired no shares of Capnia. The first target market for CoSense is for the use of ETCO measurements to aid in detection of hemolysis in neonates, a disorder in which CO and bilirubin are produced in excess as byproducts of the breakdown of red blood cells. Our entry into the joint venture is part of a comprehensive review of strategic alternatives for our legacy products and product candidates following our transition to a primarily therapeutic drug product company. As part of the joint venture, Anthony Wondka, our former Senior Vice President, Research and Development, transitioned to a full-time employee of Capnia. Going forward, OAHL will be responsible for funding the operations of Capnia.</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Pharmaceuticals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manufacturing strategy is to contract with third parties to manufacture our clinical and commercial API and drug product supplies.</w:t>
      </w:r>
    </w:p>
    <w:p>
      <w:pPr>
        <w:spacing w:after="0" w:line="23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formulation and processes used to manufacture our products are proprietary, being covered by multiple issued U.S. patents and counterparts in other regions of the world, and we have agreements with various third-party manufacturers that are intended to restrict these manufacturers from using or revealing any unpublished proprietary information.</w:t>
      </w:r>
    </w:p>
    <w:p>
      <w:pPr>
        <w:spacing w:after="0" w:line="181"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Our third-party manufacturers and corporate partners are independent entities who are subject to their own operational and financial risks over which we have no control. If we or any of these third-party manufacturers fail to perform as required, this could cause delays in our clinical trials and regulatory applications and submission.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Medical Devices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manufactured the Serenz device in partnership with an OEM supplier based in Shenzhen, China and have the possibility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manufacturing future supply with this same OEM supplier and utilize to complete the final packaging and labeling of Serenz for future supplies.</w:t>
      </w:r>
    </w:p>
    <w:p>
      <w:pPr>
        <w:spacing w:after="0" w:line="1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joint venture with OAHL requires us to support Capnia in the manufacture of CoSense monitors at our facility in Redwood City, California.</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assemble components for our joint venture from a variety of original equipment manufacturer, or OEM, sources.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Regulation of Pharmaceutical Manufacturing Processes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manufacturing process for pharmaceutical products is highly regulated and regulators may shut down manufacturing facilities that they believe do not comply with regulations. We and our third-party manufacturers are subject to current Good Manufacturing Practices, which are extensive regulations governing manufacturing processes, stability testing, record keeping and quality standards as defined by the FDA and the EMA. Similar regulations and requirements are in effect in other countries.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DCCR Patent Portfolio</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patent portfolio surrounding DCCR consists of five issued U.S. patents, one allowed U.S. patent and 10 pending U.S. applications. Our issued U.S. patents (no.’s 7,572,789, 7,799,777, 9,381,202, 9,757,384, and 9,782,416) expire in 2026 to 2035. We also have one or more issued patents covering the product in the E.U., Canada, Japan, China, India, Hong Kong and Australia, and numerous patent applications being prosecuted at the national level in all major pharma markets around the world. The issued patents and pending patent applications include protection of:</w:t>
      </w:r>
    </w:p>
    <w:p>
      <w:pPr>
        <w:spacing w:after="0" w:line="60" w:lineRule="exact"/>
        <w:rPr>
          <w:sz w:val="20"/>
          <w:szCs w:val="20"/>
          <w:color w:val="auto"/>
        </w:rPr>
      </w:pPr>
    </w:p>
    <w:p>
      <w:pPr>
        <w:ind w:left="1060" w:hanging="316"/>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large family of salts including diazoxide choline, the active ingredient in DCCR and all pharmaceutical formulations of those salts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Specific polymorphs (specific crystalline forms) of salts of diazoxide and all pharmaceutical formulations of those polymorphs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Methods of manufacture of diazoxide choline and specific crystalline forms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Methods to treat various diseases including a number of aspects of PWS and other rare diseases with DCCR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Methods to treat obese, overweight and obesity-prone individuals with DCCR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Pharmaceutical formulations of diazoxide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Methods to treat various diseases including a number of aspects of PWS and other rare diseases with diazoxide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Methods to treat various rare diseases including PWS with K</w:t>
      </w:r>
      <w:r>
        <w:rPr>
          <w:rFonts w:ascii="Arial" w:cs="Arial" w:eastAsia="Arial" w:hAnsi="Arial"/>
          <w:sz w:val="15"/>
          <w:szCs w:val="15"/>
          <w:color w:val="auto"/>
        </w:rPr>
        <w:t>ATP</w:t>
      </w:r>
      <w:r>
        <w:rPr>
          <w:rFonts w:ascii="Arial" w:cs="Arial" w:eastAsia="Arial" w:hAnsi="Arial"/>
          <w:sz w:val="18"/>
          <w:szCs w:val="18"/>
          <w:color w:val="auto"/>
        </w:rPr>
        <w:t xml:space="preserve"> channel agonists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 - Pharmaceuticals</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operations and activities are subject to extensive regulation by government authorities in the United States and in other countries in which we elect to develop and/or commercialize our products. Our developmental drug products are subject to rigorous regulation. Federal and state statutes and regulations govern the testing, manufacture, safety, efficacy, labeling, storage, record keeping, approval, advertising and promotion of our products. As a result of these regulations, product development and product approval processes are very expensive and time consuming.</w:t>
      </w:r>
    </w:p>
    <w:p>
      <w:pPr>
        <w:spacing w:after="0" w:line="154" w:lineRule="exact"/>
        <w:rPr>
          <w:sz w:val="20"/>
          <w:szCs w:val="20"/>
          <w:color w:val="auto"/>
        </w:rPr>
      </w:pPr>
    </w:p>
    <w:p>
      <w:pPr>
        <w:ind w:left="200" w:right="300" w:firstLine="441"/>
        <w:spacing w:after="0" w:line="312" w:lineRule="auto"/>
        <w:rPr>
          <w:sz w:val="20"/>
          <w:szCs w:val="20"/>
          <w:color w:val="auto"/>
        </w:rPr>
      </w:pPr>
      <w:r>
        <w:rPr>
          <w:rFonts w:ascii="Arial" w:cs="Arial" w:eastAsia="Arial" w:hAnsi="Arial"/>
          <w:sz w:val="16"/>
          <w:szCs w:val="16"/>
          <w:color w:val="auto"/>
        </w:rPr>
        <w:t>A country’s regulatory agency, such as the FDA in the United States, or a region’s agency, such as the EMA for the European Union, must approve a drug before it can be sold in the respective country or countries. The general process for drug approval in the United States is summarized below. Many other countries, including countries in the European Union and Japan, have very similar regulatory approval processes.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Nonclinical Testing</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Before a drug candidate in can be tested in humans, it must be studied in laboratory experiments and in animals to generate data to support the drug candidate’s potential benefits and/or safety. Additional nonclinical testing may be required during the clinical development process such as reproductive toxicology and juvenile toxicology studies. Carcinogencity studies in 2 species are generally required for products intended for long-term use.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Investigational New Drug Exemption Application (IND)</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results of initial nonclinical tests, together with manufacturing information, analytical data and a proposed clinical trial protocol and other information, are submitted as part of an IND to the FDA. If the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These clinical trials involve three separate phases that often overlap, can take many years and are very expensive. These three phases, which are subject to considerable regulation, are as follows:</w:t>
      </w:r>
    </w:p>
    <w:p>
      <w:pPr>
        <w:spacing w:after="0" w:line="170"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i w:val="1"/>
          <w:iCs w:val="1"/>
          <w:color w:val="auto"/>
        </w:rPr>
        <w:t>Phase I Studies</w:t>
      </w:r>
      <w:r>
        <w:rPr>
          <w:rFonts w:ascii="Arial" w:cs="Arial" w:eastAsia="Arial" w:hAnsi="Arial"/>
          <w:sz w:val="17"/>
          <w:szCs w:val="17"/>
          <w:color w:val="auto"/>
        </w:rPr>
        <w:t>. During Phase I studies, researchers test a new drug in normal volunteers who are healthy. In most cases, 20 to 80 healthy</w:t>
      </w:r>
      <w:r>
        <w:rPr>
          <w:rFonts w:ascii="Arial" w:cs="Arial" w:eastAsia="Arial" w:hAnsi="Arial"/>
          <w:sz w:val="17"/>
          <w:szCs w:val="17"/>
          <w:i w:val="1"/>
          <w:iCs w:val="1"/>
          <w:color w:val="auto"/>
        </w:rPr>
        <w:t xml:space="preserve"> </w:t>
      </w:r>
      <w:r>
        <w:rPr>
          <w:rFonts w:ascii="Arial" w:cs="Arial" w:eastAsia="Arial" w:hAnsi="Arial"/>
          <w:sz w:val="17"/>
          <w:szCs w:val="17"/>
          <w:color w:val="auto"/>
        </w:rPr>
        <w:t>volunteers or people with the disease/condition participate in Phase 1. Phase I studies are closely monitored and gather information about how a drug interacts with the human body. Researchers adjust dosing schemes based on animal data to find out how much of a drug the body can tolerate and what its acute side effects are. As a Phase I trial continues, researchers answer research questions related to how it works in the body, the side effects associated with increased dosage, and early information about how effective it is to determine how best to administer the drug to limit risks and maximize possible benefits. This is important to the design of Phase 2 studies.</w:t>
      </w:r>
    </w:p>
    <w:p>
      <w:pPr>
        <w:spacing w:after="0" w:line="178"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i w:val="1"/>
          <w:iCs w:val="1"/>
          <w:color w:val="auto"/>
        </w:rPr>
        <w:t>Phase II Studies</w:t>
      </w:r>
      <w:r>
        <w:rPr>
          <w:rFonts w:ascii="Arial" w:cs="Arial" w:eastAsia="Arial" w:hAnsi="Arial"/>
          <w:sz w:val="18"/>
          <w:szCs w:val="18"/>
          <w:color w:val="auto"/>
        </w:rPr>
        <w:t>. In Phase II studies, researchers administer the drug to a group of patients with the disease or condition for which the drug is</w:t>
      </w:r>
      <w:r>
        <w:rPr>
          <w:rFonts w:ascii="Arial" w:cs="Arial" w:eastAsia="Arial" w:hAnsi="Arial"/>
          <w:sz w:val="18"/>
          <w:szCs w:val="18"/>
          <w:i w:val="1"/>
          <w:iCs w:val="1"/>
          <w:color w:val="auto"/>
        </w:rPr>
        <w:t xml:space="preserve"> </w:t>
      </w:r>
      <w:r>
        <w:rPr>
          <w:rFonts w:ascii="Arial" w:cs="Arial" w:eastAsia="Arial" w:hAnsi="Arial"/>
          <w:sz w:val="18"/>
          <w:szCs w:val="18"/>
          <w:color w:val="auto"/>
        </w:rPr>
        <w:t>being developed. Typically involving up to a few hundred patients, these studies aren’t large enough to show whether the drug will be beneficial. Instead, Phase II studies provide researchers with additional safety data. Researchers use these data to refine research questions, develop research methods, and design new Phase III research protocols.</w:t>
      </w:r>
    </w:p>
    <w:p>
      <w:pPr>
        <w:spacing w:after="0" w:line="18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i w:val="1"/>
          <w:iCs w:val="1"/>
          <w:color w:val="auto"/>
        </w:rPr>
        <w:t>Phase III Studies</w:t>
      </w:r>
      <w:r>
        <w:rPr>
          <w:rFonts w:ascii="Arial" w:cs="Arial" w:eastAsia="Arial" w:hAnsi="Arial"/>
          <w:sz w:val="17"/>
          <w:szCs w:val="17"/>
          <w:color w:val="auto"/>
        </w:rPr>
        <w:t>. Researchers design Phase 3 studies to demonstrate whether or not a product offers a treatment benefit to a specific population.</w:t>
      </w:r>
      <w:r>
        <w:rPr>
          <w:rFonts w:ascii="Arial" w:cs="Arial" w:eastAsia="Arial" w:hAnsi="Arial"/>
          <w:sz w:val="17"/>
          <w:szCs w:val="17"/>
          <w:i w:val="1"/>
          <w:iCs w:val="1"/>
          <w:color w:val="auto"/>
        </w:rPr>
        <w:t xml:space="preserve"> </w:t>
      </w:r>
      <w:r>
        <w:rPr>
          <w:rFonts w:ascii="Arial" w:cs="Arial" w:eastAsia="Arial" w:hAnsi="Arial"/>
          <w:sz w:val="17"/>
          <w:szCs w:val="17"/>
          <w:color w:val="auto"/>
        </w:rPr>
        <w:t>Sometimes known as pivotal studies, these studies generally involve a larger number of participants than do Phase II studies. Phase III studies provide most of the safety data. In Phase II studies, it is possible that less common side effects might have gone undetected. Because these studies are larger and longer in duration, the results are more likely to show long-term or rare side effects.</w:t>
      </w:r>
    </w:p>
    <w:p>
      <w:pPr>
        <w:spacing w:after="0" w:line="17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For each clinical trial, an independent IRB or independent ethics committee (IEC), covering each site proposing to conduct a clinical trial must review and approve the plan for any clinical trial and informed consent information for subjects before the trial commences at that site and it must monitor the study until completed. The FDA, other heath authority, the IRB/IEC, or the sponsor may suspend a clinical trial at any time on various grounds, including a finding that the subjects or patients are being exposed to an unacceptable health risk or for failure to comply with the IRB/IEC’s requirements, or may impose other conditions.</w:t>
      </w:r>
    </w:p>
    <w:p>
      <w:pPr>
        <w:spacing w:after="0" w:line="188"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Clinical trials involve the administration of an investigational drug to human subjects under the supervision of qualified investigators in accordance with GCP requirements, which include the requirement that all research</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24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170"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When we believe that the data from our clinical trials show an adequate level of safety and efficacy, we would intend to submit an application to market the drug for a particular use, an NDA or BLA with the FDA. The FDA may hold a public hearing where an independent advisory committee of expert advisors asks additional questions and makes recommendations regarding the drug candidate. This committee makes recommendations to the FDA that are not binding but are generally followed by the FDA. If the FDA agrees that the compound has met the required level of safety and efficacy for a particular use, it will allow the drug product to be marketed in the United States and sold for that use. It is not unusual, however, for the FDA to reject an application because it believes that the risks of the drug candidate outweigh the purported benefit or because it does not believe that the data submitted are reliable or conclusive. The FDA may also issue a Complete Response Letter, or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180"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The FDA may also require Phase 4 non-registrational studies to explore scientific questions to further characterize safety and efficacy during commercial use of our drug. The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the FDA approves a drug, it could limit the uses of the drug. The FDA can withdraw approvals if it does not believe that we are complying with regulatory standards or if problems are uncovered or occur after approval.</w:t>
      </w:r>
    </w:p>
    <w:p>
      <w:pPr>
        <w:spacing w:after="0" w:line="19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addition to obtaining FDA approval for each drug, we obtain FDA approval of the manufacturing facilities for companies who manufacture our drugs for us. These facilities are subject to periodic inspections by the FDA. The FDA must also approve foreign establishments that manufacture products to be sold in the United States and these facilities are subject to periodic regulatory inspection.</w:t>
      </w:r>
    </w:p>
    <w:p>
      <w:pPr>
        <w:spacing w:after="0" w:line="18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Once issued, 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authority to prevent or limit further marketing of a product based on the 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required to submit and obtain FDA approval of a new or supplemental NDA, which may require the development of additional data or conduct of additional pre-clinical studies and clinical trials.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Ongoing Regulation</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or QSR compliance.</w:t>
      </w:r>
    </w:p>
    <w:p>
      <w:pPr>
        <w:spacing w:after="0" w:line="19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94" w:lineRule="exact"/>
        <w:rPr>
          <w:sz w:val="20"/>
          <w:szCs w:val="20"/>
          <w:color w:val="auto"/>
        </w:rPr>
      </w:pPr>
    </w:p>
    <w:p>
      <w:pPr>
        <w:ind w:left="1060" w:hanging="316"/>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30" w:lineRule="exact"/>
        <w:rPr>
          <w:rFonts w:ascii="Arial" w:cs="Arial" w:eastAsia="Arial" w:hAnsi="Arial"/>
          <w:sz w:val="18"/>
          <w:szCs w:val="18"/>
          <w:color w:val="auto"/>
        </w:rPr>
      </w:pPr>
    </w:p>
    <w:p>
      <w:pPr>
        <w:ind w:left="1060" w:right="560" w:hanging="31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Manufacturers may not promote a drug that is still under development and has not been approved by the FDA. The FDA and other agencies actively enforce the laws and regulations prohibiting the promotion of off label uses, and a company that is found to have improperly promoted off label uses may be subject to significant liability.</w:t>
      </w:r>
    </w:p>
    <w:p>
      <w:pPr>
        <w:spacing w:after="0" w:line="173"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Drugs that treat serious or life-threatening diseases and conditions that are not adequately addressed by existing drugs, and for which the development program is designed to address the unmet medical need, may be designated as fast track and/or breakthrough candidates by the FDA and may be eligible for accelerated and priority review.</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Drugs that are developed for rare diseases (i.e., in the U.S., the disease or condition has an prevalence of &lt; 200,000 persons; in the EU, the prevalence of the condition must be not more than 5 in 10,000) can be designated as Orphan Drugs. In the U.S., orphan-designated drugs are granted up to 7-year market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24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Drugs are also subject to extensive regulation outside of the United States. In the European Union, there is a centralized approval procedure that authorizes marketing of a product in all countries of the European Union through a single application and review process. If this centralized approval procedure is not used, approval in one country of the European Union can be used to obtain approval in another country of the European Union under one of two simplified application processes: the mutual recognition procedure or the decentralized procedure, both of which rely on the principle of mutual recognition. After receiving regulatory approval through any of the European registration procedures, separate pricing and reimbursement approvals are also required in most countries. The European Union also has requirements for approval of manufacturing facilities for all products that are approved for sale by the European regulatory authorities.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 Medical Devices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the U.S., any instrument, apparatus, implement, machine, contrivance, implant, in vitro reagent, or other similar or related article, including any component, part, or accessory, which is intended for use in the diagnosis of disease or other conditions, or in the cure, mitigation, treatment, or prevention of disease which does not achieve its primary intended purposes through chemical action within or on the body of man or other animals and which is not dependent upon being metabolized for the achievement of its primary intended purposes is regulated by the FDA as medical devices under the Federal Food, Drug, and Cosmetic Act, or FFDCA. The process for the regulatory approval of Serenz in the US has yet to commence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Additional Government Regulations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Advertising of our commercial products are subject to regulation by the Federal Trade Commission, or FTC, under the FTC Act. The FTC Act prohibits unfair or deceptive acts or practices in or affecting commerce. Violations of the FTC Act, such as failure to have substantiation for product claims, would subject us to a variety of enforcement actions, including compulsory process, cease and desist orders and injunctions, which can require, among other things, limits on advertising, corrective advertising, consumer redress and restitution, as well as substantial fines or other penalties. Any enforcement actions by the FTC could have a material adverse effect our business.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HIPAA and Other Privacy Laws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HIPAA, established for the first-time comprehensive protection for the privacy and security of health information. The HIPAA standards apply to three types of organizations, or “Covered Entities”: health plans, healthcare clearing houses, and healthcare providers which conduct certain healthcare transactions electronically. Covered Entities and their Business Associates must have in place administrative, physical, and technical standards to guard against the misuse of individually identifiable health information. Because we are a healthcare provider and we conduct certain healthcare transactions electronically, we are presently a Covered Entity, and we must have in place the administrative, physical, and technical safeguards required by HIPAA, HITECH and their implementing regulations. Additionally, some state laws impose privacy protections more stringent than HIPAA. Most of the institutions and physicians from which we obtain biological specimens that we use in our research and validation work are Covered Entities and must obtain proper authorization from their patients for the subsequent use of those samples and associated clinical information. We may perform future activities that may implicate HIPAA, such as providing clinical laboratory testing services or entering into specific kinds of relationships with a Covered Entity or a Business Associate of a Covered Entity.</w:t>
      </w:r>
    </w:p>
    <w:p>
      <w:pPr>
        <w:spacing w:after="0" w:line="178" w:lineRule="exact"/>
        <w:rPr>
          <w:sz w:val="20"/>
          <w:szCs w:val="20"/>
          <w:color w:val="auto"/>
        </w:rPr>
      </w:pPr>
    </w:p>
    <w:p>
      <w:pPr>
        <w:jc w:val="both"/>
        <w:ind w:left="200" w:right="520" w:firstLine="441"/>
        <w:spacing w:after="0" w:line="312" w:lineRule="auto"/>
        <w:rPr>
          <w:sz w:val="20"/>
          <w:szCs w:val="20"/>
          <w:color w:val="auto"/>
        </w:rPr>
      </w:pPr>
      <w:r>
        <w:rPr>
          <w:rFonts w:ascii="Arial" w:cs="Arial" w:eastAsia="Arial" w:hAnsi="Arial"/>
          <w:sz w:val="16"/>
          <w:szCs w:val="16"/>
          <w:color w:val="auto"/>
        </w:rPr>
        <w:t>If we or our operations are found to be in violation of HIPAA, HITECH or their implementing regulations, we may be subject to penalties, including civil and criminal penalties, fines, and exclusion from participation in U.S. federal or state health care programs, and the curtailment or restructuring of our operations. HITECH increased the civil and criminal penalties that may be imposed against Covered Entities, their Business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activities must also comply with other applicable privacy laws. For example, there are also international privacy laws that impose restrictions on the access, use, and disclosure of health information. All of these laws may impact our business. Our failure to comply with these privacy laws or significant changes in the laws restricting our ability to obtain tissue samples and associated patient information could significantly impact our business and our future business plans.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Federal and State Billing and Fraud and Abuse Laws</w:t>
      </w:r>
    </w:p>
    <w:p>
      <w:pPr>
        <w:spacing w:after="0" w:line="117"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i w:val="1"/>
          <w:iCs w:val="1"/>
          <w:color w:val="auto"/>
        </w:rPr>
        <w:t>Antifraud Laws/Overpayments</w:t>
      </w:r>
      <w:r>
        <w:rPr>
          <w:rFonts w:ascii="Arial" w:cs="Arial" w:eastAsia="Arial" w:hAnsi="Arial"/>
          <w:sz w:val="18"/>
          <w:szCs w:val="18"/>
          <w:color w:val="auto"/>
        </w:rPr>
        <w:t>. As participants in federal and state healthcare programs, we are subject to numerous federal and state antifraud</w:t>
      </w:r>
      <w:r>
        <w:rPr>
          <w:rFonts w:ascii="Arial" w:cs="Arial" w:eastAsia="Arial" w:hAnsi="Arial"/>
          <w:sz w:val="18"/>
          <w:szCs w:val="18"/>
          <w:i w:val="1"/>
          <w:iCs w:val="1"/>
          <w:color w:val="auto"/>
        </w:rPr>
        <w:t xml:space="preserve"> </w:t>
      </w:r>
      <w:r>
        <w:rPr>
          <w:rFonts w:ascii="Arial" w:cs="Arial" w:eastAsia="Arial" w:hAnsi="Arial"/>
          <w:sz w:val="18"/>
          <w:szCs w:val="18"/>
          <w:color w:val="auto"/>
        </w:rPr>
        <w:t>and abuse laws. Many of these antifraud laws are broad in scope, and neither the courts nor government agencies have extensively interpreted these laws. Prohibitions under some of these laws include:</w:t>
      </w:r>
    </w:p>
    <w:p>
      <w:pPr>
        <w:spacing w:after="0" w:line="87" w:lineRule="exact"/>
        <w:rPr>
          <w:sz w:val="20"/>
          <w:szCs w:val="20"/>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submission of false claims or false information to government programs;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deceptive or fraudulent conduct;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excessive or unnecessary services or services at excessive prices;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prohibitions in defrauding private sector health insurers.</w:t>
      </w:r>
    </w:p>
    <w:p>
      <w:pPr>
        <w:spacing w:after="0" w:line="225"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could be subject to substantial penalties for violations of these laws, including denial of payment and refunds, suspension of payments from Medicare, Medicaid or other federal healthcare programs and exclusion from participation in the federal healthcare programs, as well as civil monetary and criminal penalties and imprisonment. One of these statutes, the False Claims Act, is a key enforcement tool used by the government to combat healthcare fraud. The False Claims Act imposes liability on any person who, among other things, knowingly presents, or causes to be presented, a false or fraudulent claim for payment by a federal healthcare program. In addition, violations of the federal physician self-referral laws, such as the Stark laws discussed below, may also violate false claims laws. Liability under the False Claims Act can result in treble damages and imposition of penalties. For example, we could be subject to penalties of $5,500 to $11,000 per false claim, and each use of our product could potentially be part of a different claim submitted to the government. Separately, the HHS office of the Office of Inspector General, or OIG, can exclude providers found liable under the False Claims Act from participating in federally funded healthcare programs, including Medicare. The steep penalties that may be imposed on laboratories and other providers under this statute may be disproportionate to the relatively small dollar amounts of the claims made by these providers for reimbursement. In addition, even the threat of being excluded from participation in federal healthcare programs can have significant financial consequences on a provider.</w:t>
      </w:r>
    </w:p>
    <w:p>
      <w:pPr>
        <w:spacing w:after="0" w:line="180"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Numerous federal and state agencies enforce the antifraud and abuse laws. In addition, private insurers may also bring private actions. In some circumstances, private whistleblowers are authorized to bring fraud suits on behalf of the government against providers and are entitled to receive a portion of any final recovery.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Federal and State “Self-Referral” and “Anti-Kickback” Restrictions</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i w:val="1"/>
          <w:iCs w:val="1"/>
          <w:color w:val="auto"/>
        </w:rPr>
        <w:t>Self-Referral law</w:t>
      </w:r>
      <w:r>
        <w:rPr>
          <w:rFonts w:ascii="Arial" w:cs="Arial" w:eastAsia="Arial" w:hAnsi="Arial"/>
          <w:sz w:val="18"/>
          <w:szCs w:val="18"/>
          <w:color w:val="auto"/>
        </w:rPr>
        <w:t>. We are subject to a federal “self-referral” law, commonly referred to as the “Stark” law, which provides that physicians who,</w:t>
      </w:r>
      <w:r>
        <w:rPr>
          <w:rFonts w:ascii="Arial" w:cs="Arial" w:eastAsia="Arial" w:hAnsi="Arial"/>
          <w:sz w:val="18"/>
          <w:szCs w:val="18"/>
          <w:i w:val="1"/>
          <w:iCs w:val="1"/>
          <w:color w:val="auto"/>
        </w:rPr>
        <w:t xml:space="preserve"> </w:t>
      </w:r>
      <w:r>
        <w:rPr>
          <w:rFonts w:ascii="Arial" w:cs="Arial" w:eastAsia="Arial" w:hAnsi="Arial"/>
          <w:sz w:val="18"/>
          <w:szCs w:val="18"/>
          <w:color w:val="auto"/>
        </w:rPr>
        <w:t>personally or through a family member, have ownership interests in or compensation arrangements with a laboratory are prohibited from making a referral to that laboratory for laboratory tests reimbursable by Medicare, and also prohibits laboratories from submitting a claim for Medicare payments for laboratory tests referred by physicians who, personally or through a family member, have ownership interests in or compensation arrangements with the testing laboratory. The Stark law contains a</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42" w:lineRule="auto"/>
        <w:rPr>
          <w:sz w:val="20"/>
          <w:szCs w:val="20"/>
          <w:color w:val="auto"/>
        </w:rPr>
      </w:pPr>
      <w:r>
        <w:rPr>
          <w:rFonts w:ascii="Arial" w:cs="Arial" w:eastAsia="Arial" w:hAnsi="Arial"/>
          <w:sz w:val="16"/>
          <w:szCs w:val="16"/>
          <w:color w:val="auto"/>
        </w:rPr>
        <w:t>number of specific exceptions which, if met, permit physicians who have ownership or compensation arrangements with a testing laboratory to make referrals to that laboratory and permit the laboratory to submit claims for Medicare payments for laboratory tests performed pursuant to such referrals.</w:t>
      </w:r>
    </w:p>
    <w:p>
      <w:pPr>
        <w:spacing w:after="0" w:line="124"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We are subject to comparable state laws, some of which apply to all payors regardless of source of payment, and do not contain identical exceptions to the Stark law. For example, we are subject to a North Carolina self-referral law that prohibits a physician investor from referring to us any patients covered by private, employer-funded or state and federal employee health plans. The North Carolina self-referral law contains few exceptions for physician investors in securities that have not been acquired through public trading but will generally permit us to accept referrals from physician investors who buy their shares in the public market.</w:t>
      </w:r>
    </w:p>
    <w:p>
      <w:pPr>
        <w:spacing w:after="0" w:line="18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have several stockholders who are physicians in a position to make referrals to us. We have included within our compliance plan procedures to identify requests for testing services from physician investors and we do not bill Medicare, or any other federal program, or seek reimbursement from other third-party payors, for these tests. The self-referral laws may cause some physicians who would otherwise use our laboratory to use other laboratories for their testing.</w:t>
      </w:r>
    </w:p>
    <w:p>
      <w:pPr>
        <w:spacing w:after="0" w:line="187" w:lineRule="exact"/>
        <w:rPr>
          <w:sz w:val="20"/>
          <w:szCs w:val="20"/>
          <w:color w:val="auto"/>
        </w:rPr>
      </w:pPr>
    </w:p>
    <w:p>
      <w:pPr>
        <w:ind w:left="200" w:right="300" w:firstLine="441"/>
        <w:spacing w:after="0" w:line="276" w:lineRule="auto"/>
        <w:rPr>
          <w:sz w:val="20"/>
          <w:szCs w:val="20"/>
          <w:color w:val="auto"/>
        </w:rPr>
      </w:pPr>
      <w:r>
        <w:rPr>
          <w:rFonts w:ascii="Arial" w:cs="Arial" w:eastAsia="Arial" w:hAnsi="Arial"/>
          <w:sz w:val="17"/>
          <w:szCs w:val="17"/>
          <w:color w:val="auto"/>
        </w:rPr>
        <w:t>Providers are subject to sanctions for claims submitted for each service that is furnished based on a referral prohibited under the federal self-referral laws. These sanctions include denial of payment and refunds, civil monetary payments and exclusion from participation in federal healthcare programs and civil monetary penalties, and they may also include penalties for applicable violations of the False Claims Act, which may require payment of up to three times the actual damages sustained by the government, plus civil penalties of $5,500 to $11,000 for each separate false claim. Similarly, sanctions for violations under the North Carolina self-referral laws include refunds and monetary penalties.</w:t>
      </w:r>
    </w:p>
    <w:p>
      <w:pPr>
        <w:spacing w:after="0" w:line="17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i w:val="1"/>
          <w:iCs w:val="1"/>
          <w:color w:val="auto"/>
        </w:rPr>
        <w:t>Anti-Kickback Statute</w:t>
      </w:r>
      <w:r>
        <w:rPr>
          <w:rFonts w:ascii="Arial" w:cs="Arial" w:eastAsia="Arial" w:hAnsi="Arial"/>
          <w:sz w:val="16"/>
          <w:szCs w:val="16"/>
          <w:color w:val="auto"/>
        </w:rPr>
        <w:t>. The federal Anti-Kickback Statute prohibits persons from knowingly and willfully soliciting, receiving, offering or paying</w:t>
      </w:r>
      <w:r>
        <w:rPr>
          <w:rFonts w:ascii="Arial" w:cs="Arial" w:eastAsia="Arial" w:hAnsi="Arial"/>
          <w:sz w:val="16"/>
          <w:szCs w:val="16"/>
          <w:i w:val="1"/>
          <w:iCs w:val="1"/>
          <w:color w:val="auto"/>
        </w:rPr>
        <w:t xml:space="preserve"> </w:t>
      </w:r>
      <w:r>
        <w:rPr>
          <w:rFonts w:ascii="Arial" w:cs="Arial" w:eastAsia="Arial" w:hAnsi="Arial"/>
          <w:sz w:val="16"/>
          <w:szCs w:val="16"/>
          <w:color w:val="auto"/>
        </w:rPr>
        <w:t>remuneration, directly or indirectly, to induce either the referral of an individual, or the furnishing, recommending, or arranging for a good or service, for which payment may be made under a federal healthcare program, such as the Medicare and Medicaid programs. The term “remuneration” is not defined in the federal Anti-Kickback Statute and has been broadly interpreted to include anything of value, including for example, gifts, discounts, the furnishing of supplies or equipment, credit arrangements, payments of cash, waivers of payment, ownership interests and providing anything at less than its fair market value. The reach of the Anti-Kickback Statute was also broadened by the PPACA, which, among other things, amends the intent requirement of the federal Anti-Kickback Statute and certain criminal healthcare fraud statutes, effective March 23, 2010. Pursuant to the statutory amendment, a person or entity does not need to have actual knowledge of this statute or specific intent to violate it in order to have committed a violation. In addition, PPACA provides that a claim including items or services resulting from a violation of the federal Anti-Kickback Statute constitutes a false or fraudulent claim for purposes of the False Claims Act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 Sanctions for violations of the federal Anti-Kickback Statute may include imprisonment and other criminal penalties, civil monetary penalties and exclusion from participation in federal healthcare programs.</w:t>
      </w:r>
    </w:p>
    <w:p>
      <w:pPr>
        <w:spacing w:after="0" w:line="175"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OIG has criticized a number of the business practices in the clinical laboratory industry as potentially implicating the Anti-Kickback Statute, including compensation arrangements intended to induce referrals between laboratories and entities from which they receive, or to which they make, referrals. In addition, the OIG has indicated that “dual charge” billing practices that are intended to induce the referral of patients reimbursed by federal healthcare programs may violate the Anti-Kickback Statute.</w:t>
      </w:r>
    </w:p>
    <w:p>
      <w:pPr>
        <w:spacing w:after="0" w:line="18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Many states have also adopted laws similar to the federal Anti-Kickback Statute, some of which apply to the referral of patients for healthcare items or services reimbursed by any source, not only the Medicare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Medicaid programs, and do not contain identical safe harbors. For example, North Carolina has an anti-kickback statute that prohibits healthcare providers from paying any financial compensation for recommending or securing patient referrals. Penalties for violations of this statute include license suspension or revocation or other disciplinary action. Other states have similar anti-kickback prohibitions.</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Both the federal Anti-Kickback Statute and the North Carolina anti-kickback law are broad in scope. The anti-kickback laws clearly prohibit payments for patient referrals. Under a broad interpretation, these laws could also prohibit a broad array of practices involving remuneration where one party is a potential source of referrals for the other.</w:t>
      </w:r>
    </w:p>
    <w:p>
      <w:pPr>
        <w:spacing w:after="0" w:line="18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If we or our operations are found to be in violation of any of the laws described above or any other governmental regulations that apply to us, we may be subject to penalties, including civil and criminal penalties, damages, fines, exclusion from participation in U.S. federal or state health care programs, and the curtailment or restructuring of our operations. To the extent that any product we make is sold in a foreign country in the future,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 To reduce the risks associated with these various laws and governmental regulations, we have implemented a compliance plan.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In March 2010, the PPACA was enacted, which includes measures that have or will significantly change the way healthcare is financed by both governmental and private insurers. Beginning in August 2013, the PPACA and its implementing regulations requires medical device manufacturers to track certain financial arrangements with physicians and teaching hospitals, including any “transfer of value” made or distributed to such entities, as well as any investment interests held by physicians and their immediate family members. Manufacturers are required to report this information to Centers for Medicare &amp; Medicaid Services, or CMS, beginning in 2014. Various states have also implemented regulations prohibiting certain financial interactions with healthcare professionals or mandating public disclosure of such financial interactions. We may incur significant costs to comply with such laws and regulations now or in the future.</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Corporate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Sale of NFI</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On September 2, 2015, the Company established NeoForce, Inc. (“NFI”), a wholly owned subsidiary of the Company and through NFI, acquired substantially all of the assets of an unrelated privately held company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NeoForce Group, Inc.(“NeoForce”). NFI markets innovative pulmonary resuscitation solutions for the inpatient and ambulatory neonatal markets. The Company sold NFI in a stock transaction that was completed on July 18, 2017, pursuant to a Stock Purchase Agreement with Neoforce Holdings, Inc. a wholly-owned subsidiary of Flexicare Medical Limited, a privately-held United Kingdom company.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Sabby 2016 Stock Purchase</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On June 29, 2016, we entered into the 2016 Sabby Purchase Agreement with Sabby, pursuant to which we agreed to sell to Sabby, in a private placement, an aggregate of up to 13,780 shares of our Series B Convertible Preferred Stock at an aggregate purchase price of $13,780,000, which shares are convertible into 2,756,000 shares of our common stock, based on a fixed conversion price of $5.00 per share on an as-converted basis.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 In connection with the 2016 Sabby Purchase Agreement, we also repurchased an aggregate of 7,780 shares of Series A Convertible Preferred Stock held by Sabby for an aggregate amount of $7,780,000, which shares were originally purchased by Sabby under the 2015 Sabby Purchase Agreement and which shares represent 841,081 shares of common stock on an as-converted basis. The sale of the Series B Convertible Preferred Stock occurred in two separate closings. On July 5, 2016, the date of the first closing under the 2016 Sabby Purchase Agreement, the Company received proceeds of approximately $1.3 million, net of $0.1 million in estimated expenses. On September 29, 2016, the date of the second closing under the 2016 Sabby Purchase Agreement, the Company received proceeds of approximately $4.4 million, net of $0.3 million in estimated expenses. After the repurchase of the Series A Convertible Preferred Stock and estimated transaction expenses, the Company received approximately $5.6 million of net proceeds.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Aspire Stock Purchase</w:t>
      </w:r>
    </w:p>
    <w:p>
      <w:pPr>
        <w:spacing w:after="0" w:line="117"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On January 27, 2017, we entered into a Common Stock Purchase Agreement (the “2017 Aspire Purchase Agreement”) with Aspire Capital Fund, LLC (“Aspire Capital”), which provides that, upon the terms and subject to the conditions and limitations set forth therein, Aspire Capital is committed to purchase up to an aggregate of $17.0 million in value of shares of our Common Stock over the 30-month term of the 2017 Aspire Purchase Agreement. The Company issued 1,666,666 shares of common stock for an investment of $8 million from the completion of the financing with the closing of the Essentialis acquisition and also issued 416,666 shares of common stock for an investment of $2 million from Aspire Capital. The 2017 Aspire Purchase Agreement was terminated upon the closing of the 2017 PIPE Offering.</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2017 PIPE Offering</w:t>
      </w:r>
    </w:p>
    <w:p>
      <w:pPr>
        <w:spacing w:after="0" w:line="11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On December 11, 2017, we entered into the Unit Purchase Agreement with certain stockholders, pursuant to which we sold and issued 8,141,116 immediately separable units at a price per unit of $1.84, for aggregate gross proceeds of approximately $15,000,000. Each unit consisted of one share of our common stock and a warrant to purchase 0.74 shares of our common stock at an exercise price of $2.00 a share, for an aggregate of 8,141,116 Shares and corresponding warrants to purchase an aggregate of 6,024,425 Warrant Shares, together referred to as the Resale Shares. We also granted certain registration rights to these stockholders, pursuant to which, among other things, we prepared and filed a registration statement with the SEC to register for resale the Resale Shares. The registration statement was declared effective in February 2018.</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As of December 31, 2017, we had twelve full-time employees and six full-time or part-time consultants providing services to us. None of our employees is represented by a labor union or covered by collective bargaining agreements. We consider our relationship with our employees to be good.</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and Available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principal corporate offices are located at 1235 Radio Road, Suite 110, Redwood City, California 94065 and our telephone number is</w:t>
      </w:r>
    </w:p>
    <w:p>
      <w:pPr>
        <w:spacing w:after="0" w:line="35" w:lineRule="exact"/>
        <w:rPr>
          <w:sz w:val="20"/>
          <w:szCs w:val="20"/>
          <w:color w:val="auto"/>
        </w:rPr>
      </w:pPr>
    </w:p>
    <w:p>
      <w:pPr>
        <w:ind w:left="200" w:firstLine="4"/>
        <w:spacing w:after="0" w:line="292" w:lineRule="auto"/>
        <w:tabs>
          <w:tab w:leader="none" w:pos="635" w:val="left"/>
        </w:tabs>
        <w:numPr>
          <w:ilvl w:val="0"/>
          <w:numId w:val="6"/>
        </w:numPr>
        <w:rPr>
          <w:rFonts w:ascii="Arial" w:cs="Arial" w:eastAsia="Arial" w:hAnsi="Arial"/>
          <w:sz w:val="16"/>
          <w:szCs w:val="16"/>
          <w:color w:val="auto"/>
        </w:rPr>
      </w:pPr>
      <w:r>
        <w:rPr>
          <w:rFonts w:ascii="Arial" w:cs="Arial" w:eastAsia="Arial" w:hAnsi="Arial"/>
          <w:sz w:val="16"/>
          <w:szCs w:val="16"/>
          <w:color w:val="auto"/>
        </w:rPr>
        <w:t>213-8444. We were incorporated in Delaware on August 25, 1999. Our internet address is www.soleno.life. We make available on our website, free of charge, our Annual Report on Form 10-K, Quarterly Reports on Form 10-Q, Current Reports on Form 8-K and any amendments to those reports, as soon as reasonably practicable after we electronically file such materials with, or furnish it to, the Securities Exchange and Commission. Our Securities Exchange and Commission reports can be accessed through the Investor Relations section of our internet website. The information found on our internet website is not part of this or any other report we file with or furnish to the Securities Exchange and Commission.</w:t>
      </w:r>
    </w:p>
    <w:p>
      <w:pPr>
        <w:spacing w:after="0" w:line="9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60"/>
          </w:cols>
          <w:pgMar w:left="24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200" w:right="280" w:firstLine="441"/>
        <w:spacing w:after="0" w:line="279" w:lineRule="auto"/>
        <w:rPr>
          <w:sz w:val="20"/>
          <w:szCs w:val="20"/>
          <w:color w:val="auto"/>
        </w:rPr>
      </w:pPr>
      <w:r>
        <w:rPr>
          <w:rFonts w:ascii="Arial" w:cs="Arial" w:eastAsia="Arial" w:hAnsi="Arial"/>
          <w:sz w:val="17"/>
          <w:szCs w:val="17"/>
          <w:color w:val="auto"/>
        </w:rPr>
        <w:t>An investment in our securities has a high degree of risk. Before you invest you should carefully consider the risks and uncertainties described below together with all the of the other information in this Annual Report on Form 10-K, including our consolidated financial statements and related notes. If any of the following risks actually occur, our business, operating results and financial condition could be harmed, and the value of our stock could go down. This means you could lose all or a part of your investment.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primarily a clinical-stage company with no approved products, which makes assessment of our future viability difficult.</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We are primarily a clinical-stage company, with a relatively limited operating history and with no approved therapeutic products or revenues from the sale of therapeutic products. As a result, there is limited information for investors to use when assessing our future viability as a company focused primarily on therapeutic products and our potential to successfully develop product candidates, conduct clinical trials, manufacture our products on a commercial scale, obtain regulatory approval and profitably commercialize any approved products.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significantly dependent upon the success of DCCR, our sole therapeutic product candidate.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invest a significant portion of our efforts and financial resources in the development of DCCR for the treatment of PWS, a rare complex genetic neurobehavioral/metabolic disease. Our ability to generate product revenues, which may not occur for the foreseeable future, if ever, will depend heavily on the successful development, regulatory approval, and commercialization of DCCR.</w:t>
      </w:r>
    </w:p>
    <w:p>
      <w:pPr>
        <w:spacing w:after="0" w:line="18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Any delay or impediment in our ability to obtain regulatory approval to commercialize in any region, or, if approved, obtain coverage and adequate reimbursement from third-parties, including government payors, for DCCR, may cause us to be unable to generate the revenues necessary to continue our research and development pipeline activities, thereby adversely affecting our business and our prospects for future growth. Further, the success of DCCR will depend on a number of factors, including the following:</w:t>
      </w:r>
    </w:p>
    <w:p>
      <w:pPr>
        <w:spacing w:after="0" w:line="92"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a sufficiently broad label that would not unduly restrict patient access;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receipt of marketing approvals for DCCR in the U. S. and E. U.;</w:t>
      </w:r>
    </w:p>
    <w:p>
      <w:pPr>
        <w:spacing w:after="0" w:line="130" w:lineRule="exact"/>
        <w:rPr>
          <w:rFonts w:ascii="Arial" w:cs="Arial" w:eastAsia="Arial" w:hAnsi="Arial"/>
          <w:sz w:val="18"/>
          <w:szCs w:val="18"/>
          <w:color w:val="auto"/>
        </w:rPr>
      </w:pPr>
    </w:p>
    <w:p>
      <w:pPr>
        <w:ind w:left="1060" w:right="74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building an infrastructure capable of supporting product sales, marketing, and distribution of DCCR in territories where we pursue commercialization directly;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third party manufacturers;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establishing commercial distribution agreements with third party distributors;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launching commercial sales of DCCR, if and when approved, whether alone or in collaboration with others;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acceptance of DCCR, if and when approved, by patients, the medical community, and third-party payers;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regulatory approval pathway that we pursue for DCCR in the United States;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continued acceptable safety profile of DCCR following approval;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obtaining a commercially viable price for our products.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DCCR, which would materially harm our business.</w:t>
      </w:r>
    </w:p>
    <w:p>
      <w:pPr>
        <w:spacing w:after="0" w:line="279" w:lineRule="exact"/>
        <w:rPr>
          <w:sz w:val="20"/>
          <w:szCs w:val="20"/>
          <w:color w:val="auto"/>
        </w:rPr>
      </w:pPr>
    </w:p>
    <w:p>
      <w:pPr>
        <w:ind w:left="200" w:right="240"/>
        <w:spacing w:after="0" w:line="286" w:lineRule="auto"/>
        <w:rPr>
          <w:sz w:val="20"/>
          <w:szCs w:val="20"/>
          <w:color w:val="auto"/>
        </w:rPr>
      </w:pPr>
      <w:r>
        <w:rPr>
          <w:rFonts w:ascii="Arial" w:cs="Arial" w:eastAsia="Arial" w:hAnsi="Arial"/>
          <w:sz w:val="17"/>
          <w:szCs w:val="17"/>
          <w:b w:val="1"/>
          <w:bCs w:val="1"/>
          <w:i w:val="1"/>
          <w:iCs w:val="1"/>
          <w:color w:val="auto"/>
        </w:rPr>
        <w:t>We have a limited commercialization history and have incurred significant losses since our inception, and we anticipate that we will continue to incur substantial losses for the foreseeable future. We transitioned to be primarily a research and development company, which, together with our limited operating history, makes it difficult to evaluate our business and assess our future viability.</w:t>
      </w:r>
    </w:p>
    <w:p>
      <w:pPr>
        <w:spacing w:after="0" w:line="57"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We are a developer of therapeutics and medical devices with a limited commercialization history. Evaluating our performance, viability or future success will be more difficult than if we had a longer operating history or approved products for sale on the market. We continue to incur significant research and development and general and administrative expenses related to our operations. Investment in product development is highly speculative, because it entails substantial upfront capital expenditures and significant risk that any planned product will fail to demonstrate adequate accuracy or clinical utility. We have incurred significant operating losses in each year since our inception and expect that we will not be profitable for an indefinite period of time. As of December 31, 2017, we had an accumulated deficit of $114.0 million.</w:t>
      </w:r>
    </w:p>
    <w:p>
      <w:pPr>
        <w:spacing w:after="0" w:line="178"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We expect that our future financial results will depend primarily on our success in developing, launching, selling and supporting our products. This will require us to be successful in a range of activities, including clinical trials, manufacturing, marketing and selling our products. We are only in the preliminary stages of some of these activities. We may not succeed in these activities and may never generate revenue that is sufficient to be profitable in the future.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planned products, market our current and planned products, or continue our operations.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currently have generated limited product revenue and may never become profitable.</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To date, we have not generated significant revenues to achieve profitability. Our ability to generate significant revenue from product sales and achieve profitability will depend upon our ability, alone or with any future collaborators, to successfully commercialize products that we may develop, in-license or acquire in the future. Our ability to generate revenue from product sales from planned products also depends on a number of additional factors, including our ability to:</w:t>
      </w:r>
    </w:p>
    <w:p>
      <w:pPr>
        <w:spacing w:after="0" w:line="92" w:lineRule="exact"/>
        <w:rPr>
          <w:sz w:val="20"/>
          <w:szCs w:val="20"/>
          <w:color w:val="auto"/>
        </w:rPr>
      </w:pPr>
    </w:p>
    <w:p>
      <w:pPr>
        <w:ind w:left="1060" w:right="14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 a commercial organization capable of sales, marketing and distribution of any products for which we obtain marketing approval in markets where we intend to commercialize independently;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achieve market acceptance of our current and future products,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set a commercially viable price for our current and future products, if any;</w:t>
      </w:r>
    </w:p>
    <w:p>
      <w:pPr>
        <w:spacing w:after="0" w:line="130" w:lineRule="exact"/>
        <w:rPr>
          <w:rFonts w:ascii="Arial" w:cs="Arial" w:eastAsia="Arial" w:hAnsi="Arial"/>
          <w:sz w:val="18"/>
          <w:szCs w:val="18"/>
          <w:color w:val="auto"/>
        </w:rPr>
      </w:pPr>
    </w:p>
    <w:p>
      <w:pPr>
        <w:ind w:left="1060" w:right="64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reliable third parties, and ensure adequate and legally compliant manufacturing to maintain that supply;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third-party payors, including government and private payors;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find suitable global and U.S. distribution partners to help us market, sell and distribute our products in other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foreign regulatory authorities;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complete development activities successfully and on a timely basis;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establish, maintain and protect our intellectual property rights and avoid third-party patent interference or patent infringement claims; and</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25"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In addition, because of the numerous risks and uncertainties associated with product development and commercialization, including that our planned products may not advance through development, achieve the endpoints of applicable clinical trials or obtain approval, we are unable to predict the timing or amount of increased expenses, or when or if we will be able to achieve or maintain profitability. In addition, our expenses could increase beyond expectations if we decide, or are required by the FDA or foreign regulatory authorities, to perform studies or clinical trials in addition to those that we currently anticipate.</w:t>
      </w:r>
    </w:p>
    <w:p>
      <w:pPr>
        <w:spacing w:after="0" w:line="18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Even if we are able to generate significant revenue from the sale of any of our products that may be approved or commercialized,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or shut down our operations.</w:t>
      </w:r>
    </w:p>
    <w:p>
      <w:pPr>
        <w:spacing w:after="0" w:line="25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below our guidance.</w:t>
      </w:r>
    </w:p>
    <w:p>
      <w:pPr>
        <w:spacing w:after="0" w:line="62" w:lineRule="exact"/>
        <w:rPr>
          <w:sz w:val="20"/>
          <w:szCs w:val="20"/>
          <w:color w:val="auto"/>
        </w:rPr>
      </w:pPr>
    </w:p>
    <w:p>
      <w:pPr>
        <w:ind w:left="200" w:right="120" w:firstLine="441"/>
        <w:spacing w:after="0" w:line="269" w:lineRule="auto"/>
        <w:rPr>
          <w:sz w:val="20"/>
          <w:szCs w:val="20"/>
          <w:color w:val="auto"/>
        </w:rPr>
      </w:pPr>
      <w:r>
        <w:rPr>
          <w:rFonts w:ascii="Arial" w:cs="Arial" w:eastAsia="Arial" w:hAnsi="Arial"/>
          <w:sz w:val="17"/>
          <w:szCs w:val="17"/>
          <w:color w:val="auto"/>
        </w:rPr>
        <w:t>Our quarterly and annual operating results may fluctuate significantly in the future, which makes it difficult for us to predict our future operating results. From time to time, we may enter into collaboration agreements with other companies that include development 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 significantly from period to period, and any such variance could cause a significant fluctuation in our operating results from one period to the next. 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Furthermore, our operating results may fluctuate due to a variety of other factors, many of which are outside of our control and may be difficult to predict, including the following:</w:t>
      </w:r>
    </w:p>
    <w:p>
      <w:pPr>
        <w:spacing w:after="0" w:line="88" w:lineRule="exact"/>
        <w:rPr>
          <w:sz w:val="20"/>
          <w:szCs w:val="20"/>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risk of initiating sales and marketing activities;</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planned products, which will change from time to time;</w:t>
      </w:r>
    </w:p>
    <w:p>
      <w:pPr>
        <w:spacing w:after="0" w:line="75"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manufacturing our products may vary depending on FDA and other regulatory requirements, the quantity of production and the terms of our agreements with manufacturers;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planned products and technologies;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 timing and outcomes of clinical studies;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competitive landscape of our industry, including consolidation among our competitors or potential partners;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delays in regulatory review or approval in the U.S. or globally, of any of our planned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demand for our products may fluctuate significantly and be difficult to predict;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6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future products, if approved, and existing and potential future drugs that compete with our planned products;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from existing and potential future offerings that compete with our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commercialize our products inside and outside of the U.S., either independently or working with third parties;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changing and volatile global economic environment.</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297"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b w:val="1"/>
          <w:bCs w:val="1"/>
          <w:i w:val="1"/>
          <w:iCs w:val="1"/>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79"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accompanying consolidated financial statements have been prepared on a going concern basis, which contemplates the realization of assets and the satisfaction of liabilities in the normal course of business. As of December 31, 2017, we have incurred significant operating losses since inception and continue to generate losses from operations and have an accumulated deficit of $114.0 million. These matters raise substantial doubt about our ability to continue as a going concern. The consolidated financial statements do not include any adjustments relating to the recoverability and classification of asset amounts or the classification of liabilities that might be necessary should we be unable to continue as a going concern.</w:t>
      </w:r>
    </w:p>
    <w:p>
      <w:pPr>
        <w:spacing w:after="0" w:line="158"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Commercial results have been limited and we have not generated significant revenues. We cannot assure our stockholders that our revenues will be sufficient to fund its operations. If adequate funds are not available, we may be required to curtail our operations significantly or to obtain funds through entering into arrangements with collaborative partners or others that may require us to relinquish rights to certain of our technologies or products that we would not otherwise relinquish.</w:t>
      </w:r>
    </w:p>
    <w:p>
      <w:pPr>
        <w:spacing w:after="0" w:line="18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At December 31, 2017, our cash balance was $17.1 million. We intend to raise additional capital, either through debt or equity financings to achieve its business plan objectives. We believe that we can be successful in obtaining additional capital; however, no assurance can be provided that we will be able to do so. There is no assurance that any funds raised will be sufficient to enable us to attain profitable operations or continue as a going concern. To the extent that we are unsuccessful, we may need to curtail or cease our operations and implement a plan to extend payables or reduce overhead until sufficient additional capital is raised to support further operations. There can be no assurance that such a plan will be successful.</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do not have any material committed external source of funds or other support for our commercialization and development efforts. Until we can generate a sufficient amount of product revenue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Additional financing may not be available to us when we need it, or it may not be available on favorable terms. If we raise additional capital through marketing and distribution arrangements or other collaborations, strategic alliances or licensing arrangements with third parties, we may have to relinquish certain valuable rights to our current and planned products, technologies, future revenue streams or research programs, or grant licenses on terms that may not be favorable to us.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obtain adequate financing when needed, we may have to delay, reduce the scope of, or suspend one or more of our clinical studies or research and development programs or our commercialization efforts.</w:t>
      </w:r>
    </w:p>
    <w:p>
      <w:pPr>
        <w:spacing w:after="0" w:line="288" w:lineRule="exact"/>
        <w:rPr>
          <w:sz w:val="20"/>
          <w:szCs w:val="20"/>
          <w:color w:val="auto"/>
        </w:rPr>
      </w:pPr>
    </w:p>
    <w:p>
      <w:pPr>
        <w:ind w:left="200" w:right="88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62"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From time to time we may consider strategic transactions, such as acquisitions, asset purchases and sales,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 and financial results. For example, these transactions may entail numerous operational and financial risks, including:</w:t>
      </w:r>
    </w:p>
    <w:p>
      <w:pPr>
        <w:spacing w:after="0" w:line="95" w:lineRule="exact"/>
        <w:rPr>
          <w:sz w:val="20"/>
          <w:szCs w:val="20"/>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exposure to unknown and contingent liabilities;</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likelihood of payment of milestones or royalties;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operating expenditures, including additional research, development and sales and marketing expenses;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difficulty and cost in combining the operations and personnel of any acquired businesses with our operations and personnel; and</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impairment of relationships with key suppliers or customers of any acquired businesses due to changes in management and ownership.</w:t>
      </w:r>
    </w:p>
    <w:p>
      <w:pPr>
        <w:spacing w:after="0" w:line="248"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940"/>
        <w:spacing w:after="0" w:line="277" w:lineRule="auto"/>
        <w:rPr>
          <w:sz w:val="20"/>
          <w:szCs w:val="20"/>
          <w:color w:val="auto"/>
        </w:rPr>
      </w:pPr>
      <w:r>
        <w:rPr>
          <w:rFonts w:ascii="Arial" w:cs="Arial" w:eastAsia="Arial" w:hAnsi="Arial"/>
          <w:sz w:val="18"/>
          <w:szCs w:val="18"/>
          <w:b w:val="1"/>
          <w:bCs w:val="1"/>
          <w:i w:val="1"/>
          <w:iCs w:val="1"/>
          <w:color w:val="auto"/>
        </w:rPr>
        <w:t>We may not be able to enter into strategic transactions on a timely basis or on acceptable terms, which may impact our development and commercialization plans.</w:t>
      </w:r>
    </w:p>
    <w:p>
      <w:pPr>
        <w:spacing w:after="0" w:line="62"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We have relied, and expect to continue to rely, on strategic transactions, which include in-licensing, out-licensing, purchases and sales of assets, and other ventures. The terms of any additional strategic transaction that we may enter into may not be favorable to us, and 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product revenue. Furthermore, there is no assurance that any such transaction will be successful or that we will derive an economic benefit as a result.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development and commercialization of our products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successful in commercializing our approved products</w:t>
      </w:r>
    </w:p>
    <w:p>
      <w:pPr>
        <w:spacing w:after="0" w:line="11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Commercialization of products is subject to a variety of regulations regarding the manner in which potential customers may be engaged, the manner in which products may be lawfully advertised, and the claims that can be made for the benefits of the product, among other things. Our lack of experience with product launches may expose us to a higher than usual level of risk of non-compliance with these regulations, with consequences that may include fines or the removal of our approved products from the marketplace by regulatory authorities.</w:t>
      </w:r>
    </w:p>
    <w:p>
      <w:pPr>
        <w:spacing w:after="0" w:line="28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If we are unable to execute our sales and marketing strategy for our products, and are unable to gain acceptance in the market, we may be unable to generate sufficient revenue to sustain our business.</w:t>
      </w:r>
    </w:p>
    <w:p>
      <w:pPr>
        <w:spacing w:after="0" w:line="62"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Although we believe that DCCR and our other planned products represent promising commercial opportunities, our products may never gain significant acceptance in the marketplace and therefore may never generate substantial revenue or profits for us. We will need to establish a market for DCCR globally and build these markets through physician education, awareness programs, and other marketing efforts. Gaining acceptance in medical communities depends on a variety of factors, including clinical data published or reported in reputable contexts and word-of-mouth between physicians. The process of publication in leading medical journals is subject to a peer review process and peer reviewers may not consider the results of our studies sufficiently novel or worthy of publication. Failure to have our studies published in peer-reviewed journals may limit the adoption of our products. Our ability to successfully market our products will depend on numerous factors, including:</w:t>
      </w:r>
    </w:p>
    <w:p>
      <w:pPr>
        <w:spacing w:after="0" w:line="83" w:lineRule="exact"/>
        <w:rPr>
          <w:sz w:val="20"/>
          <w:szCs w:val="20"/>
          <w:color w:val="auto"/>
        </w:rPr>
      </w:pPr>
    </w:p>
    <w:p>
      <w:pPr>
        <w:ind w:left="1060" w:right="42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outcomes of clinical utility studies of such products in collaboration with key thought leaders to demonstrate our products’ value in informing important medical decisions such as treatment selection;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our distribution partners;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healthcare providers believe such tests provide clinical utility;</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medical community accepts that such tests are sufficiently sensitive and specific to be meaningful in-patient care and treatment decisions; and</w:t>
      </w:r>
    </w:p>
    <w:p>
      <w:pPr>
        <w:spacing w:after="0" w:line="75"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hospital administrators, health insurers, government health programs and other payers will cover and pay for such tests and, if so, whether they will adequately reimburse us.</w:t>
      </w:r>
    </w:p>
    <w:p>
      <w:pPr>
        <w:spacing w:after="0" w:line="170"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We are relying, or will rely, on third parties with whom we are directly engaged with, but who we do not control, to distribute and sell our products. If these distributors are not committed to our products or otherwise run into their own financial or other difficulties, it may result in failure to achieve widespread market acceptance of our products, and would materially harm our business, financial condition and results of operations.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spacing w:after="0" w:line="264" w:lineRule="auto"/>
        <w:rPr>
          <w:sz w:val="20"/>
          <w:szCs w:val="20"/>
          <w:color w:val="auto"/>
        </w:rPr>
      </w:pPr>
      <w:r>
        <w:rPr>
          <w:rFonts w:ascii="Arial" w:cs="Arial" w:eastAsia="Arial" w:hAnsi="Arial"/>
          <w:sz w:val="18"/>
          <w:szCs w:val="18"/>
          <w:b w:val="1"/>
          <w:bCs w:val="1"/>
          <w:i w:val="1"/>
          <w:iCs w:val="1"/>
          <w:color w:val="auto"/>
        </w:rPr>
        <w:t>If we are unable to implement our sales, marketing, distribution, training and support strategies or enter into agreements with third parties to perform these functions in markets outside of the U.S. and E.U., we will not be able to effectively commercialize DCCR and may not reach profitability.</w:t>
      </w:r>
    </w:p>
    <w:p>
      <w:pPr>
        <w:spacing w:after="0" w:line="73" w:lineRule="exact"/>
        <w:rPr>
          <w:sz w:val="20"/>
          <w:szCs w:val="20"/>
          <w:color w:val="auto"/>
        </w:rPr>
      </w:pPr>
    </w:p>
    <w:p>
      <w:pPr>
        <w:jc w:val="both"/>
        <w:ind w:left="200" w:right="560" w:firstLine="441"/>
        <w:spacing w:after="0" w:line="342"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therapeutic products. To achieve commercial success for DCCR, if and when we obtain marketing approval, we will need to establish a sales and marketing organization.</w:t>
      </w:r>
    </w:p>
    <w:p>
      <w:pPr>
        <w:spacing w:after="0" w:line="124"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the future, we expect to build a targeted sales, marketing, training and support infrastructure to market DCCR in the U.S. and E.U. and to opportunistically establish collaborations to market, distribute and support DCCR outside of the U.S. and E.U. There are risks involved with establishing our own sales, marketing, distribution, training and support capabilities. For example, recruiting and training sales and marketing personnel is expensive and time consuming and could delay any product launch. If the commercial launch of DCCR is delayed or does not occur for any reason, we would have prematurely or unnecessarily incurred these commercialization expenses. This may be costly, and our investment would be lost if we cannot retain or reposition our sales, marketing, training and support personnel.</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Factors that may inhibit our efforts to commercialize DCCR on our own include:</w:t>
      </w:r>
    </w:p>
    <w:p>
      <w:pPr>
        <w:spacing w:after="0" w:line="131"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or persuade adequate numbers of physicians to prescribe DCCR or any future products;</w:t>
      </w:r>
    </w:p>
    <w:p>
      <w:pPr>
        <w:spacing w:after="0" w:line="153" w:lineRule="exact"/>
        <w:rPr>
          <w:rFonts w:ascii="Arial" w:cs="Arial" w:eastAsia="Arial" w:hAnsi="Arial"/>
          <w:sz w:val="16"/>
          <w:szCs w:val="16"/>
          <w:color w:val="auto"/>
        </w:rPr>
      </w:pPr>
    </w:p>
    <w:p>
      <w:pPr>
        <w:ind w:left="1060" w:right="10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efforts by our competitors to commercialize products at or about the time when our product candidates would be coming to market.</w:t>
      </w:r>
    </w:p>
    <w:p>
      <w:pPr>
        <w:spacing w:after="0" w:line="23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If we are unable to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DCCR ourselves. In addition, we may not be successful in entering into arrangements with third parties to sell, market and distribute DCCR or may be unable to do so on terms that are favorable to us. We likely will have little control over such third parties, and any of them may fail to devote the necessary resources and attention to commercialize DCCR effectively. If we do not establish sales, marketing, distribution, training and support capabilities successfully, either on our own or in collaboration with third parties, we will not be successful in commercializing DCCR and achieving profitability, and our business would be harmed.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If physicians decide not to order our products in significant numbers, we may be unable to generate sufficient revenue to sustain our business.</w:t>
      </w:r>
    </w:p>
    <w:p>
      <w:pPr>
        <w:spacing w:after="0" w:line="14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To generate demand for our current and planned products, we will need to educate physicians and other health care professionals on the clinical utility, benefits and value of the tests we provide through published papers, presentations at scientific conferences, educational programs and one-on-one education sessions by members of our sales force. In addition, we will need support of hospital administrators that the clinical and economic utility of our products justifies payment for the device and consumables at adequate pricing levels. We need to hire additional commercial, scientific, technical and other personnel to support this process.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our products do not continue to perform as expected, our operating results, reputation and business will suffer.</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Our success depends on the market’s confidence that our products can provide reliable, high-quality results or treatments. We believe that our customers are likely to be particularly sensitive to any test defects and errors in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86" w:lineRule="auto"/>
        <w:rPr>
          <w:sz w:val="20"/>
          <w:szCs w:val="20"/>
          <w:color w:val="auto"/>
        </w:rPr>
      </w:pPr>
      <w:r>
        <w:rPr>
          <w:rFonts w:ascii="Arial" w:cs="Arial" w:eastAsia="Arial" w:hAnsi="Arial"/>
          <w:sz w:val="17"/>
          <w:szCs w:val="17"/>
          <w:color w:val="auto"/>
        </w:rPr>
        <w:t>our products, and prior products made by other companies for the same diagnostic purpose have failed in the marketplace, in part as a result of poor accuracy. As a result, the failure of our current and planned products to perform as expected would significantly impair our reputation and the clinical usefulness of such tests. Reduced sales might result, and we may also be subject to legal claims arising from any defects or errors.</w:t>
      </w:r>
    </w:p>
    <w:p>
      <w:pPr>
        <w:spacing w:after="0" w:line="274" w:lineRule="exact"/>
        <w:rPr>
          <w:sz w:val="20"/>
          <w:szCs w:val="20"/>
          <w:color w:val="auto"/>
        </w:rPr>
      </w:pPr>
    </w:p>
    <w:p>
      <w:pPr>
        <w:ind w:left="200" w:right="20"/>
        <w:spacing w:after="0" w:line="286" w:lineRule="auto"/>
        <w:rPr>
          <w:sz w:val="20"/>
          <w:szCs w:val="20"/>
          <w:color w:val="auto"/>
        </w:rPr>
      </w:pPr>
      <w:r>
        <w:rPr>
          <w:rFonts w:ascii="Arial" w:cs="Arial" w:eastAsia="Arial" w:hAnsi="Arial"/>
          <w:sz w:val="17"/>
          <w:szCs w:val="17"/>
          <w:b w:val="1"/>
          <w:bCs w:val="1"/>
          <w:i w:val="1"/>
          <w:iCs w:val="1"/>
          <w:color w:val="auto"/>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spacing w:after="0" w:line="57"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Before obtaining regulatory approval for the sale of any planned product we must conduct extensive clinical studies to demonstrate the safety and effectiveness of our planned products in humans. Clinical studies are expensive, difficult to design and implement, can take many years to complete and are uncertain as to outcome. A failure of one or more of our clinical studies could occur at any stage of testing.</w:t>
      </w:r>
    </w:p>
    <w:p>
      <w:pPr>
        <w:spacing w:after="0" w:line="166"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Numerous unforeseen events during, or as a result of, clinical studies could occur, which would delay or prevent our ability to receive regulatory approval or commercialize any of our planned products, including the following:</w:t>
      </w:r>
    </w:p>
    <w:p>
      <w:pPr>
        <w:spacing w:after="0" w:line="76" w:lineRule="exact"/>
        <w:rPr>
          <w:sz w:val="20"/>
          <w:szCs w:val="20"/>
          <w:color w:val="auto"/>
        </w:rPr>
      </w:pPr>
    </w:p>
    <w:p>
      <w:pPr>
        <w:ind w:left="106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studies may produce negative or inconclusive results, and we may decide, or regulators may require us, to conduct additional clinical studies or abandon product development programs;</w:t>
      </w:r>
    </w:p>
    <w:p>
      <w:pPr>
        <w:spacing w:after="0" w:line="75" w:lineRule="exact"/>
        <w:rPr>
          <w:rFonts w:ascii="Arial" w:cs="Arial" w:eastAsia="Arial" w:hAnsi="Arial"/>
          <w:sz w:val="18"/>
          <w:szCs w:val="18"/>
          <w:color w:val="auto"/>
        </w:rPr>
      </w:pPr>
    </w:p>
    <w:p>
      <w:pPr>
        <w:ind w:left="1060" w:right="120" w:hanging="316"/>
        <w:spacing w:after="0" w:line="308"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number of patients required for clinical studies may be larger than we anticipate, enrollment in these clinical studies may be insufficient or slower than we anticipate, or patients may drop out of these clinical studies at a higher rate than we anticipate;</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clinical studies or the manufacturing of our planned products may be greater than we anticipate;</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contractors may fail to comply with regulatory requirements or meet their contractual obligations to us in a timely manner, or at all;</w:t>
      </w:r>
    </w:p>
    <w:p>
      <w:pPr>
        <w:spacing w:after="0" w:line="75" w:lineRule="exact"/>
        <w:rPr>
          <w:rFonts w:ascii="Arial" w:cs="Arial" w:eastAsia="Arial" w:hAnsi="Arial"/>
          <w:sz w:val="18"/>
          <w:szCs w:val="18"/>
          <w:color w:val="auto"/>
        </w:rPr>
      </w:pPr>
    </w:p>
    <w:p>
      <w:pPr>
        <w:ind w:left="1060" w:right="280" w:hanging="316"/>
        <w:spacing w:after="0" w:line="264"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might have to suspend or terminate clinical studies of our planned products for various reasons, including a finding that our planned products have unanticipated serious side effects or other unexpected characteristics or that the patients are being exposed to unacceptable health risks;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regulators may not approve our proposed clinical development plans;</w:t>
      </w:r>
    </w:p>
    <w:p>
      <w:pPr>
        <w:spacing w:after="0" w:line="130"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regulators or independent institutional review boards, or IRBs, may not authorize us or our investigators to commence a clinical study or conduct a clinical study at a prospective study site;</w:t>
      </w:r>
    </w:p>
    <w:p>
      <w:pPr>
        <w:spacing w:after="0" w:line="75" w:lineRule="exact"/>
        <w:rPr>
          <w:rFonts w:ascii="Arial" w:cs="Arial" w:eastAsia="Arial" w:hAnsi="Arial"/>
          <w:sz w:val="18"/>
          <w:szCs w:val="18"/>
          <w:color w:val="auto"/>
        </w:rPr>
      </w:pPr>
    </w:p>
    <w:p>
      <w:pPr>
        <w:ind w:left="1060" w:right="94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regulators or IRBs may require that we or our investigators suspend or terminate clinical research for various reasons, including noncompliance with regulatory requirements; and</w:t>
      </w:r>
    </w:p>
    <w:p>
      <w:pPr>
        <w:spacing w:after="0" w:line="75"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supply or quality of our planned products or other materials necessary to conduct clinical studies of our planned products may be insufficient or inadequate.</w:t>
      </w:r>
    </w:p>
    <w:p>
      <w:pPr>
        <w:spacing w:after="0" w:line="170"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If we or any future collaboration partners are required to conduct additional clinical trials or other testing of any planned products beyond those that we contemplate, if those clinical studies or other testing cannot be successfully completed, if the results of these studies or tests are not positive or are only modestly positive or if there are safety concerns, we may:</w:t>
      </w:r>
    </w:p>
    <w:p>
      <w:pPr>
        <w:spacing w:after="0" w:line="87"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planned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approval for indications that are not as broad as intended;</w:t>
      </w:r>
    </w:p>
    <w:p>
      <w:pPr>
        <w:spacing w:after="0" w:line="130" w:lineRule="exact"/>
        <w:rPr>
          <w:rFonts w:ascii="Arial" w:cs="Arial" w:eastAsia="Arial" w:hAnsi="Arial"/>
          <w:sz w:val="18"/>
          <w:szCs w:val="18"/>
          <w:color w:val="auto"/>
        </w:rPr>
      </w:pPr>
    </w:p>
    <w:p>
      <w:pPr>
        <w:ind w:left="5620" w:right="4480" w:hanging="4876"/>
        <w:spacing w:after="0" w:line="449" w:lineRule="auto"/>
        <w:tabs>
          <w:tab w:leader="none" w:pos="10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 24</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restrictions on how the product is distributed or used.</w:t>
      </w:r>
    </w:p>
    <w:p>
      <w:pPr>
        <w:spacing w:after="0" w:line="225" w:lineRule="exact"/>
        <w:rPr>
          <w:sz w:val="20"/>
          <w:szCs w:val="20"/>
          <w:color w:val="auto"/>
        </w:rPr>
      </w:pPr>
    </w:p>
    <w:p>
      <w:pPr>
        <w:ind w:left="200" w:right="300" w:firstLine="441"/>
        <w:spacing w:after="0" w:line="302" w:lineRule="auto"/>
        <w:rPr>
          <w:sz w:val="20"/>
          <w:szCs w:val="20"/>
          <w:color w:val="auto"/>
        </w:rPr>
      </w:pPr>
      <w:r>
        <w:rPr>
          <w:rFonts w:ascii="Arial" w:cs="Arial" w:eastAsia="Arial" w:hAnsi="Arial"/>
          <w:sz w:val="16"/>
          <w:szCs w:val="16"/>
          <w:color w:val="auto"/>
        </w:rPr>
        <w:t>Our product development costs will also increase if we experience delays in testing or approvals. We do not know whether any clinical studies will begin as planned, will need to be restructured or will be completed on schedule, or at all. Significant clinical study delays also could shorten any periods during which we may have the exclusive right to commercialize our planned products or allow our competitors to bring products to market before we do, which would impair our ability to commercialize our planned products and harm our business and results of operations.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fail to obtain regulatory approval for DCCR in the U.S. and E.U., our business would be harmed.</w:t>
      </w:r>
    </w:p>
    <w:p>
      <w:pPr>
        <w:spacing w:after="0" w:line="117"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We are required to obtain regulatory approval for each indication we are seeking before we can market and sell DCCR in a particular jurisdiction, for such indication. Our ability to obtain regulatory approval of DCCR depends on, among other things, successful completion of clinical trials by demonstrating efficacy with statistical significance and clinical meaning, and safety in humans. The results of our current and future clinical trials may not meet the FDA, the European Medicines Agency, or EMA, or other regulatory agencies’ requirements to approve DCCR for marketing under any specific indication, and these regulatory agencies may otherwise determine that our third parties’ manufacturing processes, validation, and/ or facilities are insufficient to support approval. As such, we may need to conduct more clinical trials than we currently anticipate and upgrade the manufacturing processes and facilities, which may require significant additional time and expense, and may delay or prevent approval. If we fail to obtain regulatory approval in a timely manner, our commercialization of DCCR would be delayed and our business would be harmed.</w:t>
      </w:r>
    </w:p>
    <w:p>
      <w:pPr>
        <w:spacing w:after="0" w:line="274"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DCCR or other potential product candidates.</w:t>
      </w:r>
    </w:p>
    <w:p>
      <w:pPr>
        <w:spacing w:after="0" w:line="73"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A failure of one or more of our clinical trials can occur at any time during the clinical trial process. The results of preclinical studies and early clinical trials of our product candidates may not be predictive of the results of later stage clinical trials. There is a high failure rate for drugs proceeding through clinical trials, and product candidates in later stages of clinical trials may fail to show the required safety and efficacy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clinical trials, and we cannot be certain that we will not face similar setbacks. Even if our clinical trials are completed, the results may not be sufficient to obtain regulatory approval for our product candidates.</w:t>
      </w:r>
    </w:p>
    <w:p>
      <w:pPr>
        <w:spacing w:after="0" w:line="167"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We may experience delays in our clinical trials. We do not know whether future clinical trials, if any, will begin on time, need to be redesigned, enroll an adequate number of patients in a timely manner or be completed on schedule, if at all. Clinical trials can be delayed, suspended or terminated for a variety of reasons, including failure to:</w:t>
      </w:r>
    </w:p>
    <w:p>
      <w:pPr>
        <w:spacing w:after="0" w:line="87" w:lineRule="exact"/>
        <w:rPr>
          <w:sz w:val="20"/>
          <w:szCs w:val="20"/>
          <w:color w:val="auto"/>
        </w:rPr>
      </w:pPr>
    </w:p>
    <w:p>
      <w:pPr>
        <w:ind w:left="1060" w:right="12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generate sufficient nonclinical, toxicology, or other in vivo or in vitro data, or clinical safety data to support the initiation or continuation of clinical trials;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regulatory approval, or feedback on trial design, to commence a trial;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 recruit and train suitable clinical investigators;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contract research organizations, or CROs, and clinical trial sites;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and maintain IRB approval at each clinical trial site;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recruit and enroll suitable patients to participate in a trial;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a sufficient number of patients complete a trial and/or return for post-treatment follow-up;</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ensure clinical investigators observe trial protocol or continue to participate in a trial;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a trial;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address any conflicts or compliance with new or existing laws, rule, regulations or guidelines;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a sufficient number of clinical trial sites to conduct the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timely manufacture sufficient quantities of product candidate suitable for use at the stage of clinical development;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raise sufficient capital to fund a trial.</w:t>
      </w:r>
    </w:p>
    <w:p>
      <w:pPr>
        <w:spacing w:after="0" w:line="225"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approved for the indications we are investigating or any investigational new drugs or treatment under development for the indications we are investigating.</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could also encounter delays if a clinical trial is suspended or terminated by us, by a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89"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If we experience delays in the completion of, or termination of, any clinical trial of our product candidates for any reason, the commercial prospects of our product candidates may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287" w:lineRule="exact"/>
        <w:rPr>
          <w:sz w:val="20"/>
          <w:szCs w:val="20"/>
          <w:color w:val="auto"/>
        </w:rPr>
      </w:pPr>
    </w:p>
    <w:p>
      <w:pPr>
        <w:ind w:left="200" w:right="220"/>
        <w:spacing w:after="0" w:line="375" w:lineRule="auto"/>
        <w:rPr>
          <w:sz w:val="20"/>
          <w:szCs w:val="20"/>
          <w:color w:val="auto"/>
        </w:rPr>
      </w:pPr>
      <w:r>
        <w:rPr>
          <w:rFonts w:ascii="Arial" w:cs="Arial" w:eastAsia="Arial" w:hAnsi="Arial"/>
          <w:sz w:val="15"/>
          <w:szCs w:val="15"/>
          <w:b w:val="1"/>
          <w:bCs w:val="1"/>
          <w:i w:val="1"/>
          <w:iCs w:val="1"/>
          <w:color w:val="auto"/>
        </w:rPr>
        <w:t>We may be unable to obtain regulatory approval for DCCR or other potential product candidates. The denial or delay of any such approval would delay commercialization and have a material adverse effect on our potential to generate revenue, our business and our results of operations.</w:t>
      </w:r>
    </w:p>
    <w:p>
      <w:pPr>
        <w:spacing w:after="0" w:line="1"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The research, development, testing, manufacturing, labeling, packaging, approval, promotion, advertising, storage, record keeping, marketing, distribution, post-approval monitoring and reporting, and export and import of drug products are subject to extensive regulation by the FDA, and by foreign regulatory authorities in other countries. The legislation and regulations differ from country to country. To gain approval to market our product candidates, we must provide development, manufacturing and clinical data that adequately demonstrates the safety and efficacy of the product for the intended indication. We have not yet obtained regulatory approval to</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market any of our product candidates in the U.S. or any other country. Our business depends upon obtaining these regulatory approvals. The FDA can delay, limit or deny approval of our product candidates for many reasons, including:</w:t>
      </w:r>
    </w:p>
    <w:p>
      <w:pPr>
        <w:spacing w:after="0" w:line="76"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satisfactorily demonstrate that the product candidates are safe and effective for the requested indication;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disagreement with our trial protocol or the interpretation of data from preclinical studies or clinical trials;</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assess safety in the full population for which we seek approval;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inability to demonstrate that clinical or other benefits of our product candidates outweigh any safety or other perceived risks;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determination that additional preclinical or clinical trials are required;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non-approval of the formulation, labeling or the specifications of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failure to accept the manufacturing processes or facilities of third-party manufacturers with which we contract; or</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to significantly change in a manner rendering our clinical data insufficient for approval.</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Even if we eventually complete clinical testing and receive approval of any regulatory filing for our product candidates, the FDA may grant approval contingent on the performance of costly additional post-approval clinical trials.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materially adversely impact our business, results of operations and prospects.</w:t>
      </w:r>
    </w:p>
    <w:p>
      <w:pPr>
        <w:spacing w:after="0" w:line="286" w:lineRule="exact"/>
        <w:rPr>
          <w:sz w:val="20"/>
          <w:szCs w:val="20"/>
          <w:color w:val="auto"/>
        </w:rPr>
      </w:pPr>
    </w:p>
    <w:p>
      <w:pPr>
        <w:ind w:left="200" w:right="600"/>
        <w:spacing w:after="0" w:line="308" w:lineRule="auto"/>
        <w:rPr>
          <w:sz w:val="20"/>
          <w:szCs w:val="20"/>
          <w:color w:val="auto"/>
        </w:rPr>
      </w:pPr>
      <w:r>
        <w:rPr>
          <w:rFonts w:ascii="Arial" w:cs="Arial" w:eastAsia="Arial" w:hAnsi="Arial"/>
          <w:sz w:val="17"/>
          <w:szCs w:val="17"/>
          <w:b w:val="1"/>
          <w:bCs w:val="1"/>
          <w:i w:val="1"/>
          <w:iCs w:val="1"/>
          <w:color w:val="auto"/>
        </w:rPr>
        <w:t>Even if any planned products receive regulatory approval, these products may fail to achieve the degree of market acceptance by physicians, patients, caregivers, healthcare payors and others in the medical community necessary for commercial success.</w:t>
      </w:r>
    </w:p>
    <w:p>
      <w:pPr>
        <w:spacing w:after="0" w:line="3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any planned products receive regulatory approval from the FDA or other regulatory agencies in jurisdictions in which they are not currently approved, they may nonetheless fail to gain sufficient market acceptance by physicians, hospital administrators, patients, healthcare payors and others in the medical community. The degree of market acceptance of our planned products, if approved for commercial sale, will depend on a number of factors, including the following:</w:t>
      </w:r>
    </w:p>
    <w:p>
      <w:pPr>
        <w:spacing w:after="0" w:line="92" w:lineRule="exact"/>
        <w:rPr>
          <w:sz w:val="20"/>
          <w:szCs w:val="20"/>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their effectiveness and potential advantages compared to alternative treatments;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we charge for our planned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physicians to change their current treatment practices;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30" w:lineRule="exact"/>
        <w:rPr>
          <w:rFonts w:ascii="Arial" w:cs="Arial" w:eastAsia="Arial" w:hAnsi="Arial"/>
          <w:sz w:val="18"/>
          <w:szCs w:val="18"/>
          <w:color w:val="auto"/>
        </w:rPr>
      </w:pPr>
    </w:p>
    <w:p>
      <w:pPr>
        <w:ind w:left="5620" w:right="1940" w:hanging="4876"/>
        <w:spacing w:after="0" w:line="449" w:lineRule="auto"/>
        <w:tabs>
          <w:tab w:leader="none" w:pos="10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 27</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strength or effectiveness of marketing and distribution support or partners;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third-party coverage or reimbursement.</w:t>
      </w:r>
    </w:p>
    <w:p>
      <w:pPr>
        <w:spacing w:after="0" w:line="22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For example, a number of companies offer therapies for treatment of AR patients based on a daily regimen, and physicians, patients or their families may not be willing to change their current treatment practices in favor of Serenz even if it is able to offer additional efficacy or more attractive product attributes. If our products do not achieve an adequate level of acceptance, we may not generate significant product revenue and we may not become profitable on a sustained basis or at all.</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If the market opportunity for DCCR is smaller than we believe it is, then our revenues may be adversely affected, and our business may suffer.</w:t>
      </w:r>
    </w:p>
    <w:p>
      <w:pPr>
        <w:spacing w:after="0" w:line="14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PWS is a rare disease, and as such, our projections of both the number of people who have this disease, as well as the subset of people with PWS who have the potential to benefit from treatment with our product candidate, are based on estimates.</w:t>
      </w:r>
    </w:p>
    <w:p>
      <w:pPr>
        <w:spacing w:after="0" w:line="170"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Currently, most reported estimates of the prevalence of PWS are based on studies of small subsets of the population of specific geographic areas, which are then extrapolated to estimate the prevalence of the diseases in the broader world population. In addition, as new studies are performed the estimated prevalence of these diseases may change. There can be no assurance that the prevalence of PWS in the study populations, particularly in these newer studies, accurately reflects the prevalence of this disease in the broader world population. If our estimates of the prevalence of PWS, or of the number of patients who may benefit from treatment with our product candidates prove to be incorrect, the market opportunities for our product candidate may be smaller than we believe it is, our prospects for generating revenue may be adversely affected and our business may suffer.</w:t>
      </w:r>
    </w:p>
    <w:p>
      <w:pPr>
        <w:spacing w:after="0" w:line="273" w:lineRule="exact"/>
        <w:rPr>
          <w:sz w:val="20"/>
          <w:szCs w:val="20"/>
          <w:color w:val="auto"/>
        </w:rPr>
      </w:pPr>
    </w:p>
    <w:p>
      <w:pPr>
        <w:ind w:left="200" w:right="40"/>
        <w:spacing w:after="0" w:line="340" w:lineRule="auto"/>
        <w:rPr>
          <w:sz w:val="20"/>
          <w:szCs w:val="20"/>
          <w:color w:val="auto"/>
        </w:rPr>
      </w:pPr>
      <w:r>
        <w:rPr>
          <w:rFonts w:ascii="Arial" w:cs="Arial" w:eastAsia="Arial" w:hAnsi="Arial"/>
          <w:sz w:val="15"/>
          <w:szCs w:val="15"/>
          <w:b w:val="1"/>
          <w:bCs w:val="1"/>
          <w:i w:val="1"/>
          <w:iCs w:val="1"/>
          <w:color w:val="auto"/>
        </w:rPr>
        <w:t>DCCR is currently under development and we have no sales and distribution personnel, and limited marketing capabilities at the present time to commercialize DCCR, if we receive regulatory approval. If we are unable to develop a sales and marketing and distribution capability on our own or through collaborations or other marketing partners, we will not be successful in commercializing our products, or other planned products.</w:t>
      </w:r>
    </w:p>
    <w:p>
      <w:pPr>
        <w:spacing w:after="0" w:line="2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product launch. If the commercial launch of a planned product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To achieve commercial success for any approved product, we must either develop a sales and marketing infrastructure or outsource these functions to third parties. We also may not be successful entering into arrangements with third parties to sell and market our planned products or may be unable to do so on terms that are favorable to us. We likely will have little control over such third parties, and any of them may fail to devote the necessary resources and attention to sell and market our products effectively and could damage our reputation. If we do not establish sales and marketing capabilities successfully, either on our own or in collaboration with third parties, we will not be successful in commercializing our planned products.</w:t>
      </w:r>
    </w:p>
    <w:p>
      <w:pPr>
        <w:spacing w:after="0" w:line="266"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We may attempt to form partnerships with respect to our products, but we may not be able to do so, which may cause us to alter our development and commercialization plans and may cause us to terminate any such programs.</w:t>
      </w:r>
    </w:p>
    <w:p>
      <w:pPr>
        <w:spacing w:after="0" w:line="62"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We may form strategic alliances, create joint ventures or collaborations, or enter into licensing agreements with third parties that we believe will more effectively provide resources to develop and commercialize our programs. For example, we currently intend to identify one or more new partners or distributors for the commercialization of our products.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We face significant competition in seeking appropriate strategic partners, and the negotiation process to secure favorable terms is time-consuming and complex. In addition, the termination of our license agreement for Serenz with our former partner, may negatively impact the perception of Serenz held by other potential partners for the program. We may not be successful in our efforts to establish such a strategic partnership for any future products and programs on terms that are acceptable to us, or at all.</w:t>
      </w:r>
    </w:p>
    <w:p>
      <w:pPr>
        <w:spacing w:after="0" w:line="18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Any delays in identifying suitable collaborators and entering into agreements to develop or commercialize our future products could negatively impact the development or commercialization of our future products, particularly in geographic regions like the E.U., where we do not currently have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future products or bring them to market, and our business may be materially and adversely affected.</w:t>
      </w:r>
    </w:p>
    <w:p>
      <w:pPr>
        <w:spacing w:after="0" w:line="287" w:lineRule="exact"/>
        <w:rPr>
          <w:sz w:val="20"/>
          <w:szCs w:val="20"/>
          <w:color w:val="auto"/>
        </w:rPr>
      </w:pPr>
    </w:p>
    <w:p>
      <w:pPr>
        <w:ind w:left="200" w:right="700"/>
        <w:spacing w:after="0" w:line="342" w:lineRule="auto"/>
        <w:rPr>
          <w:sz w:val="20"/>
          <w:szCs w:val="20"/>
          <w:color w:val="auto"/>
        </w:rPr>
      </w:pPr>
      <w:r>
        <w:rPr>
          <w:rFonts w:ascii="Arial" w:cs="Arial" w:eastAsia="Arial" w:hAnsi="Arial"/>
          <w:sz w:val="16"/>
          <w:szCs w:val="16"/>
          <w:b w:val="1"/>
          <w:bCs w:val="1"/>
          <w:i w:val="1"/>
          <w:iCs w:val="1"/>
          <w:color w:val="auto"/>
        </w:rPr>
        <w:t>Our products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16"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The risk of failure of clinical development is high. It is impossible to predict when or if any planned products will prove safe enough to receive regulatory approval. Undesirable side effects caused by any of our products could cause us or regulatory authorities to interrupt, delay or halt clinical trials or could result in a more restrictive label or the delay or denial of regulatory approval by the FDA or other comparable foreign regulatory authority. Additionally, if any of our planned products receives additional marketing approvals, and we or others later identify undesirable side effects caused by such product, a number of potentially significant negative consequences could result, including:</w:t>
      </w:r>
    </w:p>
    <w:p>
      <w:pPr>
        <w:spacing w:after="0" w:line="78" w:lineRule="exact"/>
        <w:rPr>
          <w:sz w:val="20"/>
          <w:szCs w:val="20"/>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forced to recall such product and suspend the marketing of such product;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products;</w:t>
      </w:r>
    </w:p>
    <w:p>
      <w:pPr>
        <w:spacing w:after="0" w:line="75"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other regulatory bodies may issue safety alerts, Dear Healthcare Provider letters, press releases or other communications containing warnings about such product;</w:t>
      </w:r>
    </w:p>
    <w:p>
      <w:pPr>
        <w:spacing w:after="0" w:line="75" w:lineRule="exact"/>
        <w:rPr>
          <w:rFonts w:ascii="Arial" w:cs="Arial" w:eastAsia="Arial" w:hAnsi="Arial"/>
          <w:sz w:val="18"/>
          <w:szCs w:val="18"/>
          <w:color w:val="auto"/>
        </w:rPr>
      </w:pPr>
    </w:p>
    <w:p>
      <w:pPr>
        <w:ind w:left="1060" w:right="120" w:hanging="316"/>
        <w:spacing w:after="0" w:line="264"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Any of these events could prevent us from achieving or maintaining market acceptance of the particular planned product, if approved.</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We face competition, which may result in others discovering, developing or commercializing products before we do, or more successfully than we do.</w:t>
      </w:r>
    </w:p>
    <w:p>
      <w:pPr>
        <w:spacing w:after="0" w:line="152"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Alternatives exist for our products and we will likely face competition with respect to any planned products that we may seek to develop or commercialize in the future, from major pharmaceutical companies, specialty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pharmaceutical companies, medical device companies, and biotechnology companies worldwide. There are several large pharmaceutical and biotechnology companies that currently market and sell AR therapies to our target patient group. These companies may reduce prices for their competing drugs in an effort to gain or retain market share and undermine the value our products might otherwise be able to offer to payers.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w:t>
      </w:r>
    </w:p>
    <w:p>
      <w:pPr>
        <w:spacing w:after="0" w:line="193"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study sites and patient registration for clinical studies, as well as in acquiring technologies complementary to, or necessary for, our programs.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patent rights may prove to be an inadequate barrier to competition.</w:t>
      </w:r>
    </w:p>
    <w:p>
      <w:pPr>
        <w:spacing w:after="0" w:line="11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We are the sole owner of patents and patent applications in the U.S. with claims covering the compounds underlying our primary product candidate, DCCR. Foreign counterparts of these patents and applications have been issued in the E.U., Japan, China, Canada, Australia, India and Hong Kong. However, the lifespan of any one patent is limited, and each of these patents will ultimately expire and we cannot be sure that pending applications will be granted, or that we will discover new inventions which we can successfully patent. Moreover, any of our granted patents may be held invalid by a court of competent jurisdiction, and any of these patents may also be construed narrowly by a court of competent jurisdiction in such a way that it is held to not directly cover DCCR. Furthermore, even if our patents are held to be valid and broadly interpreted, third parties may find legitimate ways to compete with DCCR by inventing around our patent. Finally, the process of obtaining new patents is lengthy and expensive, as is the process for enforcing patent rights against an alleged infringer. Any such litigation could take years, cost large sums of money and pose a significant distraction to management. Indeed, certain jurisdictions outside of the U.S. and E.U., where we hope to initially commercialize DCCR have a history of inconsistent, relatively lax or ineffective enforcement of patent rights. In such jurisdictions, even a valid patent may have limited value. Our failure to effectively prosecute our patents would have a harmful impact on our ability to commercialize DCCR in these jurisdictions.</w:t>
      </w:r>
    </w:p>
    <w:p>
      <w:pPr>
        <w:spacing w:after="0" w:line="281"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Even if we are able to maintain our existing partners in commercializing our products, they may become subject to unfavorable pricing regulations, third-party reimbursement practices or healthcare reform initiatives, thereby harming our business.</w:t>
      </w:r>
    </w:p>
    <w:p>
      <w:pPr>
        <w:spacing w:after="0" w:line="62"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w:t>
      </w:r>
    </w:p>
    <w:p>
      <w:pPr>
        <w:spacing w:after="0" w:line="16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payers, such as private health insurers and health maintenance organizations, decide which medications they will pay for and establish reimbursement levels. A primary trend in the U.S. healthcare industry and elsewhere is cost containment. Government authorities and these third-party payers have attempted to control costs by limiting</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60"/>
          </w:cols>
          <w:pgMar w:left="24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coverage and the amount of reimbursement for particular medications. We cannot be sure that reimbursement will be available for any product that we commercialize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any planned product that we successfully develop.</w:t>
      </w:r>
    </w:p>
    <w:p>
      <w:pPr>
        <w:spacing w:after="0" w:line="173"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In the U.S.,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 healthcare programs or private payers and by any future relaxation of laws that presently restrict imports of products from countries where they may be sold at lower prices than in the U.S. Third-party payers often rely upon Medicare coverage policy and payment limitations in setting their own reimbursement policies.</w:t>
      </w:r>
    </w:p>
    <w:p>
      <w:pPr>
        <w:spacing w:after="0" w:line="16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inability to promptly obtain coverage and profitable payment rates from both government funded and private payers for new products that we develop could have a material adverse effect on our operating results, our ability to raise capital needed to commercialize products and our overall financial condition. In some foreign countries, including major markets in the E.U. and Japan, the pricing of prescription pharmaceuticals is subject to governmental control. In these countries, pricing negotiations with governmental authorities can take nine to twelve months or longer after the receipt of regulatory marketing approval for a product. To obtain reimbursement or pricing approval in some countries, we may be required to conduct a clinical trial that compares the cost-effectiveness of our product to other available therapies. Our business could be materially harmed if reimbursement of our products, if any, is unavailable or limited in scope or amount or if pricing is set at unsatisfactory levels.</w:t>
      </w:r>
    </w:p>
    <w:p>
      <w:pPr>
        <w:spacing w:after="0" w:line="275"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2"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We face an inherent risk of product liability exposure related to the sale of our products. The marketing, sale and use of our products could lead to the filing of product liability claims against us if someone alleges that our tests failed to perform as designed. We may also be subject to liability for a misunderstanding of, or inappropriate reliance upon, the information we provide. If we cannot successfully defend ourselves against claims that our products caused injuries, we may incur substantial liabilities. Regardless of merit or eventual outcome, liability claims may result in:</w:t>
      </w:r>
    </w:p>
    <w:p>
      <w:pPr>
        <w:spacing w:after="0" w:line="60" w:lineRule="exact"/>
        <w:rPr>
          <w:sz w:val="20"/>
          <w:szCs w:val="20"/>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any planned products that we may develop;</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patients from clinical studies or cancellation of studies;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 distraction to our management team;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patients;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We currently hold $8.0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loss of key members of our executive management team could adversely affect our business.</w:t>
      </w:r>
    </w:p>
    <w:p>
      <w:pPr>
        <w:spacing w:after="0" w:line="11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including Dr. Anish Bhatnagar, our Chief Executive Officer, Neil M. Cowen, our Senior Vice President of Drug Development, and Kristen Yen, our Vice President of Clinical Operations. The collective efforts of each of these persons, and others working with them as a team, are critical to us as we continue to develop our technologies, tests and research and development and sales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Our officers all have employment agreements; however, the existence of an employment agreement does not guarantee retention of members of our executive management team and we may not be able to retain those individuals for the duration of or beyond the end of their respective terms. We have secured a $1,000,000 “key person” life insurance policy on our Chief Executive Officer, Dr. Anish Bhatnagar, but do not otherwise maintain “key person” life insurance on any of our employees.</w:t>
      </w:r>
    </w:p>
    <w:p>
      <w:pPr>
        <w:spacing w:after="0" w:line="169"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Management turnover creates uncertainties and could harm our business</w:t>
      </w:r>
    </w:p>
    <w:p>
      <w:pPr>
        <w:spacing w:after="0" w:line="117"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We have recently experienced changes in our executive leadership. Specifically, on August 29, 2017, David O’Toole, Senior Vice President and Chief Financial Officer, notified us of his decision to resign from employment effective September 11, 2017. Mr. Jonathan Wolter, a partner at FLG Partners, LLC, was retained as our interim Chief Financial Officer; however, no permanent replacement has been appointed. In addition, as part of our joint venture with OAHL, Anthony Wondka transitioned from our Senior Vice President, Research &amp; Development to an employee of Capnia. We also expect that we may have other officers leave as we continue to transition our primary focus to our DCCR development program, and away from our legacy businesses. Changes to strategic or operating goals, which can often times occur with the appointment of new executives, can create uncertainty, may negatively impact our ability to execute quickly and effectively, and may ultimately be unsuccessful. In addition, executive leadership transition periods are often difficult as the new executives gain detailed knowledge of our operations, and friction can result from changes in strategy and management style. Management turnover inherently causes some loss of institutional knowledge, which can negatively affect strategy and execution. Until we integrate new personnel, and unless they are able to succeed in their positions, we may be unable to successfully manage and grow our business, and our financial condition and profitability may suffer.</w:t>
      </w:r>
    </w:p>
    <w:p>
      <w:pPr>
        <w:spacing w:after="0" w:line="183" w:lineRule="exact"/>
        <w:rPr>
          <w:sz w:val="20"/>
          <w:szCs w:val="20"/>
          <w:color w:val="auto"/>
        </w:rPr>
      </w:pPr>
    </w:p>
    <w:p>
      <w:pPr>
        <w:ind w:left="200" w:right="260" w:firstLine="441"/>
        <w:spacing w:after="0" w:line="308" w:lineRule="auto"/>
        <w:rPr>
          <w:sz w:val="20"/>
          <w:szCs w:val="20"/>
          <w:color w:val="auto"/>
        </w:rPr>
      </w:pPr>
      <w:r>
        <w:rPr>
          <w:rFonts w:ascii="Arial" w:cs="Arial" w:eastAsia="Arial" w:hAnsi="Arial"/>
          <w:sz w:val="17"/>
          <w:szCs w:val="17"/>
          <w:color w:val="auto"/>
        </w:rPr>
        <w:t>Further, to the extent we experience additional management turnover, competition for top management is high and it may take months to find a candidate that meets our requirements. If we are unable to attract and retain qualified management personnel, our business could suffer.</w:t>
      </w:r>
    </w:p>
    <w:p>
      <w:pPr>
        <w:spacing w:after="0" w:line="25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There is a scarcity of experienced professionals in our industry. If we are not able to retain and recruit personnel with the requisite technical skills, we may be unable to successfully execute our business strategy.</w:t>
      </w:r>
    </w:p>
    <w:p>
      <w:pPr>
        <w:spacing w:after="0" w:line="62"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businesses, we may not succeed in attracting or retaining the personnel we require to continue and grow our operations.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308" w:lineRule="auto"/>
        <w:rPr>
          <w:sz w:val="20"/>
          <w:szCs w:val="20"/>
          <w:color w:val="auto"/>
        </w:rPr>
      </w:pPr>
      <w:r>
        <w:rPr>
          <w:rFonts w:ascii="Arial" w:cs="Arial" w:eastAsia="Arial" w:hAnsi="Arial"/>
          <w:sz w:val="17"/>
          <w:szCs w:val="17"/>
          <w:b w:val="1"/>
          <w:bCs w:val="1"/>
          <w:i w:val="1"/>
          <w:iCs w:val="1"/>
          <w:color w:val="auto"/>
        </w:rPr>
        <w:t>We may acquire other businesses or form joint ventures or make investments in other companies or technologies that could harm our operating results, dilute our stockholders’ ownership, increase our debt or cause us to incur significant expense.</w:t>
      </w:r>
    </w:p>
    <w:p>
      <w:pPr>
        <w:spacing w:after="0" w:line="3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As part of our business strategy, we may pursue acquisitions or licenses of assets or acquisitions of businesses. We also may pursue strategic alliances and joint ventures that leverage our core technology and industry experience to expand our product offerings or sales and distribution resources, including our joint venture with OAHL with respect to CoSense. Our company has limited experience with acquiring other companies, acquiring or licensing assets or forming strategic alliances and joint ventures.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significant write-offs or the incurrence of debt and contingent liabilities, any of which could have a material adverse effect on our financial condition, results of operations and cash flows. Integration of an acquired company also may disrupt ongoing operations and require management resources that would otherwise focus on developing our existing business. We may experience losses related to investments in other companies, which could have a material negative effect on our results of operations.</w:t>
      </w:r>
    </w:p>
    <w:p>
      <w:pPr>
        <w:spacing w:after="0" w:line="17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may not identify or complete these transactions in a timely manner, on a cost-effective basis, or at all, and we may not realize the anticipated benefits of any acquisition, license, strategic alliance or joint venture. To finance such a transaction, we may choose to issue shares of our common stock as consideration, which would dilute the ownership of our stockholders. If the price of our common stock is low or volatile, we may not be able to acquire other companies or fund a joint venture project using our stock as consideration. Alternatively, it may be necessary for us to raise additional funds for acquisitions through public or private financings. Additional funds may not be available on terms that are favorable to us, or at all.</w:t>
      </w:r>
    </w:p>
    <w:p>
      <w:pPr>
        <w:spacing w:after="0" w:line="266"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will expose us to business, regulatory, political, operational, financial and economic risks associated with doing business outside of the U.S.</w:t>
      </w:r>
    </w:p>
    <w:p>
      <w:pPr>
        <w:spacing w:after="0" w:line="62"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business strategy contemplates international expansion, including partnering with distributors, and introducing our current products and other planned products outside the U.S. Doing business internationally involves a number of risks, including:</w:t>
      </w:r>
    </w:p>
    <w:p>
      <w:pPr>
        <w:spacing w:after="0" w:line="76" w:lineRule="exact"/>
        <w:rPr>
          <w:sz w:val="20"/>
          <w:szCs w:val="20"/>
          <w:color w:val="auto"/>
        </w:rPr>
      </w:pPr>
    </w:p>
    <w:p>
      <w:pPr>
        <w:ind w:left="1060" w:right="50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export and import restrictions, employment laws, regulatory requirements and other governmental approvals, permits and licenses;</w:t>
      </w:r>
    </w:p>
    <w:p>
      <w:pPr>
        <w:spacing w:after="0" w:line="75"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failure by us or our distributors to obtain regulatory approvals for the sale or use of our current products and our planned future products in various countries;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managing foreign operations;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complexities associated with managing government payer systems, multiple payer-reimbursement regimes or self-pay systems;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products, including infrastructure conditions and transportation delays;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our distributors do not execute successfully;</w:t>
      </w:r>
    </w:p>
    <w:p>
      <w:pPr>
        <w:spacing w:after="0" w:line="130" w:lineRule="exact"/>
        <w:rPr>
          <w:rFonts w:ascii="Arial" w:cs="Arial" w:eastAsia="Arial" w:hAnsi="Arial"/>
          <w:sz w:val="18"/>
          <w:szCs w:val="18"/>
          <w:color w:val="auto"/>
        </w:rPr>
      </w:pPr>
    </w:p>
    <w:p>
      <w:pPr>
        <w:ind w:left="1060" w:right="34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enforcing contracts and collecting accounts receivable, and exposure to foreign currency exchange rate fluctuations;</w:t>
      </w:r>
    </w:p>
    <w:p>
      <w:pPr>
        <w:spacing w:after="0" w:line="75" w:lineRule="exact"/>
        <w:rPr>
          <w:rFonts w:ascii="Arial" w:cs="Arial" w:eastAsia="Arial" w:hAnsi="Arial"/>
          <w:sz w:val="18"/>
          <w:szCs w:val="18"/>
          <w:color w:val="auto"/>
        </w:rPr>
      </w:pPr>
    </w:p>
    <w:p>
      <w:pPr>
        <w:ind w:left="1060" w:right="46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or lack of them in certain jurisdictions, forcing more reliance on our trade secrets, if available;</w:t>
      </w:r>
    </w:p>
    <w:p>
      <w:pPr>
        <w:spacing w:after="0" w:line="75"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20" w:hanging="316"/>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comply with the Foreign Corrupt Practices Act, including its books and records provisions and its anti-bribery provisions, by maintaining accurate information and control over sales activities and distributors’ activities.</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Any of these risks, if encountered, could significantly harm our future international expansion and operations and, consequently, have a material adverse effect on our financial condition, results of operations and cash flows.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Intrusions into our computer systems could result in compromise of confidential information.</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Any software we develop or use for any of our products may be potentially subject to malfunction or vulnerable to physical break-ins, hackers, improper employee or contractor access, computer viruses, programming errors, or similar problems. Any of these might result in confidential medical, business or other information of other persons or of ourselves being revealed to unauthorized persons.</w:t>
      </w:r>
    </w:p>
    <w:p>
      <w:pPr>
        <w:spacing w:after="0" w:line="18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There are a number of state, federal and international laws protecting the privacy and security of health information and personal data, including on electronic medical systems. As part of the American Recovery and Reinvestment Act 2009, or ARRA, Congress amended the privacy and security provisions of the Health Insurance Portability and Accountability Act of 1996, or HIPAA. HIPAA imposes limitations on the use and disclosure of an individual’s protected healthcare information by healthcare providers, healthcare clearinghouses, and health insurance plans, collectively referred to as covered entities. The HIPAA amendments also impose compliance obligations and corresponding penalties for non-compliance on individuals and entities that provide services to healthcare providers and other covered entities, collectively referred to as business associates. ARRA also made significant increases in the penalties for improper use or disclosure of an individual’s health information under HIPAA and extended enforcement authority to state attorneys general. The amendments also create notification requirements for individuals whose health information has been inappropriately accessed or disclosed: notification requirements to federal regulators and in some cases, notification to local and national media. Notification is not required under HIPAA if the health information that is improperly used or disclosed is deemed secured in accordance with encryption or other standards developed by HHS. Most states have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U.S. implicate local and national data protection standards, impose additional compliance requirements and generate additional risks of enforcement for non-compliance. We may be required to expend significant capital and other resources to ensure ongoing compliance with applicable privacy and data security laws, to protect against security breaches and hackers or to alleviate problems caused by such breaches.</w:t>
      </w:r>
    </w:p>
    <w:p>
      <w:pPr>
        <w:spacing w:after="0" w:line="178"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With respect to our joint venture, the accuracy of CoSense depends, in part, on the function of proprietary software run by the microprocessors embedded in the device, and despite our efforts to test the software extensively, it is potentially subject to malfunction, physical break-ins, hackers, improper employee or contractor access, computer viruses, programming errors, or similar problems. Any of these might result in confidential medical, business or other information of other persons or of ourselves being revealed to unauthorized persons.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ind w:left="200" w:right="220"/>
        <w:spacing w:after="0" w:line="308" w:lineRule="auto"/>
        <w:rPr>
          <w:sz w:val="20"/>
          <w:szCs w:val="20"/>
          <w:color w:val="auto"/>
        </w:rPr>
      </w:pPr>
      <w:r>
        <w:rPr>
          <w:rFonts w:ascii="Arial" w:cs="Arial" w:eastAsia="Arial" w:hAnsi="Arial"/>
          <w:sz w:val="17"/>
          <w:szCs w:val="17"/>
          <w:b w:val="1"/>
          <w:bCs w:val="1"/>
          <w:i w:val="1"/>
          <w:iCs w:val="1"/>
          <w:color w:val="auto"/>
        </w:rPr>
        <w:t>Any future distribution or commercialization agreements we may enter into for our products may place the development of these products outside our control, may require us to relinquish important rights, or may otherwise be on terms unfavorable to us.</w:t>
      </w:r>
    </w:p>
    <w:p>
      <w:pPr>
        <w:spacing w:after="0" w:line="3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may enter into additional distribution or commercialization agreements with third parties with respect to our products. Our likely collaborators for any distribution, marketing, licensing or other collaboration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arrangements include large and mid-size companies, regional and national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Collaborations involving our products are subject to numerous risks, which may include the following:</w:t>
      </w:r>
    </w:p>
    <w:p>
      <w:pPr>
        <w:spacing w:after="0" w:line="131" w:lineRule="exact"/>
        <w:rPr>
          <w:sz w:val="20"/>
          <w:szCs w:val="20"/>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any such collaborations;</w:t>
      </w:r>
    </w:p>
    <w:p>
      <w:pPr>
        <w:spacing w:after="0" w:line="130" w:lineRule="exact"/>
        <w:rPr>
          <w:rFonts w:ascii="Arial" w:cs="Arial" w:eastAsia="Arial" w:hAnsi="Arial"/>
          <w:sz w:val="18"/>
          <w:szCs w:val="18"/>
          <w:color w:val="auto"/>
        </w:rPr>
      </w:pPr>
    </w:p>
    <w:p>
      <w:pPr>
        <w:ind w:left="1060" w:right="80" w:hanging="316"/>
        <w:spacing w:after="0" w:line="286"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products, or may elect not to continue or renew efforts based on clinical study results, changes in their strategic focus for a variety of reasons, potentially including the acquisition of competitive products, availability of funding, and mergers or acquisitions that divert resources or create competing priorities;</w:t>
      </w:r>
    </w:p>
    <w:p>
      <w:pPr>
        <w:spacing w:after="0" w:line="70" w:lineRule="exact"/>
        <w:rPr>
          <w:rFonts w:ascii="Arial" w:cs="Arial" w:eastAsia="Arial" w:hAnsi="Arial"/>
          <w:sz w:val="17"/>
          <w:szCs w:val="17"/>
          <w:color w:val="auto"/>
        </w:rPr>
      </w:pPr>
    </w:p>
    <w:p>
      <w:pPr>
        <w:ind w:left="1060" w:right="100" w:hanging="316"/>
        <w:spacing w:after="0" w:line="308"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collaborators may delay clinical studies, provide insufficient funding for a clinical study program, stop a clinical study, abandon a product, repeat or conduct new clinical studies or require a new engineering iteration of a product for clinical testing;</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w:t>
      </w:r>
    </w:p>
    <w:p>
      <w:pPr>
        <w:spacing w:after="0" w:line="142" w:lineRule="exact"/>
        <w:rPr>
          <w:rFonts w:ascii="Arial" w:cs="Arial" w:eastAsia="Arial" w:hAnsi="Arial"/>
          <w:sz w:val="17"/>
          <w:szCs w:val="17"/>
          <w:color w:val="auto"/>
        </w:rPr>
      </w:pPr>
    </w:p>
    <w:p>
      <w:pPr>
        <w:ind w:left="1060" w:right="22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75" w:lineRule="exact"/>
        <w:rPr>
          <w:rFonts w:ascii="Arial" w:cs="Arial" w:eastAsia="Arial" w:hAnsi="Arial"/>
          <w:sz w:val="18"/>
          <w:szCs w:val="18"/>
          <w:color w:val="auto"/>
        </w:rPr>
      </w:pPr>
    </w:p>
    <w:p>
      <w:pPr>
        <w:ind w:left="1060" w:right="540" w:hanging="316"/>
        <w:spacing w:after="0" w:line="26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6" w:lineRule="exact"/>
        <w:rPr>
          <w:rFonts w:ascii="Arial" w:cs="Arial" w:eastAsia="Arial" w:hAnsi="Arial"/>
          <w:sz w:val="18"/>
          <w:szCs w:val="18"/>
          <w:color w:val="auto"/>
        </w:rPr>
      </w:pPr>
    </w:p>
    <w:p>
      <w:pPr>
        <w:ind w:left="1060" w:right="60" w:hanging="316"/>
        <w:spacing w:after="0" w:line="308"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disputes may arise between us and a collaborator that causes the delay or termination of the research, development or commercialization of our products or that results in costly litigation or arbitration that diverts management attention and resources;</w:t>
      </w:r>
    </w:p>
    <w:p>
      <w:pPr>
        <w:spacing w:after="0" w:line="51" w:lineRule="exact"/>
        <w:rPr>
          <w:rFonts w:ascii="Arial" w:cs="Arial" w:eastAsia="Arial" w:hAnsi="Arial"/>
          <w:sz w:val="17"/>
          <w:szCs w:val="17"/>
          <w:color w:val="auto"/>
        </w:rPr>
      </w:pPr>
    </w:p>
    <w:p>
      <w:pPr>
        <w:ind w:left="1060" w:right="84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products; and</w:t>
      </w:r>
    </w:p>
    <w:p>
      <w:pPr>
        <w:spacing w:after="0" w:line="75" w:lineRule="exact"/>
        <w:rPr>
          <w:rFonts w:ascii="Arial" w:cs="Arial" w:eastAsia="Arial" w:hAnsi="Arial"/>
          <w:sz w:val="18"/>
          <w:szCs w:val="18"/>
          <w:color w:val="auto"/>
        </w:rPr>
      </w:pPr>
    </w:p>
    <w:p>
      <w:pPr>
        <w:ind w:left="1060" w:right="34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70"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Any termination or disruption of collaborations could result in delays in the development of products, increases in our costs to develop the products or the termination of development of a product.</w:t>
      </w:r>
    </w:p>
    <w:p>
      <w:pPr>
        <w:spacing w:after="0" w:line="279"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62"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As of December 31, 2017, we had twelve employees and six full-time or part-time consultants. Over the next several years, we expect to experience significant growth in the number of our employees and the scope of our operations, particularly in the areas of drug development, quality assurance, engineering, product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w:t>
      </w:r>
    </w:p>
    <w:p>
      <w:pPr>
        <w:spacing w:after="0" w:line="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240" w:top="459"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physical expansion of our operations may lead to significant costs and may divert our management and business development resources. Future growth would impose significant added responsibilities on members of management, including:</w:t>
      </w:r>
    </w:p>
    <w:p>
      <w:pPr>
        <w:spacing w:after="0" w:line="76" w:lineRule="exact"/>
        <w:rPr>
          <w:sz w:val="20"/>
          <w:szCs w:val="20"/>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managing our clinical trials effectively, which we anticipate being conducted at numerous clinical sites;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identifying, recruiting, maintaining, motivating and integrating additional employees with the expertise and experience we will require;</w:t>
      </w:r>
    </w:p>
    <w:p>
      <w:pPr>
        <w:spacing w:after="0" w:line="142" w:lineRule="exact"/>
        <w:rPr>
          <w:rFonts w:ascii="Arial" w:cs="Arial" w:eastAsia="Arial" w:hAnsi="Arial"/>
          <w:sz w:val="17"/>
          <w:szCs w:val="17"/>
          <w:color w:val="auto"/>
        </w:rPr>
      </w:pPr>
    </w:p>
    <w:p>
      <w:pPr>
        <w:ind w:left="1060" w:right="8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contractors and other third parties;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managing additional relationships with various strategic partners, suppliers and other third parties;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finance reporting systems and procedures;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expanding our facilities.</w:t>
      </w:r>
    </w:p>
    <w:p>
      <w:pPr>
        <w:spacing w:after="0" w:line="225"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Our failure to accomplish any of these tasks could prevent us from successfully growing. Any inability to manage growth could delay the execution of our business plans or disrupt our operations.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Because we intend to commercialize our products outside the U.S., we will be subject to additional risks.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variety of risks associated with international operations could materially adversely affect our business, including:</w:t>
      </w:r>
    </w:p>
    <w:p>
      <w:pPr>
        <w:spacing w:after="0" w:line="131" w:lineRule="exact"/>
        <w:rPr>
          <w:sz w:val="20"/>
          <w:szCs w:val="20"/>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certain components of our clinical studies, and those third parties may not perform satisfactorily, including failing to meet deadlines for the completion of such studies.</w:t>
      </w:r>
    </w:p>
    <w:p>
      <w:pPr>
        <w:spacing w:after="0" w:line="6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rely on third parties, such as contract research organizations, or CROs, investigational product packaging, labeling and distribution, laboratories, medical institutions and clinical investigators and staff, to perform various functions for our clinical trials. Our reliance on these third parties for clinical development activities reduces our control over these activities but does not relieve us of our responsibilities. We remain responsible for ensuring that each of our clinical studies is conducted in accordance with the general investigational plan and protocols for the study. Moreover, the FDA requires us and third parties involved in the</w:t>
      </w:r>
    </w:p>
    <w:p>
      <w:pPr>
        <w:spacing w:after="0" w:line="1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240" w:top="459"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set-up, conduct, analysis and reporting of the clinical studies to comply with regulations and with standards, commonly referred to as good clinical practices, or GCP, to assure that data and reported results are credible and accurate and that the rights, integrity and confidentiality of patients in clinical studies are protected. Our clinical investigators are also required to comply with GCPs. Furthermore, these third parties may also have relationships with other entities, some of which may be our competitors. If these third parties do not successfully carry out their contractual duties, meet expected deadlines or conduct our clinical studies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use biological and hazardous materials in a manner that causes injury, we could be liable for damages.</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Our manufacturing processes currently require the controlled use of potentially harmful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These are particularly stringent in California, including for purposes of our joint venture with OAHL, where our Cosense manufacturing facility and several suppliers are located. The cost of compliance with these laws and regulations may become significant and could have a material adverse effect on our financial condition, results of operations and cash flows. In the event of an accident or if we otherwise fail to comply with applicable regulations, we could lose our permits or approvals or be held liable for damages or penalized with fines.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62"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Patent litigation is prevalent in our sectors.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products and technology.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and technology. 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technologies licensed to us and could require us to pay significant royalties and other fees.</w:t>
      </w:r>
    </w:p>
    <w:p>
      <w:pPr>
        <w:spacing w:after="0" w:line="18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could be forced, including by court order, to cease commercializing the infringing technology or product. In addition, we could be found liable for monetary damages. A finding of infringement could prevent us from commercializing our planned products or force us to cease some of our business operations, which could materially harm our business. 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These and other claims that we have misappropriated the confidential information or trade secrets of third parties can have a similar negative impact on our business to the infringement claims discussed above.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Even if we are successful in defending against intellectual property claims, litigation or other legal proceedings relating to such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have a material adverse effect on our ability to compete in the marketplace.</w:t>
      </w:r>
    </w:p>
    <w:p>
      <w:pPr>
        <w:spacing w:after="0" w:line="30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agreements, we could lose intellectual property rights that are important to our business.</w:t>
      </w:r>
    </w:p>
    <w:p>
      <w:pPr>
        <w:spacing w:after="0" w:line="62"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color w:val="auto"/>
        </w:rPr>
        <w:t>We are a party to intellectual property arrangements and expect that our future license agreements will impose, various diligence, milestone payment, royalty, insurance and other obligations on us. If we fail to comply with these obligations, any licensor may have the right to terminate such agreements, in which event we may not be able to develop and market any product that is covered by such agreements.</w:t>
      </w:r>
    </w:p>
    <w:p>
      <w:pPr>
        <w:spacing w:after="0" w:line="166"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The risks described elsewhere pertaining to our intellectual property rights also apply to any intellectual property rights that we may license, and any failure by us or any future licensor to obtain, maintain, defend and enforce these rights could have a material adverse effect on our business.</w:t>
      </w:r>
    </w:p>
    <w:p>
      <w:pPr>
        <w:spacing w:after="0" w:line="232"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b w:val="1"/>
          <w:bCs w:val="1"/>
          <w:i w:val="1"/>
          <w:iCs w:val="1"/>
          <w:color w:val="auto"/>
        </w:rPr>
        <w:t>Our ability to successfully commercialize our technology and products may be materially adversely affected if we are unable to obtain and maintain effective intellectual property rights for our technologies and planned products, or if the scope of the intellectual property protection is not sufficiently broad.</w:t>
      </w:r>
    </w:p>
    <w:p>
      <w:pPr>
        <w:spacing w:after="0" w:line="73"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U.S. and in other countries with respect to our proprietary technology and products.</w:t>
      </w:r>
    </w:p>
    <w:p>
      <w:pPr>
        <w:spacing w:after="0" w:line="170"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The patent position of pharmaceutical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the patent rights we rely on are highly uncertain. Pending and future patent applications may not result in patents being issued which protect our technology or products or which effectively prevent others from commercializing competitive technologies and products. Changes in either the patent laws or interpretation of the patent laws in the U.S. and other countries may diminish the value of the patents we rely on or narrow the scope of our patent protection. The laws of foreign countries may not protect our rights to the same extent as the laws of the U.S.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or were the first to file for patent protection of such inventions.</w:t>
      </w:r>
    </w:p>
    <w:p>
      <w:pPr>
        <w:spacing w:after="0" w:line="167" w:lineRule="exact"/>
        <w:rPr>
          <w:sz w:val="20"/>
          <w:szCs w:val="20"/>
          <w:color w:val="auto"/>
        </w:rPr>
      </w:pPr>
    </w:p>
    <w:p>
      <w:pPr>
        <w:ind w:left="200" w:right="200" w:firstLine="441"/>
        <w:spacing w:after="0" w:line="293" w:lineRule="auto"/>
        <w:rPr>
          <w:sz w:val="20"/>
          <w:szCs w:val="20"/>
          <w:color w:val="auto"/>
        </w:rPr>
      </w:pPr>
      <w:r>
        <w:rPr>
          <w:rFonts w:ascii="Arial" w:cs="Arial" w:eastAsia="Arial" w:hAnsi="Arial"/>
          <w:sz w:val="16"/>
          <w:szCs w:val="16"/>
          <w:color w:val="auto"/>
        </w:rPr>
        <w:t>Even if the patent applications we rely on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 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technology and products. Given the amount of time required for the development, testing and regulatory review of new planned products, patents protecting such products might expire before or shortly after such products are commercialized. As a result, our patent portfolio may not provide us with sufficient rights to exclude others from commercializing products similar or identical to ours or otherwise provide us with a competitive advantage.</w:t>
      </w:r>
    </w:p>
    <w:p>
      <w:pPr>
        <w:spacing w:after="0" w:line="255"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We may become involved in legal proceedings to protect or enforce our intellectual property rights, which could be expensive, time-consuming, or unsuccessful.</w:t>
      </w:r>
    </w:p>
    <w:p>
      <w:pPr>
        <w:spacing w:after="0" w:line="62" w:lineRule="exact"/>
        <w:rPr>
          <w:sz w:val="20"/>
          <w:szCs w:val="20"/>
          <w:color w:val="auto"/>
        </w:rPr>
      </w:pPr>
    </w:p>
    <w:p>
      <w:pPr>
        <w:ind w:left="200" w:right="220" w:firstLine="441"/>
        <w:spacing w:after="0" w:line="271" w:lineRule="auto"/>
        <w:rPr>
          <w:sz w:val="20"/>
          <w:szCs w:val="20"/>
          <w:color w:val="auto"/>
        </w:rPr>
      </w:pPr>
      <w:r>
        <w:rPr>
          <w:rFonts w:ascii="Arial" w:cs="Arial" w:eastAsia="Arial" w:hAnsi="Arial"/>
          <w:sz w:val="17"/>
          <w:szCs w:val="17"/>
          <w:color w:val="auto"/>
        </w:rPr>
        <w:t>Competitors may infringe or otherwise violate the patents we rely on, or our other intellectual property rights.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proceeding could put one or more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9"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Interference or derivation proceedings provoked by third parties or brought by the U.S. Patent and Trademark Office, or USPTO, or any foreign patent authority may be necessary to determine the priority of inventions or other matters of inventorship with respect to patents and patent applications. We may become involved in proceedings, including oppositions, interferences, derivation proceedings inter partes reviews, patent nullification proceedings, or re-examinations, challenging our patent rights or the patent rights of others, and the outcome of any such proceedings are highly uncertain. An adverse determination in any such proceeding could reduce the scope of, or invalidate, important patent rights, allow third parties to 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If we are unable to resolve these disputes, we could lose valuable intellectual property rights.</w:t>
      </w:r>
    </w:p>
    <w:p>
      <w:pPr>
        <w:spacing w:after="0" w:line="16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w:t>
      </w:r>
    </w:p>
    <w:p>
      <w:pPr>
        <w:spacing w:after="0" w:line="297"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harming our business and competitive position.</w:t>
      </w:r>
    </w:p>
    <w:p>
      <w:pPr>
        <w:spacing w:after="0" w:line="62"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In addition to our patented technology and products, we rely upon confidential proprietary information, including trade secrets, unpatented know-how, technology and other proprietary information, to develop and maintain our competitive position. Any 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88" w:lineRule="auto"/>
        <w:rPr>
          <w:sz w:val="20"/>
          <w:szCs w:val="20"/>
          <w:color w:val="auto"/>
        </w:rPr>
      </w:pPr>
      <w:r>
        <w:rPr>
          <w:rFonts w:ascii="Arial" w:cs="Arial" w:eastAsia="Arial" w:hAnsi="Arial"/>
          <w:sz w:val="16"/>
          <w:szCs w:val="16"/>
          <w:color w:val="auto"/>
        </w:rPr>
        <w:t>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protect or enforce our intellectual property rights throughout the world.</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Filing, prosecuting and defending patents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left="200" w:right="260" w:firstLine="441"/>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2" w:lineRule="exact"/>
        <w:rPr>
          <w:sz w:val="20"/>
          <w:szCs w:val="20"/>
          <w:color w:val="auto"/>
        </w:rPr>
      </w:pPr>
    </w:p>
    <w:p>
      <w:pPr>
        <w:ind w:left="1060" w:hanging="316"/>
        <w:spacing w:after="0"/>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Others may be able to make products that are similar to our current and planned products, but that are not covered by claims in our patents;</w:t>
      </w:r>
    </w:p>
    <w:p>
      <w:pPr>
        <w:spacing w:after="0" w:line="153" w:lineRule="exact"/>
        <w:rPr>
          <w:rFonts w:ascii="Arial" w:cs="Arial" w:eastAsia="Arial" w:hAnsi="Arial"/>
          <w:sz w:val="16"/>
          <w:szCs w:val="16"/>
          <w:color w:val="auto"/>
        </w:rPr>
      </w:pPr>
    </w:p>
    <w:p>
      <w:pPr>
        <w:ind w:left="1060" w:right="8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original filers of our patents that we developed or purchased might not have been the first to make the inventions covered by the claims contained in such patents;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Pending patent applications may not lead to issued patents;</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Issued patents may not provide us with any competitive advantages, or may be held invalid or unenforceable, as a result of legal challenges by our competitors;</w:t>
      </w:r>
    </w:p>
    <w:p>
      <w:pPr>
        <w:spacing w:after="0" w:line="75" w:lineRule="exact"/>
        <w:rPr>
          <w:rFonts w:ascii="Arial" w:cs="Arial" w:eastAsia="Arial" w:hAnsi="Arial"/>
          <w:sz w:val="18"/>
          <w:szCs w:val="18"/>
          <w:color w:val="auto"/>
        </w:rPr>
      </w:pPr>
    </w:p>
    <w:p>
      <w:pPr>
        <w:ind w:left="1060" w:right="620" w:hanging="316"/>
        <w:spacing w:after="0" w:line="308"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333"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or applications will be due to be paid by us to the United States Patent and Trademark Office, or USPTO, and various governmental patent agencies outside of the 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use our technologies and this circumstance would have a material adverse effect on our business</w:t>
      </w:r>
    </w:p>
    <w:p>
      <w:pPr>
        <w:spacing w:after="0" w:line="27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patent applications and the enforcement or defense of our issued patents.</w:t>
      </w:r>
    </w:p>
    <w:p>
      <w:pPr>
        <w:spacing w:after="0" w:line="62"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In March 2013, under the America Invents Act, or AIA, the U.S. moved to a first-to-file system and made certain other changes to its patent laws. The effects of these changes are currently unclear as the USPTO must still implement various regulations, the courts have yet to address these provisions and the applicability of the act and new regulations on specific patents discussed herein have not been determined and would need to be reviewed.</w:t>
      </w:r>
    </w:p>
    <w:p>
      <w:pPr>
        <w:ind w:left="200" w:right="120"/>
        <w:spacing w:after="0" w:line="255" w:lineRule="auto"/>
        <w:rPr>
          <w:sz w:val="20"/>
          <w:szCs w:val="20"/>
          <w:color w:val="auto"/>
        </w:rPr>
      </w:pPr>
      <w:r>
        <w:rPr>
          <w:rFonts w:ascii="Arial" w:cs="Arial" w:eastAsia="Arial" w:hAnsi="Arial"/>
          <w:sz w:val="18"/>
          <w:szCs w:val="18"/>
          <w:color w:val="auto"/>
        </w:rPr>
        <w:t>Accordingly, it is not yet clear what, if any, impact the AIA will have on the operation of our business. However, the AIA and its implementation could increase the uncertainties and costs surrounding the prosecution of patent applications and the enforcement or defense of issued patents, all of which could have a material adverse effect on our business and financial condition.</w:t>
      </w:r>
    </w:p>
    <w:p>
      <w:pPr>
        <w:spacing w:after="0" w:line="298" w:lineRule="exact"/>
        <w:rPr>
          <w:sz w:val="20"/>
          <w:szCs w:val="20"/>
          <w:color w:val="auto"/>
        </w:rPr>
      </w:pPr>
    </w:p>
    <w:p>
      <w:pPr>
        <w:ind w:left="200" w:right="380"/>
        <w:spacing w:after="0" w:line="342" w:lineRule="auto"/>
        <w:rPr>
          <w:sz w:val="20"/>
          <w:szCs w:val="20"/>
          <w:color w:val="auto"/>
        </w:rPr>
      </w:pPr>
      <w:r>
        <w:rPr>
          <w:rFonts w:ascii="Arial" w:cs="Arial" w:eastAsia="Arial" w:hAnsi="Arial"/>
          <w:sz w:val="16"/>
          <w:szCs w:val="16"/>
          <w:b w:val="1"/>
          <w:bCs w:val="1"/>
          <w:i w:val="1"/>
          <w:iCs w:val="1"/>
          <w:color w:val="auto"/>
        </w:rPr>
        <w:t>If we do not obtain a patent term extension in the U.S. under the Hatch-Waxman Act and in foreign countries under similar legislation, thereby potentially extending the term of our marketing exclusivity for our planned products, our business may be materially harmed.</w:t>
      </w:r>
    </w:p>
    <w:p>
      <w:pPr>
        <w:spacing w:after="0" w:line="16"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7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b w:val="1"/>
          <w:bCs w:val="1"/>
          <w:i w:val="1"/>
          <w:iCs w:val="1"/>
          <w:color w:val="auto"/>
        </w:rPr>
        <w:t>The regulatory approval process is expensive, time consuming and uncertain, and may prevent us from obtaining approvals for our planned products.</w:t>
      </w:r>
    </w:p>
    <w:p>
      <w:pPr>
        <w:spacing w:after="0" w:line="6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our products are subject to extensive regulation by the FDA in the U.S. and other regulatory authorities in other countries, which regulations differ from country to country. We are not permitted to market our planned products in the U.S. until we received the requisite approval or clearance from the FDA. We have not submitted an application or received marketing approval for any planned products. Obtaining approvals from the FDA can be a lengthy, expensive and uncertain process. In addition, failure to comply with FDA and other applicable U.S. and foreign regulatory requirements may subject us to administrative or judicially imposed sanctions, including the following:</w:t>
      </w:r>
    </w:p>
    <w:p>
      <w:pPr>
        <w:spacing w:after="0" w:line="99" w:lineRule="exact"/>
        <w:rPr>
          <w:sz w:val="20"/>
          <w:szCs w:val="20"/>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civil or criminal penalties and fines;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of any ongoing clinical studies;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to accept or approve applications for marketing approval of new drugs or biologics or supplements to approved applications filed by us;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seizure or detention of our products or import bans.</w:t>
      </w:r>
    </w:p>
    <w:p>
      <w:pPr>
        <w:spacing w:after="0" w:line="22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Prior to receiving approval to commercialize any of our planned products in the U.S. or abroad, we may be required to demonstrate with substantial evidence from well-controlled clinical studies, and to the satisfaction of the FDA and other regulatory authorities abroad, that such planned products are safe and effective for their intended uses. Results from preclinical studies and clinical studies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studies of our planned products and result in the FDA or other regulatory authorities denying approval of our planned products for any or all targeted indications.</w:t>
      </w:r>
    </w:p>
    <w:p>
      <w:pPr>
        <w:spacing w:after="0" w:line="18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Regulatory approval from the FDA is not guaranteed, and the approval process is expensive and may take several years. The FDA also has substantial discretion in the approval process. Despite the time and expense exerted, failure can occur at any stage, and we could encounter problems that cause us to abandon or repeat clinical studies or perform additional preclinical studies and clinical studies. The number of preclinical studies and clinical studies that will be required for FDA approval varies depending on the planned product, the disease or condition that the planned product is designed to address and the regulations applicable to any particular planned product. The FDA can delay, limit or deny approval of a planned product for many reasons, including, but not limited to, the following:</w:t>
      </w:r>
    </w:p>
    <w:p>
      <w:pPr>
        <w:spacing w:after="0" w:line="99" w:lineRule="exact"/>
        <w:rPr>
          <w:sz w:val="20"/>
          <w:szCs w:val="20"/>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planned product may not be deemed safe or effective;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FDA officials may not find the data from preclinical studies and clinical studies sufficient;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might not approve our or our third-party manufacturer’s processes or facilities;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may change its approval policies or adopt new regulations.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If any planned products fail to demonstrate safety and effectiveness in clinical studies or do not gain regulatory approval, our business and results of operations will be materially and adversely harmed.</w:t>
      </w:r>
    </w:p>
    <w:p>
      <w:pPr>
        <w:spacing w:after="0" w:line="17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research, development, conduct of clinical trials, manufacturing, labeling, approval, selling, import, export, marketing and distribution of pharmaceutical and biologic products also are subject to extensive regulation by the FDA in the U.S. and other regulatory authorities in other countries, which regulations differ from country to country.</w:t>
      </w:r>
    </w:p>
    <w:p>
      <w:pPr>
        <w:spacing w:after="0" w:line="18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research, development, conduct of clinical trials, manufacturing, labeling, approval, selling, import, export, marketing and distribution of pharmaceutical and biologic products also are subject to extensive regulation by the FDA in the U.S. and other regulatory authorities in other countries, which regulations differ from country to country.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Nonclinical Testing</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Before a drug candidate in can be tested in humans, it must be studied in laboratory experiments and in animals to generate data to support the drug candidate’s potential benefits and safety. Additional nonclinical testing may be required during the clinical development process such as reproductive toxicology and juvenile toxicology studies. Carcinogencity studies in 2 species are generally required for products intended for long-term use.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Investigational New Drug Exemption Application (IND)</w:t>
      </w:r>
    </w:p>
    <w:p>
      <w:pPr>
        <w:spacing w:after="0" w:line="117"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auto"/>
        </w:rPr>
        <w:t>The results of initial nonclinical tests, together with manufacturing information, analytical data and a proposed clinical trial protocol and other information, are submitted as part of an IND to the FDA. If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These clinical trials involve three separate phases that often overlap, can take many years and are very expensive. These three phases, which are subject to considerable regulation, are as follows:</w:t>
      </w:r>
    </w:p>
    <w:p>
      <w:pPr>
        <w:spacing w:after="0" w:line="76" w:lineRule="exact"/>
        <w:rPr>
          <w:sz w:val="20"/>
          <w:szCs w:val="20"/>
          <w:color w:val="auto"/>
        </w:rPr>
      </w:pPr>
    </w:p>
    <w:p>
      <w:pPr>
        <w:ind w:left="1060" w:right="20" w:hanging="316"/>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Phase 1. The drug candidate is given to a small number of healthy human control subjects or patients suffering from the indicated disease, to test for safety, dose tolerance, pharmacokinetics, metabolism, distribution and excretion.</w:t>
      </w:r>
    </w:p>
    <w:p>
      <w:pPr>
        <w:spacing w:after="0" w:line="75" w:lineRule="exact"/>
        <w:rPr>
          <w:rFonts w:ascii="Arial" w:cs="Arial" w:eastAsia="Arial" w:hAnsi="Arial"/>
          <w:sz w:val="18"/>
          <w:szCs w:val="18"/>
          <w:color w:val="auto"/>
        </w:rPr>
      </w:pPr>
    </w:p>
    <w:p>
      <w:pPr>
        <w:jc w:val="both"/>
        <w:ind w:left="1060" w:right="80" w:hanging="316"/>
        <w:spacing w:after="0" w:line="286"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Phase 2. The drug candidate is given to a limited patient population to determine the effect of the drug candidate in treating the disease, the best dose of the drug candidate, and the possible side effects and safety risks of the drug candidate. It is not uncommon for a drug candidate that appears promising in Phase 1 clinical trials to fail in the more rigorous Phase 2 clinical trials.</w:t>
      </w:r>
    </w:p>
    <w:p>
      <w:pPr>
        <w:spacing w:after="0" w:line="70" w:lineRule="exact"/>
        <w:rPr>
          <w:rFonts w:ascii="Arial" w:cs="Arial" w:eastAsia="Arial" w:hAnsi="Arial"/>
          <w:sz w:val="17"/>
          <w:szCs w:val="17"/>
          <w:color w:val="auto"/>
        </w:rPr>
      </w:pPr>
    </w:p>
    <w:p>
      <w:pPr>
        <w:ind w:left="1060" w:hanging="316"/>
        <w:spacing w:after="0" w:line="25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Phase 3. If a drug candidate appears to be effective and safe in Phase 2 clinical trials, Phase 3 clinical trials are commenced to confirm those results. Phase 3 clinical trials are conducted over a longer term, involve a significantly larger population, are conducted at numerous sites in different geographic regions and are carefully designed to provide reliable and conclusive data regarding the safety and benefits of a drug candidate. It is not uncommon for a drug candidate that appears promising in Phase 2 clinical trials to fail in the more rigorous and extensive Phase 3 clinical trials.</w:t>
      </w:r>
    </w:p>
    <w:p>
      <w:pPr>
        <w:spacing w:after="0" w:line="188"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For each clinical trial, an independent IRB or independent ethics committee, covering each site proposing to conduct a clinical trial must review and approve the plan for any clinical trial and informed consent information for subjects before the trial commences at that site and it must monitor the study until completed. The FDA,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IRB, or the sponsor may suspend a clinical trial at any time on various grounds, including a finding that the subjects or patients are being exposed to an unacceptable health risk or for failure to comply with the IRB’s requirements, or may impose other conditions.</w:t>
      </w:r>
    </w:p>
    <w:p>
      <w:pPr>
        <w:spacing w:after="0" w:line="170"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Clinical trials involve the administration of an investigational drug to human subjects under the supervision of qualified investigators in accordance with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18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When we believe that the data from our clinical trials show an adequate level of safety and efficacy, we submit the application to market the drug for a particular use, normally a New Drug Application (NDA) with FDA. FDA may hold a public hearing where an independent advisory committee of expert advisors asks additional questions and makes recommendations regarding the drug candidate. This committee makes a recommendation to FDA that is not binding but is generally followed by FDA. If FDA agrees that the compound has met the required level of safety and efficacy for a particular use, it will allow the drug candidate in the United States to be marketed and sold for that use. It is not unusual, however, for FDA to reject an application because it believes that the risks of the drug candidate outweigh the purported benefit or because it does not believe that the data submitted are reliable or conclusive. The FDA may also issue a Complete Response Letter, or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18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FDA may also require Phase 4 non-registrational studies to explore scientific questions to further characterize safety and efficacy during commercial use of our drug.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FDA approves a drug, it could limit the uses of the drug. FDA can withdraw approvals if it does not believe that we are complying with regulatory standards or if problems are uncovered or occur after approval.</w:t>
      </w:r>
    </w:p>
    <w:p>
      <w:pPr>
        <w:spacing w:after="0" w:line="173"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In addition to obtaining FDA approval for each drug, we obtain FDA approval of the manufacturing facilities for companies who manufacture our drugs for us. All of these facilities are subject to periodic inspections by FDA. FDA must also approve foreign establishments that manufacture products to be sold in the United States and these facilities are subject to periodic regulatory inspection.</w:t>
      </w:r>
    </w:p>
    <w:p>
      <w:pPr>
        <w:spacing w:after="0" w:line="18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Once issued, 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which have been commercialized, and the FDA has the authority to prevent or limit further marketing of a product based on the 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 obtain FDA approval of a new or supplemental NDA, which may require the development of additional data or conduct of additional pre-clinical studies and clinical trials.</w:t>
      </w:r>
    </w:p>
    <w:p>
      <w:pPr>
        <w:spacing w:after="0" w:line="287" w:lineRule="exact"/>
        <w:rPr>
          <w:sz w:val="20"/>
          <w:szCs w:val="20"/>
          <w:color w:val="auto"/>
        </w:rPr>
      </w:pPr>
    </w:p>
    <w:p>
      <w:pPr>
        <w:ind w:left="200" w:right="120"/>
        <w:spacing w:after="0" w:line="375" w:lineRule="auto"/>
        <w:rPr>
          <w:sz w:val="20"/>
          <w:szCs w:val="20"/>
          <w:color w:val="auto"/>
        </w:rPr>
      </w:pPr>
      <w:r>
        <w:rPr>
          <w:rFonts w:ascii="Arial" w:cs="Arial" w:eastAsia="Arial" w:hAnsi="Arial"/>
          <w:sz w:val="15"/>
          <w:szCs w:val="15"/>
          <w:b w:val="1"/>
          <w:bCs w:val="1"/>
          <w:i w:val="1"/>
          <w:iCs w:val="1"/>
          <w:color w:val="auto"/>
        </w:rPr>
        <w:t>Even if we receive marketing approval for a planned product, we will be subject to ongoing regulatory obligations and continued regulatory review, which may result in significant additional expense and subject us to penalties if we fail to comply with applicable regulatory requirements.</w:t>
      </w:r>
    </w:p>
    <w:p>
      <w:pPr>
        <w:spacing w:after="0" w:line="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Once marketing approval has been obtained, the approved product and its manufacturer are subject to continual review by the FDA or non-U.S. regulatory authorities. With respect to our joint venture, the current clearance for CoSense, as well as any additional regulatory approval that we receive for any of our other planned products may be subject to limitations on the indicated uses for which the product may be marketed. Future approvals may contain requirements for potentially costly post-marketing follow-up studies to monitor the safety and effectiveness of the approved product. In addition, we are subject to extensive and ongoing regulatory requirements by the FDA and other regulatory authorities with regard to the labeling, packaging, adverse event reporting, storage, advertising, promotion and recordkeeping for our products.</w:t>
      </w:r>
    </w:p>
    <w:p>
      <w:pPr>
        <w:spacing w:after="0" w:line="178" w:lineRule="exact"/>
        <w:rPr>
          <w:sz w:val="20"/>
          <w:szCs w:val="20"/>
          <w:color w:val="auto"/>
        </w:rPr>
      </w:pPr>
    </w:p>
    <w:p>
      <w:pPr>
        <w:ind w:left="200" w:right="360" w:firstLine="441"/>
        <w:spacing w:after="0" w:line="272" w:lineRule="auto"/>
        <w:rPr>
          <w:sz w:val="20"/>
          <w:szCs w:val="20"/>
          <w:color w:val="auto"/>
        </w:rPr>
      </w:pPr>
      <w:r>
        <w:rPr>
          <w:rFonts w:ascii="Arial" w:cs="Arial" w:eastAsia="Arial" w:hAnsi="Arial"/>
          <w:sz w:val="17"/>
          <w:szCs w:val="17"/>
          <w:color w:val="auto"/>
        </w:rPr>
        <w:t>In addition, we are required to comply with cGMP regulations regarding the manufacture of our drugs, which include requirements related to quality control and quality assurance as well as the corresponding maintenance of records and documentation. Further, regulatory authorities must approve these manufacturing facilities before they can be used to manufacture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w:t>
      </w:r>
    </w:p>
    <w:p>
      <w:pPr>
        <w:spacing w:after="0" w:line="178"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w:t>
      </w:r>
    </w:p>
    <w:p>
      <w:pPr>
        <w:spacing w:after="0" w:line="18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or QSR compliance.</w:t>
      </w:r>
    </w:p>
    <w:p>
      <w:pPr>
        <w:spacing w:after="0" w:line="193"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94" w:lineRule="exact"/>
        <w:rPr>
          <w:sz w:val="20"/>
          <w:szCs w:val="20"/>
          <w:color w:val="auto"/>
        </w:rPr>
      </w:pPr>
    </w:p>
    <w:p>
      <w:pPr>
        <w:jc w:val="center"/>
        <w:ind w:left="5620" w:right="520" w:hanging="4876"/>
        <w:spacing w:after="0" w:line="449" w:lineRule="auto"/>
        <w:tabs>
          <w:tab w:leader="none" w:pos="10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 45</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30"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w:t>
      </w:r>
    </w:p>
    <w:p>
      <w:pPr>
        <w:spacing w:after="0" w:line="17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Drugs that treat serious or life-threatening diseases and conditions that are not adequately addressed by existing drugs, and for which the development program is designed to address the unmet medical need, may be designated as fast track and/or breakthrough candidates by FDA and may be eligible for accelerated and priority review.</w:t>
      </w:r>
    </w:p>
    <w:p>
      <w:pPr>
        <w:spacing w:after="0" w:line="181"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Drugs that are developed for rare diseases can be designated as Orphan Drugs. In the U.S., the disease or condition has an incidence of less than 200,000 persons and in the E.U. the prevalence of the condition must be not more than 5 in 10,000 persons. In the U.S., orphan-designated drugs are granted up to 7-year market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w:t>
      </w:r>
    </w:p>
    <w:p>
      <w:pPr>
        <w:spacing w:after="0" w:line="17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Drugs are also subject to extensive regulation outside of the U.S. In the E.U., there is a centralized approval procedure that authorizes marketing of a product in all countries of the E.U. (which includes most major countries in the E.U.). If this centralized approval procedure is not used, approval in one country of the E.U. can be used to obtain approval in another country of the E.U. under one of two simplified application processes: the mutual recognition procedure or the decentralized procedure, both of which rely on the principle of mutual recognition. After receiving regulatory approval through any of the E.U. registration procedures, separate pricing and reimbursement approvals are also required in most countries. The E.U. also has requirements for approval of manufacturing facilities for all products that are approved for sale by the E.U. regulatory authorities.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Failure to obtain marketing approvals in foreign jurisdictions will prevent us from marketing our products internationally.</w:t>
      </w:r>
    </w:p>
    <w:p>
      <w:pPr>
        <w:spacing w:after="0" w:line="117"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We intend to seek distribution and marketing partners for our current products outside the U.S. and may market planned products in international markets. Our joint venture has obtained a CE Mark certification for CoSense and Serenz and they are therefore authorized for sale in the E.U.; however, in order to market these products in Asia, Latin America and other foreign jurisdictions, we must obtain separate regulatory approvals.</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had limited interactions with foreign regulatory authorities. The approval procedures vary among countries and can involve additional clinical testing, and the time required to obtain approval may differ from that required to obtain FDA approval. Moreover, clinical studies or manufacturing processes conducted in one country may not be accepted by regulatory authorities in other countries. Approval by the FDA and CE Mark certification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60"/>
        <w:spacing w:after="0" w:line="264" w:lineRule="auto"/>
        <w:rPr>
          <w:sz w:val="20"/>
          <w:szCs w:val="20"/>
          <w:color w:val="auto"/>
        </w:rPr>
      </w:pPr>
      <w:r>
        <w:rPr>
          <w:rFonts w:ascii="Arial" w:cs="Arial" w:eastAsia="Arial" w:hAnsi="Arial"/>
          <w:sz w:val="18"/>
          <w:szCs w:val="18"/>
          <w:color w:val="auto"/>
        </w:rPr>
        <w:t>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planned products’ commercial success.</w:t>
      </w:r>
    </w:p>
    <w:p>
      <w:pPr>
        <w:spacing w:after="0" w:line="117"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In the U.S.,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or PPACA, was enacted in 2010. The PPACA contains a number of provisions, including those governing enrollments in federal healthcare programs, reimbursement changes and fraud and abuse measures, all of which will impact existing government healthcare programs and will result in the development of new programs. The PPACA, among other things:</w:t>
      </w:r>
    </w:p>
    <w:p>
      <w:pPr>
        <w:spacing w:after="0" w:line="73" w:lineRule="exact"/>
        <w:rPr>
          <w:sz w:val="20"/>
          <w:szCs w:val="20"/>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imposes a tax of 2.3% on the retail sales price of medical devices sold after December 31, 2012;</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could result in the imposition of injunctions;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requires collection of rebates for drugs paid by Medicaid managed care organizations;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requires manufacturers to participate in a coverage gap discount program, under which they must agree to offer</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50% point-of-sale discounts off negotiated prices of applicable branded drugs to eligible beneficiaries during their coverage gap period, as a condition for the manufacturer’s outpatient drugs to be covered under Medicare Part D.</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While the U.S. Supreme Court upheld the constitutionality of most elements of the PPACA in June 2012, other legal challenges are still pending final adjudication in several jurisdictions. In addition, Congress has also proposed a number of legislative initiatives, including possible repeal of the PPACA. In December of 2015, Congress passed a two-year suspension of the 2.3% medical device tax. If after two years, the suspension is not extended, at this time we believe the 2.3% tax on sales of medical devices will be applicable to sales of our medical device products, including CoSense devices and may be applicable to CoSense consumables sold under our joint venture and also Serenz devices. We cannot assure you that after the two-year suspension, the reinstatement of the 2.3% medical device tax would not adversely affect our business and financial results and we cannot predict how future federal or state legislative or administrative changes relating to healthcare reform will affect our business.</w:t>
      </w:r>
    </w:p>
    <w:p>
      <w:pPr>
        <w:spacing w:after="0" w:line="16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the PPACA was enacted. For example, the Budget Control Act of 2011, among other things, created the Joint Select Committee on Deficit Reduction to recommend proposals for spending reductions to Congress. The Joint Select Committee did not achieve a targeted deficit reduction of at least $1.2 trillion for the years 2013 through 2021, which triggered the legislation’s automatic reduction to several government programs, including aggregate reductions to Medicare payments to providers of up to 2% per fiscal year, starting in 2013. In January 2013, former President Obama signed into law the American Taxpayer Relief Act of 2012, or the ATRA, which delayed for another two months the budget cuts mandated by the sequestration provisions of the Budget Control Act of 2011. The ATRA, among other things, also reduced Medicare payments to several providers, including hospitals, and increased the statute of limitations period for the government to recover overpayments to providers from three to five years. In March 2013, the President signed an executive order implementing sequestration, and in April 2013, the 2% Medicare reductions went into effect. We cannot predict whether any additional legislative changes will affect our business.</w:t>
      </w:r>
    </w:p>
    <w:p>
      <w:pPr>
        <w:spacing w:after="0" w:line="9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60"/>
          </w:cols>
          <w:pgMar w:left="24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payers of healthcare services to contain or reduce costs of health care may adversely affect:</w:t>
      </w:r>
    </w:p>
    <w:p>
      <w:pPr>
        <w:spacing w:after="0" w:line="52" w:lineRule="exact"/>
        <w:rPr>
          <w:sz w:val="20"/>
          <w:szCs w:val="20"/>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Further, changes in regulatory requirements and guidance may occur and we may need to amend clinical study protocols to reflect these changes. Amendments may require us to resubmit our clinical study protocols IRBs for reexamination, which may impact the costs, timing or successful completion of a clinical study.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studies and the drug approval process. Data from clinical studies may receive greater scrutiny with respect to safety, which may make the FDA or other regulatory authorities more likely to terminate or suspend clinical studies before completion or require longer or additional clinical studies that may result in substantial additional expense and a delay or failure in obtaining approval or approval for a more limited indication than originally sought.</w:t>
      </w:r>
    </w:p>
    <w:p>
      <w:pPr>
        <w:spacing w:after="0" w:line="16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295"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62"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Even though we do not and will not control referrals of healthcare services or bill directly to Medicare, Medicaid or other third-party payers,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w:t>
      </w:r>
    </w:p>
    <w:p>
      <w:pPr>
        <w:spacing w:after="0" w:line="77" w:lineRule="exact"/>
        <w:rPr>
          <w:sz w:val="20"/>
          <w:szCs w:val="20"/>
          <w:color w:val="auto"/>
        </w:rPr>
      </w:pPr>
    </w:p>
    <w:p>
      <w:pPr>
        <w:ind w:left="1060" w:right="180" w:hanging="316"/>
        <w:spacing w:after="0" w:line="259"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healthcare program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92"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indirectly, to induce either the referral of an individual, for an item or service or the purchasing or ordering of a good or service, for which payment may be made under federal healthcare programs, such as the Medicare and Medicaid programs;</w:t>
      </w:r>
    </w:p>
    <w:p>
      <w:pPr>
        <w:spacing w:after="0" w:line="75" w:lineRule="exact"/>
        <w:rPr>
          <w:rFonts w:ascii="Arial" w:cs="Arial" w:eastAsia="Arial" w:hAnsi="Arial"/>
          <w:sz w:val="18"/>
          <w:szCs w:val="18"/>
          <w:color w:val="auto"/>
        </w:rPr>
      </w:pPr>
    </w:p>
    <w:p>
      <w:pPr>
        <w:jc w:val="both"/>
        <w:ind w:left="1060" w:right="520" w:hanging="316"/>
        <w:spacing w:after="0" w:line="26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2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75" w:lineRule="exact"/>
        <w:rPr>
          <w:rFonts w:ascii="Arial" w:cs="Arial" w:eastAsia="Arial" w:hAnsi="Arial"/>
          <w:sz w:val="18"/>
          <w:szCs w:val="18"/>
          <w:color w:val="auto"/>
        </w:rPr>
      </w:pPr>
    </w:p>
    <w:p>
      <w:pPr>
        <w:ind w:left="1060" w:right="200" w:hanging="316"/>
        <w:spacing w:after="0" w:line="264"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w:t>
      </w:r>
    </w:p>
    <w:p>
      <w:pPr>
        <w:spacing w:after="0" w:line="86" w:lineRule="exact"/>
        <w:rPr>
          <w:rFonts w:ascii="Arial" w:cs="Arial" w:eastAsia="Arial" w:hAnsi="Arial"/>
          <w:sz w:val="18"/>
          <w:szCs w:val="18"/>
          <w:color w:val="auto"/>
        </w:rPr>
      </w:pPr>
    </w:p>
    <w:p>
      <w:pPr>
        <w:ind w:left="1060" w:right="320" w:hanging="316"/>
        <w:spacing w:after="0" w:line="308"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which governs the conduct of certain electronic healthcare transactions and protects the security and privacy of protected health information; and</w:t>
      </w:r>
    </w:p>
    <w:p>
      <w:pPr>
        <w:spacing w:after="0" w:line="51" w:lineRule="exact"/>
        <w:rPr>
          <w:rFonts w:ascii="Arial" w:cs="Arial" w:eastAsia="Arial" w:hAnsi="Arial"/>
          <w:sz w:val="17"/>
          <w:szCs w:val="17"/>
          <w:color w:val="auto"/>
        </w:rPr>
      </w:pPr>
    </w:p>
    <w:p>
      <w:pPr>
        <w:ind w:left="1060" w:right="26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payer, including commercial insurers.</w:t>
      </w:r>
    </w:p>
    <w:p>
      <w:pPr>
        <w:spacing w:after="0" w:line="170"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Act.</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stock price may be volatile, and purchasers of our securities could incur substantial losses.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stock price has been and is likely to continue to be volatile. The stock market in general, and the market for biotechnology and medical device companies in particular, have experienced extreme volatility that has often been unrelated to the operating performance of particular companies. During the period from January 1, 2017, through December 31, 2017, the reported high and low prices of our common stock ranged from $4.55 to $1.32. As a result of this volatility, investors may not be able to sell their common stock at or above the purchase price. The market price for our common stock may be influenced by many factors, including the following:</w:t>
      </w:r>
    </w:p>
    <w:p>
      <w:pPr>
        <w:spacing w:after="0" w:line="94" w:lineRule="exact"/>
        <w:rPr>
          <w:sz w:val="20"/>
          <w:szCs w:val="20"/>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successfully commercialize, and realize significant revenues from sales of our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 results of clinical studies of our products or those of our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42" w:lineRule="exact"/>
        <w:rPr>
          <w:rFonts w:ascii="Arial" w:cs="Arial" w:eastAsia="Arial" w:hAnsi="Arial"/>
          <w:sz w:val="17"/>
          <w:szCs w:val="17"/>
          <w:color w:val="auto"/>
        </w:rPr>
      </w:pPr>
    </w:p>
    <w:p>
      <w:pPr>
        <w:ind w:left="1060" w:right="58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commercialization partners, or our competitors, and the timing of these introductions or announcements;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products, clinical studies, manufacturing process or sales and marketing terms;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products or planned products;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840" w:hanging="316"/>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concerning our collaborations, including but not limited to those with our sources of manufacturing supply and our commercialization partners;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concerning our ability to bring our manufacturing processes to scale in a cost-effective manner;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or capital commitments;</w:t>
      </w:r>
    </w:p>
    <w:p>
      <w:pPr>
        <w:spacing w:after="0" w:line="142" w:lineRule="exact"/>
        <w:rPr>
          <w:rFonts w:ascii="Arial" w:cs="Arial" w:eastAsia="Arial" w:hAnsi="Arial"/>
          <w:sz w:val="17"/>
          <w:szCs w:val="17"/>
          <w:color w:val="auto"/>
        </w:rPr>
      </w:pPr>
    </w:p>
    <w:p>
      <w:pPr>
        <w:ind w:left="1060" w:right="120" w:hanging="316"/>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other risks described in this “Risk Factors” section.</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29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or the perception that future sales may occur, may cause the market price of our common stock to decline, even if our business is doing well.</w:t>
      </w:r>
    </w:p>
    <w:p>
      <w:pPr>
        <w:spacing w:after="0" w:line="62"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w:t>
      </w:r>
    </w:p>
    <w:p>
      <w:pPr>
        <w:spacing w:after="0" w:line="166"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We have issued 13,780 shares of Series B Convertible Preferred Stock, of which 8,209 shares were converted into 1,641,800 shares of the Company’s Common Stock in 2017. As of December 31, 2017, there are 4,571 shares of Series B Convertible Preferred Stock outstanding which are convertible into 914,200 shares of Common Stock.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w:t>
      </w:r>
    </w:p>
    <w:p>
      <w:pPr>
        <w:spacing w:after="0" w:line="18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On March 7, 2017, we issued 1,666,666 shares of common stock for an investment of $8 million from the completion of the concurrent financing and issued 416,666 shares of common stock for an investment of $2 million from Aspire Capital pursuant to the 2017 Aspire Purchase Agreement. All the shares issued under the 2017 Aspire Purchase Agreement are eligible for future resale under a registration statement on Form S-1 on February 1, 2017 that was declared effective by the SEC on February 15, 2017. We terminated the 2017 Aspire Purchase Agreement on December 15, 2017 in connection with the closing of the 2017 PIPE Offering.</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On December 11, 2017, we entered into the Unit Purchase Agreement with certain stockholders, pursuant to which we sold and issued 8,141,116 immediately separable units at a price per unit of $1.84, for aggregate gross proceeds of approximately $15,000,000. We refer to such offering as the 2017 PIPE Offering. Each unit consisted of one share of our common stock and a warrant to purchase 0.74 shares of our common stock at an exercise price of $2.00 per share, for an aggregate of 8,141,116 Shares and corresponding warrants to purchase an aggregate of 6,024,425 Warrant Shares, together referred to as the Resale Shares. We also granted certain registration rights to these stockholders, pursuant to which, among other things, we prepared and filed a registration statement with the SEC to register for resale the Resale Shares. The registration statement was declared effective in February 2018.</w:t>
      </w:r>
    </w:p>
    <w:p>
      <w:pPr>
        <w:spacing w:after="0" w:line="18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the future, we may issue additional shares of common stock or other equity or debt securities convertible into common stock in connection with a financing, acquisition, litigation settlement, employee arrangement or otherwise. Any such issuance could result in substantial dilution to our existing stockholders and could cause our stock price to decline.</w:t>
      </w:r>
    </w:p>
    <w:p>
      <w:pPr>
        <w:spacing w:after="0" w:line="289"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are an “emerging growth company,” as defined in the Jumpstart Our Business Startups Act, or the JOBS Act, which was enacted in April</w:t>
      </w:r>
    </w:p>
    <w:p>
      <w:pPr>
        <w:spacing w:after="0" w:line="35"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2012.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although circumstances could cause us to lose that status earlier. We will remain an emerging growth company until the earlier of (1) the last day of the fiscal year following the fifth anniversary of the completion of our initial public offering, or IPO, (2) the last day of the fiscal year in which we have total annual gross revenue of at least $1.07 billion, (3) the date on which we are deemed to be a large accelerated filer, which means the market value of our common stock that is held by non-affiliates exceeds $700.0 million as of the prior June 30th, and (4) the date on which we have issued more than $1.0 billion in non-convertible debt securities during the prior three-year period. We cannot predict if investors will find our common stock less attractive because we may rely on these exemptions. If some investors find our common stock less attractive as a result, there may be a less active trading market for our common stock and our stock price may suffer or be more volatile.</w:t>
      </w:r>
    </w:p>
    <w:p>
      <w:pPr>
        <w:spacing w:after="0" w:line="173"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Under the JOBS Act, emerging growth companies can delay adopting new or revised accounting standards issued subsequent to the enactment of the JOBS Act until such time as those standards apply to private companies. We have elected to use the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under the JOBS Act.</w:t>
      </w:r>
    </w:p>
    <w:p>
      <w:pPr>
        <w:spacing w:after="0" w:line="262" w:lineRule="exact"/>
        <w:rPr>
          <w:sz w:val="20"/>
          <w:szCs w:val="20"/>
          <w:color w:val="auto"/>
        </w:rPr>
      </w:pPr>
    </w:p>
    <w:p>
      <w:pPr>
        <w:jc w:val="both"/>
        <w:ind w:left="200" w:right="320"/>
        <w:spacing w:after="0" w:line="264"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may continue to maintain the ability to control or significantly influence all matters submitted to stockholders for approval and under certain circumstances Vivo Ventures, Technology Partners, Forward Ventures and its affiliates may have control over key decision making.</w:t>
      </w:r>
    </w:p>
    <w:p>
      <w:pPr>
        <w:spacing w:after="0" w:line="73" w:lineRule="exact"/>
        <w:rPr>
          <w:sz w:val="20"/>
          <w:szCs w:val="20"/>
          <w:color w:val="auto"/>
        </w:rPr>
      </w:pPr>
    </w:p>
    <w:p>
      <w:pPr>
        <w:ind w:left="200" w:right="300" w:firstLine="441"/>
        <w:spacing w:after="0" w:line="312" w:lineRule="auto"/>
        <w:rPr>
          <w:sz w:val="20"/>
          <w:szCs w:val="20"/>
          <w:color w:val="auto"/>
        </w:rPr>
      </w:pPr>
      <w:r>
        <w:rPr>
          <w:rFonts w:ascii="Arial" w:cs="Arial" w:eastAsia="Arial" w:hAnsi="Arial"/>
          <w:sz w:val="16"/>
          <w:szCs w:val="16"/>
          <w:color w:val="auto"/>
        </w:rPr>
        <w:t>Our executive officers, directors and principal stockholders own a majority of our outstanding common stock. Entities associated with Vivo Ventures, Oracle Investment Management, Birchview Fund, Jack W. Schuler, 683 Capital Partners, Forward Ventures and Technology Partners, as of December 31, 2017, beneficially own approximately 77.6% of our common stock. As a result, the foregoing group of stockholders are able to</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control all matters submitted to our stockholders for approval, as well as our management and affairs. For example, these stockholders will control the election of directors and the approval of any merger, consolidation or sale of all or substantially all of our assets. This concentration of voting power could delay or prevent an acquisition of our company on terms that other stockholders may desire.</w:t>
      </w:r>
    </w:p>
    <w:p>
      <w:pPr>
        <w:spacing w:after="0" w:line="289"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costs as a result of operating as a public company, and our management has devoted and will be required to continue to devote substantial time to new compliance initiatives.</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have incurred and will continue to incur significant legal, accounting and other expenses as a public company. We are subject to the reporting requirements of the Securities Exchange Act of 1934, as amended, the other rules and regulations of the SEC, and the rules and regulations of The NASDAQ Capital Market, or NASDAQ. The expenses of being a public company are material, and compliance with the various reporting and other requirements applicable to public companies requires considerable time and attention of management. For example, the Sarbanes-Oxley Act and the rules of the SEC and national securities exchanges have imposed various requirements on public companies, including requiring establishment and maintenance of effective disclosure and financial controls. Our management 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of Directors, our board committees, or as executive officers.</w:t>
      </w:r>
    </w:p>
    <w:p>
      <w:pPr>
        <w:spacing w:after="0" w:line="183"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or Section 404, beginning with our Annual Report on Form 10-K for the fiscal year ended December 31, 2014, which was filed March 13, 2015. In addition, we will be required to have our independent registered public accounting firm attest to the effectiveness of our internal control over financial reporting beginning with our annual report on Form 10-K following the date on which we are no longer an emerging growth company. Our compliance with Section 404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w:t>
      </w:r>
    </w:p>
    <w:p>
      <w:pPr>
        <w:spacing w:after="0" w:line="18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If we are not able to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This, in turn, could have an adverse impact on trading prices for our common stock, and could adversely affect our ability to access the capital markets.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use our net operating loss carry forwards and certain other tax attributes will be limited.</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Our ability to utilize our federal net operating loss, carryforwards and federal tax credit will be limited under Sections 382 and 383 of the Internal Revenue Code of 1986, as amended, or the Code. The limitations apply if an “ownership change,” as defined by Section 382, occurs. Generally, an ownership change occurs if the percentage of the value of the stock that is owned by one or more direct or indirect “five percent shareholders” increases by more than 50% over their lowest ownership percentage at any time during the applicable testing period (typically three years). During the years ended December 31, 2016, we experienced an “ownership change”, and in the year ended December 31, 2017 our acquisition of Essentialis resulted in an ownership change, of which both changes will limit our ability to utilize our existing and acquired net operating losses and other tax attributes to offset taxable income. As a result, if we earn net taxable income, our ability to use our pre-change net operating loss carryforwards and other tax attributes to offset U.S. federal taxable income will be subject to limitations, which could potentially result in increased future tax liability to us.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 our warrant holders exercise their warrants into shares of our common stock, our stockholders will be diluted.</w:t>
      </w:r>
    </w:p>
    <w:p>
      <w:pPr>
        <w:spacing w:after="0" w:line="117"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The exercise of some or all of our warrants results in issuance of common stock that dilute the ownership interests of existing stockholders. Any sales of the common stock issuable upon exercise of the warrants could adversely affect prevailing market prices of our common stock.</w:t>
      </w:r>
    </w:p>
    <w:p>
      <w:pPr>
        <w:spacing w:after="0" w:line="232"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b w:val="1"/>
          <w:bCs w:val="1"/>
          <w:i w:val="1"/>
          <w:iCs w:val="1"/>
          <w:color w:val="auto"/>
        </w:rPr>
        <w:t>If holders of our warrants elect to exercise their warrants and sell material amounts of our common stock in the market, such sales could cause the price of our common stock to decline, and the potential for such downward pressure on the price of our common stock may encourage short selling of our common stock by holders of our warrants or other parties.</w:t>
      </w:r>
    </w:p>
    <w:p>
      <w:pPr>
        <w:spacing w:after="0" w:line="73"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If there is significant downward pressure on the price of our common stock, it may encourage holders of our warrants, or other parties, to sell shares by means of short sales or otherwise. Short sales involve the sale, usually with a future delivery date, of common stock the seller does not own. Covered short sales are sales made in an amount not greater than the number of shares subject to the short seller’s right to acquire common stock, such as upon exercise of warrants. A holder of warrants may close out any covered short position by exercising all, or a portion, of its warrants, or by purchasing shares in the open market. In determining the source of shares to close out the covered short position, a holder of warrants will likely consider, among other things, the price of common stock available for purchase in the open market as compared to the exercise price of the warrants. The existence of a significant number of short sales generally causes the price of common stock to decline, in part because it indicates that a number of market participants are taking a position that will be profitable only if the price of the common stock declines.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Under certain circumstances we may be required to settle the value of the Series A, Series C and 2017 PIPE Warrants in cash.</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at any time while the Series A, Series C and 2017 PIPE Warrants, or the Warrants, are outstanding, we enter into a “Fundamental Transaction” (as defined in the Series A Warrant, Series C and 2017 PIPE Warrant Agreements), which includes, but is not limited to, a purchase offer, tender offer or exchange offer, a stock or share purchase agreement or other business combination (including, without limitation, a reorganization, recapitalization, spin-off or other scheme of arrangement), then each registered holder of outstanding Warrants as at any time prior to the consummation of the Fundamental Transaction, may elect and require us to purchase the Warrants held by such person immediately prior to the consummation of such Fundamental Transaction by making a cash payment in an amount equal to the Black Scholes Value of the remaining unexercised portion of such registered holder’s Warrants.</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80"/>
          </w:cols>
          <w:pgMar w:left="24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might not be able to maintain the listing of our securities on The NASDAQ Capital Market.</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have listed our common stock and Series A Warrants on NASDAQ. We might not be able to maintain the listing standards of that exchange, which includes requirements that we maintain our shareholders’ equity, total value of shares held by unaffiliated shareholders, market capitalization above certain specified levels and minimum bid requirement of $1.00 per common share. We do not expect to become profitable for some time and there is a risk that our shareholders’ equity could fall below the $2.5 million level required by NASDAQ. If we do not regain compliance with the minimum bid requirement or our shareholders’ equity falls below $2.5 million, it will cause us to fail to conform to the NASDAQ listing requirements on an ongoing basis, which in turn could cause our common stock to cease to trade on the NASDAQ exchange, and be required to move to the Over the Counter Bulletin Board or the “pink sheets” exchange maintained by OTC Markets Group, Inc. The OTC Bulletin Board and the “pink sheets” are generally considered to be markets that are less efficient, and to provide less liquidity in the shares, than the NASDAQ market.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Due to the speculative nature of warrants, there is no guarantee that it will ever be profitable for holders of the warrants to exercise the warrants.</w:t>
      </w:r>
    </w:p>
    <w:p>
      <w:pPr>
        <w:spacing w:after="0" w:line="140" w:lineRule="exact"/>
        <w:rPr>
          <w:sz w:val="20"/>
          <w:szCs w:val="20"/>
          <w:color w:val="auto"/>
        </w:rPr>
      </w:pPr>
    </w:p>
    <w:p>
      <w:pPr>
        <w:ind w:left="200" w:right="180" w:firstLine="441"/>
        <w:spacing w:after="0" w:line="254" w:lineRule="auto"/>
        <w:rPr>
          <w:sz w:val="20"/>
          <w:szCs w:val="20"/>
          <w:color w:val="auto"/>
        </w:rPr>
      </w:pPr>
      <w:r>
        <w:rPr>
          <w:rFonts w:ascii="Arial" w:cs="Arial" w:eastAsia="Arial" w:hAnsi="Arial"/>
          <w:sz w:val="18"/>
          <w:szCs w:val="18"/>
          <w:color w:val="auto"/>
        </w:rPr>
        <w:t>The warrants we have issued and outstanding do not confer any rights of common stock ownership on their holders, such as voting rights or the right to receive dividends, but rather merely represent the right to acquire shares of common stock at a fixed price for a limited period of time. Specifically, holders of Series A Warrants may exercise their right to acquire the common stock and pay an exercise price of $32.50 per share prior to the expiration of the five-year term on November 12, 2019, after which date any unexercised Series A Warrants will expire and have no further value. Holders of Series C Warrants may exercise their right to acquire common stock and pay an exercise price of $31.25 per share prior to the expiration of the five-year term on March 4, 2020. Holders of the 2017 PIPE Warrants are entitled to purchase one share of our common stock at an exercise price equal to $2.00 per share prior to at the earlier of (i) December 15, 2020 or (ii) 30 days following positive Phase III results for DCCR tablet in Prader-Willi syndrome.</w:t>
      </w:r>
    </w:p>
    <w:p>
      <w:pPr>
        <w:spacing w:after="0" w:line="84"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Following amendment of the Series D Common Stock Purchase Warrants, the holders may exercise their right to acquire common stock and pay an amended exercise price of $8.75 per share prior to the expiration of the five-year term on October 15, 2020. In certain circumstances, the Series A Warrants, Series C Warrants, and Series D Warrants may be exercisable on a cashless basis. There can be no assurance that the market price of the common stock will ever equal or exceed the exercise price of the warrants, and, consequently, whether it will ever be profitable for holders of the warrants to exercise the warrants.</w:t>
      </w:r>
    </w:p>
    <w:p>
      <w:pPr>
        <w:spacing w:after="0" w:line="296"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296"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62"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the following:</w:t>
      </w:r>
    </w:p>
    <w:p>
      <w:pPr>
        <w:spacing w:after="0" w:line="52" w:lineRule="exact"/>
        <w:rPr>
          <w:sz w:val="20"/>
          <w:szCs w:val="20"/>
          <w:color w:val="auto"/>
        </w:rPr>
      </w:pPr>
    </w:p>
    <w:p>
      <w:pPr>
        <w:ind w:left="106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three-year terms which may delay or prevent a change of our management or a change in control;</w:t>
      </w:r>
    </w:p>
    <w:p>
      <w:pPr>
        <w:spacing w:after="0" w:line="75" w:lineRule="exact"/>
        <w:rPr>
          <w:rFonts w:ascii="Arial" w:cs="Arial" w:eastAsia="Arial" w:hAnsi="Arial"/>
          <w:sz w:val="18"/>
          <w:szCs w:val="18"/>
          <w:color w:val="auto"/>
        </w:rPr>
      </w:pPr>
    </w:p>
    <w:p>
      <w:pPr>
        <w:ind w:left="1060" w:right="80" w:hanging="316"/>
        <w:spacing w:after="0" w:line="308"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Board of Directors has the right to elect directors to fill a vacancy created by the expansion of our Board of Directors or the resignation, death or removal of a director, which will prevent stockholders from being able to fill vacancies on our Board of Directors;</w:t>
      </w:r>
    </w:p>
    <w:p>
      <w:pPr>
        <w:spacing w:after="0" w:line="51" w:lineRule="exact"/>
        <w:rPr>
          <w:rFonts w:ascii="Arial" w:cs="Arial" w:eastAsia="Arial" w:hAnsi="Arial"/>
          <w:sz w:val="17"/>
          <w:szCs w:val="17"/>
          <w:color w:val="auto"/>
        </w:rPr>
      </w:pPr>
    </w:p>
    <w:p>
      <w:pPr>
        <w:ind w:left="1060" w:right="60" w:hanging="316"/>
        <w:spacing w:after="0" w:line="264"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of Directors, the chairman of our board, the chief executive officer or the president;</w:t>
      </w:r>
    </w:p>
    <w:p>
      <w:pPr>
        <w:spacing w:after="0" w:line="86"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amendments of our certificate of incorporation and bylaws require the approval of 66 2/3% of our outstanding voting securities;</w:t>
      </w:r>
    </w:p>
    <w:p>
      <w:pPr>
        <w:spacing w:after="0" w:line="130" w:lineRule="exact"/>
        <w:rPr>
          <w:rFonts w:ascii="Arial" w:cs="Arial" w:eastAsia="Arial" w:hAnsi="Arial"/>
          <w:sz w:val="18"/>
          <w:szCs w:val="18"/>
          <w:color w:val="auto"/>
        </w:rPr>
      </w:pPr>
    </w:p>
    <w:p>
      <w:pPr>
        <w:ind w:left="1060" w:right="60" w:hanging="316"/>
        <w:spacing w:after="0" w:line="259"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stockholders are required to provide advance notice and additional disclosures in order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92" w:lineRule="exact"/>
        <w:rPr>
          <w:rFonts w:ascii="Arial" w:cs="Arial" w:eastAsia="Arial" w:hAnsi="Arial"/>
          <w:sz w:val="18"/>
          <w:szCs w:val="18"/>
          <w:color w:val="auto"/>
        </w:rPr>
      </w:pPr>
    </w:p>
    <w:p>
      <w:pPr>
        <w:ind w:left="1060" w:right="180" w:hanging="316"/>
        <w:spacing w:after="0" w:line="264"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Board of Directors are able to issue, without stockholder approval, shares of undesignated preferred stock, which makes it possible for our Board of Directors to issue preferred stock with voting or other rights or preferences that could impede the success of any attempt to acquire us.</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in control of us, which could harm our financial condition or results.</w:t>
      </w:r>
    </w:p>
    <w:p>
      <w:pPr>
        <w:spacing w:after="0" w:line="62"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color w:val="auto"/>
        </w:rPr>
        <w:t>Certain of our executive officers are parties to employment agreements that contain change in control and severance provisions providing for aggregate cash payments for severance and other benefits and acceleration of stock options vesting in the event of a termination of employment in connection with a change in control of us. The accelerated vesting of options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w:t>
      </w:r>
    </w:p>
    <w:p>
      <w:pPr>
        <w:spacing w:after="0" w:line="281"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62"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of our future earnings, if any, to finance the growth and development of our business. In addition, the terms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existing or any future debt agreements may preclude us from paying dividends. As a result, capital appreciation, if any, of our common stock will be our stockholders’ sole source of gain for the foreseeable future.</w:t>
      </w:r>
    </w:p>
    <w:p>
      <w:pPr>
        <w:spacing w:after="0" w:line="279"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The sale of our common stock to investors in the 2017 PIPE Offering may cause substantial dilution to our existing stockholders and the sale of common stock by these investors could cause the price of our common stock to decline.</w:t>
      </w:r>
    </w:p>
    <w:p>
      <w:pPr>
        <w:spacing w:after="0" w:line="62" w:lineRule="exact"/>
        <w:rPr>
          <w:sz w:val="20"/>
          <w:szCs w:val="20"/>
          <w:color w:val="auto"/>
        </w:rPr>
      </w:pPr>
    </w:p>
    <w:p>
      <w:pPr>
        <w:ind w:left="200" w:right="100"/>
        <w:spacing w:after="0" w:line="293" w:lineRule="auto"/>
        <w:rPr>
          <w:sz w:val="20"/>
          <w:szCs w:val="20"/>
          <w:color w:val="auto"/>
        </w:rPr>
      </w:pPr>
      <w:r>
        <w:rPr>
          <w:rFonts w:ascii="Arial" w:cs="Arial" w:eastAsia="Arial" w:hAnsi="Arial"/>
          <w:sz w:val="16"/>
          <w:szCs w:val="16"/>
          <w:color w:val="auto"/>
        </w:rPr>
        <w:t>On December 11, 2017, we entered into the Unit Purchase Agreement with certain stockholders, pursuant to which we sold and issued in the 2017 Pipe Offering 8,141,116 immediately separable units at a price per unit of $1.84, for aggregate gross proceeds of approximately $15,000,000. Each unit consisted of one share of our common stock and a warrant to purchase 0.74 shares of our common stock at an exercise price of $2.00 per share, for an aggregate of 8,141,116 Shares and corresponding warrants to purchase an aggregate of 6,024,425 Warrant Shares, together referred to as the Resale Shares. We also granted certain registration rights to these stockholders, pursuant to which, among other things, we prepared and filed a registration statement with the SEC to register for resale the Resale Shares. The registration statement was declared effective in February 2018.</w:t>
      </w:r>
    </w:p>
    <w:p>
      <w:pPr>
        <w:spacing w:after="0" w:line="273"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The sale of our common stock to Sabby under the 2016 Sabby Purchase Agreement may cause substantial dilution to our existing stockholders and the sale of common stock by Sabby could cause the price of our common stock to decline.</w:t>
      </w:r>
    </w:p>
    <w:p>
      <w:pPr>
        <w:spacing w:after="0" w:line="6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have also registered for sale the shares of common stock underlying the Series B Convertible Preferred Stock sold and issued, or available for sale and issuance, to Sabby pursuant to the 2016 Sabby Purchase Agreement. Sabby may sell all, some or none of our shares that it holds under the 2016 Sabby Purchase Agreement. The issuance of the shares of common stock underlying the Series B Convertible Preferred Stock and the amended Series D Common Stock Purchase Warrants to Sabby may cause substantial dilution to our existing stockholders, and the sale of the underlying shares of common stock by Sabby could cause the price of our common stock to decline. The sale of a substantial number of shares of our common stock by Sabby, or anticipation of such sales, could make it more difficult for us to sell equity or equity-related securities in the future at a time and at a price that we might otherwise wish to effect sales. The 2016 Sabby Purchase Agreement also provides Sabby a right to participate in any future sale of our equity securities.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principal facilities consist of office space in Redwood City, California, which also contains space for Capnia’s final assembly and calibration facility for CoSense. We currently occupy approximately 13,436 square feet of office space under a non-cancelable operating lease that terminates in August 2019.</w:t>
      </w:r>
    </w:p>
    <w:p>
      <w:pPr>
        <w:spacing w:after="0" w:line="18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believe that the facilities that we currently lease are adequate for our needs for the immediate future and that, should it be needed, additional space can be leased on commercially reasonable terms to accommodate any future growth.</w:t>
      </w:r>
    </w:p>
    <w:p>
      <w:pPr>
        <w:spacing w:after="0" w:line="38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200" w:right="140" w:firstLine="441"/>
        <w:spacing w:after="0" w:line="254" w:lineRule="auto"/>
        <w:rPr>
          <w:sz w:val="20"/>
          <w:szCs w:val="20"/>
          <w:color w:val="auto"/>
        </w:rPr>
      </w:pPr>
      <w:r>
        <w:rPr>
          <w:rFonts w:ascii="Arial" w:cs="Arial" w:eastAsia="Arial" w:hAnsi="Arial"/>
          <w:sz w:val="18"/>
          <w:szCs w:val="18"/>
          <w:color w:val="auto"/>
        </w:rPr>
        <w:t xml:space="preserve">On February 16, 2017, a purported stockholder class action lawsuit captioned Garfield </w:t>
      </w:r>
      <w:r>
        <w:rPr>
          <w:rFonts w:ascii="Arial" w:cs="Arial" w:eastAsia="Arial" w:hAnsi="Arial"/>
          <w:sz w:val="18"/>
          <w:szCs w:val="18"/>
          <w:i w:val="1"/>
          <w:iCs w:val="1"/>
          <w:color w:val="auto"/>
        </w:rPr>
        <w:t>v. Capnia, Inc., et al.</w:t>
      </w:r>
      <w:r>
        <w:rPr>
          <w:rFonts w:ascii="Arial" w:cs="Arial" w:eastAsia="Arial" w:hAnsi="Arial"/>
          <w:sz w:val="18"/>
          <w:szCs w:val="18"/>
          <w:color w:val="auto"/>
        </w:rPr>
        <w:t>, Case No. C17-00284 was filed in Superior Court of the State of California, County of Contra Costa against us and certain of our officers and directors, or the Lawsuit. The Lawsuit alleged, generally, that our directors breached their fiduciary duties to our stockholders by seeking to sell control of the company through an allegedly defective process, and on unfair terms. The Lawsuit also alleged that defendants failed to disclose all material facts concerning the merger with Essentialis to stockholders. The Lawsuit sought, among other things, equitable relief that would have enjoined the consummation of the merger, compensatory and/or rescissory damages, and attorneys’ fees and costs. We made certain supplemental disclosures in a Current Report on Form 8-K filed with the SEC on February 28, 2017 in connection with the plaintiff’s agreement to voluntarily dismiss plaintiff’s claims in the Lawsuit. The stipulation of dismissal is pending with the court.</w:t>
      </w:r>
    </w:p>
    <w:p>
      <w:pPr>
        <w:spacing w:after="0" w:line="192"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The Company also agreed to pay $175,000 for dismissal of the lawsuit. This amount was accrued as a current liability on the balance sheet as of December 31, 2016 and recorded as an expense in general and administrative expense on the statement of operations for the year ended December 31, 2016.</w:t>
      </w:r>
    </w:p>
    <w:p>
      <w:pPr>
        <w:spacing w:after="0" w:line="181"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36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240" w:top="459" w:right="5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left="5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200" w:right="420" w:firstLine="441"/>
        <w:spacing w:after="0" w:line="308" w:lineRule="auto"/>
        <w:rPr>
          <w:sz w:val="20"/>
          <w:szCs w:val="20"/>
          <w:color w:val="auto"/>
        </w:rPr>
      </w:pPr>
      <w:r>
        <w:rPr>
          <w:rFonts w:ascii="Arial" w:cs="Arial" w:eastAsia="Arial" w:hAnsi="Arial"/>
          <w:sz w:val="17"/>
          <w:szCs w:val="17"/>
          <w:color w:val="auto"/>
        </w:rPr>
        <w:t>Our common stock is quoted on NASDAQ under the symbol “SLNO” and our Series A warrants are quoted on NSADAQ under the symbol “SLNOW.” Our Series C Warrants, Series D Warrants and 2017 PIPE Warrants are not traded on a national securities exchange.</w:t>
      </w:r>
    </w:p>
    <w:p>
      <w:pPr>
        <w:spacing w:after="0" w:line="147"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The following table sets forth the high and low sales prices per share of the common stock as reported on NASDAQ. Such quotations represent inter dealer prices without retail markup, markdown or commission and may not necessarily represent actual transactions.</w:t>
      </w:r>
    </w:p>
    <w:p>
      <w:pPr>
        <w:spacing w:after="0" w:line="165"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54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23"/>
        </w:trPr>
        <w:tc>
          <w:tcPr>
            <w:tcW w:w="216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1"/>
              </w:rPr>
              <w:t>First</w:t>
            </w:r>
          </w:p>
        </w:tc>
        <w:tc>
          <w:tcPr>
            <w:tcW w:w="4540" w:type="dxa"/>
            <w:vAlign w:val="bottom"/>
            <w:tcBorders>
              <w:top w:val="single" w:sz="8" w:color="CCEEFF"/>
            </w:tcBorders>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Quarter</w:t>
            </w:r>
          </w:p>
        </w:tc>
        <w:tc>
          <w:tcPr>
            <w:tcW w:w="20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$9.25</w:t>
            </w:r>
          </w:p>
        </w:tc>
        <w:tc>
          <w:tcPr>
            <w:tcW w:w="5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$5.70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4"/>
          </w:tcPr>
          <w:p>
            <w:pPr>
              <w:spacing w:after="0"/>
              <w:rPr>
                <w:sz w:val="20"/>
                <w:szCs w:val="20"/>
                <w:color w:val="auto"/>
              </w:rPr>
            </w:pPr>
            <w:r>
              <w:rPr>
                <w:rFonts w:ascii="Arial" w:cs="Arial" w:eastAsia="Arial" w:hAnsi="Arial"/>
                <w:sz w:val="18"/>
                <w:szCs w:val="18"/>
                <w:color w:val="auto"/>
              </w:rPr>
              <w:t>Second Quarter</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$6.80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4"/>
          </w:tcPr>
          <w:p>
            <w:pPr>
              <w:spacing w:after="0"/>
              <w:rPr>
                <w:sz w:val="20"/>
                <w:szCs w:val="20"/>
                <w:color w:val="auto"/>
              </w:rPr>
            </w:pPr>
            <w:r>
              <w:rPr>
                <w:rFonts w:ascii="Arial" w:cs="Arial" w:eastAsia="Arial" w:hAnsi="Arial"/>
                <w:sz w:val="18"/>
                <w:szCs w:val="18"/>
                <w:color w:val="auto"/>
              </w:rPr>
              <w:t>Fourth Quarter</w:t>
            </w:r>
          </w:p>
        </w:tc>
        <w:tc>
          <w:tcPr>
            <w:tcW w:w="2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5.15</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60" w:type="dxa"/>
            <w:vAlign w:val="bottom"/>
            <w:gridSpan w:val="3"/>
          </w:tcPr>
          <w:p>
            <w:pPr>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1"/>
              </w:rPr>
              <w:t>First</w:t>
            </w:r>
          </w:p>
        </w:tc>
        <w:tc>
          <w:tcPr>
            <w:tcW w:w="4540" w:type="dxa"/>
            <w:vAlign w:val="bottom"/>
            <w:tcBorders>
              <w:top w:val="single" w:sz="8" w:color="CCEEFF"/>
            </w:tcBorders>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Quarter</w:t>
            </w:r>
          </w:p>
        </w:tc>
        <w:tc>
          <w:tcPr>
            <w:tcW w:w="20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$4.55</w:t>
            </w:r>
          </w:p>
        </w:tc>
        <w:tc>
          <w:tcPr>
            <w:tcW w:w="5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$2.75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4"/>
          </w:tcPr>
          <w:p>
            <w:pPr>
              <w:spacing w:after="0"/>
              <w:rPr>
                <w:sz w:val="20"/>
                <w:szCs w:val="20"/>
                <w:color w:val="auto"/>
              </w:rPr>
            </w:pPr>
            <w:r>
              <w:rPr>
                <w:rFonts w:ascii="Arial" w:cs="Arial" w:eastAsia="Arial" w:hAnsi="Arial"/>
                <w:sz w:val="18"/>
                <w:szCs w:val="18"/>
                <w:color w:val="auto"/>
              </w:rPr>
              <w:t>Second Quarter</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80" w:type="dxa"/>
            <w:vAlign w:val="bottom"/>
            <w:gridSpan w:val="4"/>
          </w:tcPr>
          <w:p>
            <w:pPr>
              <w:spacing w:after="0" w:line="198" w:lineRule="exact"/>
              <w:rPr>
                <w:sz w:val="20"/>
                <w:szCs w:val="20"/>
                <w:color w:val="auto"/>
              </w:rPr>
            </w:pPr>
            <w:r>
              <w:rPr>
                <w:rFonts w:ascii="Arial" w:cs="Arial" w:eastAsia="Arial" w:hAnsi="Arial"/>
                <w:sz w:val="18"/>
                <w:szCs w:val="18"/>
                <w:color w:val="auto"/>
              </w:rPr>
              <w:t>Fourth Quarter</w:t>
            </w:r>
          </w:p>
        </w:tc>
        <w:tc>
          <w:tcPr>
            <w:tcW w:w="248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$3.06</w:t>
            </w:r>
          </w:p>
        </w:tc>
        <w:tc>
          <w:tcPr>
            <w:tcW w:w="96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$1.32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gridSpan w:val="3"/>
          </w:tcPr>
          <w:p>
            <w:pPr>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1"/>
              </w:rPr>
              <w:t>First</w:t>
            </w:r>
          </w:p>
        </w:tc>
        <w:tc>
          <w:tcPr>
            <w:tcW w:w="4540" w:type="dxa"/>
            <w:vAlign w:val="bottom"/>
            <w:tcBorders>
              <w:top w:val="single" w:sz="8" w:color="CCEEFF"/>
            </w:tcBorders>
            <w:gridSpan w:val="3"/>
            <w:shd w:val="clear" w:color="auto" w:fill="CCEEFF"/>
          </w:tcPr>
          <w:p>
            <w:pPr>
              <w:ind w:left="20"/>
              <w:spacing w:after="0" w:line="156" w:lineRule="exact"/>
              <w:rPr>
                <w:sz w:val="20"/>
                <w:szCs w:val="20"/>
                <w:color w:val="auto"/>
              </w:rPr>
            </w:pPr>
            <w:r>
              <w:rPr>
                <w:rFonts w:ascii="Arial" w:cs="Arial" w:eastAsia="Arial" w:hAnsi="Arial"/>
                <w:sz w:val="18"/>
                <w:szCs w:val="18"/>
                <w:color w:val="auto"/>
              </w:rPr>
              <w:t>Quarter (through March 21, 2018)</w:t>
            </w:r>
          </w:p>
        </w:tc>
        <w:tc>
          <w:tcPr>
            <w:tcW w:w="2480" w:type="dxa"/>
            <w:vAlign w:val="bottom"/>
            <w:tcBorders>
              <w:top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auto"/>
              </w:rPr>
              <w:t>$2.29</w:t>
            </w:r>
          </w:p>
        </w:tc>
        <w:tc>
          <w:tcPr>
            <w:tcW w:w="960" w:type="dxa"/>
            <w:vAlign w:val="bottom"/>
            <w:tcBorders>
              <w:top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auto"/>
              </w:rPr>
              <w:t>$1.53</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As of March </w:t>
      </w:r>
      <w:r>
        <w:rPr>
          <w:rFonts w:ascii="Arial" w:cs="Arial" w:eastAsia="Arial" w:hAnsi="Arial"/>
          <w:sz w:val="18"/>
          <w:szCs w:val="18"/>
          <w:u w:val="single" w:color="auto"/>
          <w:color w:val="auto"/>
        </w:rPr>
        <w:t>21</w:t>
      </w:r>
      <w:r>
        <w:rPr>
          <w:rFonts w:ascii="Arial" w:cs="Arial" w:eastAsia="Arial" w:hAnsi="Arial"/>
          <w:sz w:val="18"/>
          <w:szCs w:val="18"/>
          <w:color w:val="auto"/>
        </w:rPr>
        <w:t>, 2018, the last reported sale price of our common stock on the NASDAQ Capital Market was $</w:t>
      </w:r>
      <w:r>
        <w:rPr>
          <w:rFonts w:ascii="Arial" w:cs="Arial" w:eastAsia="Arial" w:hAnsi="Arial"/>
          <w:sz w:val="18"/>
          <w:szCs w:val="18"/>
          <w:u w:val="single" w:color="auto"/>
          <w:color w:val="auto"/>
        </w:rPr>
        <w:t>1</w:t>
      </w:r>
      <w:r>
        <w:rPr>
          <w:rFonts w:ascii="Arial" w:cs="Arial" w:eastAsia="Arial" w:hAnsi="Arial"/>
          <w:sz w:val="18"/>
          <w:szCs w:val="18"/>
          <w:color w:val="auto"/>
        </w:rPr>
        <w:t>.</w:t>
      </w:r>
      <w:r>
        <w:rPr>
          <w:rFonts w:ascii="Arial" w:cs="Arial" w:eastAsia="Arial" w:hAnsi="Arial"/>
          <w:sz w:val="18"/>
          <w:szCs w:val="18"/>
          <w:u w:val="single" w:color="auto"/>
          <w:color w:val="auto"/>
        </w:rPr>
        <w:t>86</w:t>
      </w:r>
      <w:r>
        <w:rPr>
          <w:rFonts w:ascii="Arial" w:cs="Arial" w:eastAsia="Arial" w:hAnsi="Arial"/>
          <w:sz w:val="18"/>
          <w:szCs w:val="18"/>
          <w:color w:val="auto"/>
        </w:rPr>
        <w:t>.</w:t>
      </w:r>
    </w:p>
    <w:p>
      <w:pPr>
        <w:spacing w:after="0" w:line="22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of March 1, 2018, there were 82 shareholders of record for our common stock. A substantially greater number of stockholders may be “street name” or beneficial holders, whose shares are held of record by banks, brokers and other financial institutions.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We have never declared or paid cash dividends on our common stock, and currently do not plan to declare dividends on shares of our common stock in the foreseeable future. We expect to retain our future earnings, if any, for use in the operation and expansion of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 Recent Sales of Unregistered Equity Securities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year ended December 31, 2017, we issued the following unregistered securities:</w:t>
      </w:r>
    </w:p>
    <w:p>
      <w:pPr>
        <w:spacing w:after="0" w:line="131" w:lineRule="exact"/>
        <w:rPr>
          <w:sz w:val="20"/>
          <w:szCs w:val="20"/>
          <w:color w:val="auto"/>
        </w:rPr>
      </w:pPr>
    </w:p>
    <w:p>
      <w:pPr>
        <w:ind w:left="1060" w:right="100" w:hanging="316"/>
        <w:spacing w:after="0" w:line="264"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December 11, 2017, we entered into the Unit Purchase Agreement with certain stockholders, pursuant to which we sold and issued 8,141,116 immediately separable units at a price per unit of $1.84, for aggregate gross proceeds of approximately $15,000,000. We refer to such offering as the</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60"/>
          </w:cols>
          <w:pgMar w:left="24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57" w:lineRule="auto"/>
        <w:rPr>
          <w:sz w:val="20"/>
          <w:szCs w:val="20"/>
          <w:color w:val="auto"/>
        </w:rPr>
      </w:pPr>
      <w:r>
        <w:rPr>
          <w:rFonts w:ascii="Arial" w:cs="Arial" w:eastAsia="Arial" w:hAnsi="Arial"/>
          <w:sz w:val="18"/>
          <w:szCs w:val="18"/>
          <w:color w:val="auto"/>
        </w:rPr>
        <w:t>2017 PIPE Offering. Each unit consisted of one share of our common stock and a warrant to purchase 0.74 shares of our common stock at an exercise price of $2.00 per share, for an aggregate of 8,141,116 Shares and corresponding warrants to purchase an aggregate of 6,024,425 Warrant Shares, together referred to as the Resale Shares. We also granted certain registration rights to these stockholders, pursuant to which, among other things, we prepared and filed a registration statement with the SEC to register for resale the Resale Shares. The registration statement was declared effective in February 2018.</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Except as outlined above, none of the foregoing transactions involved any underwriters, underwriting discounts or commissions or any public offering. We believe that these transactions were exempt from the registration requirements of the Securities Act under Section 4(2) of the Securities Act as transactions by an issuer not involving any public offering. The recipients of securities in each of these transactions represented their intention to acquire the securities for investment only and not with a view to or for sale in connection with any distribution thereof and appropriate legends were affixed to the stock certificates and instruments issued in such transactions. All recipients had adequate access, through their relationships with us, to information about us.</w:t>
      </w:r>
    </w:p>
    <w:p>
      <w:pPr>
        <w:spacing w:after="0" w:line="99" w:lineRule="exact"/>
        <w:rPr>
          <w:sz w:val="20"/>
          <w:szCs w:val="20"/>
          <w:color w:val="auto"/>
        </w:rPr>
      </w:pPr>
    </w:p>
    <w:p>
      <w:pPr>
        <w:ind w:left="1060" w:right="420" w:hanging="316"/>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the year ended December 31, 2017, we granted to officers, directors, employees, consultants and other service providers options to purchase an aggregate of 622,755 shares of common stock under our 2014 Equity Incentive Plan.</w:t>
      </w:r>
    </w:p>
    <w:p>
      <w:pPr>
        <w:spacing w:after="0" w:line="170"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We believe that these transactions were exempt from the registration requirements of the Securities Act under Rule 701 promulgated under the Securities Act as offers and sales of securities pursuant to certain compensatory benefit plans and contracts relating to compensation in compliance with Rule 701. The recipients of securities in these transactions represented their intention to acquire the securities for investment only and not with a view to or for sale in connection with any distribution thereof and appropriate legends were affixed to the stock certificates and instruments issued in such transactions. All recipients had adequate access, through their relationships with us, to information about us.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 Use of Proceeds</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There has been no material change in the planned use of proceeds from the 2017 PIPE Offering as described in our final prospectus filed with the SEC pursuant to Rule 424(b) for such transaction.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ITEM 6. SELECTED FINANCIAL INFORMATION</w:t>
      </w:r>
    </w:p>
    <w:p>
      <w:pPr>
        <w:spacing w:after="0" w:line="229"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The following selected consolidated financial information should be read together with our consolidated financial statements and accompanying notes and “Management’s Discussion and Analysis of Financial Condition and Results of Operations” appearing elsewhere in this Annual Report on Form 10-K. The selected consolidated financial information in this section is not intended to replace our consolidated financial statements and the accompanying notes. Our historical results are not necessarily indicative of our future results.</w:t>
      </w:r>
    </w:p>
    <w:p>
      <w:pPr>
        <w:spacing w:after="0" w:line="17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We derived the statements of operations data for the fiscal years ended December 31, 2017 and 2016 and the balance sheet data as of December 31, 2017 and 2016 from our audited financial statements appearing elsewhere in this filing. The data should be read in conjunction with the financial statements, related notes, and other financial information included herein.</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Statement of Operations Data:</w:t>
            </w:r>
          </w:p>
        </w:tc>
        <w:tc>
          <w:tcPr>
            <w:tcW w:w="47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Research and development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3,068,742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2,247,141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700"/>
              <w:spacing w:after="0"/>
              <w:rPr>
                <w:sz w:val="20"/>
                <w:szCs w:val="20"/>
                <w:color w:val="auto"/>
              </w:rPr>
            </w:pPr>
            <w:r>
              <w:rPr>
                <w:rFonts w:ascii="Arial" w:cs="Arial" w:eastAsia="Arial" w:hAnsi="Arial"/>
                <w:sz w:val="18"/>
                <w:szCs w:val="18"/>
                <w:color w:val="auto"/>
              </w:rPr>
              <w:t>Sales and marketing</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6,584,650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6,076,976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gridSpan w:val="2"/>
          </w:tcPr>
          <w:p>
            <w:pPr>
              <w:ind w:left="700"/>
              <w:spacing w:after="0"/>
              <w:rPr>
                <w:sz w:val="20"/>
                <w:szCs w:val="20"/>
                <w:color w:val="auto"/>
              </w:rPr>
            </w:pPr>
            <w:r>
              <w:rPr>
                <w:rFonts w:ascii="Arial" w:cs="Arial" w:eastAsia="Arial" w:hAnsi="Arial"/>
                <w:sz w:val="18"/>
                <w:szCs w:val="18"/>
                <w:color w:val="auto"/>
              </w:rPr>
              <w:t>Change in fair value of contingent consideration</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2,492,192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12,171,315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8,324,117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2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6"/>
              </w:rPr>
              <w:t>(12,171,315)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(8,324,117)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interest and other income (expense), net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(1,553,002)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1,586,497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20" w:type="dxa"/>
            <w:vAlign w:val="bottom"/>
            <w:gridSpan w:val="3"/>
          </w:tcPr>
          <w:p>
            <w:pPr>
              <w:spacing w:after="0"/>
              <w:rPr>
                <w:sz w:val="20"/>
                <w:szCs w:val="20"/>
                <w:color w:val="auto"/>
              </w:rPr>
            </w:pPr>
            <w:r>
              <w:rPr>
                <w:rFonts w:ascii="Arial" w:cs="Arial" w:eastAsia="Arial" w:hAnsi="Arial"/>
                <w:sz w:val="18"/>
                <w:szCs w:val="18"/>
                <w:color w:val="auto"/>
              </w:rPr>
              <w:t>Loss from continuing operations, net of income tax benefit</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(13,724,317)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(6,737,620)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 benefit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1,650,467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20" w:type="dxa"/>
            <w:vAlign w:val="bottom"/>
            <w:gridSpan w:val="3"/>
          </w:tcPr>
          <w:p>
            <w:pPr>
              <w:spacing w:after="0"/>
              <w:rPr>
                <w:sz w:val="20"/>
                <w:szCs w:val="20"/>
                <w:color w:val="auto"/>
              </w:rPr>
            </w:pPr>
            <w:r>
              <w:rPr>
                <w:rFonts w:ascii="Arial" w:cs="Arial" w:eastAsia="Arial" w:hAnsi="Arial"/>
                <w:sz w:val="18"/>
                <w:szCs w:val="18"/>
                <w:color w:val="auto"/>
              </w:rPr>
              <w:t>Loss from continuing operations, net of provision for income tax benefit</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(12,073,850)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(6,737,620)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 effect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(3,593,575)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(5,327,594)</w:t>
            </w:r>
          </w:p>
        </w:tc>
        <w:tc>
          <w:tcPr>
            <w:tcW w:w="0" w:type="dxa"/>
            <w:vAlign w:val="bottom"/>
          </w:tcPr>
          <w:p>
            <w:pPr>
              <w:spacing w:after="0"/>
              <w:rPr>
                <w:sz w:val="1"/>
                <w:szCs w:val="1"/>
                <w:color w:val="auto"/>
              </w:rPr>
            </w:pPr>
          </w:p>
        </w:tc>
      </w:tr>
      <w:tr>
        <w:trPr>
          <w:trHeight w:val="223"/>
        </w:trPr>
        <w:tc>
          <w:tcPr>
            <w:tcW w:w="712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(15,667,425)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(12,065,214)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convertible preferred stock</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3,651,172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20" w:type="dxa"/>
            <w:vAlign w:val="bottom"/>
            <w:gridSpan w:val="3"/>
          </w:tcPr>
          <w:p>
            <w:pPr>
              <w:spacing w:after="0"/>
              <w:rPr>
                <w:sz w:val="20"/>
                <w:szCs w:val="20"/>
                <w:color w:val="auto"/>
              </w:rPr>
            </w:pPr>
            <w:r>
              <w:rPr>
                <w:rFonts w:ascii="Arial" w:cs="Arial" w:eastAsia="Arial" w:hAnsi="Arial"/>
                <w:sz w:val="18"/>
                <w:szCs w:val="18"/>
                <w:color w:val="auto"/>
              </w:rPr>
              <w:t>Net loss applicable to common stockholders</w:t>
            </w:r>
          </w:p>
        </w:tc>
        <w:tc>
          <w:tcPr>
            <w:tcW w:w="1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(15,667,425</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(15,716,386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700"/>
              <w:spacing w:after="0"/>
              <w:rPr>
                <w:sz w:val="20"/>
                <w:szCs w:val="20"/>
                <w:color w:val="auto"/>
              </w:rPr>
            </w:pPr>
            <w:r>
              <w:rPr>
                <w:rFonts w:ascii="Arial" w:cs="Arial" w:eastAsia="Arial" w:hAnsi="Arial"/>
                <w:sz w:val="18"/>
                <w:szCs w:val="18"/>
                <w:color w:val="auto"/>
              </w:rPr>
              <w:t>Basic and diluted</w:t>
            </w:r>
          </w:p>
        </w:tc>
        <w:tc>
          <w:tcPr>
            <w:tcW w:w="1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8,977,795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3,101,496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Net loss per common share from continuing operations, basic and</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gridSpan w:val="2"/>
            <w:vMerge w:val="restart"/>
          </w:tcPr>
          <w:p>
            <w:pPr>
              <w:ind w:left="340"/>
              <w:spacing w:after="0"/>
              <w:rPr>
                <w:sz w:val="20"/>
                <w:szCs w:val="20"/>
                <w:color w:val="auto"/>
              </w:rPr>
            </w:pPr>
            <w:r>
              <w:rPr>
                <w:rFonts w:ascii="Arial" w:cs="Arial" w:eastAsia="Arial" w:hAnsi="Arial"/>
                <w:sz w:val="18"/>
                <w:szCs w:val="18"/>
                <w:color w:val="auto"/>
              </w:rPr>
              <w:t>Net loss per common share from discontinued operations, basic and diluted</w:t>
            </w: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loss per common share, basic and diluted</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17,099,507</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2,725,996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16,261,038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2,093,916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39,021,665</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5,564,852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26,534,908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3,435,197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120" w:type="dxa"/>
            <w:vAlign w:val="bottom"/>
            <w:gridSpan w:val="3"/>
          </w:tcPr>
          <w:p>
            <w:pPr>
              <w:ind w:left="5420"/>
              <w:spacing w:after="0"/>
              <w:rPr>
                <w:sz w:val="20"/>
                <w:szCs w:val="20"/>
                <w:color w:val="auto"/>
              </w:rPr>
            </w:pPr>
            <w:r>
              <w:rPr>
                <w:rFonts w:ascii="Arial" w:cs="Arial" w:eastAsia="Arial" w:hAnsi="Arial"/>
                <w:sz w:val="18"/>
                <w:szCs w:val="18"/>
                <w:color w:val="auto"/>
              </w:rPr>
              <w:t>60</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i w:val="1"/>
          <w:iCs w:val="1"/>
          <w:color w:val="auto"/>
        </w:rPr>
        <w:t>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or the Exchange Act. These statements are often identified by the use of words such as “may,” “will,” “expect,” “believe,” “anticipate,” “intend,” “could,” “should,” “estimate,” “plan,”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 Item 1A of this Annual Report on Form 10-K and elsewhere in this report.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Soleno Therapeutics, Inc. (formerly known as Capnia, Inc.) (the “Company”) was incorporated in the State of Delaware on August 25, 1999, and is located in Redwood City, California. On May 8, 2017, the Company received stockholder approval to amend the Amended and Restate Certificate of Incorporation of the Company to change the name of the Company to Soleno Therapeutics, Inc. The Company was initially established as a diversified healthcare company that developed and commercialized innovative diagnostics, devices and therapeutics addressing unmet medical needs, which consisted of: precision metering of gas flow technology marketed as Serenz</w:t>
      </w:r>
      <w:r>
        <w:rPr>
          <w:rFonts w:ascii="Arial" w:cs="Arial" w:eastAsia="Arial" w:hAnsi="Arial"/>
          <w:sz w:val="13"/>
          <w:szCs w:val="13"/>
          <w:color w:val="auto"/>
        </w:rPr>
        <w:t>®</w:t>
      </w:r>
      <w:r>
        <w:rPr>
          <w:rFonts w:ascii="Arial" w:cs="Arial" w:eastAsia="Arial" w:hAnsi="Arial"/>
          <w:sz w:val="16"/>
          <w:szCs w:val="16"/>
          <w:color w:val="auto"/>
        </w:rPr>
        <w:t xml:space="preserve"> Allergy Relief, or Serenz; CoSense</w:t>
      </w:r>
      <w:r>
        <w:rPr>
          <w:rFonts w:ascii="Arial" w:cs="Arial" w:eastAsia="Arial" w:hAnsi="Arial"/>
          <w:sz w:val="13"/>
          <w:szCs w:val="13"/>
          <w:color w:val="auto"/>
        </w:rPr>
        <w:t>®</w:t>
      </w:r>
      <w:r>
        <w:rPr>
          <w:rFonts w:ascii="Arial" w:cs="Arial" w:eastAsia="Arial" w:hAnsi="Arial"/>
          <w:sz w:val="16"/>
          <w:szCs w:val="16"/>
          <w:color w:val="auto"/>
        </w:rPr>
        <w:t xml:space="preserve"> End-Tidal Carbon Monoxide (ETCO) Monitor, or CoSense, which measures ETCO and aids in the detection of excessive hemolysis, a condition in which red blood cells degrade rapidly and which can lead to adverse neurological outcomes; and, products that included temperature probes, scales, surgical tables, and patient surfaces.</w:t>
      </w:r>
    </w:p>
    <w:p>
      <w:pPr>
        <w:spacing w:after="0" w:line="16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Company’s wholly-owned subsidiary NeoForce, Inc. (“NFI”) also marketed innovative pulmonary resuscitation solutions for the inpatient and ambulatory neonatal markets.</w:t>
      </w:r>
    </w:p>
    <w:p>
      <w:pPr>
        <w:spacing w:after="0" w:line="170"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On December 22, 2016, we entered into the Merger Agreement with Essentialis, Inc. Essentialis’s efforts prior to the merger were focused primarily on developing and testing product candidates that target the ATP-sensitive potassium channel, a metabolically regulated membrane protein whose modulation has the potential to impact a wide range of rare metabolic, cardiovascular, and CNS diseases. Essentialis has tested Diazoxide Choline Controlled Release Tablet, or DCCR, as a treatment for Prader-Willi Syndrome, or PWS, a complex metabolic/neurobehavioral disorder. DCCR has orphan designation for the treatment of PWS in the U.S. as well as in the E.U. Consummation of the merger was subject to various closing conditions, including our consummation of a financing of at least $8 million at, or substantially contemporaneous with, the closing of the merger, which occurred on March 7, 2017 and the receipt of stockholder approval of the merger at a special meeting of our stockholders, which was held on March 6, 2017. See the section titled “Business—Essentialis Acquisition” for more information.</w:t>
      </w:r>
    </w:p>
    <w:p>
      <w:pPr>
        <w:spacing w:after="0" w:line="17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Company subsequently explored opportunities to divest, sell or otherwise dispose of the CoSense, NFI and Serenz businesses. Accordingly, and pursuant to ASC 205-20-45-10, the assets and liabilities related to the discontinued operations of CoSense, NFI and Serenz are presented separately in the Balance Sheet as held for sale items, and the related operations reported herein for the CoSense, NFI and Serenz businesses are reported as discontinued operations in the Statement of Operations.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Company determined to divest, sell or otherwise dispose of the CoSense, NFI and Serenz businesses in order to focus on the development and commercialization of novel therapeutics for the treatment of rare diseases. Our current research and development efforts are primarily focused on advancing our lead candidate, DCCR tablets for the treatment of PWS, into late-stage clinical development.</w:t>
      </w:r>
    </w:p>
    <w:p>
      <w:pPr>
        <w:spacing w:after="0" w:line="166"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Company sold NFI in a stock transaction that was completed on July 18, 2017, pursuant to a Stock Purchase Agreement with Neoforce Holdings, Inc. a wholly-owned subsidiary of Flexicare Medical Limited, a privately-held United Kingdom company, for $720,000 and adjustments for inventory and the current cash balances held at NFI (see Note 8).</w:t>
      </w:r>
    </w:p>
    <w:p>
      <w:pPr>
        <w:spacing w:after="0" w:line="18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On December 4, 2017, we, and our wholly-owned subsidiary, Capnia, Inc., a Delaware corporation, or Capnia, entered into a joint venture with OAHL with the purpose of developing and commercializing CoSense. See the section titled “Business—Joint Venture for CoSense” for more information.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continue to separately evaluate alternatives for our Serenz portfolio.</w:t>
      </w:r>
    </w:p>
    <w:p>
      <w:pPr>
        <w:spacing w:after="0" w:line="22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No stock options were exercised during 2017 and during the year ended December 31, 2016, we received $70,000 from the exercise of stock options.</w:t>
      </w:r>
    </w:p>
    <w:p>
      <w:pPr>
        <w:spacing w:after="0" w:line="170" w:lineRule="exact"/>
        <w:rPr>
          <w:sz w:val="20"/>
          <w:szCs w:val="20"/>
          <w:color w:val="auto"/>
        </w:rPr>
      </w:pPr>
    </w:p>
    <w:p>
      <w:pPr>
        <w:jc w:val="both"/>
        <w:ind w:left="200" w:right="760" w:firstLine="441"/>
        <w:spacing w:after="0" w:line="264" w:lineRule="auto"/>
        <w:rPr>
          <w:sz w:val="20"/>
          <w:szCs w:val="20"/>
          <w:color w:val="auto"/>
        </w:rPr>
      </w:pPr>
      <w:r>
        <w:rPr>
          <w:rFonts w:ascii="Arial" w:cs="Arial" w:eastAsia="Arial" w:hAnsi="Arial"/>
          <w:sz w:val="18"/>
          <w:szCs w:val="18"/>
          <w:color w:val="auto"/>
        </w:rPr>
        <w:t>During the year ended December 31, 2016, we implemented plans to reduce our operating expenses, including reducing our workforce, eliminating outside consultants, reducing legal fees and implementing a plan to allow Board members to receive common stock in lieu of cash payments.</w:t>
      </w:r>
    </w:p>
    <w:p>
      <w:pPr>
        <w:spacing w:after="0" w:line="181" w:lineRule="exact"/>
        <w:rPr>
          <w:sz w:val="20"/>
          <w:szCs w:val="20"/>
          <w:color w:val="auto"/>
        </w:rPr>
      </w:pPr>
    </w:p>
    <w:p>
      <w:pPr>
        <w:ind w:left="200" w:right="440" w:firstLine="441"/>
        <w:spacing w:after="0" w:line="308" w:lineRule="auto"/>
        <w:rPr>
          <w:sz w:val="20"/>
          <w:szCs w:val="20"/>
          <w:color w:val="auto"/>
        </w:rPr>
      </w:pPr>
      <w:r>
        <w:rPr>
          <w:rFonts w:ascii="Arial" w:cs="Arial" w:eastAsia="Arial" w:hAnsi="Arial"/>
          <w:sz w:val="17"/>
          <w:szCs w:val="17"/>
          <w:color w:val="auto"/>
        </w:rPr>
        <w:t>On October 6, 2017, the Company effected a one-for-five (1:5) reverse stock split of its then outstanding common stock and, accordingly, all common share and per share data are retrospectively restated to give effect of the split for all periods presented herein.</w:t>
      </w:r>
    </w:p>
    <w:p>
      <w:pPr>
        <w:spacing w:after="0" w:line="14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As of December 31, 2017, we had an accumulated deficit of $114.0 million, primarily as a result of research and development and general and administrative expenses. While we may in the future generate revenue from a variety of sources, potentially including sales of our neonatology products, therapeutic products, other diagnostic products, license fees, milestone payments, and research and development payments in connection with potential future strategic partnerships, we have, to date, generated revenue only from the 2013 license agreement pertaining to Serenz, $2.6 million in revenue from our neonatology products and $0.2 million in government grants; these activities are reported as discontinued operations in the accompanying consolidated financial statements of the Company. We may never be successful in commercializing our novel therapeutic and in divesting, selling or otherwise disposing of our existing neonatology products or related therapeutic products. Accordingly, we expect to incur significant losses from operations for the foreseeable future, and there can be no assurance that we will ever generate significant revenue or profits.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Sabby 2016 Stock Purchase</w:t>
      </w:r>
    </w:p>
    <w:p>
      <w:pPr>
        <w:spacing w:after="0" w:line="225"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On June 29, 2016, we entered into the 2016 Sabby Purchase Agreement with Sabby, pursuant to which we agreed to sell to Sabby, in a private placement, an aggregate of up to 13,780 shares of our Series B Convertible Preferred Stock at an aggregate purchase price of $13,780,000, which shares are convertible into 2,756,000 shares of our Common Stock, based on a fixed conversion price of $5.00 per share on an as-converted basis.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 In connection with the 2016 Sabby Purchase Agreement, we also repurchased an aggregate of 7,780 shares of Series A Convertible Preferred Stock held by Sabby for an aggregate amount of $7,780,000, which shares were originally purchased by Sabby under</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2015 Sabby Purchase Agreement and which shares represent 841,081 shares of Common Stock on an as-converted basis. The sale of the Series B Convertible Preferred Stock occurred in two separate closings. On July 5, 2016, the date of the first closing under the 2016 Sabby Purchase Agreement, the Company received proceeds of approximately $1.3 million, net of $0.1 million in estimated expenses. On September 29, 2016, the date of the second closing under the 2016 Sabby Purchase Agreement, the Company received proceeds of approximately $4.4 million, net of $0.3 million in estimated expenses. After the repurchase of the Series A Convertible Preferred Stock and estimated transaction expenses, the Company received approximately $5.6 million of net proceeds.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Aspire Stock Purchase</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On January 27, 2017, the Company entered into a Common Stock Purchase Agreement (the “2017 Aspire Purchase Agreement”) with Aspire Capital Fund, LLC (“Aspire Capital”), which provides that, upon the terms and subject to the conditions and limitations set forth therein, Aspire Capital is committed to purchase up to an aggregate of $17.0 million in value of shares of our Common Stock over the 30-month term of the 2017 Aspire Purchase Agreement. The Company issued Aspire Capital 141,666 shares of Common Stock as commitment shares under the 2017 Aspire Purchase Agreement. The 2017 Aspire Purchase Agreement was terminated upon the closing of the 2017 PIPE Offering.</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2017 PIPE Offering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December 11, 2017, the Company entered into the Unit Purchase Agreement with purchasers of the Company’s securities pursuant to which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Company sold and issued 8,141,116 immediately separable units at a price per unit of $1.84 for aggregate gross proceeds of approximately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$15,000,000. Each unit consisted of one share of the Company’s common stock and a warrant to purchase 0.74 of a share of the Company’s common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stock at an exercise price of $2.00 per share, for an aggregate of 8,141,116 shares of common stock, and corresponding warrants, or the 2017 PIPE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Warrants, to purchase 6,024,425 shares of common stock. Soleno refers to the Shares and the Warrant Shares collectively as the Resale Shares.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also granted certain registration rights to the selling stockholders pursuant to the Unit Purchase Agreement pursuant to which, among other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things, the Company prepared and filed a registration statement with the SEC to register for resale the Resale Shares. The registration statement was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declared effective in February 2018.</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In January 2018, a fund managed by Sabby converted an aggregate of 1,000 shares of their Series B Convertible Stock into 200,000 shares of Common Stock.</w:t>
      </w:r>
    </w:p>
    <w:p>
      <w:pPr>
        <w:spacing w:after="0" w:line="17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On February 2, 2018, the Company issued 47,766 shares of Common Stock to members of its Board of Directors as compensation for Board of Directors fees earned during the quarter ended December 31, 2017.</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have not generated net income from operations to date, and, at December 31, 2017 and December 31, 2016, we had an accumulated deficit of approximately $114.0 million and $98.3 million, respectively, primarily as a result of research and development and general and administrative expenses. We may never be successful in commercializing our novel therapeutics products for the treatment of rare diseases. Accordingly, we expect to incur significant losses from operations for the foreseeable future, and there can be no assurance that we will ever generate significant revenue or profits.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 xml:space="preserve">We apply the provisions of Financial Accounting Standards Board, or FASB, Accounting Standards Codification, or ASC, Topic 605,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 to recognize revenue. We begin recognizing revenue when persuasive evidence of an arrangement exists, such as a contract or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order, delivery has occurred, no significant obligations with regard to implementation or integration exist, the fee is fixed or determinable, and collectability is reasonably assured. To date, the Company has earned no revenue from the commercial development and sale of novel therapeutic products and the revenue resulting from commercialization and sale of the CoSense, Neo Force, Inc. and Serenz products is reported in discontinued operations.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costs consist primarily of salaries and benefits, consultant fees, prototype expenses, certain facility costs and other costs associated with clinical trials, net of reimbursed amounts. Costs to acquire technologies to be used in research and development that have not reached technological feasibility, and have no alternative future use, are expensed to research and development costs when incurred. Research and development expenses resulting from the development of novel therapeutic products is reported in continuing operations, and research and development expenses resulting from the development of the CoSense, Neo Force, Inc. and Serenz products is reported in discontinued operations.</w:t>
      </w:r>
    </w:p>
    <w:p>
      <w:pPr>
        <w:spacing w:after="0" w:line="19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Company recorded the value of contingent future consideration to be paid for the acquisition of Essentialis as a liability in March 2017 at the date of the acquisition, and the change in fair value of such consideration is recorded in Research and Development expenses for the year ended December 31, 2017.</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Sales and marketing expenses consist principally of personnel-related costs, professional fees for consulting expenses, and other expenses associated with commercial activities. We anticipate these expenses will increase significantly in future periods, reflecting the increased level of sales and marketing activity necessary for the commercial launch of CoSense. The Company has to date incurred no sales and marketing expenses related to the sale and commercialization of novel therapeutic products, and the sales and marketing expenses related to the CoSense, Neo Force, Inc. and Serenz products is reported in discontinued operations.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General and administrative expenses consist principally of personnel-related costs, professional fees for legal, consulting, audit and tax services, insurance, rent, and other general operating expenses not otherwise included in research and development. We anticipate general and administrative expenses will increase in future periods, reflecting an expanding infrastructure, other administrative expenses and increased professional fees associated with being a public reporting company. General and administrative expenses incurred in operating all components of the Company’s business are classified as continuing operations and are not allocated to specific research and development or sales and marketing activities that have been discontinued. General and administrative expense, such as rent, which are incurred specifically to directly support research and development and sales and marketing activities for the CoSense, Neo Force, Inc. and Serenz products is reported in discontinued operations.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Other income (expense), net is primarily comprised of changes in the fair value of the Series A, Series C and 2017 PIPE common stock warrant liabilities.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60"/>
          </w:cols>
          <w:pgMar w:left="240" w:top="459"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upon our audited financial statements, which have been prepared in accordance with GAAP.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to our audited financial statements contained herein.</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Series A, Series C and the 2017 PIPE Warrants</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We account for the Series A, Series C and 2017 PIPE warrants, collectively referred to as the Warrants, in accordance with the guidance in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Warrants contain standard anti-dilution provisions for stock dividends, stock splits, subdivisions, combinations and similar types of recapitalization events.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 which is equivalent to fair value computed using the Binomial Lattice Valuation Model.</w:t>
      </w:r>
    </w:p>
    <w:p>
      <w:pPr>
        <w:spacing w:after="0" w:line="16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classified the Warrants as liabilities at their fair value and will re-measure the warrants at each balance sheet date until they are exercised or expire. Any change in the fair value is recognized as other income (expense) in the Statement of Operations.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Series D Warrants</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 xml:space="preserve">We account for the Series D Warrants in accordance with the guidance in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 Series D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Series D Warrants and underlying shares. We are required to comply with certain requirements to cause or maintain the effectiveness of a registration statement for the offer and sale of these securities. Such change in control events include tender offers or hostile takeovers, which are not within our sole control as the issuer of these warrants. However, the Series D Warrant agreement specifically provides that under no circumstances will we be required to settle any Series D Warrant exercise for cash, whether by net settlement or otherwise. Accordingly, we have classified the value of the Series D Warrants as permanent equity.</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Series A and Series B Convertible Preferred Stock</w:t>
      </w:r>
    </w:p>
    <w:p>
      <w:pPr>
        <w:spacing w:after="0" w:line="11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We classified our Series A and Series B Convertible Preferred Stock as permanent equity on our balance sheet in accordance with authoritative guidance for the classification and measurement of hybrid securities and distinguishing liability from equity instruments. The preferred stock is not redeemable at the option of the holder.</w:t>
      </w:r>
    </w:p>
    <w:p>
      <w:pPr>
        <w:spacing w:after="0" w:line="181"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 xml:space="preserve">Further, we evaluated our Series A and Series B Convertible Preferred Stock and determined that it is considered an equity host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In making this determination, we followed the whole instrument approach which compares an individual feature against the</w:t>
      </w:r>
      <w:r>
        <w:rPr>
          <w:rFonts w:ascii="Arial" w:cs="Arial" w:eastAsia="Arial" w:hAnsi="Arial"/>
          <w:sz w:val="18"/>
          <w:szCs w:val="18"/>
          <w:i w:val="1"/>
          <w:iCs w:val="1"/>
          <w:color w:val="auto"/>
        </w:rPr>
        <w:t xml:space="preserve"> </w:t>
      </w:r>
      <w:r>
        <w:rPr>
          <w:rFonts w:ascii="Arial" w:cs="Arial" w:eastAsia="Arial" w:hAnsi="Arial"/>
          <w:sz w:val="18"/>
          <w:szCs w:val="18"/>
          <w:color w:val="auto"/>
        </w:rPr>
        <w:t>entire preferred stock instrument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which includes that feature. Our analysis was based on a consideration of the economic characteristics and risks of each series of preferred stock. More specifically, we evaluated all of the stated and implied substantive terms and features, including (i) whether the preferred stock included redemption features, (ii) how and when any redemption features could be exercised, (iii) whether the holders of preferred stock were entitled to dividends, (iv) the voting rights of the preferred stock and (v) the existence and nature of any conversion rights. As a result, we concluded that the preferred stock represents an equity host, the conversion feature of all series of preferred stock is considered to be clearly and closely related to the associated preferred stock host instrument. Accordingly, the conversion feature in the preferred stock is not considered an embedded derivative that requires bifurcation.</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expense includes payroll and personnel expenses, consulting expenses, and external contract research and development expenses. Nonrefundable advance payments for goods or services that will be used or rendered for future research and development activities are deferred and capitalized and recognized as an expense as the goods are delivered or the related services are performed.</w:t>
      </w:r>
    </w:p>
    <w:p>
      <w:pPr>
        <w:spacing w:after="0" w:line="1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research and development expenses. This process involves reviewing contracts and purchase orders, reviewing the terms of our intellectual property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financial statements based on facts and circumstances known to us at that time. We periodically confirm the accuracy of our estimates with the service providers and make adjustments if necessary. Examples of estimated accrued research and development expenses include fees to:</w:t>
      </w:r>
    </w:p>
    <w:p>
      <w:pPr>
        <w:spacing w:after="0" w:line="83" w:lineRule="exact"/>
        <w:rPr>
          <w:sz w:val="20"/>
          <w:szCs w:val="20"/>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contract manufacturers in connection with the production of clinical trial materials;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contract research organizations and other service providers in connection with clinical studies;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investigative sites in connection with clinical studies;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professional service fees for consulting and related services.</w:t>
      </w:r>
    </w:p>
    <w:p>
      <w:pPr>
        <w:spacing w:after="0" w:line="225"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base our expenses related to clinical studies on our estimates of the services received and efforts expended pursuant to contracts with multiple research institutions and contract research organizations that conduct and manage clinical studies on our behalf. The financial terms of these agreements are subject to negotiation, vary from contract to contract, and may result in uneven payment flows and expense recognition.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Our understanding of the status and timing of services performed relative to the actual status and timing of services performed may vary and may result in our reporting changes in estimates in any particular period. To date, there have been no material differences from our estimates to the amounts actually incurred. However, due to the nature of these estimates, we cannot assure you that we will not make changes to our estimates in the future as we become aware of additional information about the status or conduct of our clinical studies or other research activity.</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For the years ended December 31, 2017 and December 31, 2016 stock-based compensation expense was $1,000,251 and $871,270, respectively of which, stock compensation expense of approximately $120,220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$132,000 was classified in discontinued operations, in 2017 and 2016, respectively. As of December 31, 2017, we had $1.2 million of total unrecognized compensation expense, which we expect to recognize over a period of approximately 2.6 years. The intrinsic value of all outstanding stock options as of December 31, 2017, was approximately zero. We expect to continue to grant equity incentive awards in the future as we continue to expand our number of employees and seek to retain our existing employees, and to the extent that we do, our actual stock-based compensation expense recognized in future periods will likely increase.</w:t>
      </w:r>
    </w:p>
    <w:p>
      <w:pPr>
        <w:spacing w:after="0" w:line="188"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Stock-based compensation costs related to stock options granted to employees and directors are measured at the date of grant based on the estimated fair value of the award, net of estimated forfeitures. We estimate the grant date fair value, and the resulting stock-based compensation expense, using the Black-Scholes option-pricing model. The grant date fair value of stock-based awards is recognized on a straight-line basis over the requisite service period, which is generally the vesting period of the award. Stock options we grant to employees generally vest over four years.</w:t>
      </w:r>
    </w:p>
    <w:p>
      <w:pPr>
        <w:spacing w:after="0" w:line="154"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fair value of an equity award granted to a non-employee generally is determined in the same manner as an equity award granted to an employee. In most cases, the fair value of the equity securities granted is more reliably determinable than the fair value of the goods or services received. In June 2016, we granted 11,000 NSOs to sales representatives of Bemes, Inc. Of the 11,000 options granted, 5,499 options with a fair value of $26,355 vested immediately upon grant. Accelerated vesting of the remaining options was contingent on the satisfaction of certain performance requirements, which were not met. Regardless of not achieving accelerated vesting, the remaining options have a one year cliff vesting. As a result, we recognized $13,502 in expense for the remaining options during 2016, which vested during the first quarter of 2017. Total expense for the two groups of options reflects the fair value of our common stock on the applicable vesting commencement dates.</w:t>
      </w:r>
    </w:p>
    <w:p>
      <w:pPr>
        <w:spacing w:after="0" w:line="178"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If we had made different assumptions, our stock-based compensation expense, net loss and net loss per share of common stock could have been significantly different. These assumptions include:</w:t>
      </w:r>
    </w:p>
    <w:p>
      <w:pPr>
        <w:spacing w:after="0" w:line="87" w:lineRule="exact"/>
        <w:rPr>
          <w:sz w:val="20"/>
          <w:szCs w:val="20"/>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We calculate the estimated volatility rate based on a peer index of common stock of comparable companies.</w:t>
      </w:r>
    </w:p>
    <w:p>
      <w:pPr>
        <w:spacing w:after="0" w:line="130" w:lineRule="exact"/>
        <w:rPr>
          <w:rFonts w:ascii="Arial" w:cs="Arial" w:eastAsia="Arial" w:hAnsi="Arial"/>
          <w:sz w:val="18"/>
          <w:szCs w:val="18"/>
          <w:color w:val="auto"/>
        </w:rPr>
      </w:pPr>
    </w:p>
    <w:p>
      <w:pPr>
        <w:ind w:left="1060" w:right="20" w:hanging="316"/>
        <w:spacing w:after="0" w:line="264"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We do not believe we are able to rely on our historical exercise and post-vesting termination activity to provide accurate data</w:t>
      </w:r>
      <w:r>
        <w:rPr>
          <w:rFonts w:ascii="Arial" w:cs="Arial" w:eastAsia="Arial" w:hAnsi="Arial"/>
          <w:sz w:val="18"/>
          <w:szCs w:val="18"/>
          <w:i w:val="1"/>
          <w:iCs w:val="1"/>
          <w:color w:val="auto"/>
        </w:rPr>
        <w:t xml:space="preserve"> </w:t>
      </w:r>
      <w:r>
        <w:rPr>
          <w:rFonts w:ascii="Arial" w:cs="Arial" w:eastAsia="Arial" w:hAnsi="Arial"/>
          <w:sz w:val="18"/>
          <w:szCs w:val="18"/>
          <w:color w:val="auto"/>
        </w:rPr>
        <w:t>for estimating the expected term for use in estimating the fair value-based measurement of our options. Therefore, we have opted to use the “simplified method” for estimating the expected term of options.</w:t>
      </w:r>
    </w:p>
    <w:p>
      <w:pPr>
        <w:spacing w:after="0" w:line="86" w:lineRule="exact"/>
        <w:rPr>
          <w:rFonts w:ascii="Arial" w:cs="Arial" w:eastAsia="Arial" w:hAnsi="Arial"/>
          <w:sz w:val="18"/>
          <w:szCs w:val="18"/>
          <w:color w:val="auto"/>
        </w:rPr>
      </w:pPr>
    </w:p>
    <w:p>
      <w:pPr>
        <w:ind w:left="1060" w:right="340" w:hanging="316"/>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yields of U.S. Treasury securities with maturities similar to the expected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w:t>
      </w:r>
    </w:p>
    <w:p>
      <w:pPr>
        <w:spacing w:after="0" w:line="75" w:lineRule="exact"/>
        <w:rPr>
          <w:rFonts w:ascii="Arial" w:cs="Arial" w:eastAsia="Arial" w:hAnsi="Arial"/>
          <w:sz w:val="18"/>
          <w:szCs w:val="18"/>
          <w:color w:val="auto"/>
        </w:rPr>
      </w:pPr>
    </w:p>
    <w:p>
      <w:pPr>
        <w:ind w:left="1060" w:right="720" w:hanging="316"/>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we used an expected dividend yield of zero.</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were 622,755 options granted in the year ended December 31, 2017, and there were 267,851 options granted in the year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2016. In addition to the assumptions used in the Black-Scholes option-pricing model, we must also estimate a forfeiture rate to calculate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stock-based compensation expense for our awards. We will continue to use judgment in evaluating the expected volatility, expected terms,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forfeiture rates utilized for our stock-based compensation expense calculations on a prospective basis.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Business combinations are recorded in accordance with ASC 805 and with recent guidance established by ASU 2017-01 issued by the Financial Accounting Standards Board, or FASB, in January 2017. Business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59" w:lineRule="auto"/>
        <w:rPr>
          <w:sz w:val="20"/>
          <w:szCs w:val="20"/>
          <w:color w:val="auto"/>
        </w:rPr>
      </w:pPr>
      <w:r>
        <w:rPr>
          <w:rFonts w:ascii="Arial" w:cs="Arial" w:eastAsia="Arial" w:hAnsi="Arial"/>
          <w:sz w:val="18"/>
          <w:szCs w:val="18"/>
          <w:color w:val="auto"/>
        </w:rPr>
        <w:t>combinations are considered, pursuant to ASC 805, to be a purchase of a business entity or a purchase of assets. The guidance established by ASU 2017-01 provides additional guidance in assessing the purchase by providing an initial screen to determine if substantially all of the fair value of the gross assets acquired is concentrated in a single asset or group of similar assets; if the substance of this test is met, the acquisition is treated as a purchase of assets and not the acquisition of a business entity.</w:t>
      </w:r>
    </w:p>
    <w:p>
      <w:pPr>
        <w:spacing w:after="0" w:line="18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The Company’s acquisition of Essentialis was determined to be an asset acquisition, and the total value of the purchase consideration was allocated to the asset acquired. The asset acquired was recorded as the sum of the estimated fair value of the shares issued on the completion of the merger, the estimated fair value of the shares to be issued under the holdback and milestone stock payment provisions in the future, and the shares to be issued, the estimated fair value of the contingent consideration to be paid for achieving certain commercial milestones in the future, and the value equivalent to the increase in the liability for deferred taxes resulting from the tax effect of the net assets and liabilities acquired.</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Contingent consideration elements of a business combination are recorded in accordance with ASC 805 which provides that, when contingent consideration terms provide for future payment obligations, the obligation is measured at its fair value on the acquisition date, and the subsequent increase or decrease of the value of the estimated amounts of contingent consideration to be paid is be recognized as expense or income, respectively, in the statement of operations.</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Company’s agreement to pay the selling shareholders of Essentialis for achieving certain commercial milestones resulted in the recognition of a contingent consideration, which was recorded at the inception of the transaction, and subsequent changes to estimate of the amounts of contingent consideration to be paid will be recognized as expenses or income in the statement of operations. The fair value of the contingent consideration is based on the Company’s analysis of the likelihood of the drug indication moving from phase II through approval in the Federal Drug Administration approval process and then reaching the cumulative revenue milestones.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Goodwill represents the excess of the purchase price of an acquired enterprise or assets over the fairvalue of the identifiable assets acquired and liabilities assumed. Goodwill is presumed to have an indefinite life and is not subject to amortization. We test for impairment of goodwill on an annual basis in the fourth quarter and at any other time when events occur, or circumstances indicate that the carrying amount of goodwill may not be recoverable.</w:t>
      </w:r>
    </w:p>
    <w:p>
      <w:pPr>
        <w:spacing w:after="0" w:line="18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Circumstances that could trigger an impairment test include but are not limited to: a significant adverse change in the business climate or legal factors, an adverse action or assessment by a regulator, change in customer, target market and strategy, unanticipated competition, loss of key personnel, or the likelihood that a reporting unit or significant portion of a reporting unit will be sold or otherwise disposed.</w:t>
      </w:r>
    </w:p>
    <w:p>
      <w:pPr>
        <w:spacing w:after="0" w:line="166"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An assessment of qualitative factors may be performed to determine whether it is necessary to perform the two-step quantitative goodwill impairment test. If the result of the qualitative assessment is that it is more likely than not (i.e. greater than 50% likelihood) that the fair value of a reporting unit, is less than its carrying amount, then the quantitative test is required. Otherwise, no further testing is required. At our testing date, we did not perform the qualitative assessment.</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the quantitative test, if the carrying amount of a reporting unit’s goodwill exceeds the implied fair value of that goodwill, an impairment loss is recorded in the Consolidated Statements of Operations as “Impairment of goodwill.” Measurement of the fair value of a reporting unit is based on one or more of the following fair value measures: amounts at which the unit as a whole could be bought or sold in a current transaction between willing parties, using present value techniques of estimated future cash flows, or using valuation techniques based on multiples of earnings or revenue, or a similar performance measure.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Based on our organizational structure and our financial information during 2017 and 2016, we determined we operate in one segment and two reporting units. The only reporting unit with goodwill was the NeoForce (“NFI”) unit which is reported in discontinued operations in 2017 and 2016, and in assets and liabilities held for sale at December 31, 2016.</w:t>
      </w:r>
    </w:p>
    <w:p>
      <w:pPr>
        <w:spacing w:after="0" w:line="181" w:lineRule="exact"/>
        <w:rPr>
          <w:sz w:val="20"/>
          <w:szCs w:val="20"/>
          <w:color w:val="auto"/>
        </w:rPr>
      </w:pPr>
    </w:p>
    <w:p>
      <w:pPr>
        <w:ind w:left="200" w:right="840" w:firstLine="441"/>
        <w:spacing w:after="0" w:line="308" w:lineRule="auto"/>
        <w:rPr>
          <w:sz w:val="20"/>
          <w:szCs w:val="20"/>
          <w:color w:val="auto"/>
        </w:rPr>
      </w:pPr>
      <w:r>
        <w:rPr>
          <w:rFonts w:ascii="Arial" w:cs="Arial" w:eastAsia="Arial" w:hAnsi="Arial"/>
          <w:sz w:val="17"/>
          <w:szCs w:val="17"/>
          <w:color w:val="auto"/>
        </w:rPr>
        <w:t>During the fourth quarter of 2016, we tested the NFI reporting unit’s goodwill for impairment under the two-step quantitative goodwill impairment test in accordance with authoritative guidance. There were no triggering events during the interim periods of 2016.</w:t>
      </w:r>
    </w:p>
    <w:p>
      <w:pPr>
        <w:spacing w:after="0" w:line="147"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Under the first step of the authoritative guidance for impairment testing, the fair value of the NFI reporting unit was determined based on the income approach, which estimates fair value based on the future discounted cash flows. We assumed a cash flow period of 5 years, annual revenue growth rates of 38.2% to 63.9%, a discount rate of 20.5%, and a terminal value equivalent to one times final year sales. While projected revenue growth is above average, beginning revenue is quite low and the acquisition of new customers, mainly hospitals and health plans, is expected to result in relatively large increments of growth. We also performed sensitivity analyses to estimate the effect of significantly lower revenue growth on estimated fair value. We believe the assumptions and rates used in the impairment test are reasonable, but they are judgmental, and variations in any of the assumptions or rates could result in a materially different calculation of impairment. The determination of estimated fair value of goodwill required the use of significant unobservable inputs which are considered Level 3 fair value measurements. Based on the first step of the authoritative guidance on impairment testing, we concluded that the fair value of the NFI reporting unit was in excess of its carrying value.</w:t>
      </w:r>
    </w:p>
    <w:p>
      <w:pPr>
        <w:spacing w:after="0" w:line="16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NFI reporting unit was acquired during the fourth quarter of 2015. We had no other goodwill during 2017 or 2016. Goodwill is classified with long-term assets held for sale in the Balance Sheet.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We use the liability method of accounting for income taxes, whereby deferred tax assets or liability account balances are calculated at the balance sheet date using current tax laws and rates in effect for the year in which the differences are expected to affect taxable income. Valuation allowances are provided when necessary to reduce deferred tax assets to the amount that will more likely than not be realized.</w:t>
      </w:r>
    </w:p>
    <w:p>
      <w:pPr>
        <w:spacing w:after="0" w:line="166"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recognition of revenues and expenses for tax and financial statement purposes. Significant changes to these estimates may result in an increase or decrease to our tax provision in a subsequent period.</w:t>
      </w:r>
    </w:p>
    <w:p>
      <w:pPr>
        <w:spacing w:after="0" w:line="18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In assessing the realizability of deferred tax assets, we consider whether it is more likely than not that some portion or all of the deferred tax assets will be realized on a jurisdiction by jurisdiction basis. The ultimate realization of deferred tax assets is dependent upon the generation of taxable income in the future. We have recorded a deferred tax asset in jurisdictions where ultimate realization of deferred tax assets is more likely than not to occur.</w:t>
      </w:r>
    </w:p>
    <w:p>
      <w:pPr>
        <w:spacing w:after="0" w:line="147"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We make estimates and judgments about our future taxable income that are based on assumptions that are consistent with our plans and estimates. Should the actual amounts differ from our estimates, the amount of our valuation allowance could be materially impacted. Any adjustment to the deferred tax asset valuation allowance would be recorded in the income statement for the periods in which the adjustment is determined to be required.</w:t>
      </w:r>
    </w:p>
    <w:p>
      <w:pPr>
        <w:spacing w:after="0" w:line="147"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 xml:space="preserve">We account for uncertainty in income taxes as required by the provisions of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which clarifies the accounting for uncertainty in income taxes recognized in an enterprise’s financial statements. The first step is to evaluate the tax position for recognition by determining if the weight of available evidence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indicates that it is more likely than not that the position will be sustained on audit, including resolution of related appeals or litigation processes, if any. The second step is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consider many factors when evaluating and estimating our tax positions and tax benefits, which may require periodic adjustments and may not accurately anticipate actual outcomes.</w:t>
      </w:r>
    </w:p>
    <w:p>
      <w:pPr>
        <w:spacing w:after="0" w:line="188"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In addition, the use of net operating loss and tax credit carryforwards may be limited under Section 382 of the Internal Revenue Code in certain situations where changes occur in the stock ownership of a company. In the event that we have had a change in ownership, utilization of the carryforwards could be restricted. For more information, see the section titled “Risk Factors—Our ability to use our net operating loss carry forwards and certain other tax attributes will be limited.”</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Continuing operations are reported net of the related tax effects and discontinued operations are reported net of related tax effects in the Statement of Operations.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Continuing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Years Ended December 31, 2017 and 2016 from continuing operations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center"/>
              <w:ind w:left="373"/>
              <w:spacing w:after="0"/>
              <w:rPr>
                <w:sz w:val="20"/>
                <w:szCs w:val="20"/>
                <w:color w:val="auto"/>
              </w:rPr>
            </w:pPr>
            <w:r>
              <w:rPr>
                <w:rFonts w:ascii="Arial" w:cs="Arial" w:eastAsia="Arial" w:hAnsi="Arial"/>
                <w:sz w:val="14"/>
                <w:szCs w:val="14"/>
                <w:b w:val="1"/>
                <w:bCs w:val="1"/>
                <w:color w:val="auto"/>
                <w:w w:val="93"/>
              </w:rPr>
              <w:t>Year Ended</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4"/>
              </w:rPr>
              <w:t>Amount</w:t>
            </w:r>
          </w:p>
        </w:tc>
        <w:tc>
          <w:tcPr>
            <w:tcW w:w="9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5"/>
          </w:tcPr>
          <w:p>
            <w:pPr>
              <w:jc w:val="center"/>
              <w:ind w:right="31"/>
              <w:spacing w:after="0" w:line="142" w:lineRule="exact"/>
              <w:rPr>
                <w:sz w:val="20"/>
                <w:szCs w:val="20"/>
                <w:color w:val="auto"/>
              </w:rPr>
            </w:pPr>
            <w:r>
              <w:rPr>
                <w:rFonts w:ascii="Arial" w:cs="Arial" w:eastAsia="Arial" w:hAnsi="Arial"/>
                <w:sz w:val="14"/>
                <w:szCs w:val="14"/>
                <w:color w:val="auto"/>
                <w:w w:val="90"/>
              </w:rPr>
              <w:t>(in thousands)</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3,069</w:t>
            </w:r>
          </w:p>
        </w:tc>
        <w:tc>
          <w:tcPr>
            <w:tcW w:w="3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2,247</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822</w:t>
            </w:r>
          </w:p>
        </w:tc>
        <w:tc>
          <w:tcPr>
            <w:tcW w:w="32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6,584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6,077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507</w:t>
            </w:r>
          </w:p>
        </w:tc>
        <w:tc>
          <w:tcPr>
            <w:tcW w:w="32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1080"/>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12,171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8,324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3,847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from operations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(12,171)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(8,324)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(3,847)</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Change in fair value of warrants, income (expense)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(967)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(2,634)</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Cease-use income (expense)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(590)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(603)</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(3,139)</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Loss from continuing operations before provision for tax benefit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(13,724)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(6,738)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(6,986)</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tax benefit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(12,074)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(6,738)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0"/>
              </w:rPr>
              <w:t>(5,336)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Operating</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(3,407)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(5,327)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1,920</w:t>
            </w:r>
          </w:p>
        </w:tc>
        <w:tc>
          <w:tcPr>
            <w:tcW w:w="32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sale of assets, net of tax effect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1080"/>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(3,593)</w:t>
            </w:r>
          </w:p>
        </w:tc>
        <w:tc>
          <w:tcPr>
            <w:tcW w:w="3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(5,327)</w:t>
            </w:r>
          </w:p>
        </w:tc>
        <w:tc>
          <w:tcPr>
            <w:tcW w:w="3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1,734</w:t>
            </w:r>
          </w:p>
        </w:tc>
        <w:tc>
          <w:tcPr>
            <w:tcW w:w="3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(15,667)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(12,065)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(3,602)</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company has not commenced commercialization of DCCR, its current sole novel therapeutic product, and accordingly, through December 31, 2017, has generated no revenue in continuing operations.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24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Research and development expense of $3,069,000 for the year ended December 31, 2017 increased by $822,000 over 2016 resulting primarily from efforts directed toward development of DCCR which the Company acquired with the Essentialis acquisition during 2017.</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Research and development expense devoted to continuing operations in the year ended December 31, 2016, consists of approximately $950,000 of salaries and related benefit expenses for employees not directly committed to the discontinued research and development efforts, which are classified as discontinued operations, together with indirect expenses of rent, facilities, and consultants that indirectly support the Company’s general research and development efforts.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Sales and marketing expense of $26,000 for the year ended December 31, 2017 consisted of expense incurred to revise the Company’s web-site. The company has not commenced commercialization of DCCR, its current sole novel therapeutic product, and accordingly, through December 31, 2017, has incurred no sales and marketing activities in continuing operations.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General and administrative expense of $6,584,000 for the year ended December 31, 2017 increased $507,000 over that of 2016 resulting primarily from amortizing $1.6 million of the patent intangible recorded in the Essentialis acquisition, which was partially offset by a reduction in expenditures of $1.1 million for professional fees directed to corporate and intellectual property activities.</w:t>
      </w:r>
    </w:p>
    <w:p>
      <w:pPr>
        <w:spacing w:after="0" w:line="18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General and administrative expense for the year ended December 31, 2016, increased $86,000 compared to 2015, due primarily to increases in legal and facilities related expenses of $283,000 and $71,000, respectively, which were partially offset by a reduction in consulting related services and salaries of $240,000 and $45,000, respectively.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Company is obligated to make cash payments of up to a maximum of $30 million to Essentialis stockholders upon the achievement of certain future commercial milestones associated with the sale of Essentialis’ product in accordance with the terms of the Essentialis merger agreement. The fair value of the liability for the contingent consideration payable by the Company achieving the commercial sales milestones of $100 million and $200 million was initially established as approximately $2,590,000 at the time of the merger and approximately $5,082,000 at December 31, 2017, based on the Company’s assessment that it could reach the commercial sales milestones of in 2023 and 2025, respectively.</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other expense of $1.5 million in the year ended December 31, 2017, decreased by $3.1 million from net other income of $1.6 million in 2016</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primarily due to the expense resulting from the increase in the value of the liability for Series A and 2017 PIPE Warrants and to the approximated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$600,000 value of the commitment shares issued to Aspire Capital. Other income in the year ended December 31, 2016 is comprised primarily of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decrease in the value of the liability for warrants by $1.7 million, which was partially offset by $100,000 of cease-use expense.</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Discontinued Operations</w:t>
      </w:r>
    </w:p>
    <w:p>
      <w:pPr>
        <w:spacing w:after="0" w:line="12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Discontinued operations consist of the Company’s activities previously dedicated to the development and commercialization of innovative diagnostics, devices and therapeutics addressing unmet medical needs, which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consisted of: precision metering of gas flow technology marketed as Serenz</w:t>
      </w:r>
      <w:r>
        <w:rPr>
          <w:rFonts w:ascii="Arial" w:cs="Arial" w:eastAsia="Arial" w:hAnsi="Arial"/>
          <w:sz w:val="15"/>
          <w:szCs w:val="15"/>
          <w:color w:val="auto"/>
        </w:rPr>
        <w:t>®</w:t>
      </w:r>
      <w:r>
        <w:rPr>
          <w:rFonts w:ascii="Arial" w:cs="Arial" w:eastAsia="Arial" w:hAnsi="Arial"/>
          <w:sz w:val="18"/>
          <w:szCs w:val="18"/>
          <w:color w:val="auto"/>
        </w:rPr>
        <w:t xml:space="preserve"> Allergy Relief, or Serenz; CoSense</w:t>
      </w:r>
      <w:r>
        <w:rPr>
          <w:rFonts w:ascii="Arial" w:cs="Arial" w:eastAsia="Arial" w:hAnsi="Arial"/>
          <w:sz w:val="15"/>
          <w:szCs w:val="15"/>
          <w:color w:val="auto"/>
        </w:rPr>
        <w:t>®</w:t>
      </w:r>
      <w:r>
        <w:rPr>
          <w:rFonts w:ascii="Arial" w:cs="Arial" w:eastAsia="Arial" w:hAnsi="Arial"/>
          <w:sz w:val="18"/>
          <w:szCs w:val="18"/>
          <w:color w:val="auto"/>
        </w:rPr>
        <w:t xml:space="preserve"> End-Tidal Carbon Monoxide (ETCO) Monitor, or CoSense, which measures ETCO and aids in the detection of excessive hemolysis, a condition in which red blood cells degrade rapidly; and, products that included temperature probes, scales, surgical tables and patient surfaces. In March 2017, the Company determined to divest, sell or otherwise dispose of the CoSense, Neo Force, Inc., and Serenz businesses in order to focus on the development and commercialization of novel therapeutics for the treatment of rare diseases. The discontinued operations for the development and commercialization of innovative diagnostic devices and therapeutics are summarized below.</w:t>
      </w:r>
    </w:p>
    <w:p>
      <w:pPr>
        <w:spacing w:after="0" w:line="19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right w:val="single" w:sz="8" w:color="CCEEFF"/>
            </w:tcBorders>
            <w:vMerge w:val="continue"/>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735,212</w:t>
            </w:r>
          </w:p>
        </w:tc>
        <w:tc>
          <w:tcPr>
            <w:tcW w:w="26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$ 1,450,788</w:t>
            </w:r>
          </w:p>
        </w:tc>
        <w:tc>
          <w:tcPr>
            <w:tcW w:w="26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(715,576)</w:t>
            </w:r>
          </w:p>
        </w:tc>
        <w:tc>
          <w:tcPr>
            <w:tcW w:w="2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Cost of goods sold</w:t>
            </w: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820,098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1,509,306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(689,208)</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(84,886)</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(58,518)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(26,368)</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2,426,829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2,937,662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(510,833)</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218,706</w:t>
            </w: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1,630,591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(1,411,885)</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659,227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1080"/>
              <w:spacing w:after="0"/>
              <w:rPr>
                <w:sz w:val="20"/>
                <w:szCs w:val="20"/>
                <w:color w:val="auto"/>
              </w:rPr>
            </w:pPr>
            <w:r>
              <w:rPr>
                <w:rFonts w:ascii="Arial" w:cs="Arial" w:eastAsia="Arial" w:hAnsi="Arial"/>
                <w:sz w:val="18"/>
                <w:szCs w:val="18"/>
                <w:color w:val="auto"/>
              </w:rPr>
              <w:t>Total operating expenses</w:t>
            </w: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3,314,710</w:t>
            </w:r>
          </w:p>
        </w:tc>
        <w:tc>
          <w:tcPr>
            <w:tcW w:w="26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5,227,480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8"/>
              </w:rPr>
              <w:t>(1,912,770</w:t>
            </w:r>
          </w:p>
        </w:tc>
        <w:tc>
          <w:tcPr>
            <w:tcW w:w="2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right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Income (Loss) from operations</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(3,399,596)</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(5,285,998)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(1,886,402)</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(8,000)</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(19,896)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(11,896)</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Operating loss</w:t>
            </w:r>
          </w:p>
        </w:tc>
        <w:tc>
          <w:tcPr>
            <w:tcW w:w="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(3,407,596)</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(5,305,894)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(1,898,298)</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sale of assets, net of taxes</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(185,979)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(185,979)</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Loss from discontinued operations</w:t>
            </w:r>
          </w:p>
        </w:tc>
        <w:tc>
          <w:tcPr>
            <w:tcW w:w="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(3,593,575)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deferred taxes</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(21,700)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Loss from discontinued operations, net of tax effect</w:t>
            </w: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80"/>
              <w:spacing w:after="0"/>
              <w:rPr>
                <w:sz w:val="20"/>
                <w:szCs w:val="20"/>
                <w:color w:val="auto"/>
              </w:rPr>
            </w:pPr>
            <w:r>
              <w:rPr>
                <w:rFonts w:ascii="Arial" w:cs="Arial" w:eastAsia="Arial" w:hAnsi="Arial"/>
                <w:sz w:val="8"/>
                <w:szCs w:val="8"/>
                <w:color w:val="auto"/>
                <w:w w:val="73"/>
              </w:rPr>
              <w:t>)</w:t>
            </w: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gridSpan w:val="2"/>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0"/>
              </w:rPr>
              <w:t>(3,593,575</w:t>
            </w:r>
          </w:p>
        </w:tc>
        <w:tc>
          <w:tcPr>
            <w:tcW w:w="2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(5,327,594</w:t>
            </w:r>
          </w:p>
        </w:tc>
        <w:tc>
          <w:tcPr>
            <w:tcW w:w="2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8"/>
              </w:rPr>
              <w:t>(1,734,019</w:t>
            </w:r>
          </w:p>
        </w:tc>
        <w:tc>
          <w:tcPr>
            <w:tcW w:w="2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During the year ended December 31, 2017, product revenues of $735,000 declined by $716,000 from 2016 due primarily to the sale of NeoForce in July 2017 after which no revenues were earned or reported. During the year ended December 31, 2016, we recognized $1.5 million of product revenue from sales of CoSense, Precision Sampling Sets and NFI products. Revenue increased by $843,000 during 2016 compared to the prior year primarily due to the inclusion of a full year of revenue related to NFI products.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Research and development expense of $2.4 million for the year ended December 31, 2017 declined by $511,000 from 2016 due primarily to the sale of NeoForce in July 2017, after which no further research and development was directed to or recorded for that operation and for a curtailment of spending for the Serenz product as the Company considered it a discontinued operation after the acquisition of Essentialis. Research and development expense for the year ended December 31, 2016 decreased by $1.6 million compared to the prior year, which was primarily due a redirection of research and development toward the continuing operations for the development and commercialization of novel therapeutics for the treatment of rare diseases.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Sales and marketing expense of $219,000 for the year ended December 31, 2017, which decreased by $1,412,000 compared to the prior year, consisted primarily of expenses incurred in the United Kingdom with efforts associated with the Company’s sales effort for its discontinued Serenz products primarily due to the cessation of sales of Serenz in the United Kingdom and to the reduction of sales of all medical device products in the United States. Sales and marketing expense for the year ended December 31, 2016 decreased $107,000 over the prior year, due to the decrease of direct sales personnel concurrent with signing a distributor agreement with Bemes.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General and administrative expense of $669,000 for the year ended December 31, 2017 was materially consistent with that of 2016. General and administrative expense for the year ended December 31, 2016, increased $509,000 compared to the prior year, due primarily to increases in salaries together with related benefits and legal expenses of approximately $359,000 and $177,000 respectively.</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Net other expense for the year ended December 31, 2017 was materially consistent with that of 2016. Other expense of approximately $20,000 in the year ended December 31, 2016, reflects the change in the fair value of the contingent royalty related to assets acquired in the purchase of NFI.</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On December 22, 2016, we entered into the Merger Agreement with Essentialis, Inc. Consummation of the merger was subject to various closing conditions, including our consummation of a financing of at least $8 million at, or substantially contemporaneous with, the closing of the merger, which occurred on March 7, 2017, and the receipt of stockholder approval of the merger at a special meeting of our stockholders, which we held on March 6, 2017, at which we received stockholder approval.</w:t>
      </w:r>
    </w:p>
    <w:p>
      <w:pPr>
        <w:spacing w:after="0" w:line="18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During the year ended December 31, 2016, the Company implemented plans to reduce its expenses, including reducing its workforce, eliminating outside consultants, reducing legal fees and implementing a plan to allow Board members to receive common stock, in lieu of cash payments for serving on the Board and certain related committees.</w:t>
      </w:r>
    </w:p>
    <w:p>
      <w:pPr>
        <w:spacing w:after="0" w:line="181"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On January 27, 2017, we entered into the 2017 Aspire Purchase Agreement with Aspire Capital, which provides that, upon the terms and subject to the conditions and limitations set forth therein, Aspire Capital is committed to purchase up to an aggregate of $17.0 million in value of shares of our Common Stock over the 30-month term of the purchase agreement. Further, on the date of the closing of the financing, as defined in the Merger Agreement, the Company sold to Aspire Capital, and Aspire Capital shall purchase from the Company an aggregate of $2.0 million of the Company’s common stock. The Company issued Aspire Capital 141,666 shares of Common Stock as commitment shares under the 2017 Aspire Purchase Agreement. On March 7, 2017, we received the $2.0 million from Aspire Capital. The 2017 Aspire Purchase Agreement was terminated upon the closing of the 2017 PIPE Offering.</w:t>
      </w:r>
    </w:p>
    <w:p>
      <w:pPr>
        <w:spacing w:after="0" w:line="18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On December 11, 2017, the Company entered into a Securities Purchase Agreement, or the Unit Purchase Agreement, with purchasers of the Company’s securities pursuant to which the Company sold and issued 8,141,116 immediately separable units at a price per unit of $1.84 for aggregate gross proceeds of approximately $15,000,000 Each unit consisted of one share of the Company’s common stock and a warrant to purchase 0.74 of a share of the Company’s common stock at an exercise price of $2.00 per share, for an aggregate of 8,141,116 shares of common stock, and corresponding warrants, or the 2017 PIPE Warrants, to purchase 6,024,425 shares of common stock. Soleno refers to the Shares and the Warrant Shares collectively as the Resale Shares. The Company also granted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20"/>
        <w:spacing w:after="0" w:line="264" w:lineRule="auto"/>
        <w:rPr>
          <w:sz w:val="20"/>
          <w:szCs w:val="20"/>
          <w:color w:val="auto"/>
        </w:rPr>
      </w:pPr>
      <w:r>
        <w:rPr>
          <w:rFonts w:ascii="Arial" w:cs="Arial" w:eastAsia="Arial" w:hAnsi="Arial"/>
          <w:sz w:val="18"/>
          <w:szCs w:val="18"/>
          <w:color w:val="auto"/>
        </w:rPr>
        <w:t>certain registration rights to the selling stockholders pursuant to the Unit Purchase Agreement pursuant to which, among other things, the Company prepared and filed a registration statement with the SEC to register for resale the Resale Shares. The registration statement was declared effective in February 2018.</w:t>
      </w:r>
    </w:p>
    <w:p>
      <w:pPr>
        <w:spacing w:after="0" w:line="18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December 2017, the Company entered into a joint venture with OAHL with respect to its CoSense product by agreeing to sell shares of Capnia, its wholly-owned subsidiary, to OAHL. CoSense was Soleno’s first Sensalyze Technology Platform product to receive 510(k) clearances from the FDA and CE Mark certification. CoSense measures CO, which can be elevated due to endogenous causes such as excessive breakdown of red blood cells, or hemolysis, or exogenous causes such as CO poisoning and smoke inhalation. The first target market for CoSense is for the use of ETCO measurements to aid in detection of hemolysis in neonates, a disorder in which CO and bilirubin are produced in excess as byproducts of the breakdown of red blood cells. The Company’s entry into the joint venture results from a comprehensive review of strategic alternatives for its legacy products and product candidates following its transition to a primarily therapeutic drug product company. Going forward, OAHL will be responsible for funding a portion of the Capnia operations. As of December 31, 2017, OAHL had acquired no shares of Capnia.</w:t>
      </w:r>
    </w:p>
    <w:p>
      <w:pPr>
        <w:spacing w:after="0" w:line="166"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At December 31, 2017, we had cash and cash equivalents of $17.1 million, of which $16.8 million was invested in a money market fund at an AAA-rated financial institution.</w:t>
      </w:r>
    </w:p>
    <w:p>
      <w:pPr>
        <w:spacing w:after="0" w:line="170"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We expect to incur substantial expenditures in the foreseeable future for the clinical trial, development and potential commercialization of the DCCR product. We may continue to require additional financing to develop our future products and fund operations for the foreseeable future. We will continue to seek funds through equity or debt financings, collaborative or other arrangements with corporate sources, or through other sources of financing. We anticipate that we may need to raise substantial additional capital, the requirements of which will depend on many factors, including:</w:t>
      </w:r>
    </w:p>
    <w:p>
      <w:pPr>
        <w:spacing w:after="0" w:line="60" w:lineRule="exact"/>
        <w:rPr>
          <w:sz w:val="20"/>
          <w:szCs w:val="20"/>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rate of progress in the commercialization of our products and the generation of revenue from product sales;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degree and rate of market acceptance of any products launched by us or future partners;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commercializing our products, including the costs of sales, marketing, and distribution;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of developing our anticipated internal sales and marketing capabilities;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preparing to manufacture our products on a larger scale;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30" w:lineRule="exact"/>
        <w:rPr>
          <w:rFonts w:ascii="Arial" w:cs="Arial" w:eastAsia="Arial" w:hAnsi="Arial"/>
          <w:sz w:val="18"/>
          <w:szCs w:val="18"/>
          <w:color w:val="auto"/>
        </w:rPr>
      </w:pPr>
    </w:p>
    <w:p>
      <w:pPr>
        <w:ind w:left="1060" w:right="500" w:hanging="316"/>
        <w:spacing w:after="0" w:line="277"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enter into additional collaboration, licensing, commercialization or other arrangements and the terms and timing of such arrangements;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clinical trials for DCCR.</w:t>
      </w:r>
    </w:p>
    <w:p>
      <w:pPr>
        <w:spacing w:after="0" w:line="22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Management believes that the Company does not have sufficient capital resources to sustain operations through at least the next twelve months from the date of this filing. Additionally, in view of the Company’s expectation to incur significant losses for the foreseeable future it will be required to raise additional capital resources in order to fund its operations, although the availability of, and the Company’s access to such resources is not assured. If we are unable to raise additional funds when needed, our ability to complete planned clinical trials and attain commercial success with DCCR, or our other potential novel therapeutic products, may be impaired. We may also be required to delay, reduce, or terminate some or all of our development programs and clinical trials. We may also be required to sell or license to others, technologies or future products or programs that we would prefer to develop and commercialize ourselves.</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80"/>
          </w:cols>
          <w:pgMar w:left="24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881"/>
        <w:spacing w:after="0" w:line="277" w:lineRule="auto"/>
        <w:rPr>
          <w:sz w:val="20"/>
          <w:szCs w:val="20"/>
          <w:color w:val="auto"/>
        </w:rPr>
      </w:pPr>
      <w:r>
        <w:rPr>
          <w:rFonts w:ascii="Arial" w:cs="Arial" w:eastAsia="Arial" w:hAnsi="Arial"/>
          <w:sz w:val="18"/>
          <w:szCs w:val="18"/>
          <w:color w:val="auto"/>
        </w:rPr>
        <w:t>Accordingly, management believes that there is substantial doubt regarding the Company’s ability to continue operating as a going concern within one year from the date of filing these financial statements.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244"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Year Ended</w:t>
      </w:r>
    </w:p>
    <w:p>
      <w:pPr>
        <w:jc w:val="center"/>
        <w:ind w:left="57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cash used in continuing operating activities</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 (6,918,768)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9"/>
              </w:rPr>
              <w:t>(7,260,708)</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discontinued operating activities</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(3,031,190)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(6,237,272)</w:t>
            </w:r>
          </w:p>
        </w:tc>
      </w:tr>
      <w:tr>
        <w:trPr>
          <w:trHeight w:val="230"/>
        </w:trPr>
        <w:tc>
          <w:tcPr>
            <w:tcW w:w="20" w:type="dxa"/>
            <w:vAlign w:val="bottom"/>
          </w:tcPr>
          <w:p>
            <w:pPr>
              <w:spacing w:after="0"/>
              <w:rPr>
                <w:sz w:val="20"/>
                <w:szCs w:val="20"/>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(9,949,958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(13,497,980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continuing investing activities</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(561,998)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(14,795)</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cash provided by (used in) discontinued investing activities</w:t>
            </w: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940,780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(23,885)</w:t>
            </w: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378,782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(38,680)</w:t>
            </w: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Net cash provided by continuing by continuing financing activities</w:t>
            </w:r>
          </w:p>
        </w:tc>
        <w:tc>
          <w:tcPr>
            <w:tcW w:w="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23,944,687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10,768,133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23,944,687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10,768,133</w:t>
            </w:r>
          </w:p>
        </w:tc>
        <w:tc>
          <w:tcPr>
            <w:tcW w:w="100" w:type="dxa"/>
            <w:vAlign w:val="bottom"/>
            <w:shd w:val="clear" w:color="auto" w:fill="CCEEFF"/>
          </w:tcPr>
          <w:p>
            <w:pPr>
              <w:spacing w:after="0"/>
              <w:rPr>
                <w:sz w:val="18"/>
                <w:szCs w:val="18"/>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 from continuing operations</w:t>
            </w:r>
          </w:p>
        </w:tc>
        <w:tc>
          <w:tcPr>
            <w:tcW w:w="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16,584,141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3,492,630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 from discontinued operations</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(2,210,630)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(6,261,157)</w:t>
            </w: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14,373,511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(2,768,527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used in continuing operating activities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During the year ended December 31, 2017, the Company used net cash of $6.9 million for continuing operating activities, resulting primarily from the loss from continuing operations of $12.1 million, which was adjusted for the non-cash items consisting primarily of $1.6 million of non-cash expense for depreciation and amortization, $2.5 million of on non-cash expense for the change in the fair value of contingent consideration for the acquisition of Essentialis, $0.9 million for the non-cash expense associated with stock-based compensation, and $1.0 million for the non-cash expense resulting from the change in fair value of the liability for warrants, all of which were partially offset by the non-cash provision for income tax benefit in the amount of $1.6 million.</w:t>
      </w:r>
    </w:p>
    <w:p>
      <w:pPr>
        <w:spacing w:after="0" w:line="193"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During the year ended December 31, 2016, net cash used in continuing operating activities was $7.3 million, resulting primarily from the net loss from continuing operations of $6.8 million, adjusted for non-cash items consisting primarily of the $1.7 million non-cash income from the change in fair value of warrants and the use of cash for increases in prepaid expenses and other long-term assets and the decrease in accounts payable, which were offset by the $739,000 of non-cash stock-based compensation expense a $534,000 increase in accrued compensation and other liabilities.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used in continuing investing activities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In the year ended December 31, 2017, the Company used $573,000 of cash primarily for the payment of costs associated with the acquisition of Essentialis.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24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year ended December 31, 2016, cash was used for the purchases of equipment for continuing investment activities.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provided by continuing financing activities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During the year ended December 31, 2017, the Company obtained net cash of $23.9 million resulting from the proceeds of $10.0 million issuance of common stock immediately upon closing the acquisition of Essentialis together with the $15.0 million of proceeds from the issuance of common stock and warrants on common stock resulting from the 2017 PIPE Offering, all of which proceeds were partially offset by $1.1 million of costs paid for the raising and issuance of the related securities offerings.</w:t>
      </w:r>
    </w:p>
    <w:p>
      <w:pPr>
        <w:spacing w:after="0" w:line="187"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During the year ended December 31, 2016, cash provided by financing activities was $10.8 million, consisting primarily of $5.1 million, net of related issuance costs, and $13.5 million, net of related issuance costs, in proceeds from the issuance of Series A and Series B Convertible Preferred stock, respectively, and the $70,000 proceeds from the sale of common stock for exercised stock options, all of which were partially offset partially by $7.8 million used to repurchase the outstanding Series A Convertible Preferred stock.</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used in discontinued operating activities</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During the year ended December 31, 2017, the Company used net cash of $3.0 million for discontinued operating activities, resulting primarily from the loss from discontinued operations of $3.6 million, adjusted for the non-cash expenses associated with stock compensation and goodwill amortization.</w:t>
      </w:r>
    </w:p>
    <w:p>
      <w:pPr>
        <w:spacing w:after="0" w:line="18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During the year ended December 31, 2016, the Company used $6.2 million net cash in discontinued operating activities, resulting primarily from the net loss of $5.3 million from discontinued operations adjusted for the additional cash use of reducing accrued compensation and other current liabilities in the amount of $998,000, which was partially offset by $132,000 of non-cash stock-based compensation expense.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used in discontinued investing activities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the year ended December 31, 2017, the Company obtained approximately $941,000 from investing activities for discontinued operations resulting primarily from the sale of NFI operations in July 2017 that provided cash proceeds of $720,000 and from cash received from our joint-venture partner to reimburse operating expenses.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year ended December 31, 2016, cash was used for the purchases of equipment for discontinued investment activities.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Discontinued financing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had no financing activities related to discontinued operations in 2017 nor in 2016.</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As of December 31, 2017, we had lease obligations totaling $1.0 million, consisting of operating leases for our operating facilities in Redwood City, California. We signed a lease for our current operating facilities at 1235 Radio Road in Redwood City in July 2015, which expires in August of 2019. We had previously signed a sublease for our prior operating facilities at 3 Twin Dolphin Drive in Redwood City, with an expiration date of June 2018.</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80"/>
          </w:cols>
          <w:pgMar w:left="24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contractual obligations as of December 31, 2017.</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92"/>
              </w:rPr>
              <w:t>Payments due by period</w:t>
            </w: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Less than</w:t>
            </w:r>
          </w:p>
        </w:tc>
        <w:tc>
          <w:tcPr>
            <w:tcW w:w="3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1 to 3</w:t>
            </w:r>
          </w:p>
        </w:tc>
        <w:tc>
          <w:tcPr>
            <w:tcW w:w="360" w:type="dxa"/>
            <w:vAlign w:val="bottom"/>
          </w:tcPr>
          <w:p>
            <w:pPr>
              <w:spacing w:after="0"/>
              <w:rPr>
                <w:sz w:val="10"/>
                <w:szCs w:val="10"/>
                <w:color w:val="auto"/>
              </w:rPr>
            </w:pPr>
          </w:p>
        </w:tc>
        <w:tc>
          <w:tcPr>
            <w:tcW w:w="104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rPr>
              <w:t>4 to 5</w:t>
            </w:r>
          </w:p>
        </w:tc>
        <w:tc>
          <w:tcPr>
            <w:tcW w:w="56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auto"/>
              </w:rPr>
              <w:t>After 5</w:t>
            </w:r>
          </w:p>
        </w:tc>
        <w:tc>
          <w:tcPr>
            <w:tcW w:w="360" w:type="dxa"/>
            <w:vAlign w:val="bottom"/>
          </w:tcPr>
          <w:p>
            <w:pPr>
              <w:spacing w:after="0"/>
              <w:rPr>
                <w:sz w:val="10"/>
                <w:szCs w:val="10"/>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1 year</w:t>
            </w:r>
          </w:p>
        </w:tc>
        <w:tc>
          <w:tcPr>
            <w:tcW w:w="3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360" w:type="dxa"/>
            <w:vAlign w:val="bottom"/>
          </w:tcPr>
          <w:p>
            <w:pPr>
              <w:spacing w:after="0"/>
              <w:rPr>
                <w:sz w:val="14"/>
                <w:szCs w:val="14"/>
                <w:color w:val="auto"/>
              </w:rPr>
            </w:pPr>
          </w:p>
        </w:tc>
        <w:tc>
          <w:tcPr>
            <w:tcW w:w="1040" w:type="dxa"/>
            <w:vAlign w:val="bottom"/>
            <w:gridSpan w:val="3"/>
          </w:tcPr>
          <w:p>
            <w:pPr>
              <w:ind w:left="140"/>
              <w:spacing w:after="0"/>
              <w:rPr>
                <w:sz w:val="20"/>
                <w:szCs w:val="20"/>
                <w:color w:val="auto"/>
              </w:rPr>
            </w:pPr>
            <w:r>
              <w:rPr>
                <w:rFonts w:ascii="Arial" w:cs="Arial" w:eastAsia="Arial" w:hAnsi="Arial"/>
                <w:sz w:val="14"/>
                <w:szCs w:val="14"/>
                <w:b w:val="1"/>
                <w:bCs w:val="1"/>
                <w:color w:val="auto"/>
              </w:rPr>
              <w:t>years</w:t>
            </w:r>
          </w:p>
        </w:tc>
        <w:tc>
          <w:tcPr>
            <w:tcW w:w="560" w:type="dxa"/>
            <w:vAlign w:val="bottom"/>
          </w:tcPr>
          <w:p>
            <w:pPr>
              <w:jc w:val="right"/>
              <w:ind w:right="60"/>
              <w:spacing w:after="0"/>
              <w:rPr>
                <w:sz w:val="20"/>
                <w:szCs w:val="20"/>
                <w:color w:val="auto"/>
              </w:rPr>
            </w:pPr>
            <w:r>
              <w:rPr>
                <w:rFonts w:ascii="Arial" w:cs="Arial" w:eastAsia="Arial" w:hAnsi="Arial"/>
                <w:sz w:val="14"/>
                <w:szCs w:val="14"/>
                <w:b w:val="1"/>
                <w:bCs w:val="1"/>
                <w:color w:val="auto"/>
              </w:rPr>
              <w:t>years</w:t>
            </w:r>
          </w:p>
        </w:tc>
        <w:tc>
          <w:tcPr>
            <w:tcW w:w="3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obligations</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629,923</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334,747</w:t>
            </w: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964,670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629,923</w:t>
            </w:r>
          </w:p>
        </w:tc>
        <w:tc>
          <w:tcPr>
            <w:tcW w:w="360" w:type="dxa"/>
            <w:vAlign w:val="bottom"/>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334,747</w:t>
            </w:r>
          </w:p>
        </w:tc>
        <w:tc>
          <w:tcPr>
            <w:tcW w:w="360" w:type="dxa"/>
            <w:vAlign w:val="bottom"/>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964,670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are obligated to make future payments to third parties under in-license agreements, including sublicense fees,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balance sheet or in the contractual obligations tables above. We are also obligated to make certain payments of deferred compensation to management upon completion of certain types of transactions. As the amount and timing of such payments are not probable and estimable, such commitments have not been included on our balance sheet or in the contractual obligations tables above.</w:t>
      </w:r>
    </w:p>
    <w:p>
      <w:pPr>
        <w:spacing w:after="0" w:line="178"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On February 28, 2017, we settled the Lawsuit (see Note 7) by agreeing to pay $175,000 for dismissal of the Lawsuit. This amount was recorded as a current liability on the balance sheet as of December 31, 2016 and recognized as general and administrative expense in the statement of operations for the year ended December 31, 2016. The stipulation of dismissal is pending with the court.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December 31, 2017, we had no off-balance sheet arrangements as defined in Item 303(a)(4) of Regulation S-K as promulgated by the SEC.</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Guidance Update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Recently Issued Accounting Guidance</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or other standard setting bodies and adopted by us as of the specified effective date (see Note 3).</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Rate Sensitivity</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had unrestricted cash and cash equivalents totaling $17.1 million at December 31, 2017. This balance was invested primarily in money market funds and are held for working capital purposes. We do not enter into investments for trading or speculative purposes. We believe we do not have material exposure to changes in fair value as a result of changes in interest rates. Declines in interest rates, however, will reduce future investment income.</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80"/>
          </w:cols>
          <w:pgMar w:left="240" w:top="459" w:right="47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10120" w:type="dxa"/>
            <w:vAlign w:val="bottom"/>
            <w:gridSpan w:val="10"/>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6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8760" w:type="dxa"/>
            <w:vAlign w:val="bottom"/>
            <w:gridSpan w:val="7"/>
          </w:tcPr>
          <w:p>
            <w:pPr>
              <w:jc w:val="center"/>
              <w:spacing w:after="0"/>
              <w:rPr>
                <w:sz w:val="20"/>
                <w:szCs w:val="20"/>
                <w:color w:val="auto"/>
              </w:rPr>
            </w:pPr>
            <w:r>
              <w:rPr>
                <w:rFonts w:ascii="Arial" w:cs="Arial" w:eastAsia="Arial" w:hAnsi="Arial"/>
                <w:sz w:val="18"/>
                <w:szCs w:val="18"/>
                <w:b w:val="1"/>
                <w:bCs w:val="1"/>
                <w:color w:val="auto"/>
              </w:rPr>
              <w:t>ITEM 8. CONSOLIDATED FINANCIAL STATEMENTS AND SUPPLEMENTARY DATA</w:t>
            </w:r>
          </w:p>
        </w:tc>
        <w:tc>
          <w:tcPr>
            <w:tcW w:w="1060" w:type="dxa"/>
            <w:vAlign w:val="bottom"/>
          </w:tcPr>
          <w:p>
            <w:pPr>
              <w:spacing w:after="0"/>
              <w:rPr>
                <w:sz w:val="24"/>
                <w:szCs w:val="24"/>
                <w:color w:val="auto"/>
              </w:rPr>
            </w:pPr>
          </w:p>
        </w:tc>
      </w:tr>
      <w:tr>
        <w:trPr>
          <w:trHeight w:val="324"/>
        </w:trPr>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00" w:type="dxa"/>
            <w:vAlign w:val="bottom"/>
          </w:tcPr>
          <w:p>
            <w:pPr>
              <w:jc w:val="center"/>
              <w:ind w:right="3030"/>
              <w:spacing w:after="0"/>
              <w:rPr>
                <w:sz w:val="20"/>
                <w:szCs w:val="20"/>
                <w:color w:val="auto"/>
              </w:rPr>
            </w:pPr>
            <w:r>
              <w:rPr>
                <w:rFonts w:ascii="Arial" w:cs="Arial" w:eastAsia="Arial" w:hAnsi="Arial"/>
                <w:sz w:val="18"/>
                <w:szCs w:val="18"/>
                <w:b w:val="1"/>
                <w:bCs w:val="1"/>
                <w:color w:val="auto"/>
                <w:w w:val="88"/>
              </w:rPr>
              <w:t>Soleno Therapeutics, Inc.</w:t>
            </w:r>
          </w:p>
        </w:tc>
        <w:tc>
          <w:tcPr>
            <w:tcW w:w="1060" w:type="dxa"/>
            <w:vAlign w:val="bottom"/>
          </w:tcPr>
          <w:p>
            <w:pPr>
              <w:spacing w:after="0"/>
              <w:rPr>
                <w:sz w:val="24"/>
                <w:szCs w:val="24"/>
                <w:color w:val="auto"/>
              </w:rPr>
            </w:pPr>
          </w:p>
        </w:tc>
      </w:tr>
      <w:tr>
        <w:trPr>
          <w:trHeight w:val="324"/>
        </w:trPr>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00" w:type="dxa"/>
            <w:vAlign w:val="bottom"/>
          </w:tcPr>
          <w:p>
            <w:pPr>
              <w:jc w:val="center"/>
              <w:ind w:right="3010"/>
              <w:spacing w:after="0"/>
              <w:rPr>
                <w:sz w:val="20"/>
                <w:szCs w:val="20"/>
                <w:color w:val="auto"/>
              </w:rPr>
            </w:pPr>
            <w:r>
              <w:rPr>
                <w:rFonts w:ascii="Arial" w:cs="Arial" w:eastAsia="Arial" w:hAnsi="Arial"/>
                <w:sz w:val="18"/>
                <w:szCs w:val="18"/>
                <w:b w:val="1"/>
                <w:bCs w:val="1"/>
                <w:color w:val="auto"/>
                <w:w w:val="92"/>
              </w:rPr>
              <w:t>(formerly known as Capnia, Inc.)</w:t>
            </w:r>
          </w:p>
        </w:tc>
        <w:tc>
          <w:tcPr>
            <w:tcW w:w="1060" w:type="dxa"/>
            <w:vAlign w:val="bottom"/>
          </w:tcPr>
          <w:p>
            <w:pPr>
              <w:spacing w:after="0"/>
              <w:rPr>
                <w:sz w:val="24"/>
                <w:szCs w:val="24"/>
                <w:color w:val="auto"/>
              </w:rPr>
            </w:pPr>
          </w:p>
        </w:tc>
      </w:tr>
      <w:tr>
        <w:trPr>
          <w:trHeight w:val="324"/>
        </w:trPr>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60" w:type="dxa"/>
            <w:vAlign w:val="bottom"/>
            <w:gridSpan w:val="3"/>
          </w:tcPr>
          <w:p>
            <w:pPr>
              <w:jc w:val="center"/>
              <w:ind w:right="1950"/>
              <w:spacing w:after="0"/>
              <w:rPr>
                <w:sz w:val="20"/>
                <w:szCs w:val="20"/>
                <w:color w:val="auto"/>
              </w:rPr>
            </w:pPr>
            <w:r>
              <w:rPr>
                <w:rFonts w:ascii="Arial" w:cs="Arial" w:eastAsia="Arial" w:hAnsi="Arial"/>
                <w:sz w:val="18"/>
                <w:szCs w:val="18"/>
                <w:b w:val="1"/>
                <w:bCs w:val="1"/>
                <w:color w:val="auto"/>
              </w:rPr>
              <w:t>INDEX TO CONSOLIDATED FINANCIAL STATEMENTS</w:t>
            </w:r>
          </w:p>
        </w:tc>
        <w:tc>
          <w:tcPr>
            <w:tcW w:w="106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9920" w:type="dxa"/>
            <w:vAlign w:val="bottom"/>
            <w:gridSpan w:val="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Report of Independent Registered Public Accounting Firm</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196"/>
        </w:trPr>
        <w:tc>
          <w:tcPr>
            <w:tcW w:w="20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83">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57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200" w:type="dxa"/>
            <w:vAlign w:val="bottom"/>
          </w:tcPr>
          <w:p>
            <w:pPr>
              <w:spacing w:after="0"/>
              <w:rPr>
                <w:sz w:val="17"/>
                <w:szCs w:val="17"/>
                <w:color w:val="auto"/>
              </w:rPr>
            </w:pPr>
          </w:p>
        </w:tc>
        <w:tc>
          <w:tcPr>
            <w:tcW w:w="28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Consolidated Statements of Operations</w:t>
              </w:r>
            </w:hyperlink>
          </w:p>
        </w:tc>
        <w:tc>
          <w:tcPr>
            <w:tcW w:w="7100" w:type="dxa"/>
            <w:vAlign w:val="bottom"/>
            <w:gridSpan w:val="5"/>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200" w:type="dxa"/>
            <w:vAlign w:val="bottom"/>
          </w:tcPr>
          <w:p>
            <w:pPr>
              <w:spacing w:after="0"/>
              <w:rPr>
                <w:sz w:val="17"/>
                <w:szCs w:val="17"/>
                <w:color w:val="auto"/>
              </w:rPr>
            </w:pPr>
          </w:p>
        </w:tc>
        <w:tc>
          <w:tcPr>
            <w:tcW w:w="35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Consolidated Statements of Stockholders’ Equity</w:t>
              </w:r>
            </w:hyperlink>
          </w:p>
        </w:tc>
        <w:tc>
          <w:tcPr>
            <w:tcW w:w="6360" w:type="dxa"/>
            <w:vAlign w:val="bottom"/>
            <w:gridSpan w:val="2"/>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200" w:type="dxa"/>
            <w:vAlign w:val="bottom"/>
          </w:tcPr>
          <w:p>
            <w:pPr>
              <w:spacing w:after="0"/>
              <w:rPr>
                <w:sz w:val="17"/>
                <w:szCs w:val="17"/>
                <w:color w:val="auto"/>
              </w:rPr>
            </w:pPr>
          </w:p>
        </w:tc>
        <w:tc>
          <w:tcPr>
            <w:tcW w:w="28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Consolidated Statements of Cash Flows</w:t>
              </w:r>
            </w:hyperlink>
          </w:p>
        </w:tc>
        <w:tc>
          <w:tcPr>
            <w:tcW w:w="7040" w:type="dxa"/>
            <w:vAlign w:val="bottom"/>
            <w:gridSpan w:val="4"/>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200" w:type="dxa"/>
            <w:vAlign w:val="bottom"/>
          </w:tcPr>
          <w:p>
            <w:pPr>
              <w:spacing w:after="0"/>
              <w:rPr>
                <w:sz w:val="17"/>
                <w:szCs w:val="17"/>
                <w:color w:val="auto"/>
              </w:rPr>
            </w:pPr>
          </w:p>
        </w:tc>
        <w:tc>
          <w:tcPr>
            <w:tcW w:w="9920" w:type="dxa"/>
            <w:vAlign w:val="bottom"/>
            <w:gridSpan w:val="9"/>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Notes to Consolidated Financial Statements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385"/>
        </w:trPr>
        <w:tc>
          <w:tcPr>
            <w:tcW w:w="220" w:type="dxa"/>
            <w:vAlign w:val="bottom"/>
            <w:gridSpan w:val="2"/>
          </w:tcPr>
          <w:p>
            <w:pPr>
              <w:spacing w:after="0"/>
              <w:rPr>
                <w:sz w:val="24"/>
                <w:szCs w:val="24"/>
                <w:color w:val="auto"/>
              </w:rPr>
            </w:pPr>
          </w:p>
        </w:tc>
        <w:tc>
          <w:tcPr>
            <w:tcW w:w="3140" w:type="dxa"/>
            <w:vAlign w:val="bottom"/>
            <w:tcBorders>
              <w:top w:val="single" w:sz="8" w:color="0000EE"/>
            </w:tcBorders>
            <w:gridSpan w:val="5"/>
          </w:tcPr>
          <w:p>
            <w:pPr>
              <w:spacing w:after="0"/>
              <w:rPr>
                <w:sz w:val="24"/>
                <w:szCs w:val="24"/>
                <w:color w:val="auto"/>
              </w:rPr>
            </w:pPr>
          </w:p>
        </w:tc>
        <w:tc>
          <w:tcPr>
            <w:tcW w:w="6760" w:type="dxa"/>
            <w:vAlign w:val="bottom"/>
            <w:gridSpan w:val="3"/>
          </w:tcPr>
          <w:p>
            <w:pPr>
              <w:jc w:val="center"/>
              <w:ind w:right="1970"/>
              <w:spacing w:after="0"/>
              <w:rPr>
                <w:sz w:val="20"/>
                <w:szCs w:val="20"/>
                <w:color w:val="auto"/>
              </w:rPr>
            </w:pPr>
            <w:r>
              <w:rPr>
                <w:rFonts w:ascii="Arial" w:cs="Arial" w:eastAsia="Arial" w:hAnsi="Arial"/>
                <w:sz w:val="18"/>
                <w:szCs w:val="18"/>
                <w:color w:val="auto"/>
                <w:w w:val="89"/>
              </w:rPr>
              <w:t>79</w:t>
            </w:r>
          </w:p>
        </w:tc>
        <w:tc>
          <w:tcPr>
            <w:tcW w:w="10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Soleno Therapeutics, Inc. (formerly known as Capnia, Inc.)</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We have audited the accompanying consolidated balance sheets of Soleno Therapeutics, Inc. (formerly known as Capnia, Inc.) (the “Company”) as of December 31, 2017 and 2016, the related consolidated statements of operations, stockholders’ equity, and cash flows for each of the two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two years in the period ended December 31, 2017, in conformity with accounting principles generally accepted in the United States of America.</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300" w:firstLine="441"/>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Marcum LLP</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2014</w:t>
      </w:r>
      <w:r>
        <w:rPr>
          <w:rFonts w:ascii="Arial" w:cs="Arial" w:eastAsia="Arial" w:hAnsi="Arial"/>
          <w:sz w:val="18"/>
          <w:szCs w:val="18"/>
          <w:b w:val="1"/>
          <w:bCs w:val="1"/>
          <w:color w:val="auto"/>
        </w:rPr>
        <w:t>.</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 Francisco, CA</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2, 2018</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(formerly known as Capnia,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4"/>
                <w:szCs w:val="14"/>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17,099,507</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2,725,996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06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342,927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1060"/>
              <w:spacing w:after="0"/>
              <w:rPr>
                <w:sz w:val="20"/>
                <w:szCs w:val="20"/>
                <w:color w:val="auto"/>
              </w:rPr>
            </w:pPr>
            <w:r>
              <w:rPr>
                <w:rFonts w:ascii="Arial" w:cs="Arial" w:eastAsia="Arial" w:hAnsi="Arial"/>
                <w:sz w:val="18"/>
                <w:szCs w:val="18"/>
                <w:color w:val="auto"/>
              </w:rPr>
              <w:t>Current assets held for sale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516,373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793,728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17,993,807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3,801,294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Long-term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06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125,530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125,530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20,413,056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1060"/>
              <w:spacing w:after="0"/>
              <w:rPr>
                <w:sz w:val="20"/>
                <w:szCs w:val="20"/>
                <w:color w:val="auto"/>
              </w:rPr>
            </w:pPr>
            <w:r>
              <w:rPr>
                <w:rFonts w:ascii="Arial" w:cs="Arial" w:eastAsia="Arial" w:hAnsi="Arial"/>
                <w:sz w:val="18"/>
                <w:szCs w:val="18"/>
                <w:color w:val="auto"/>
              </w:rPr>
              <w:t>Long-term assets held for sale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466,387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39,021,665</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5,564,852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06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633,104</w:t>
            </w:r>
          </w:p>
        </w:tc>
        <w:tc>
          <w:tcPr>
            <w:tcW w:w="3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410,512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compensation and 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973,054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1060"/>
              <w:spacing w:after="0"/>
              <w:rPr>
                <w:sz w:val="20"/>
                <w:szCs w:val="20"/>
                <w:color w:val="auto"/>
              </w:rPr>
            </w:pPr>
            <w:r>
              <w:rPr>
                <w:rFonts w:ascii="Arial" w:cs="Arial" w:eastAsia="Arial" w:hAnsi="Arial"/>
                <w:sz w:val="18"/>
                <w:szCs w:val="18"/>
                <w:color w:val="auto"/>
              </w:rPr>
              <w:t>Current liabilities held for sale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126,611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1,732,769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Series A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351,713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060"/>
              <w:spacing w:after="0"/>
              <w:rPr>
                <w:sz w:val="20"/>
                <w:szCs w:val="20"/>
                <w:color w:val="auto"/>
              </w:rPr>
            </w:pPr>
            <w:r>
              <w:rPr>
                <w:rFonts w:ascii="Arial" w:cs="Arial" w:eastAsia="Arial" w:hAnsi="Arial"/>
                <w:sz w:val="18"/>
                <w:szCs w:val="18"/>
                <w:color w:val="auto"/>
              </w:rPr>
              <w:t>Series C warrant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5,880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85,490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2017 PIPE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5,076,000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060"/>
              <w:spacing w:after="0"/>
              <w:rPr>
                <w:sz w:val="20"/>
                <w:szCs w:val="20"/>
                <w:color w:val="auto"/>
              </w:rPr>
            </w:pPr>
            <w:r>
              <w:rPr>
                <w:rFonts w:ascii="Arial" w:cs="Arial" w:eastAsia="Arial" w:hAnsi="Arial"/>
                <w:sz w:val="18"/>
                <w:szCs w:val="18"/>
                <w:color w:val="auto"/>
              </w:rPr>
              <w:t>Contingent liability for Essentialis purchase price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5,081,840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1060"/>
              <w:spacing w:after="0"/>
              <w:rPr>
                <w:sz w:val="20"/>
                <w:szCs w:val="20"/>
                <w:color w:val="auto"/>
              </w:rPr>
            </w:pPr>
            <w:r>
              <w:rPr>
                <w:rFonts w:ascii="Arial" w:cs="Arial" w:eastAsia="Arial" w:hAnsi="Arial"/>
                <w:sz w:val="18"/>
                <w:szCs w:val="18"/>
                <w:color w:val="auto"/>
              </w:rPr>
              <w:t>Long-term liabilities held for sale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225,392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12,486,757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2,129,655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gridSpan w:val="2"/>
          </w:tcPr>
          <w:p>
            <w:pPr>
              <w:spacing w:after="0"/>
              <w:rPr>
                <w:sz w:val="20"/>
                <w:szCs w:val="20"/>
                <w:color w:val="auto"/>
              </w:rPr>
            </w:pPr>
            <w:r>
              <w:rPr>
                <w:rFonts w:ascii="Arial" w:cs="Arial" w:eastAsia="Arial" w:hAnsi="Arial"/>
                <w:sz w:val="18"/>
                <w:szCs w:val="18"/>
                <w:color w:val="auto"/>
              </w:rPr>
              <w:t>Commitments and contingencies (Note 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Preferred Stock, $.001 par value, 10,000,000 shares authorized: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Series B convertible preferred stock, 13,780 shares designated at December 31, 2017,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5"/>
              </w:rPr>
              <w:t>December 31, 2016; 4,571 and 12,780 shares issued and outstanding at December 31, 2017, and at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2016, respectively. Liquidation value of zero.</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0" w:type="dxa"/>
            <w:vAlign w:val="bottom"/>
          </w:tcPr>
          <w:p>
            <w:pPr>
              <w:spacing w:after="0" w:line="201" w:lineRule="exact"/>
              <w:rPr>
                <w:sz w:val="20"/>
                <w:szCs w:val="20"/>
                <w:color w:val="auto"/>
              </w:rPr>
            </w:pPr>
            <w:r>
              <w:rPr>
                <w:rFonts w:ascii="Arial" w:cs="Arial" w:eastAsia="Arial" w:hAnsi="Arial"/>
                <w:sz w:val="18"/>
                <w:szCs w:val="18"/>
                <w:color w:val="auto"/>
                <w:w w:val="95"/>
              </w:rPr>
              <w:t>Common stock, $0.001 par value, 100,000,000 shares authorized, 19,238,972 and 3,357,387 shares issued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and outstanding at December 31, 2017, and December 31, 2016,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19,239</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140,494,976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101,743,714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(113,979,312)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(98,311,887)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26,534,908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3,435,197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39,021,665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5,564,852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(formerly known as Capnia,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For the Years Ended</w:t>
      </w:r>
    </w:p>
    <w:p>
      <w:pPr>
        <w:jc w:val="center"/>
        <w:ind w:left="83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1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3,068,742</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2,247,141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6,584,650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6,076,976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2,492,192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12,171,315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8,324,117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(12,171,315)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(8,324,117)</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Cease-use income (expense)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Change in fair value of warrants liabilities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(967,055)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1,667,117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(590,114)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Total other income (expense)</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(1,553,002)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1,586,497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provision for income tax benefit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(13,724,317)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(6,737,620)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Provision for income tax benefit from continuing operations</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1,650,467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(12,073,850)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(6,737,620)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(3,407,596)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(5,327,594)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Loss on sale of assets, net of tax effect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(185,979)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discontinued operations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(3,593,575)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(5,327,594)</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(15,667,425)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(12,065,214)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convertible preferred stock</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3,651,172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(15,667,425</w:t>
            </w:r>
          </w:p>
        </w:tc>
        <w:tc>
          <w:tcPr>
            <w:tcW w:w="280" w:type="dxa"/>
            <w:vAlign w:val="bottom"/>
          </w:tcPr>
          <w:p>
            <w:pPr>
              <w:jc w:val="right"/>
              <w:ind w:right="200"/>
              <w:spacing w:after="0"/>
              <w:rPr>
                <w:sz w:val="20"/>
                <w:szCs w:val="20"/>
                <w:color w:val="auto"/>
              </w:rPr>
            </w:pPr>
            <w:r>
              <w:rPr>
                <w:rFonts w:ascii="Arial" w:cs="Arial" w:eastAsia="Arial" w:hAnsi="Arial"/>
                <w:sz w:val="8"/>
                <w:szCs w:val="8"/>
                <w:color w:val="auto"/>
                <w:w w:val="73"/>
              </w:rPr>
              <w:t>)</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(15,716,386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Loss per common share from continuing operations, basic and diluted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Loss per common share from discontinued operations, basic and diluted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(0.40)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color w:val="auto"/>
                <w:w w:val="92"/>
              </w:rPr>
              <w:t>Weighted-average common shares outstanding used to calculate basic and diluted net loss per common share</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8,977,795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240" w:top="459"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(formerly known as Capnia,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6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92"/>
              </w:rPr>
              <w:t>Series A</w:t>
            </w: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gridSpan w:val="4"/>
          </w:tcPr>
          <w:p>
            <w:pPr>
              <w:jc w:val="center"/>
              <w:ind w:left="183"/>
              <w:spacing w:after="0"/>
              <w:rPr>
                <w:sz w:val="20"/>
                <w:szCs w:val="20"/>
                <w:color w:val="auto"/>
              </w:rPr>
            </w:pPr>
            <w:r>
              <w:rPr>
                <w:rFonts w:ascii="Arial" w:cs="Arial" w:eastAsia="Arial" w:hAnsi="Arial"/>
                <w:sz w:val="14"/>
                <w:szCs w:val="14"/>
                <w:b w:val="1"/>
                <w:bCs w:val="1"/>
                <w:color w:val="auto"/>
                <w:w w:val="89"/>
              </w:rPr>
              <w:t>Series B</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160" w:type="dxa"/>
            <w:vAlign w:val="bottom"/>
            <w:gridSpan w:val="5"/>
          </w:tcPr>
          <w:p>
            <w:pPr>
              <w:jc w:val="right"/>
              <w:ind w:right="139"/>
              <w:spacing w:after="0" w:line="129" w:lineRule="exact"/>
              <w:rPr>
                <w:sz w:val="20"/>
                <w:szCs w:val="20"/>
                <w:color w:val="auto"/>
              </w:rPr>
            </w:pPr>
            <w:r>
              <w:rPr>
                <w:rFonts w:ascii="Arial" w:cs="Arial" w:eastAsia="Arial" w:hAnsi="Arial"/>
                <w:sz w:val="14"/>
                <w:szCs w:val="14"/>
                <w:b w:val="1"/>
                <w:bCs w:val="1"/>
                <w:color w:val="auto"/>
              </w:rPr>
              <w:t>Convertible</w:t>
            </w:r>
          </w:p>
        </w:tc>
        <w:tc>
          <w:tcPr>
            <w:tcW w:w="180" w:type="dxa"/>
            <w:vAlign w:val="bottom"/>
          </w:tcPr>
          <w:p>
            <w:pPr>
              <w:spacing w:after="0"/>
              <w:rPr>
                <w:sz w:val="11"/>
                <w:szCs w:val="11"/>
                <w:color w:val="auto"/>
              </w:rPr>
            </w:pPr>
          </w:p>
        </w:tc>
        <w:tc>
          <w:tcPr>
            <w:tcW w:w="116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96"/>
              </w:rPr>
              <w:t>Convertible</w:t>
            </w:r>
          </w:p>
        </w:tc>
        <w:tc>
          <w:tcPr>
            <w:tcW w:w="200" w:type="dxa"/>
            <w:vAlign w:val="bottom"/>
          </w:tcPr>
          <w:p>
            <w:pPr>
              <w:spacing w:after="0"/>
              <w:rPr>
                <w:sz w:val="11"/>
                <w:szCs w:val="11"/>
                <w:color w:val="auto"/>
              </w:rPr>
            </w:pPr>
          </w:p>
        </w:tc>
        <w:tc>
          <w:tcPr>
            <w:tcW w:w="1480" w:type="dxa"/>
            <w:vAlign w:val="bottom"/>
            <w:gridSpan w:val="5"/>
            <w:vMerge w:val="restart"/>
          </w:tcPr>
          <w:p>
            <w:pPr>
              <w:jc w:val="right"/>
              <w:ind w:right="199"/>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jc w:val="right"/>
              <w:ind w:right="99"/>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9"/>
              </w:rPr>
              <w:t>Preferred Stock</w:t>
            </w:r>
          </w:p>
        </w:tc>
        <w:tc>
          <w:tcPr>
            <w:tcW w:w="13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Preferred Stock</w:t>
            </w:r>
          </w:p>
        </w:tc>
        <w:tc>
          <w:tcPr>
            <w:tcW w:w="148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Shares</w:t>
            </w:r>
          </w:p>
        </w:tc>
        <w:tc>
          <w:tcPr>
            <w:tcW w:w="58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Shares</w:t>
            </w:r>
          </w:p>
        </w:tc>
        <w:tc>
          <w:tcPr>
            <w:tcW w:w="5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319"/>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January 1, 2016</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4,555</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2,803,580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89,467,681</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(86,246,673</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3,223,816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871,270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871,270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Series A Convertible</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5,444,995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5,445,000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Pr>
          <w:p>
            <w:pPr>
              <w:ind w:left="480"/>
              <w:spacing w:after="0"/>
              <w:rPr>
                <w:sz w:val="20"/>
                <w:szCs w:val="20"/>
                <w:color w:val="auto"/>
              </w:rPr>
            </w:pPr>
            <w:r>
              <w:rPr>
                <w:rFonts w:ascii="Arial" w:cs="Arial" w:eastAsia="Arial" w:hAnsi="Arial"/>
                <w:sz w:val="16"/>
                <w:szCs w:val="16"/>
                <w:color w:val="auto"/>
              </w:rPr>
              <w:t>Less transaction costs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(374,661)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(374,661)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for Series B warrant</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cashless exercises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593,487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tcPr>
          <w:p>
            <w:pPr>
              <w:ind w:left="140"/>
              <w:spacing w:after="0"/>
              <w:rPr>
                <w:sz w:val="20"/>
                <w:szCs w:val="20"/>
                <w:color w:val="auto"/>
              </w:rPr>
            </w:pPr>
            <w:r>
              <w:rPr>
                <w:rFonts w:ascii="Arial" w:cs="Arial" w:eastAsia="Arial" w:hAnsi="Arial"/>
                <w:sz w:val="16"/>
                <w:szCs w:val="16"/>
                <w:color w:val="auto"/>
                <w:w w:val="96"/>
              </w:rPr>
              <w:t>Issuance of common stock through conversion of</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Pr>
          <w:p>
            <w:pPr>
              <w:ind w:left="300"/>
              <w:spacing w:after="0"/>
              <w:rPr>
                <w:sz w:val="20"/>
                <w:szCs w:val="20"/>
                <w:color w:val="auto"/>
              </w:rPr>
            </w:pPr>
            <w:r>
              <w:rPr>
                <w:rFonts w:ascii="Arial" w:cs="Arial" w:eastAsia="Arial" w:hAnsi="Arial"/>
                <w:sz w:val="16"/>
                <w:szCs w:val="16"/>
                <w:color w:val="auto"/>
              </w:rPr>
              <w:t>Series A preferred</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98"/>
              </w:rPr>
              <w:t>(2,220)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for stock option</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exercises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6"/>
                <w:szCs w:val="16"/>
                <w:color w:val="auto"/>
              </w:rPr>
              <w:t>Issuance of Series B Convertible Preferred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3"/>
              </w:rPr>
              <w:t>13,780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13,779,986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4"/>
              </w:rPr>
              <w:t>13,780,000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Less transaction costs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(353,105)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(353,105)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6"/>
                <w:szCs w:val="16"/>
                <w:color w:val="auto"/>
              </w:rPr>
              <w:t>Redemption of Series A Convertible Preferred</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98"/>
              </w:rPr>
              <w:t>(7,780)</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(8)</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(7,779,992)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(7,780,000)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6"/>
              </w:rPr>
              <w:t>Issuance of common stock through conversion of</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Series B preferred</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(1,000)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tcPr>
          <w:p>
            <w:pPr>
              <w:ind w:left="140"/>
              <w:spacing w:after="0"/>
              <w:rPr>
                <w:sz w:val="20"/>
                <w:szCs w:val="20"/>
                <w:color w:val="auto"/>
              </w:rPr>
            </w:pPr>
            <w:r>
              <w:rPr>
                <w:rFonts w:ascii="Arial" w:cs="Arial" w:eastAsia="Arial" w:hAnsi="Arial"/>
                <w:sz w:val="16"/>
                <w:szCs w:val="16"/>
                <w:color w:val="auto"/>
                <w:w w:val="98"/>
              </w:rPr>
              <w:t>Issuance of common stock to board members in</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Pr>
          <w:p>
            <w:pPr>
              <w:ind w:left="300"/>
              <w:spacing w:after="0"/>
              <w:rPr>
                <w:sz w:val="20"/>
                <w:szCs w:val="20"/>
                <w:color w:val="auto"/>
              </w:rPr>
            </w:pPr>
            <w:r>
              <w:rPr>
                <w:rFonts w:ascii="Arial" w:cs="Arial" w:eastAsia="Arial" w:hAnsi="Arial"/>
                <w:sz w:val="16"/>
                <w:szCs w:val="16"/>
                <w:color w:val="auto"/>
                <w:w w:val="98"/>
              </w:rPr>
              <w:t>lieu of cash payments for quarterly board fees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24,400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9"/>
              </w:rPr>
              <w:t>(12,065,214)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(12,065,214)</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6"/>
                <w:szCs w:val="16"/>
                <w:color w:val="auto"/>
              </w:rPr>
              <w:t>Balances at December 31, 2016</w:t>
            </w: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40" w:type="dxa"/>
            <w:vAlign w:val="bottom"/>
            <w:gridSpan w:val="2"/>
            <w:vMerge w:val="continue"/>
          </w:tcPr>
          <w:p>
            <w:pPr>
              <w:spacing w:after="0"/>
              <w:rPr>
                <w:sz w:val="18"/>
                <w:szCs w:val="18"/>
                <w:color w:val="auto"/>
              </w:rPr>
            </w:pPr>
          </w:p>
        </w:tc>
        <w:tc>
          <w:tcPr>
            <w:tcW w:w="4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3"/>
              </w:rPr>
              <w:t>12,780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3,357,387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3,357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87"/>
              </w:rPr>
              <w:t>101,743,714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w w:val="99"/>
              </w:rPr>
              <w:t>(98,311,887)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3,435,197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1,000,251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1,000,251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tcPr>
          <w:p>
            <w:pPr>
              <w:ind w:left="140"/>
              <w:spacing w:after="0"/>
              <w:rPr>
                <w:sz w:val="20"/>
                <w:szCs w:val="20"/>
                <w:color w:val="auto"/>
              </w:rPr>
            </w:pPr>
            <w:r>
              <w:rPr>
                <w:rFonts w:ascii="Arial" w:cs="Arial" w:eastAsia="Arial" w:hAnsi="Arial"/>
                <w:sz w:val="16"/>
                <w:szCs w:val="16"/>
                <w:color w:val="auto"/>
                <w:w w:val="93"/>
              </w:rPr>
              <w:t>Issuance of common stock on conversion of Series</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Pr>
          <w:p>
            <w:pPr>
              <w:ind w:left="300"/>
              <w:spacing w:after="0"/>
              <w:rPr>
                <w:sz w:val="20"/>
                <w:szCs w:val="20"/>
                <w:color w:val="auto"/>
              </w:rPr>
            </w:pPr>
            <w:r>
              <w:rPr>
                <w:rFonts w:ascii="Arial" w:cs="Arial" w:eastAsia="Arial" w:hAnsi="Arial"/>
                <w:sz w:val="16"/>
                <w:szCs w:val="16"/>
                <w:color w:val="auto"/>
              </w:rPr>
              <w:t>B Convertible Preferred shares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98"/>
              </w:rPr>
              <w:t>(8,209)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(8)</w:t>
            </w:r>
          </w:p>
        </w:tc>
        <w:tc>
          <w:tcPr>
            <w:tcW w:w="760" w:type="dxa"/>
            <w:vAlign w:val="bottom"/>
          </w:tcPr>
          <w:p>
            <w:pPr>
              <w:jc w:val="right"/>
              <w:spacing w:after="0"/>
              <w:rPr>
                <w:sz w:val="20"/>
                <w:szCs w:val="20"/>
                <w:color w:val="auto"/>
              </w:rPr>
            </w:pPr>
            <w:r>
              <w:rPr>
                <w:rFonts w:ascii="Arial" w:cs="Arial" w:eastAsia="Arial" w:hAnsi="Arial"/>
                <w:sz w:val="16"/>
                <w:szCs w:val="16"/>
                <w:color w:val="auto"/>
              </w:rPr>
              <w:t>1,641,800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(1,634)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Issuance of common stock to board members in</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8"/>
              </w:rPr>
              <w:t>lieu of cash payments for quarterly board fees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277,695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6"/>
                <w:szCs w:val="16"/>
                <w:color w:val="auto"/>
                <w:w w:val="97"/>
              </w:rPr>
              <w:t>Issuance of common stock to acquire Essentialis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3,783,388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3,783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17,242,712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4"/>
              </w:rPr>
              <w:t>17,246,495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Sale of shares under the 2017 Aspire Purchase</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Agreement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2,083,333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9,997,917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tcPr>
          <w:p>
            <w:pPr>
              <w:ind w:left="140"/>
              <w:spacing w:after="0"/>
              <w:rPr>
                <w:sz w:val="20"/>
                <w:szCs w:val="20"/>
                <w:color w:val="auto"/>
              </w:rPr>
            </w:pPr>
            <w:r>
              <w:rPr>
                <w:rFonts w:ascii="Arial" w:cs="Arial" w:eastAsia="Arial" w:hAnsi="Arial"/>
                <w:sz w:val="16"/>
                <w:szCs w:val="16"/>
                <w:color w:val="auto"/>
              </w:rPr>
              <w:t>Issuance of shares to Aspire Capital in lieu of</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Pr>
          <w:p>
            <w:pPr>
              <w:ind w:left="300"/>
              <w:spacing w:after="0"/>
              <w:rPr>
                <w:sz w:val="20"/>
                <w:szCs w:val="20"/>
                <w:color w:val="auto"/>
              </w:rPr>
            </w:pPr>
            <w:r>
              <w:rPr>
                <w:rFonts w:ascii="Arial" w:cs="Arial" w:eastAsia="Arial" w:hAnsi="Arial"/>
                <w:sz w:val="16"/>
                <w:szCs w:val="16"/>
                <w:color w:val="auto"/>
              </w:rPr>
              <w:t>commitment fees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141,666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601,941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602,083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Rounding adjustment resulting from 1 for 5</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reverse split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tcPr>
          <w:p>
            <w:pPr>
              <w:ind w:left="140"/>
              <w:spacing w:after="0"/>
              <w:rPr>
                <w:sz w:val="20"/>
                <w:szCs w:val="20"/>
                <w:color w:val="auto"/>
              </w:rPr>
            </w:pPr>
            <w:r>
              <w:rPr>
                <w:rFonts w:ascii="Arial" w:cs="Arial" w:eastAsia="Arial" w:hAnsi="Arial"/>
                <w:sz w:val="16"/>
                <w:szCs w:val="16"/>
                <w:color w:val="auto"/>
                <w:w w:val="92"/>
              </w:rPr>
              <w:t>Sale of shares to investors in the 2017 PIPE, net of</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Pr>
          <w:p>
            <w:pPr>
              <w:ind w:left="300"/>
              <w:spacing w:after="0"/>
              <w:rPr>
                <w:sz w:val="20"/>
                <w:szCs w:val="20"/>
                <w:color w:val="auto"/>
              </w:rPr>
            </w:pPr>
            <w:r>
              <w:rPr>
                <w:rFonts w:ascii="Arial" w:cs="Arial" w:eastAsia="Arial" w:hAnsi="Arial"/>
                <w:sz w:val="16"/>
                <w:szCs w:val="16"/>
                <w:color w:val="auto"/>
              </w:rPr>
              <w:t>costs of $1,172,485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8,141,116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8,141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13,819,380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4"/>
              </w:rPr>
              <w:t>13,827,521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Fair value at transaction date of warrants to</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8"/>
              </w:rPr>
              <w:t>purchase common stock under the 2017 PIPE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(4,187,000)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(4,187,000)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6"/>
                <w:szCs w:val="16"/>
                <w:color w:val="auto"/>
              </w:rPr>
              <w:t>Net Loss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w w:val="99"/>
              </w:rPr>
              <w:t>(15,667,425)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(15,667,425)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Balances at December 31, 2017</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4,571</w:t>
            </w:r>
          </w:p>
        </w:tc>
        <w:tc>
          <w:tcPr>
            <w:tcW w:w="1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19,238,972</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19,239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140,494,976</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0"/>
              </w:rPr>
              <w:t>(113,979,312)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26,534,908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240" w:top="459" w:right="4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(formerly known as Capnia,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08"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For the Years Ended</w:t>
      </w:r>
    </w:p>
    <w:p>
      <w:pPr>
        <w:jc w:val="center"/>
        <w:ind w:left="90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6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(15,667,425)</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(12,065,214)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discontinued operations</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(3,593,575)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(5,327,594)</w:t>
            </w:r>
          </w:p>
        </w:tc>
        <w:tc>
          <w:tcPr>
            <w:tcW w:w="0" w:type="dxa"/>
            <w:vAlign w:val="bottom"/>
          </w:tcPr>
          <w:p>
            <w:pPr>
              <w:spacing w:after="0"/>
              <w:rPr>
                <w:sz w:val="1"/>
                <w:szCs w:val="1"/>
                <w:color w:val="auto"/>
              </w:rPr>
            </w:pPr>
          </w:p>
        </w:tc>
      </w:tr>
      <w:tr>
        <w:trPr>
          <w:trHeight w:val="156"/>
        </w:trPr>
        <w:tc>
          <w:tcPr>
            <w:tcW w:w="8080" w:type="dxa"/>
            <w:vAlign w:val="bottom"/>
            <w:gridSpan w:val="2"/>
          </w:tcPr>
          <w:p>
            <w:pPr>
              <w:spacing w:after="0" w:line="155" w:lineRule="exact"/>
              <w:rPr>
                <w:sz w:val="20"/>
                <w:szCs w:val="20"/>
                <w:color w:val="auto"/>
              </w:rPr>
            </w:pPr>
            <w:r>
              <w:rPr>
                <w:rFonts w:ascii="Arial" w:cs="Arial" w:eastAsia="Arial" w:hAnsi="Arial"/>
                <w:sz w:val="14"/>
                <w:szCs w:val="14"/>
                <w:color w:val="auto"/>
              </w:rPr>
              <w:t>Loss from continuing operations</w:t>
            </w:r>
          </w:p>
        </w:tc>
        <w:tc>
          <w:tcPr>
            <w:tcW w:w="10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(12,073,850)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(6,737,620)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1,611,271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18,670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 expense</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880,031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739,232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ind w:left="280"/>
              <w:spacing w:after="0" w:line="149" w:lineRule="exact"/>
              <w:rPr>
                <w:sz w:val="20"/>
                <w:szCs w:val="20"/>
                <w:color w:val="auto"/>
              </w:rPr>
            </w:pPr>
            <w:r>
              <w:rPr>
                <w:rFonts w:ascii="Arial" w:cs="Arial" w:eastAsia="Arial" w:hAnsi="Arial"/>
                <w:sz w:val="14"/>
                <w:szCs w:val="14"/>
                <w:color w:val="auto"/>
              </w:rPr>
              <w:t>Income tax benefit</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(1,651,267)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Board fees paid with common stock</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277,786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ind w:left="280"/>
              <w:spacing w:after="0" w:line="149" w:lineRule="exact"/>
              <w:rPr>
                <w:sz w:val="20"/>
                <w:szCs w:val="20"/>
                <w:color w:val="auto"/>
              </w:rPr>
            </w:pPr>
            <w:r>
              <w:rPr>
                <w:rFonts w:ascii="Arial" w:cs="Arial" w:eastAsia="Arial" w:hAnsi="Arial"/>
                <w:sz w:val="14"/>
                <w:szCs w:val="14"/>
                <w:color w:val="auto"/>
              </w:rPr>
              <w:t>Change in fair value of stock warrants</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967,055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(1,667,117)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 in fair value of contingent consideration</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2,492,192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ind w:left="280"/>
              <w:spacing w:after="0" w:line="149" w:lineRule="exact"/>
              <w:rPr>
                <w:sz w:val="20"/>
                <w:szCs w:val="20"/>
                <w:color w:val="auto"/>
              </w:rPr>
            </w:pPr>
            <w:r>
              <w:rPr>
                <w:rFonts w:ascii="Arial" w:cs="Arial" w:eastAsia="Arial" w:hAnsi="Arial"/>
                <w:sz w:val="14"/>
                <w:szCs w:val="14"/>
                <w:color w:val="auto"/>
              </w:rPr>
              <w:t>Loss on disposition of equipment</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Inducement charge for Series C warrants</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ind w:left="280"/>
              <w:spacing w:after="0" w:line="149" w:lineRule="exact"/>
              <w:rPr>
                <w:sz w:val="20"/>
                <w:szCs w:val="20"/>
                <w:color w:val="auto"/>
              </w:rPr>
            </w:pPr>
            <w:r>
              <w:rPr>
                <w:rFonts w:ascii="Arial" w:cs="Arial" w:eastAsia="Arial" w:hAnsi="Arial"/>
                <w:sz w:val="14"/>
                <w:szCs w:val="14"/>
                <w:color w:val="auto"/>
              </w:rPr>
              <w:t>Noncash expense of issuing shares to Aspire Capital</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602,083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 in operating assets and liabilities:</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ind w:left="560"/>
              <w:spacing w:after="0" w:line="149" w:lineRule="exact"/>
              <w:rPr>
                <w:sz w:val="20"/>
                <w:szCs w:val="20"/>
                <w:color w:val="auto"/>
              </w:rPr>
            </w:pPr>
            <w:r>
              <w:rPr>
                <w:rFonts w:ascii="Arial" w:cs="Arial" w:eastAsia="Arial" w:hAnsi="Arial"/>
                <w:sz w:val="14"/>
                <w:szCs w:val="14"/>
                <w:color w:val="auto"/>
              </w:rPr>
              <w:t>Prepaid expenses and other assets</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(96,356)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(87,552)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Other long-term assets</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ind w:left="560"/>
              <w:spacing w:after="0" w:line="149" w:lineRule="exact"/>
              <w:rPr>
                <w:sz w:val="20"/>
                <w:szCs w:val="20"/>
                <w:color w:val="auto"/>
              </w:rPr>
            </w:pPr>
            <w:r>
              <w:rPr>
                <w:rFonts w:ascii="Arial" w:cs="Arial" w:eastAsia="Arial" w:hAnsi="Arial"/>
                <w:sz w:val="14"/>
                <w:szCs w:val="14"/>
                <w:color w:val="auto"/>
              </w:rPr>
              <w:t>Accounts payable</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190,630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(76,828)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Accrued compensation and other current liabilities</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(78,303)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534,486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ind w:left="560"/>
              <w:spacing w:after="0" w:line="149" w:lineRule="exact"/>
              <w:rPr>
                <w:sz w:val="20"/>
                <w:szCs w:val="20"/>
                <w:color w:val="auto"/>
              </w:rPr>
            </w:pPr>
            <w:r>
              <w:rPr>
                <w:rFonts w:ascii="Arial" w:cs="Arial" w:eastAsia="Arial" w:hAnsi="Arial"/>
                <w:sz w:val="14"/>
                <w:szCs w:val="14"/>
                <w:color w:val="auto"/>
              </w:rPr>
              <w:t>Other long-term liabilities</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(40,040)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40,039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b w:val="1"/>
                <w:bCs w:val="1"/>
                <w:color w:val="auto"/>
              </w:rPr>
              <w:t>Net cash used in continuing operating activities</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(6,918,768)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(7,260,708)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ind w:left="1140"/>
              <w:spacing w:after="0" w:line="149" w:lineRule="exact"/>
              <w:rPr>
                <w:sz w:val="20"/>
                <w:szCs w:val="20"/>
                <w:color w:val="auto"/>
              </w:rPr>
            </w:pPr>
            <w:r>
              <w:rPr>
                <w:rFonts w:ascii="Arial" w:cs="Arial" w:eastAsia="Arial" w:hAnsi="Arial"/>
                <w:sz w:val="14"/>
                <w:szCs w:val="14"/>
                <w:b w:val="1"/>
                <w:bCs w:val="1"/>
                <w:color w:val="auto"/>
              </w:rPr>
              <w:t>Net cash used in discontinued operations</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(3,031,190)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(6,237,272)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b w:val="1"/>
                <w:bCs w:val="1"/>
                <w:color w:val="auto"/>
              </w:rPr>
              <w:t>Net cash used in operating activities</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(9,949,958)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(13,497,980)</w:t>
            </w:r>
          </w:p>
        </w:tc>
        <w:tc>
          <w:tcPr>
            <w:tcW w:w="0" w:type="dxa"/>
            <w:vAlign w:val="bottom"/>
          </w:tcPr>
          <w:p>
            <w:pPr>
              <w:spacing w:after="0"/>
              <w:rPr>
                <w:sz w:val="1"/>
                <w:szCs w:val="1"/>
                <w:color w:val="auto"/>
              </w:rPr>
            </w:pPr>
          </w:p>
        </w:tc>
      </w:tr>
      <w:tr>
        <w:trPr>
          <w:trHeight w:val="156"/>
        </w:trPr>
        <w:tc>
          <w:tcPr>
            <w:tcW w:w="80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0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Costs of Essentialis acquisition</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(572,592)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line="149" w:lineRule="exact"/>
              <w:rPr>
                <w:sz w:val="20"/>
                <w:szCs w:val="20"/>
                <w:color w:val="auto"/>
              </w:rPr>
            </w:pPr>
            <w:r>
              <w:rPr>
                <w:rFonts w:ascii="Arial" w:cs="Arial" w:eastAsia="Arial" w:hAnsi="Arial"/>
                <w:sz w:val="14"/>
                <w:szCs w:val="14"/>
                <w:color w:val="auto"/>
              </w:rPr>
              <w:t>Security deposit on sublease</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13,163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property and equipment</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(2,569)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60" w:type="dxa"/>
            <w:vAlign w:val="bottom"/>
          </w:tcPr>
          <w:p>
            <w:pPr>
              <w:ind w:left="1140"/>
              <w:spacing w:after="0" w:line="155" w:lineRule="exact"/>
              <w:rPr>
                <w:sz w:val="20"/>
                <w:szCs w:val="20"/>
                <w:color w:val="auto"/>
              </w:rPr>
            </w:pPr>
            <w:r>
              <w:rPr>
                <w:rFonts w:ascii="Arial" w:cs="Arial" w:eastAsia="Arial" w:hAnsi="Arial"/>
                <w:sz w:val="14"/>
                <w:szCs w:val="14"/>
                <w:b w:val="1"/>
                <w:bCs w:val="1"/>
                <w:color w:val="auto"/>
              </w:rPr>
              <w:t>Net cash used in continuing investing activities</w:t>
            </w:r>
          </w:p>
        </w:tc>
        <w:tc>
          <w:tcPr>
            <w:tcW w:w="10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(561,998)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(14,795)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b w:val="1"/>
                <w:bCs w:val="1"/>
                <w:color w:val="auto"/>
              </w:rPr>
              <w:t>Net cash provided by (used in) discontinued investing activities</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940,780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(23,885)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60" w:type="dxa"/>
            <w:vAlign w:val="bottom"/>
          </w:tcPr>
          <w:p>
            <w:pPr>
              <w:ind w:left="1140"/>
              <w:spacing w:after="0" w:line="155" w:lineRule="exact"/>
              <w:rPr>
                <w:sz w:val="20"/>
                <w:szCs w:val="20"/>
                <w:color w:val="auto"/>
              </w:rPr>
            </w:pPr>
            <w:r>
              <w:rPr>
                <w:rFonts w:ascii="Arial" w:cs="Arial" w:eastAsia="Arial" w:hAnsi="Arial"/>
                <w:sz w:val="14"/>
                <w:szCs w:val="14"/>
                <w:b w:val="1"/>
                <w:bCs w:val="1"/>
                <w:color w:val="auto"/>
              </w:rPr>
              <w:t>Net cash provided by (used in) investing activities</w:t>
            </w:r>
          </w:p>
        </w:tc>
        <w:tc>
          <w:tcPr>
            <w:tcW w:w="10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378,782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(38,680)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10,000,000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common stock and common stock warrants</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15,008,158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line="149" w:lineRule="exact"/>
              <w:rPr>
                <w:sz w:val="20"/>
                <w:szCs w:val="20"/>
                <w:color w:val="auto"/>
              </w:rPr>
            </w:pPr>
            <w:r>
              <w:rPr>
                <w:rFonts w:ascii="Arial" w:cs="Arial" w:eastAsia="Arial" w:hAnsi="Arial"/>
                <w:sz w:val="14"/>
                <w:szCs w:val="14"/>
                <w:color w:val="auto"/>
              </w:rPr>
              <w:t>Cash paid for the cost issuance of common stock and common stock warrants</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(1,063,471)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exercise of common stock options</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70,102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line="149" w:lineRule="exact"/>
              <w:rPr>
                <w:sz w:val="20"/>
                <w:szCs w:val="20"/>
                <w:color w:val="auto"/>
              </w:rPr>
            </w:pPr>
            <w:r>
              <w:rPr>
                <w:rFonts w:ascii="Arial" w:cs="Arial" w:eastAsia="Arial" w:hAnsi="Arial"/>
                <w:sz w:val="14"/>
                <w:szCs w:val="14"/>
                <w:color w:val="auto"/>
              </w:rPr>
              <w:t>Net proceeds from issuance of Series A Convertible Preferred</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5,070,339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from issuance of Series B Convertible Preferred</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13,479,185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line="149" w:lineRule="exact"/>
              <w:rPr>
                <w:sz w:val="20"/>
                <w:szCs w:val="20"/>
                <w:color w:val="auto"/>
              </w:rPr>
            </w:pPr>
            <w:r>
              <w:rPr>
                <w:rFonts w:ascii="Arial" w:cs="Arial" w:eastAsia="Arial" w:hAnsi="Arial"/>
                <w:sz w:val="14"/>
                <w:szCs w:val="14"/>
                <w:color w:val="auto"/>
              </w:rPr>
              <w:t>Redemption of Series A Convertible Preferred stock in conjunction with issuance of Series B Convertible Preferred stock</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(7,780,000)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Series A Convertible Preferred transaction costs paid</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(71,493)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60" w:type="dxa"/>
            <w:vAlign w:val="bottom"/>
          </w:tcPr>
          <w:p>
            <w:pPr>
              <w:ind w:left="1140"/>
              <w:spacing w:after="0" w:line="155" w:lineRule="exact"/>
              <w:rPr>
                <w:sz w:val="20"/>
                <w:szCs w:val="20"/>
                <w:color w:val="auto"/>
              </w:rPr>
            </w:pPr>
            <w:r>
              <w:rPr>
                <w:rFonts w:ascii="Arial" w:cs="Arial" w:eastAsia="Arial" w:hAnsi="Arial"/>
                <w:sz w:val="14"/>
                <w:szCs w:val="14"/>
                <w:b w:val="1"/>
                <w:bCs w:val="1"/>
                <w:color w:val="auto"/>
              </w:rPr>
              <w:t>Net cash provided by continuing financing activities</w:t>
            </w:r>
          </w:p>
        </w:tc>
        <w:tc>
          <w:tcPr>
            <w:tcW w:w="10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23,944,687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10,768,133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b w:val="1"/>
                <w:bCs w:val="1"/>
                <w:color w:val="auto"/>
              </w:rPr>
              <w:t>Net cash provided by discontinued financing activities</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60" w:type="dxa"/>
            <w:vAlign w:val="bottom"/>
          </w:tcPr>
          <w:p>
            <w:pPr>
              <w:ind w:left="1140"/>
              <w:spacing w:after="0" w:line="155" w:lineRule="exact"/>
              <w:rPr>
                <w:sz w:val="20"/>
                <w:szCs w:val="20"/>
                <w:color w:val="auto"/>
              </w:rPr>
            </w:pPr>
            <w:r>
              <w:rPr>
                <w:rFonts w:ascii="Arial" w:cs="Arial" w:eastAsia="Arial" w:hAnsi="Arial"/>
                <w:sz w:val="14"/>
                <w:szCs w:val="14"/>
                <w:b w:val="1"/>
                <w:bCs w:val="1"/>
                <w:color w:val="auto"/>
              </w:rPr>
              <w:t>Net cash provided by financing activities</w:t>
            </w:r>
          </w:p>
        </w:tc>
        <w:tc>
          <w:tcPr>
            <w:tcW w:w="10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23,944,687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10,768,133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Net increase in cash and cash equivalents from continuing operations</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16,584,141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3,492,630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ind w:left="840"/>
              <w:spacing w:after="0" w:line="149" w:lineRule="exact"/>
              <w:rPr>
                <w:sz w:val="20"/>
                <w:szCs w:val="20"/>
                <w:color w:val="auto"/>
              </w:rPr>
            </w:pPr>
            <w:r>
              <w:rPr>
                <w:rFonts w:ascii="Arial" w:cs="Arial" w:eastAsia="Arial" w:hAnsi="Arial"/>
                <w:sz w:val="14"/>
                <w:szCs w:val="14"/>
                <w:color w:val="auto"/>
              </w:rPr>
              <w:t>Net decrease in cash and cash equivalents from discontinued operations</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(2,210,630)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(6,261,157)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Net increase (decrease) in cash and equivalents</w:t>
            </w: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14,373,511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(2,768,527)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0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2,725,996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5,494,523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0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Cash and cash equivalents, end of period</w:t>
            </w:r>
          </w:p>
        </w:tc>
        <w:tc>
          <w:tcPr>
            <w:tcW w:w="11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9"/>
              </w:rPr>
              <w:t>17,099,507</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2,725,996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income taxes</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disclosures of noncash investing and financing information</w:t>
            </w:r>
          </w:p>
        </w:tc>
        <w:tc>
          <w:tcPr>
            <w:tcW w:w="10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for Essentialis acquisition</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17,246,495</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4"/>
                <w:szCs w:val="14"/>
                <w:color w:val="auto"/>
              </w:rPr>
              <w:t>Warrants issued in connection with sale of common stock</w:t>
            </w:r>
          </w:p>
        </w:tc>
        <w:tc>
          <w:tcPr>
            <w:tcW w:w="10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4,187,000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0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Contingent cash consideration of Essentialis acquisition</w:t>
            </w:r>
          </w:p>
        </w:tc>
        <w:tc>
          <w:tcPr>
            <w:tcW w:w="11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2,589,648</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4"/>
                <w:szCs w:val="14"/>
                <w:color w:val="auto"/>
              </w:rPr>
              <w:t>Costs of issuing common stock and common stock warrants recorded in accounts payable</w:t>
            </w:r>
          </w:p>
        </w:tc>
        <w:tc>
          <w:tcPr>
            <w:tcW w:w="10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117,164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0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Conversion of Series A preferred to common stock</w:t>
            </w:r>
          </w:p>
        </w:tc>
        <w:tc>
          <w:tcPr>
            <w:tcW w:w="11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1,200,000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4"/>
                <w:szCs w:val="14"/>
                <w:color w:val="auto"/>
              </w:rPr>
              <w:t>Conversion of Series B preferred to common stock</w:t>
            </w:r>
          </w:p>
        </w:tc>
        <w:tc>
          <w:tcPr>
            <w:tcW w:w="10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0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Series B preferred convertible stock transaction costs included in accounts payable</w:t>
            </w:r>
          </w:p>
        </w:tc>
        <w:tc>
          <w:tcPr>
            <w:tcW w:w="11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52,290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4"/>
                <w:szCs w:val="14"/>
                <w:color w:val="auto"/>
              </w:rPr>
              <w:t>Fixed asset purchases included in accounts payable</w:t>
            </w:r>
          </w:p>
        </w:tc>
        <w:tc>
          <w:tcPr>
            <w:tcW w:w="10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11,200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0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De-recognition of Series B warrant liability through cashless exercise</w:t>
            </w:r>
          </w:p>
        </w:tc>
        <w:tc>
          <w:tcPr>
            <w:tcW w:w="11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593,584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24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(formerly known as Capnia, Inc.)</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Description of Business</w:t>
      </w:r>
    </w:p>
    <w:p>
      <w:pPr>
        <w:spacing w:after="0" w:line="121" w:lineRule="exact"/>
        <w:rPr>
          <w:sz w:val="20"/>
          <w:szCs w:val="20"/>
          <w:color w:val="auto"/>
        </w:rPr>
      </w:pPr>
    </w:p>
    <w:p>
      <w:pPr>
        <w:ind w:left="200" w:right="240" w:firstLine="881"/>
        <w:spacing w:after="0" w:line="276" w:lineRule="auto"/>
        <w:rPr>
          <w:sz w:val="20"/>
          <w:szCs w:val="20"/>
          <w:color w:val="auto"/>
        </w:rPr>
      </w:pPr>
      <w:r>
        <w:rPr>
          <w:rFonts w:ascii="Arial" w:cs="Arial" w:eastAsia="Arial" w:hAnsi="Arial"/>
          <w:sz w:val="17"/>
          <w:szCs w:val="17"/>
          <w:color w:val="auto"/>
        </w:rPr>
        <w:t>Soleno Therapeutics, Inc. (formerly known as Capnia, Inc.) (the “Company” or “Soleno”) was incorporated in the State of Delaware on August 25, 1999, and is located in Redwood City, California. The Company initially developed and commercialized neonatology devices and diagnostics. Additionally, the Company also had a therapeutics platform based on its proprietary technology for precision metering of gas flow. Upon the acquisition of Essentialis Inc., or “Essentialis” in 2017, the Company initiated actions to divest, sell or dispose its device and diagnostics business activities and focus its research and development efforts on advancing the lead drug candidate acquired with Essentialis.</w:t>
      </w:r>
    </w:p>
    <w:p>
      <w:pPr>
        <w:spacing w:after="0" w:line="173"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color w:val="auto"/>
        </w:rPr>
        <w:t>On September 2, 2015, the Company established NeoForce, Inc. (“NFI”), a wholly owned subsidiary incorporated in the State of Delaware, and on September 8, 2015, NFI, acquired substantially all of the assets of an unrelated privately held company NeoForce Group, Inc. (“NeoForce”) in exchange for an upfront cash payment of $1.0 million and royalties on future sales. NeoForce develops innovative pulmonary resuscitation solutions for the inpatient and ambulatory neonatal markets that the Company marketed through NFI.</w:t>
      </w:r>
    </w:p>
    <w:p>
      <w:pPr>
        <w:spacing w:after="0" w:line="187" w:lineRule="exact"/>
        <w:rPr>
          <w:sz w:val="20"/>
          <w:szCs w:val="20"/>
          <w:color w:val="auto"/>
        </w:rPr>
      </w:pPr>
    </w:p>
    <w:p>
      <w:pPr>
        <w:ind w:left="200" w:right="60" w:firstLine="881"/>
        <w:spacing w:after="0" w:line="264" w:lineRule="auto"/>
        <w:rPr>
          <w:sz w:val="20"/>
          <w:szCs w:val="20"/>
          <w:color w:val="auto"/>
        </w:rPr>
      </w:pPr>
      <w:r>
        <w:rPr>
          <w:rFonts w:ascii="Arial" w:cs="Arial" w:eastAsia="Arial" w:hAnsi="Arial"/>
          <w:sz w:val="18"/>
          <w:szCs w:val="18"/>
          <w:color w:val="auto"/>
        </w:rPr>
        <w:t>On April 27, 2015, the Company established Soleno Therapeutics UK Ltd. (formerly Capnia UK Limited), a wholly owned foreign subsidiary in the United Kingdom. The functional currency of the U.K. subsidiary is the British pound. There have been no significant activities for this entity to date.</w:t>
      </w:r>
    </w:p>
    <w:p>
      <w:pPr>
        <w:spacing w:after="0" w:line="181" w:lineRule="exact"/>
        <w:rPr>
          <w:sz w:val="20"/>
          <w:szCs w:val="20"/>
          <w:color w:val="auto"/>
        </w:rPr>
      </w:pPr>
    </w:p>
    <w:p>
      <w:pPr>
        <w:ind w:left="200" w:firstLine="881"/>
        <w:spacing w:after="0" w:line="289" w:lineRule="auto"/>
        <w:rPr>
          <w:sz w:val="20"/>
          <w:szCs w:val="20"/>
          <w:color w:val="auto"/>
        </w:rPr>
      </w:pPr>
      <w:r>
        <w:rPr>
          <w:rFonts w:ascii="Arial" w:cs="Arial" w:eastAsia="Arial" w:hAnsi="Arial"/>
          <w:sz w:val="16"/>
          <w:szCs w:val="16"/>
          <w:color w:val="auto"/>
        </w:rPr>
        <w:t>On March 7, 2017, Soleno completed its merger, or the Merger, with Essentialis, Inc., a Delaware corporation, or Essentialis in accordance with the Merger Agreement by and between Soleno Therapeutics and Essentialis dated December 22, 2016, or the Merger Agreement. After the Merger, the Company’s primary focus is transitioning to the development and commercialization of novel therapeutics for the treatment of rare diseases. Essentialis was a privately held, clinical stage biotechnology company focused on the development of breakthrough medicines for the treatment of rare diseases where there is increased mortality and risk of cardiovascular and endocrine complications. Prior to the Merger, Essentialis’s efforts were focused primarily on developing and testing product candidates that target the ATP-sensitive potassium channel, a metabolically regulated membrane protein whose modulation has the potential to impact a wide range of rare metabolic, cardiovascular, and CNS diseases. Essentialis has tested Diazoxide Choline Controlled Release Tablet, or DCCR, as a treatment for Prader-Willi Syndrome, or PWS, a complex metabolic/neurobehavioral disorder. DCCR has orphan designation for the treatment of PWS in the United States, or U.S., as well as in the European Union, or E.U.</w:t>
      </w:r>
    </w:p>
    <w:p>
      <w:pPr>
        <w:spacing w:after="0" w:line="5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Subsequent to the merger with Essentialis, the Company explored opportunities to divest, sell or dispose of the NeoForce, CoSense, and Serenz businesses. The Company’s current research and development efforts are primarily focused on advancing its lead candidate, DCCR tablets for the treatment of PWS into late-stage clinical development, with a secondary emphasis on its joint venture with OAHL for the CoSense technology. CoSense is 510(k) cleared for sale in the U.S. and received CE Mark certification for sale in the E.U. The Company continues to separately evaluate alternatives for its Serenz portfolio. The operations directly related to the NeoForce, CoSense, and Serenz business are reported herein as discontinued operations and the related assets are reported as assets held for sale in accordance with ASC 205-20-45-10.</w:t>
      </w:r>
    </w:p>
    <w:p>
      <w:pPr>
        <w:spacing w:after="0" w:line="178"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On May 8, 2017, Soleno received stockholder approval to amend the Amended and Restate Certificate of Incorporation of the Company, to change the name of the Company to Soleno Therapeutics, Inc.</w:t>
      </w:r>
    </w:p>
    <w:p>
      <w:pPr>
        <w:spacing w:after="0" w:line="17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Company completed the sale of stock of its 100% wholly-owned subsidiary, NeoForce, Inc. on July 18, 2017, pursuant to a Stock Purchase Agreement, or NFI Purchase Agreement, with NeoForce Holdings, Inc., or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NFI Holdings, a 100% owned subsidiary of Flexicare Medical Limited, a privately held United Kingdom company, for $720,000 and adjustments for inventory and the current cash balances held at NFI.</w:t>
      </w:r>
    </w:p>
    <w:p>
      <w:pPr>
        <w:spacing w:after="0" w:line="170" w:lineRule="exact"/>
        <w:rPr>
          <w:sz w:val="20"/>
          <w:szCs w:val="20"/>
          <w:color w:val="auto"/>
        </w:rPr>
      </w:pPr>
    </w:p>
    <w:p>
      <w:pPr>
        <w:ind w:left="200" w:right="340" w:firstLine="441"/>
        <w:spacing w:after="0" w:line="308" w:lineRule="auto"/>
        <w:rPr>
          <w:sz w:val="20"/>
          <w:szCs w:val="20"/>
          <w:color w:val="auto"/>
        </w:rPr>
      </w:pPr>
      <w:r>
        <w:rPr>
          <w:rFonts w:ascii="Arial" w:cs="Arial" w:eastAsia="Arial" w:hAnsi="Arial"/>
          <w:sz w:val="17"/>
          <w:szCs w:val="17"/>
          <w:color w:val="auto"/>
        </w:rPr>
        <w:t>On October 6, 2017, the Company effected a one-for-five (1:5) reverse stock split of its then outstanding Common Stock and, accordingly, all common share and per share data are retrospectively restated to give effect of the split for all periods presented herein.</w:t>
      </w:r>
    </w:p>
    <w:p>
      <w:pPr>
        <w:spacing w:after="0" w:line="3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December 4, 2017, Soleno, and its wholly-owned subsidiary, Capnia, Inc., a Delaware corporation, or Capnia, entered into a joint venture with OptAsia Healthcare Limited, a Hong Kong company limited by shares, or OAHL, with the purpose of developing and commercializing medical monitors, including the CoSense</w:t>
      </w:r>
      <w:r>
        <w:rPr>
          <w:rFonts w:ascii="Arial" w:cs="Arial" w:eastAsia="Arial" w:hAnsi="Arial"/>
          <w:sz w:val="15"/>
          <w:szCs w:val="15"/>
          <w:color w:val="auto"/>
        </w:rPr>
        <w:t>®</w:t>
      </w:r>
      <w:r>
        <w:rPr>
          <w:rFonts w:ascii="Arial" w:cs="Arial" w:eastAsia="Arial" w:hAnsi="Arial"/>
          <w:sz w:val="18"/>
          <w:szCs w:val="18"/>
          <w:color w:val="auto"/>
        </w:rPr>
        <w:t xml:space="preserve"> End-Tidal Carbon Monoxide (ETCO) Monitor, or CoSense, that measure end-tidal carbon monoxide in breath to assist in the detection of excessive hemolysis in neonates, a condition in which red blood cells degrade rapidly and which can lead to adverse neurological outcomes.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Going Concern and Management’s Plans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had a net loss of $15.7 million for the year ended December 31, 2017 and has an accumulated deficit of approximately</w:t>
      </w:r>
    </w:p>
    <w:p>
      <w:pPr>
        <w:spacing w:after="0" w:line="35" w:lineRule="exact"/>
        <w:rPr>
          <w:sz w:val="20"/>
          <w:szCs w:val="20"/>
          <w:color w:val="auto"/>
        </w:rPr>
      </w:pPr>
    </w:p>
    <w:p>
      <w:pPr>
        <w:jc w:val="both"/>
        <w:ind w:left="200" w:right="20"/>
        <w:spacing w:after="0" w:line="255" w:lineRule="auto"/>
        <w:rPr>
          <w:sz w:val="20"/>
          <w:szCs w:val="20"/>
          <w:color w:val="auto"/>
        </w:rPr>
      </w:pPr>
      <w:r>
        <w:rPr>
          <w:rFonts w:ascii="Arial" w:cs="Arial" w:eastAsia="Arial" w:hAnsi="Arial"/>
          <w:sz w:val="18"/>
          <w:szCs w:val="18"/>
          <w:color w:val="auto"/>
        </w:rPr>
        <w:t>$114.0 million at December 31, 2017 from having incurred losses since its inception. The Company has approximately $16.3 million of working capital at December 31, 2017 and used approximately $10.0 million of cash in its operating activities during the year ended December 31, 2017. The Company has financed its operations principally through issuances of equity securities.</w:t>
      </w:r>
    </w:p>
    <w:p>
      <w:pPr>
        <w:spacing w:after="0" w:line="190"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On October 12, 2015, the Company entered into a 2015 Purchase Agreement with Sabby to purchase up to $10 million worth of Series A Convertible Preferred Stock (the “Preferred Stock”). The sale of the Preferred Stock took place in two separate closings. On October 15, 2015, the date of the first closing, the Company received proceeds of approximately $4.1 million, net of $0.4 million in estimated expenses. Upon the second closing, which closed on January 8, 2016, the Company received proceeds of approximately $5.0 million, net of $0.5 million in estimated expenses.</w:t>
      </w:r>
    </w:p>
    <w:p>
      <w:pPr>
        <w:spacing w:after="0" w:line="154"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On June 29, 2016, the Company entered into the 2016 Sabby Purchase Agreement with Sabby, pursuant to which the Company agreed to sell to Sabby, in a private placement, an aggregate of up to 13,780 shares of the Company’s Series B Convertible Preferred Stock at an aggregate purchase price of $13,780,000, which shares are convertible into 2,756,000 shares of trhe Company’s Common Stock, based on a fixed conversion price of $5.00 per share on an as-converted basis.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w:t>
      </w:r>
    </w:p>
    <w:p>
      <w:pPr>
        <w:spacing w:after="0" w:line="193" w:lineRule="exact"/>
        <w:rPr>
          <w:sz w:val="20"/>
          <w:szCs w:val="20"/>
          <w:color w:val="auto"/>
        </w:rPr>
      </w:pPr>
    </w:p>
    <w:p>
      <w:pPr>
        <w:ind w:left="200" w:right="220" w:firstLine="441"/>
        <w:spacing w:after="0" w:line="271" w:lineRule="auto"/>
        <w:rPr>
          <w:sz w:val="20"/>
          <w:szCs w:val="20"/>
          <w:color w:val="auto"/>
        </w:rPr>
      </w:pPr>
      <w:r>
        <w:rPr>
          <w:rFonts w:ascii="Arial" w:cs="Arial" w:eastAsia="Arial" w:hAnsi="Arial"/>
          <w:sz w:val="17"/>
          <w:szCs w:val="17"/>
          <w:color w:val="auto"/>
        </w:rPr>
        <w:t>In connection with the 2016 Sabby Purchase Agreement, the Company also repurchased an aggregate of 7,780 shares of Series A Convertible Preferred Stock held by Sabby for an aggregate amount of $7,780,000, which shares were originally purchased by Sabby under the 2015 Sabby Purchase Agreement and which shares represent 841,081 shares of Common Stock on an as-converted basis. The sale of the Series B Convertible Preferred Stock occurred in two separate closings. On July 5, 2016, the date of the first closing under the 2016 Sabby Purchase Agreement, the Company received proceeds of approximately $1.3 million, net of $0.1 million in estimated expenses. On September 29, 2016, the date of the second closing under the 2016 Sabby Purchase Agreement, the Company received proceeds of approximately $4.4 million, net of $0.3 million in estimated expenses. After repurchase of the Series A Convertible Preferred Stock and estimated transaction expenses, the Company received approximately $5.6 million of net proceeds (see Note 10).</w:t>
      </w:r>
    </w:p>
    <w:p>
      <w:pPr>
        <w:spacing w:after="0" w:line="17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On December 22, 2016, the Company entered into the Merger Agreement and Plan with Essentialis. Consummation of the merger was subject to various closing conditions, including the Company’s consummation of a financing of at least $8 million at, or substantially contemporaneous with, the closing of the merger, which occurred on March 7, 2017 and the receipt of stockholder approval of the merger at a special meeting of stockholders, which the Company received on March 6, 2017 (see Note 10).</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80"/>
          </w:cols>
          <w:pgMar w:left="24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During the year ended December 31, 2016, the Company implemented plans to reduce its expenses, including reducing its workforce, eliminating outside consultants, reducing legal fees and implementing a plan to allow Board members to receive common stock, in lieu of cash payments.</w:t>
      </w:r>
    </w:p>
    <w:p>
      <w:pPr>
        <w:spacing w:after="0" w:line="124"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On January 27, 2017, The Company entered into a Common Stock Purchase Agreement (the “2017 Aspire Purchase Agreement”) with Aspire Capital Fund, LLC (“Aspire Capital”), which provides that, upon the terms and subject to the conditions and limitations set forth therein, Aspire Capital is committed to purchase up to an aggregate of $17.0 million in value of shares of Common Stock over the 30-month term of the 2017 Aspire Purchase Agreement. The Company issued Aspire Capital 141,666 shares of Common Stock as commitment shares under the 2017 Aspire Purchase Agreement. The 2017 Aspire Purchase Agreement was terminated upon the closing of the 2017 PIPE Offering.</w:t>
      </w:r>
    </w:p>
    <w:p>
      <w:pPr>
        <w:spacing w:after="0" w:line="1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On December 11, 2017, the Company entered into the Unit Purchase Agreement with certain stockholders, pursuant to which the Company sold and issued 8,141,116 immediately separable units at a price per unit of $1.84, for aggregate gross proceeds of approximately $15,000,000. Each unit consisted of one share of the Company’s common stock and a warrant to purchase 0.74 shares of the Company’s common stock at an exercise price of $2.00 a share, for an aggregate of 8,141,116 Shares and corresponding warrants to purchase an aggregate of 6,024,425 Warrant Shares, together referred to as the Resale Shares. The Company also granted certain registration rights to these stockholders, pursuant to which, among other things, the Company prepared and filed a registration statement with the SEC to register for resale the Resale Shares. The registration statement was declared effective in February 2018.</w:t>
      </w:r>
    </w:p>
    <w:p>
      <w:pPr>
        <w:spacing w:after="0" w:line="18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accompanying financial statements have been prepared under the assumption the Company will continue to operate as a going concern, which contemplates the realization of assets and the settlement of liabilities in the normal course of business. The consolidated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spacing w:after="0" w:line="18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Company expects to continue incurring losses for the foreseeable future and may be required to raise additional capital to complete its clinical trials, pursue product development initiatives and penetrate markets for the sale of its products. Management believes that the Company will continue to have access to capital resources through possible public or private equity offerings, debt financings, corporate collaborations or other means, but the Company’s access to such capital resources is uncertain and is not assured. If the Company is unable to secure additional capital, it may be required to curtail its clinical trials and development of new products and take additional measures to reduce costs in order to conserve its cash in amounts sufficient to sustain operations and meet its obligations. These measures could cause significant delays in the Company’s efforts to complete its clinical trials and commercialize its products, which is critical to the realization of its business plan and the future operations of the Company. These matters raise substantial doubt about the Company’s ability to continue as a going concern. The consolidated financial statements do not include any adjustments relating to the recoverability and classification of asset amounts or the classification of liabilities that might be necessary should we be unable to continue as a going concern.</w:t>
      </w:r>
    </w:p>
    <w:p>
      <w:pPr>
        <w:spacing w:after="0" w:line="17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Management believes that the Company does not have sufficient capital resources to sustain operations through at least the next twelve months from the date of this filing. Additionally, in view of the Company’s expectation to incur significant losses for the foreseeable future it will be required to raise additional capital resources in order to fund its operations, although the availability of, and the Company’s access to such resources is not assured. Accordingly, management believes that there is substantial doubt regarding the Company’s ability to continue operating as a going concern within one year from the date of filing these financial statements.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(“GAAP”) and the applicable rules and regulations of the Securities and Exchange Commission (“SEC”).</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GAAP and include the accounts of the Company and its wholly-owned subsidiaries. All intercompany transactions and balances have been eliminated in consolidation.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value and life of acquired intangibles, and the valuation of contingent liabilities for the purchase price of assets obtained through acquisition.</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cash and cash equivalents at two U.S. commercial banks that management believes are of high credit quality. Cash and cash equivalents deposited with these commercial banks exceeded the Federal Deposit Insurance Corporation insurable limit at December 31, 2017 and 2016. The Company expects the maintenance of balances in excess of insurable limits will continue.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jc w:val="both"/>
        <w:ind w:left="200" w:right="480" w:firstLine="441"/>
        <w:spacing w:after="0" w:line="342" w:lineRule="auto"/>
        <w:rPr>
          <w:sz w:val="20"/>
          <w:szCs w:val="20"/>
          <w:color w:val="auto"/>
        </w:rPr>
      </w:pPr>
      <w:r>
        <w:rPr>
          <w:rFonts w:ascii="Arial" w:cs="Arial" w:eastAsia="Arial" w:hAnsi="Arial"/>
          <w:sz w:val="16"/>
          <w:szCs w:val="16"/>
          <w:color w:val="auto"/>
        </w:rPr>
        <w:t>The Company operates in one segment. Management uses one measurement of profitability and does not segregate its business for internal reporting, making operating decisions, and assessing financial performance. All long-lived assets are maintained in the United States of America.</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left="200" w:right="140" w:firstLine="441"/>
        <w:spacing w:after="0" w:line="286" w:lineRule="auto"/>
        <w:rPr>
          <w:sz w:val="20"/>
          <w:szCs w:val="20"/>
          <w:color w:val="auto"/>
        </w:rPr>
      </w:pPr>
      <w:r>
        <w:rPr>
          <w:rFonts w:ascii="Arial" w:cs="Arial" w:eastAsia="Arial" w:hAnsi="Arial"/>
          <w:sz w:val="17"/>
          <w:szCs w:val="17"/>
          <w:color w:val="auto"/>
        </w:rPr>
        <w:t>The Company considers all highly liquid investments, including its money market fund, purchased with an original maturity of three months or less to be cash equivalents. The Company’s cash and cash equivalents are held in institutions in the U.S. and the U.K. and include deposits in a money market fund which was unrestricted as to withdrawal or use. Restricted cash is security of the Company credit card.</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left="200" w:right="120" w:firstLine="441"/>
        <w:spacing w:after="0" w:line="277" w:lineRule="auto"/>
        <w:rPr>
          <w:sz w:val="20"/>
          <w:szCs w:val="20"/>
          <w:color w:val="auto"/>
        </w:rPr>
      </w:pPr>
      <w:r>
        <w:rPr>
          <w:rFonts w:ascii="Arial" w:cs="Arial" w:eastAsia="Arial" w:hAnsi="Arial"/>
          <w:sz w:val="18"/>
          <w:szCs w:val="18"/>
          <w:color w:val="auto"/>
        </w:rPr>
        <w:t>Accounts receivable as of December 31, 2017 and 2016 consist of balances due from customers in the normal course of business. The Company did not record an allowance for doubtful accounts as this balance was deemed fully collectible.</w:t>
      </w:r>
    </w:p>
    <w:p>
      <w:pPr>
        <w:spacing w:after="0" w:line="170" w:lineRule="exact"/>
        <w:rPr>
          <w:sz w:val="20"/>
          <w:szCs w:val="20"/>
          <w:color w:val="auto"/>
        </w:rPr>
      </w:pPr>
    </w:p>
    <w:p>
      <w:pPr>
        <w:jc w:val="right"/>
        <w:ind w:right="5340"/>
        <w:spacing w:after="0"/>
        <w:rPr>
          <w:sz w:val="20"/>
          <w:szCs w:val="20"/>
          <w:color w:val="auto"/>
        </w:rPr>
      </w:pPr>
      <w:r>
        <w:rPr>
          <w:rFonts w:ascii="Arial" w:cs="Arial" w:eastAsia="Arial" w:hAnsi="Arial"/>
          <w:sz w:val="18"/>
          <w:szCs w:val="18"/>
          <w:color w:val="auto"/>
        </w:rPr>
        <w:t>Accounts receivable are classified as Assets Held for Sale (See Note 8).</w:t>
      </w:r>
    </w:p>
    <w:p>
      <w:pPr>
        <w:spacing w:after="0" w:line="158" w:lineRule="exact"/>
        <w:rPr>
          <w:sz w:val="20"/>
          <w:szCs w:val="20"/>
          <w:color w:val="auto"/>
        </w:rPr>
      </w:pPr>
    </w:p>
    <w:p>
      <w:pPr>
        <w:jc w:val="right"/>
        <w:ind w:right="536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60"/>
          </w:cols>
          <w:pgMar w:left="240" w:top="459"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Prepaid expenses and other current assets consist of payments primarily related to insurance and short-term deposits. Prepaid expenses are initially recorded upon payment and are expensed as goods or services are received.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Inventory consists of raw materials to be used in the assembly of the Company’s products, work-in-progress and finished goods. As of December 31, 2017, the Company’s inventory consists of approximately $213,000 of raw materials, $30,000 of work-in-progress, and $177,000 of finished goods. As of December 31, 2016, the Company’s inventory includes approximately $382,000 of raw material, $101,000 of work-in-process and $177,000 of finished goods. Inventory is stated at the lower of cost or net realizable value under the first-in, first-out (FIFO) method.</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Inventory is classified as Assets Held for Sale (See Note 8).</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Patent</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On May 11, 2010, we entered into an Asset Purchase Agreement with BioMedical Drug Development, Inc., or BDDI, pursuant to which BDDI agreed to sell certain technology to us and BDDI received and was entitled to receive, among other consideration, certain royalty payments related to the technology. In June 2015, the Company and BDDI amended the BDDI Asset Purchase Agreement, pursuant to which the Company committed to pay aggregate cash payments of $450,000 and issued 8,000 shares of Common Stock to an affiliate of BDDI. Under the original Asset Purchase Agreement dated June 11, 2010, the Company purchased a patent for Breath End Tidal Gas Monitor. The patent was issued on June 19, 2003 and expires on August 1, 2027. The Company has capitalized the fair value of the patent purchased as an intangible asset on its consolidated balance sheet and is amortizing the fair value over the remaining useful life of the patent.</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BDDI patent is reported as an Intangible Asset and classified as Assets Held for Sale. (See Note 8.)</w:t>
      </w:r>
    </w:p>
    <w:p>
      <w:pPr>
        <w:spacing w:after="0" w:line="225"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In March 2017, the Company completed the acquisition of Essentialis, Inc., a Delaware corporation, or Essentialis in accordance with the Merger Agreement by and between Soleno Therapeutics and Essentialis dated December 22, 2016. The merger transaction has been accounted for as an asset acquisition under the acquisition method of accounting and accordingly, the value of asset acquired in the amount of $22.0 million was assigned to the identifiable intangible asset relating to the patent for DCCR, which patent expires in June 2028.</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 xml:space="preserve">For business combinations the Company utilizes the acquisition method of accounting in accordance with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These standards require that the total cost of an acquisition be allocated to the tangible and intangible assets acquired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based on their respective fair values at the date of acquisition. The allocation of the purchase price is dependent upon certain valuations and other studies. Acquisition costs are expensed as incurred.</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Company recognizes separately from goodwill the fair value of assets acquired and the liabilities assumed. Goodwill as of the acquisition date is measured as the excess of consideration transferred and the acquisition date fair values of the assets acquired, and liabilities assumed. While the Company uses its best estimates and assumptions as a part of the purchase price allocation process to accurately value assets acquired and liabilities assumed at the acquisition date, the Company’s estimates are subject to refinement. As a result, during the measurement period, which may be up to one year from the acquisition date, the Company may retroactively record adjustments to the fair value of the assets acquired and liabilities assumed,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200" w:right="400" w:firstLine="441"/>
        <w:spacing w:after="0" w:line="257" w:lineRule="auto"/>
        <w:rPr>
          <w:sz w:val="20"/>
          <w:szCs w:val="20"/>
          <w:color w:val="auto"/>
        </w:rPr>
      </w:pPr>
      <w:r>
        <w:rPr>
          <w:rFonts w:ascii="Arial" w:cs="Arial" w:eastAsia="Arial" w:hAnsi="Arial"/>
          <w:sz w:val="18"/>
          <w:szCs w:val="18"/>
          <w:color w:val="auto"/>
        </w:rPr>
        <w:t>Property and equipment are stated at cost net of accumulated depreciation and amortization calculated using the straight-line method over the estimated useful lives of the assets, generally between three and five years. Leasehold improvements are amortized on a straight-line basis over the lesser of their useful life or the remaining term of the lease. Maintenance and repairs are charged to expense as incurred, and improvements are capitalized. When assets are retired or otherwise disposed of, the cost and accumulated depreciation are removed from the balance sheet and any resulting gain or loss is reflected in operations in the period realized.</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Certain property and equipment are classified as Assets Held for Sale. (See Note 8.)</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Company reviews its long-lived assets for impairment annually and whenever events or changes in circumstances indicate that the carrying amount of the assets may not be fully recoverable. The Company evaluates assets for potential impairment by comparing estimated future undiscounted net cash flows to the carrying amount of the asset. If the carrying amount of the assets exceeds the estimated future undiscounted cash flows, impairment is measured based on the difference between the carrying amount and the fair value of the assets.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200" w:right="580" w:firstLine="441"/>
        <w:spacing w:after="0" w:line="342" w:lineRule="auto"/>
        <w:rPr>
          <w:sz w:val="20"/>
          <w:szCs w:val="20"/>
          <w:color w:val="auto"/>
        </w:rPr>
      </w:pPr>
      <w:r>
        <w:rPr>
          <w:rFonts w:ascii="Arial" w:cs="Arial" w:eastAsia="Arial" w:hAnsi="Arial"/>
          <w:sz w:val="16"/>
          <w:szCs w:val="16"/>
          <w:color w:val="auto"/>
        </w:rPr>
        <w:t>Intangible assets with finite lives are amortized on a straight-line basis over their estimated useful lives of 11 years. The useful life of the intangible asset is evaluated each reporting period to determine whether events and circumstances warrant a revision to the remaining useful life.</w:t>
      </w:r>
    </w:p>
    <w:p>
      <w:pPr>
        <w:spacing w:after="0" w:line="124"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Intangible Assets in the amount of $447,000 consisting of the patent acquired in the BDDI acquisition are classified as Assets Held for Sale. (See Note 8.)</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consist of the following at December 31, 2017.</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6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Net Amount</w:t>
            </w:r>
          </w:p>
        </w:tc>
        <w:tc>
          <w:tcPr>
            <w:tcW w:w="13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Useful Lives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Patents and merger costs</w:t>
            </w: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22,002,623</w:t>
            </w:r>
          </w:p>
        </w:tc>
        <w:tc>
          <w:tcPr>
            <w:tcW w:w="6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(1,589,567</w:t>
            </w:r>
          </w:p>
        </w:tc>
        <w:tc>
          <w:tcPr>
            <w:tcW w:w="30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20,413,056</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gridSpan w:val="4"/>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22,002,623</w:t>
            </w:r>
          </w:p>
        </w:tc>
        <w:tc>
          <w:tcPr>
            <w:tcW w:w="640" w:type="dxa"/>
            <w:vAlign w:val="bottom"/>
          </w:tcPr>
          <w:p>
            <w:pPr>
              <w:spacing w:after="0"/>
              <w:rPr>
                <w:sz w:val="19"/>
                <w:szCs w:val="19"/>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(1,589,567</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20,413,056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20" w:type="dxa"/>
            <w:vAlign w:val="bottom"/>
            <w:gridSpan w:val="9"/>
          </w:tcPr>
          <w:p>
            <w:pPr>
              <w:spacing w:after="0"/>
              <w:rPr>
                <w:sz w:val="20"/>
                <w:szCs w:val="20"/>
                <w:color w:val="auto"/>
              </w:rPr>
            </w:pPr>
            <w:r>
              <w:rPr>
                <w:rFonts w:ascii="Arial" w:cs="Arial" w:eastAsia="Arial" w:hAnsi="Arial"/>
                <w:sz w:val="18"/>
                <w:szCs w:val="18"/>
                <w:color w:val="auto"/>
                <w:w w:val="98"/>
              </w:rPr>
              <w:t>Future amortization expense for intangible assets over their remaining useful lives is as follows.</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800" w:type="dxa"/>
            <w:vAlign w:val="bottom"/>
            <w:gridSpan w:val="3"/>
            <w:vMerge w:val="restart"/>
          </w:tcPr>
          <w:p>
            <w:pPr>
              <w:ind w:left="1320"/>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Patents and</w:t>
            </w: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trademarks</w:t>
            </w: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2018</w:t>
            </w:r>
          </w:p>
        </w:tc>
        <w:tc>
          <w:tcPr>
            <w:tcW w:w="19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right w:val="single" w:sz="8" w:color="CCEEFF"/>
            </w:tcBorders>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1,944,101</w:t>
            </w: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2019</w:t>
            </w: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1,944,101</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1,944,101</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2021</w:t>
            </w: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1,944,101</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1,944,101</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2023 and thereafter</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0"/>
              </w:rPr>
              <w:t>10,692,553</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20,413,056</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20" w:firstLine="441"/>
        <w:spacing w:after="0" w:line="342" w:lineRule="auto"/>
        <w:rPr>
          <w:sz w:val="20"/>
          <w:szCs w:val="20"/>
          <w:color w:val="auto"/>
        </w:rPr>
      </w:pPr>
      <w:r>
        <w:rPr>
          <w:rFonts w:ascii="Arial" w:cs="Arial" w:eastAsia="Arial" w:hAnsi="Arial"/>
          <w:sz w:val="16"/>
          <w:szCs w:val="16"/>
          <w:color w:val="auto"/>
        </w:rPr>
        <w:t>Amortization expense for the years ended December 31, 2017 and 2016, was $</w:t>
      </w:r>
      <w:r>
        <w:rPr>
          <w:rFonts w:ascii="Arial" w:cs="Arial" w:eastAsia="Arial" w:hAnsi="Arial"/>
          <w:sz w:val="16"/>
          <w:szCs w:val="16"/>
          <w:u w:val="single" w:color="auto"/>
          <w:color w:val="auto"/>
        </w:rPr>
        <w:t>1,661,734</w:t>
      </w:r>
      <w:r>
        <w:rPr>
          <w:rFonts w:ascii="Arial" w:cs="Arial" w:eastAsia="Arial" w:hAnsi="Arial"/>
          <w:sz w:val="16"/>
          <w:szCs w:val="16"/>
          <w:color w:val="auto"/>
        </w:rPr>
        <w:t xml:space="preserve"> and $99,343, respectively, of which amortization expense of $</w:t>
      </w:r>
      <w:r>
        <w:rPr>
          <w:rFonts w:ascii="Arial" w:cs="Arial" w:eastAsia="Arial" w:hAnsi="Arial"/>
          <w:sz w:val="16"/>
          <w:szCs w:val="16"/>
          <w:u w:val="single" w:color="auto"/>
          <w:color w:val="auto"/>
        </w:rPr>
        <w:t>72,167</w:t>
      </w:r>
      <w:r>
        <w:rPr>
          <w:rFonts w:ascii="Arial" w:cs="Arial" w:eastAsia="Arial" w:hAnsi="Arial"/>
          <w:sz w:val="16"/>
          <w:szCs w:val="16"/>
          <w:color w:val="auto"/>
        </w:rPr>
        <w:t xml:space="preserve"> and $99,343 is reported in discontinued operations for the year ended December 31, 2017 and 2016, respectively.</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Company tests its goodwill for impairment annually, or whenever events or changes in circumstances indicate an impairment may have occurred, by comparing its reporting unit’s carrying value to its implied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did not perform the qualitative assessment, but made its determination using the quantitative approach for goodwill impairment. Using the quantitative approach, the Company determined that there was no impairment of goodwill for the year ended December 31, 2016.</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Goodwill is classified as Assets Held for Sale. (See Note 8.)</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Company began recognizing sales of CoSense during the year ended December 31, 2015. In addition, the Company began recognizing sales of NFI pulmonary resuscitation products after the acquisition of Neoforce’s assets in September 2015.</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recognizes revenue when all of the following criteria are met:</w:t>
      </w:r>
    </w:p>
    <w:p>
      <w:pPr>
        <w:spacing w:after="0" w:line="131" w:lineRule="exact"/>
        <w:rPr>
          <w:sz w:val="20"/>
          <w:szCs w:val="20"/>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sales price is fixed or determinable;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collection of the relevant receivable is probable at the time of sale;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225"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For a majority of sales, where the Company delivers its product to hospitals or medical facilities, the Company recognizes revenue upon delivery, which represents satisfaction of the required revenue recognition criteria. The Company does not offer rights of return or price protection and it has no post-delivery obligations. The Company offers a limited one-year warranty to most customers. Estimated warranty obligations are recorded at the time of sale and to date, warranty costs have been insignificant.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Revenues are reported as Discontinued Operations. (See Note 8.)</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left="200" w:right="100" w:firstLine="441"/>
        <w:spacing w:after="0" w:line="308" w:lineRule="auto"/>
        <w:rPr>
          <w:sz w:val="20"/>
          <w:szCs w:val="20"/>
          <w:color w:val="auto"/>
        </w:rPr>
      </w:pPr>
      <w:r>
        <w:rPr>
          <w:rFonts w:ascii="Arial" w:cs="Arial" w:eastAsia="Arial" w:hAnsi="Arial"/>
          <w:sz w:val="17"/>
          <w:szCs w:val="17"/>
          <w:color w:val="auto"/>
        </w:rPr>
        <w:t>Research and development costs are charged to operations as incurred. Research and development costs consist primarily of salaries and benefits, consultant fees, prototype expenses, certain facility costs and other costs associated with clinical trials, net of reimbursed amounts.</w:t>
      </w:r>
    </w:p>
    <w:p>
      <w:pPr>
        <w:spacing w:after="0" w:line="14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Costs to acquire technologies to be used in research and development that have not reached technological feasibility and have no alternative future use are expensed to research and development costs when incurred.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Certain Research and Development expenses are reported as Discontinued Operations. (See Note 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Company recorded the value of contingent future consideration to be paid for the acquisition of Essentialis as a liability in March 2017 at the date of the acquisition. The increase in value of the liability for the contingent consideration of December 31, 2017, is recorded as operating expense in the consolidated statement of operations.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Under this method, deferred income tax assets and liabilities are recorded based on the estimated future tax effects of differences between the amounts at which assets and liabilities are recorded for financial reporting purposes and the amounts recorded for income tax purposes. A valuation allowance is provided against the Company’s deferred income tax assets when their realization is not reasonably assured.</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loss from discontinued operations is reported net of the related effect for income taxes in the Statement of Operations.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Convertible Preferred Stock and other Hybrid Instruments</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Company’s convertible preferred stock was classified as permanent equity on its consolidated balance sheet in accordance with authoritative guidance for the classification and measurement of hybrid securities and distinguishing liability from equity instruments. The preferred stock is not redeemable at the option of the holder.</w:t>
      </w:r>
    </w:p>
    <w:p>
      <w:pPr>
        <w:spacing w:after="0" w:line="181"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 xml:space="preserve">Further, the Company evaluated its Series A and Series B Convertible Preferred Stock and determined that it is considered an equity host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In making this determination, the Company’s analysis followed the whole instrument approach which compares an individual feature against the entire preferred stock instrument which includes that feature. The Company’s analysis was based on a consideration of the economic characteristics and risks of each series of preferred stock. More specifically, the Company evaluated all of the stated and implied substantive terms and features, including (i) whether the preferred stock included redemption features, (ii) how and when any redemption features could be exercised, (iii) whether the holders of preferred stock were entitled to dividends, (iv) the voting rights of the preferred stock and (v) the existence and nature of any conversion rights. As a result of the Company’s conclusion that the preferred stock represents an equity host, the conversion feature of all series of preferred stock is considered to be clearly and closely related to the associated preferred stock host instrument. Accordingly, the conversion feature in the preferred stock is not considered an embedded derivative that requires bifurcation.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Stock Purchase Warrants and Other Derivative Financial Instruments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classifies Common Stock purchase warrants and other free standing derivative financial instruments as equity if the contracts</w:t>
      </w:r>
    </w:p>
    <w:p>
      <w:pPr>
        <w:spacing w:after="0" w:line="35" w:lineRule="exact"/>
        <w:rPr>
          <w:sz w:val="20"/>
          <w:szCs w:val="20"/>
          <w:color w:val="auto"/>
        </w:rPr>
      </w:pPr>
    </w:p>
    <w:p>
      <w:pPr>
        <w:ind w:left="200" w:right="140" w:firstLine="4"/>
        <w:spacing w:after="0" w:line="261" w:lineRule="auto"/>
        <w:tabs>
          <w:tab w:leader="none" w:pos="4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physical settlement or net-share settlement or (ii) give the Company a choice of net-cash settlement or settlement in its own shares (physical settlement or net-share</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settlement). The Company classifies any contracts that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as either an asset or a liability. The Company assesses classification of its freestanding derivatives at each reporting date to determine whether a change in classification between equity and liabilities is required. The Company determined that certain freestanding derivatives, which principally consist of Series A, Series C and the 2017 PIPE warrants to purchase Common Stock, do not satisfy the criteria for classification as equity instruments due to the existence of certain cash settlement features that are not within the sole control of the Company or variable settlement provision that cause them to not be indexed to the Company’s own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For stock options granted to employees, the Company recognizes compensation expense for all stock-based awards based on the estimated fair value on the date of grant. The value of the portion of the award that is ultimately expected to vest is recognized as expense ratably over the requisite service period. The fair value of stock options is determined using the Black-Scholes option pricing model. The determination of fair value for stock-based awards on the date of grant using an option pricing model requires management to make certain assumptions regarding a number of complex and subjective variables.</w:t>
      </w:r>
    </w:p>
    <w:p>
      <w:pPr>
        <w:spacing w:after="0" w:line="188"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Stock-based compensation expense related to stock options granted to non-employees is recognized based on the fair value of the stock options, determined using the Black-Scholes option pricing model, as they are earned. The awards generally vest over the time period the Company expects to receive services from the non-employee.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jc w:val="both"/>
        <w:ind w:left="200" w:right="100" w:firstLine="441"/>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or other standard setting bodies and adopted by us as of the specified effective date. Unless otherwise discussed, the impact of recently issued standards that are not yet effective will not have a material impact on the Company’s financial position or results of operations upon adoption.</w:t>
      </w:r>
    </w:p>
    <w:p>
      <w:pPr>
        <w:spacing w:after="0" w:line="166"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In May 2014, the FASB issued ASU 2014-09, “Revenue from Contracts with Customers (Topic 606)” (“ASU 2014-09”). ASU 2014-09 supersedes the revenue recognition requirements in ASC Topic 605, “Revenue Recognition” and some cost guidance included in ASC Subtopic 605-35, “Revenue Recognition—Construction-Type and Production-Type Contracts.” The core principle of ASU 2014-09 is that revenue is recognized when the transfer of control of goods or services to customers occurs in an amount that reflects the consideration to which the Company expects to be entitled in exchange for those goods or services. ASU 2014-09 requires the disclosure of sufficient information to enable readers of the Company’s financial statements to understand the nature, amount, timing and uncertainty of revenue and cash flows arising from customer contracts. ASU 2014-09 also requires disclosure of information regarding significant judgments and changes in judgments, and assets recognized from costs incurred to obtain or fulfill a contract. ASU 2014-09 provides two methods of retrospective application. The first method would require the Company to apply ASU 2014-09 to each prior reporting period presented. The second method would require the Company to retrospectively apply ASU 2014-09 with the cumulative effect recognized at the date of initial application. Since the Company is an emerging growth company and elected to use the extended transition period for complying with any new or revised financial accounting standards provided pursuant to Section 13(a) of the Exchange Act, this ASU 2014-09 will be effective for the Company beginning in fiscal 2019 as a result of ASU 2015-14, “Revenue from Contracts with Customers (Topic 606): Deferral of the Effective Date,” which was issued by the FASB in August 2015 and extended the original effective date by one year. The Company is currently evaluating the impact of adopting the available methodologies of ASU 2014-09 and 2015-14 upon its consolidated financial statements in future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342" w:lineRule="auto"/>
        <w:rPr>
          <w:sz w:val="20"/>
          <w:szCs w:val="20"/>
          <w:color w:val="auto"/>
        </w:rPr>
      </w:pPr>
      <w:r>
        <w:rPr>
          <w:rFonts w:ascii="Arial" w:cs="Arial" w:eastAsia="Arial" w:hAnsi="Arial"/>
          <w:sz w:val="16"/>
          <w:szCs w:val="16"/>
          <w:color w:val="auto"/>
        </w:rPr>
        <w:t>reporting periods. The Company is also in the process of evaluating the new standard against its existing revenue recognition accounting policies to determine the effect the guidance will have on its consolidated financial statements and what changes to systems and controls may be warranted.</w:t>
      </w:r>
    </w:p>
    <w:p>
      <w:pPr>
        <w:spacing w:after="0" w:line="12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In January 2017, the Financial Accounting Standard Board (the “FASB”) issued Accounting Standards Update (ASU) 2017-04: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Goodwill and Other (Topic 350): Simplifying the Test for Goodwill Impairment” </w:t>
      </w:r>
      <w:r>
        <w:rPr>
          <w:rFonts w:ascii="Arial" w:cs="Arial" w:eastAsia="Arial" w:hAnsi="Arial"/>
          <w:sz w:val="18"/>
          <w:szCs w:val="18"/>
          <w:color w:val="auto"/>
        </w:rPr>
        <w:t>(“ASU 2017-04”), which removes Step 2 from the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test. It is effective for annual and interim periods beginning after December 15, 2019. Early adoption is permitted for interim or annual goodwill impairment test performed with a measurement date after January 1, 2017. The adoption of this ASU has no material impact on the Company’s financial position and results of operations.</w:t>
      </w:r>
    </w:p>
    <w:p>
      <w:pPr>
        <w:spacing w:after="0" w:line="188"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In January 2017, the FASB issued ASU 2017 -01 “Business Combinations (Topic 805): Clarifying the Definition of a Business which clarifies the definition of a business to assist entities with evaluating whether transactions should be accounted for as acquisitions or disposals of assets or businesses. The standard introduces a screen for determining when assets acquired are not a business and clarifies that a business must include, at a minimum, an input and a substantive process that contribute to an output to be considered a business. This standard is effective for fiscal years beginning after December 15, 2017, including interim periods within that reporting period. Early application of the amendments in ASU 2017 -01 are allowed for transactions for which the acquisition date is before the effective date of the amendments, but only when the transactions have not been reported in the financial statements that have been issued. The Company early adopted ASU 2017 -01 for the acquisition of Essentialis, Inc. (see Note 9).</w:t>
      </w:r>
    </w:p>
    <w:p>
      <w:pPr>
        <w:spacing w:after="0" w:line="192"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In May 2017, the FASB issued ASU 2017-09: Compensation—Stock Compensation (Topic 718): Scope of Modification Accounting which clarifies which changes to the terms or conditions of a share-based payment award require an entity to apply modification accounting. The standard is effective beginning after December 15, 2017; early adoption is permitted. The Company is currently evaluating the effect that ASU 2017-09 will have on the Company’s consolidated financial position and results of operations.</w:t>
      </w:r>
    </w:p>
    <w:p>
      <w:pPr>
        <w:spacing w:after="0" w:line="18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In July 2017, the FASB issued ASU 2017-11, Earnings Per Share (Topic 260), Distinguishing Liabilities from Equity (Topic 480) and Derivatives and 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(ASU 2017-11). Part I of this update 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Part II of this update addresses the difficulty of navigating Topic 480, Distinguishing Liabilities from Equity, because of the existence of extensive pending content in the FASB Accounting Standards Codification. This pending content is the result of the indefinite deferral of accounting requirements about mandatorily redeemable financial instruments of certain nonpublic entities and certain mandatorily redeemable noncontrolling interests. The amendments in Part II of this update do not have an accounting effect. This ASU is effective for fiscal years, and interim periods within those years, beginning after December 15, 2018. The Company is currently assessing the potential impact of adopting ASU 2017-11 on its consolidated financial statements and related disclosures.</w:t>
      </w:r>
    </w:p>
    <w:p>
      <w:pPr>
        <w:spacing w:after="0" w:line="188"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On December 22, 2017, the SEC staff also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2017 Tax Act. Specifically, SAB 118 provides a measurement period for companies to evaluate the impacts of the 2017 Tax Act on their financial statements. This measurement period begins in the reporting period that includes the enactment date and ends when an entity has obtained, prepared,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24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60"/>
        <w:spacing w:after="0" w:line="312" w:lineRule="auto"/>
        <w:rPr>
          <w:sz w:val="20"/>
          <w:szCs w:val="20"/>
          <w:color w:val="auto"/>
        </w:rPr>
      </w:pPr>
      <w:r>
        <w:rPr>
          <w:rFonts w:ascii="Arial" w:cs="Arial" w:eastAsia="Arial" w:hAnsi="Arial"/>
          <w:sz w:val="16"/>
          <w:szCs w:val="16"/>
          <w:color w:val="auto"/>
        </w:rPr>
        <w:t>and analyzed the information that was needed in order to complete the accounting requirements, and cannot exceed one year. The re-measurement of U.S. deferred tax assets and liabilities were approximately $10.6 million with corresponding offset to valuation allowance. The Company estimated a loss for all its foreign entities including FIN 48 liabilities and therefore did not record for any transition tax pursuant to IRC Section 965.</w:t>
      </w:r>
    </w:p>
    <w:p>
      <w:pPr>
        <w:spacing w:after="0" w:line="14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 xml:space="preserve">In February 2018, the FASB issued ASU amends ASC 220, </w:t>
      </w:r>
      <w:r>
        <w:rPr>
          <w:rFonts w:ascii="Arial" w:cs="Arial" w:eastAsia="Arial" w:hAnsi="Arial"/>
          <w:sz w:val="18"/>
          <w:szCs w:val="18"/>
          <w:i w:val="1"/>
          <w:iCs w:val="1"/>
          <w:color w:val="auto"/>
        </w:rPr>
        <w:t>Income Statement—Reporting Comprehensive Income</w:t>
      </w:r>
      <w:r>
        <w:rPr>
          <w:rFonts w:ascii="Arial" w:cs="Arial" w:eastAsia="Arial" w:hAnsi="Arial"/>
          <w:sz w:val="18"/>
          <w:szCs w:val="18"/>
          <w:color w:val="auto"/>
        </w:rPr>
        <w:t>, to allow a reclassification from accumulated other comprehensive income to retained earnings for stranded tax effects resulting from the Tax Cuts and Jobs Act.” In addition, under the ASU, an entity will be required to provide certain disclosures regarding stranded tax effects. The standard is effective beginning after December 15, 2018 and early adoption is permitted. The Company is currently evaluating the effect that ASU 2017-09 will have on the Company’s consolidated financial position and results of operations.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carrying value of the Company’s cash, restricted cash, accounts receivable, and accounts payable, approximate fair value due to the short-term nature of these items.</w:t>
      </w:r>
    </w:p>
    <w:p>
      <w:pPr>
        <w:spacing w:after="0" w:line="170"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131" w:lineRule="exact"/>
        <w:rPr>
          <w:sz w:val="20"/>
          <w:szCs w:val="20"/>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I Unadjusted quoted prices in active markets for identical assets or liabilities;</w:t>
      </w:r>
    </w:p>
    <w:p>
      <w:pPr>
        <w:spacing w:after="0" w:line="130" w:lineRule="exact"/>
        <w:rPr>
          <w:rFonts w:ascii="Arial" w:cs="Arial" w:eastAsia="Arial" w:hAnsi="Arial"/>
          <w:sz w:val="18"/>
          <w:szCs w:val="18"/>
          <w:color w:val="auto"/>
        </w:rPr>
      </w:pPr>
    </w:p>
    <w:p>
      <w:pPr>
        <w:ind w:left="1060" w:right="120" w:hanging="316"/>
        <w:spacing w:after="0" w:line="264"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II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for the related assets or liabilities.</w:t>
      </w:r>
    </w:p>
    <w:p>
      <w:pPr>
        <w:spacing w:after="0" w:line="225"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2"/>
              </w:rPr>
              <w:t>Fair Value Measurements at December 31, 2017</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128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Money market fund</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16,790,456</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$ 16,790,456</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Series A warrant liability</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351,713</w:t>
            </w:r>
          </w:p>
        </w:tc>
        <w:tc>
          <w:tcPr>
            <w:tcW w:w="5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351,713</w:t>
            </w:r>
          </w:p>
        </w:tc>
        <w:tc>
          <w:tcPr>
            <w:tcW w:w="380" w:type="dxa"/>
            <w:vAlign w:val="bottom"/>
          </w:tcPr>
          <w:p>
            <w:pPr>
              <w:spacing w:after="0"/>
              <w:rPr>
                <w:sz w:val="18"/>
                <w:szCs w:val="18"/>
                <w:color w:val="auto"/>
              </w:rPr>
            </w:pPr>
          </w:p>
        </w:tc>
        <w:tc>
          <w:tcPr>
            <w:tcW w:w="12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Series C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2017 PIPE warrant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5,076,000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5,076,000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Essentialis purchase price contingent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5,081,840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5,081,840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Total common stock warrant and contingent consideration liability</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10,515,433</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351,713</w:t>
            </w:r>
          </w:p>
        </w:tc>
        <w:tc>
          <w:tcPr>
            <w:tcW w:w="380" w:type="dxa"/>
            <w:vAlign w:val="bottom"/>
          </w:tcPr>
          <w:p>
            <w:pPr>
              <w:spacing w:after="0"/>
              <w:rPr>
                <w:sz w:val="19"/>
                <w:szCs w:val="19"/>
                <w:color w:val="auto"/>
              </w:rPr>
            </w:pP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10,163,720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2"/>
              </w:rPr>
              <w:t>Fair Value Measurements at December 31, 2016</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128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Money market fund</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2,563,247</w:t>
            </w:r>
          </w:p>
        </w:tc>
        <w:tc>
          <w:tcPr>
            <w:tcW w:w="5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2,563,247</w:t>
            </w:r>
          </w:p>
        </w:tc>
        <w:tc>
          <w:tcPr>
            <w:tcW w:w="380" w:type="dxa"/>
            <w:vAlign w:val="bottom"/>
          </w:tcPr>
          <w:p>
            <w:pPr>
              <w:spacing w:after="0"/>
              <w:rPr>
                <w:sz w:val="18"/>
                <w:szCs w:val="18"/>
                <w:color w:val="auto"/>
              </w:rPr>
            </w:pPr>
          </w:p>
        </w:tc>
        <w:tc>
          <w:tcPr>
            <w:tcW w:w="12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Series A warrant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194,048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194,048</w:t>
            </w:r>
          </w:p>
        </w:tc>
        <w:tc>
          <w:tcPr>
            <w:tcW w:w="380" w:type="dxa"/>
            <w:vAlign w:val="bottom"/>
          </w:tcPr>
          <w:p>
            <w:pPr>
              <w:spacing w:after="0"/>
              <w:rPr>
                <w:sz w:val="18"/>
                <w:szCs w:val="18"/>
                <w:color w:val="auto"/>
              </w:rPr>
            </w:pPr>
          </w:p>
        </w:tc>
        <w:tc>
          <w:tcPr>
            <w:tcW w:w="12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Series C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85,490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85,490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Total common stock warrant liability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279,538</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194,048</w:t>
            </w:r>
          </w:p>
        </w:tc>
        <w:tc>
          <w:tcPr>
            <w:tcW w:w="380" w:type="dxa"/>
            <w:vAlign w:val="bottom"/>
          </w:tcPr>
          <w:p>
            <w:pPr>
              <w:spacing w:after="0"/>
              <w:rPr>
                <w:sz w:val="19"/>
                <w:szCs w:val="19"/>
                <w:color w:val="auto"/>
              </w:rPr>
            </w:pP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85,490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Series A Warrant is a registered security that trades on the open market and the fair value of the Series A Warrant liability is based on the publicly quoted trading price of the warrants which is listed on and obtained from NASDAQ. Accordingly, the fair value of Series A Warrants is a Level 1 measurement. The fair value measurement of the Series C Warrants is based on significant inputs that are unobservable and thus represent Level 3 measurements. The Company’s estimated fair value of the Series C Warrant liability is calculated using the Black-Scholes valuation model, which is equivalent to fair value computed using the Binomial Lattice Option Model. Key assumptions include the volatility of the Company’s stock, the expected warrant term, expected dividend yield and risk-free interest rates. The Company’s estimated fair value of the 2017 PIPE Warrants was calculated using a Monte Carlo simulation of a geometric Brownian motion model. The Monte Carlo simulation pricing model requires the input of highly subjective assumptions including the expected stock price volatility, the expected term, the expected dividend yield and the risk-free interest rate. The Level 3 estimates are based, in part, on subjective assumptions.</w:t>
      </w:r>
    </w:p>
    <w:p>
      <w:pPr>
        <w:spacing w:after="0" w:line="18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On January 13, 2016, the Company entered into an agreement to sublease the Company’s excess space located in Redwood City. By the end of February, the Company removed all equipment, furniture and fixtures being stored in this excess space and ceased use of this space. The fair value of the cease-use liability was calculated using the remaining lease payments, offset by future sub-lease payments, offset by deferred rent amortization, and discounted to present value using the Company’s current cost of capital of 20%. These inputs are considered Level 3 inputs under the fair value measurements and disclosure guidance.</w:t>
      </w:r>
    </w:p>
    <w:p>
      <w:pPr>
        <w:spacing w:after="0" w:line="188"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liabilities that are measured at fair value using Level 3 inputs. The Company recognizes transfers between levels of the fair value hierarchy as of the end of the reporting period. There were no transfers within the hierarchy during the periods presented.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240" w:top="459" w:right="4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Company’s Level 1 and Level 3 financial instruments, which are treated as liabilities,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rPr>
              <w:t>Series A Warrant</w:t>
            </w:r>
          </w:p>
        </w:tc>
        <w:tc>
          <w:tcPr>
            <w:tcW w:w="260" w:type="dxa"/>
            <w:vAlign w:val="bottom"/>
          </w:tcPr>
          <w:p>
            <w:pPr>
              <w:spacing w:after="0"/>
              <w:rPr>
                <w:sz w:val="14"/>
                <w:szCs w:val="14"/>
                <w:color w:val="auto"/>
              </w:rPr>
            </w:pPr>
          </w:p>
        </w:tc>
        <w:tc>
          <w:tcPr>
            <w:tcW w:w="1620" w:type="dxa"/>
            <w:vAlign w:val="bottom"/>
            <w:tcBorders>
              <w:bottom w:val="single" w:sz="8" w:color="auto"/>
            </w:tcBorders>
            <w:gridSpan w:val="6"/>
          </w:tcPr>
          <w:p>
            <w:pPr>
              <w:jc w:val="right"/>
              <w:ind w:right="192"/>
              <w:spacing w:after="0"/>
              <w:rPr>
                <w:sz w:val="20"/>
                <w:szCs w:val="20"/>
                <w:color w:val="auto"/>
              </w:rPr>
            </w:pPr>
            <w:r>
              <w:rPr>
                <w:rFonts w:ascii="Arial" w:cs="Arial" w:eastAsia="Arial" w:hAnsi="Arial"/>
                <w:sz w:val="14"/>
                <w:szCs w:val="14"/>
                <w:b w:val="1"/>
                <w:bCs w:val="1"/>
                <w:color w:val="auto"/>
              </w:rPr>
              <w:t>Series C Warrant</w:t>
            </w:r>
          </w:p>
        </w:tc>
        <w:tc>
          <w:tcPr>
            <w:tcW w:w="3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2017 PIPE Warrants</w:t>
            </w:r>
          </w:p>
        </w:tc>
        <w:tc>
          <w:tcPr>
            <w:tcW w:w="12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0"/>
                <w:szCs w:val="10"/>
                <w:color w:val="auto"/>
              </w:rPr>
            </w:pPr>
          </w:p>
        </w:tc>
        <w:tc>
          <w:tcPr>
            <w:tcW w:w="7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Liability</w:t>
            </w:r>
          </w:p>
        </w:tc>
        <w:tc>
          <w:tcPr>
            <w:tcW w:w="26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Number of</w:t>
            </w:r>
          </w:p>
        </w:tc>
        <w:tc>
          <w:tcPr>
            <w:tcW w:w="280" w:type="dxa"/>
            <w:vAlign w:val="bottom"/>
          </w:tcPr>
          <w:p>
            <w:pPr>
              <w:spacing w:after="0"/>
              <w:rPr>
                <w:sz w:val="10"/>
                <w:szCs w:val="10"/>
                <w:color w:val="auto"/>
              </w:rPr>
            </w:pPr>
          </w:p>
        </w:tc>
        <w:tc>
          <w:tcPr>
            <w:tcW w:w="1020" w:type="dxa"/>
            <w:vAlign w:val="bottom"/>
            <w:gridSpan w:val="6"/>
            <w:vMerge w:val="restart"/>
          </w:tcPr>
          <w:p>
            <w:pPr>
              <w:jc w:val="right"/>
              <w:ind w:right="440"/>
              <w:spacing w:after="0"/>
              <w:rPr>
                <w:sz w:val="20"/>
                <w:szCs w:val="20"/>
                <w:color w:val="auto"/>
              </w:rPr>
            </w:pPr>
            <w:r>
              <w:rPr>
                <w:rFonts w:ascii="Arial" w:cs="Arial" w:eastAsia="Arial" w:hAnsi="Arial"/>
                <w:sz w:val="14"/>
                <w:szCs w:val="14"/>
                <w:b w:val="1"/>
                <w:bCs w:val="1"/>
                <w:color w:val="auto"/>
              </w:rPr>
              <w:t>Liability</w:t>
            </w: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Number of</w:t>
            </w:r>
          </w:p>
        </w:tc>
        <w:tc>
          <w:tcPr>
            <w:tcW w:w="60" w:type="dxa"/>
            <w:vAlign w:val="bottom"/>
          </w:tcPr>
          <w:p>
            <w:pPr>
              <w:spacing w:after="0"/>
              <w:rPr>
                <w:sz w:val="10"/>
                <w:szCs w:val="10"/>
                <w:color w:val="auto"/>
              </w:rPr>
            </w:pPr>
          </w:p>
        </w:tc>
        <w:tc>
          <w:tcPr>
            <w:tcW w:w="8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Liability</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Contingent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Warrants</w:t>
            </w:r>
          </w:p>
        </w:tc>
        <w:tc>
          <w:tcPr>
            <w:tcW w:w="280" w:type="dxa"/>
            <w:vAlign w:val="bottom"/>
          </w:tcPr>
          <w:p>
            <w:pPr>
              <w:spacing w:after="0"/>
              <w:rPr>
                <w:sz w:val="14"/>
                <w:szCs w:val="14"/>
                <w:color w:val="auto"/>
              </w:rPr>
            </w:pPr>
          </w:p>
        </w:tc>
        <w:tc>
          <w:tcPr>
            <w:tcW w:w="1020" w:type="dxa"/>
            <w:vAlign w:val="bottom"/>
            <w:gridSpan w:val="6"/>
            <w:vMerge w:val="continue"/>
          </w:tcPr>
          <w:p>
            <w:pPr>
              <w:spacing w:after="0"/>
              <w:rPr>
                <w:sz w:val="14"/>
                <w:szCs w:val="14"/>
                <w:color w:val="auto"/>
              </w:rPr>
            </w:pPr>
          </w:p>
        </w:tc>
        <w:tc>
          <w:tcPr>
            <w:tcW w:w="96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Warrants</w:t>
            </w:r>
          </w:p>
        </w:tc>
        <w:tc>
          <w:tcPr>
            <w:tcW w:w="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485,121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$194,048</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118,083</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8"/>
              </w:rPr>
              <w:t>$ 85,490</w:t>
            </w: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Change in value of Series A Warrants</w:t>
            </w:r>
          </w:p>
        </w:tc>
        <w:tc>
          <w:tcPr>
            <w:tcW w:w="26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157,665</w:t>
            </w:r>
          </w:p>
        </w:tc>
        <w:tc>
          <w:tcPr>
            <w:tcW w:w="26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value of Series C Warrants</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6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(79,610)</w:t>
            </w: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Issuance in 2017 PIPE Warrants</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w w:val="87"/>
              </w:rPr>
              <w:t>6,024,425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w w:val="93"/>
              </w:rPr>
              <w:t>$4,187,000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value of 2017 PIPE Warrants</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889,000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w w:val="97"/>
              </w:rPr>
              <w:t>Issuance of contingent liability on March 7, 2017</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2,589,648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value of contingent liability</w:t>
            </w:r>
          </w:p>
        </w:tc>
        <w:tc>
          <w:tcPr>
            <w:tcW w:w="2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0" w:type="dxa"/>
            <w:vAlign w:val="bottom"/>
            <w:gridSpan w:val="3"/>
          </w:tcPr>
          <w:p>
            <w:pPr>
              <w:spacing w:after="0"/>
              <w:rPr>
                <w:sz w:val="20"/>
                <w:szCs w:val="20"/>
                <w:color w:val="auto"/>
              </w:rPr>
            </w:pPr>
            <w:r>
              <w:rPr>
                <w:rFonts w:ascii="Arial" w:cs="Arial" w:eastAsia="Arial" w:hAnsi="Arial"/>
                <w:sz w:val="18"/>
                <w:szCs w:val="18"/>
                <w:color w:val="auto"/>
              </w:rPr>
              <w:t>Balance at December 31, 2017</w:t>
            </w: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351,713</w:t>
            </w: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118,083</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5,880</w:t>
            </w:r>
          </w:p>
        </w:tc>
        <w:tc>
          <w:tcPr>
            <w:tcW w:w="3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7"/>
              </w:rPr>
              <w:t>6,024,425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5,076,000</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5,081,840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5. Property and Equipment, Net</w:t>
            </w: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8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880" w:type="dxa"/>
            <w:vAlign w:val="bottom"/>
            <w:gridSpan w:val="5"/>
          </w:tcPr>
          <w:p>
            <w:pPr>
              <w:ind w:left="420"/>
              <w:spacing w:after="0"/>
              <w:rPr>
                <w:sz w:val="20"/>
                <w:szCs w:val="20"/>
                <w:color w:val="auto"/>
              </w:rPr>
            </w:pPr>
            <w:r>
              <w:rPr>
                <w:rFonts w:ascii="Arial" w:cs="Arial" w:eastAsia="Arial" w:hAnsi="Arial"/>
                <w:sz w:val="18"/>
                <w:szCs w:val="18"/>
                <w:color w:val="auto"/>
              </w:rPr>
              <w:t>Property and equipment consisted of the following.</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4"/>
                <w:szCs w:val="14"/>
                <w:b w:val="1"/>
                <w:bCs w:val="1"/>
                <w:color w:val="auto"/>
                <w:w w:val="94"/>
              </w:rPr>
              <w:t>December 31,</w:t>
            </w:r>
          </w:p>
        </w:tc>
        <w:tc>
          <w:tcPr>
            <w:tcW w:w="740" w:type="dxa"/>
            <w:vAlign w:val="bottom"/>
          </w:tcPr>
          <w:p>
            <w:pPr>
              <w:spacing w:after="0"/>
              <w:rPr>
                <w:sz w:val="24"/>
                <w:szCs w:val="24"/>
                <w:color w:val="auto"/>
              </w:rPr>
            </w:pPr>
          </w:p>
        </w:tc>
        <w:tc>
          <w:tcPr>
            <w:tcW w:w="110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60,610</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56,527</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23,074</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23,074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12,848</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12,849</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96,532</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92,450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5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1"/>
              </w:rPr>
              <w:t>Less accumulated depreciation and amortization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(73,647)</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(50,429)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gridSpan w:val="2"/>
          </w:tcPr>
          <w:p>
            <w:pPr>
              <w:ind w:left="130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22,885</w:t>
            </w:r>
          </w:p>
        </w:tc>
        <w:tc>
          <w:tcPr>
            <w:tcW w:w="4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42,021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Depreciation expense was $43,716 and $33,328 for the fiscal years ended December 31, 2017 and December 31, 2016, respectively.</w:t>
      </w:r>
    </w:p>
    <w:p>
      <w:pPr>
        <w:spacing w:after="0" w:line="23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Depreciation expense of $22,012 and $13,628 was classified in discontinued operations for the years ended December 31, 2017, and 2016,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Warrant Liabilities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Warrants terms</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 xml:space="preserve">The Company has issued multiple warrant series, of which the Series A Warrants, Series C Warrants and 2017 PIPE Warrants (the “Warrants”) are considered liabilities pursuant to the guidance established by </w:t>
      </w:r>
      <w:r>
        <w:rPr>
          <w:rFonts w:ascii="Arial" w:cs="Arial" w:eastAsia="Arial" w:hAnsi="Arial"/>
          <w:sz w:val="18"/>
          <w:szCs w:val="18"/>
          <w:i w:val="1"/>
          <w:iCs w:val="1"/>
          <w:color w:val="auto"/>
        </w:rPr>
        <w:t>ASC 815 Derivatives and Hedging.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240" w:top="45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Company’s Warrants contain standard anti-dilution provisions for stock dividends, stock splits, subdivisions, combinations and similar types of recapitalization events. The Series A and Series C Warrants also contain a cashless exercise feature that provides for their net share settlement at the option of the holder in the event that there is no effective registration statement covering the continuous offer and sale of the Series A Warrants and shares underlying the Series A Warrants, or the shares underlying the Series C Warrants, respectively. The Company is required to comply with certain requirement to cause or maintain the effectiveness of a registration statement for the offer and sale of the shares underlying the Warrants and for the offer and sale of the Series C Warrants. The Series A and Series C Warrants contracts further provide for the payment of liquidated damages at an amount per month equal to 1% of the aggregate VWAP of the shares into which each Warrant is convertible into in the event that the Company is unable to maintain the effectiveness of a registration statement as described herein. The Company evaluated the registration payment arrangement stipulated in the terms of these securities and determined that it is probable that the Company will maintain an effective registration statement and has therefore not allocated any portion of the proceeds related to the warrant financings to the registration payment arrangement.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 which is equivalent to fair value computed using the Binomial Lattice Option Model.</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 xml:space="preserve">The Company accounts for the Warrants in accordance with the guidance in </w:t>
      </w:r>
      <w:r>
        <w:rPr>
          <w:rFonts w:ascii="Arial" w:cs="Arial" w:eastAsia="Arial" w:hAnsi="Arial"/>
          <w:sz w:val="18"/>
          <w:szCs w:val="18"/>
          <w:i w:val="1"/>
          <w:iCs w:val="1"/>
          <w:color w:val="auto"/>
        </w:rPr>
        <w:t>ASC 815</w:t>
      </w:r>
      <w:r>
        <w:rPr>
          <w:rFonts w:ascii="Arial" w:cs="Arial" w:eastAsia="Arial" w:hAnsi="Arial"/>
          <w:sz w:val="18"/>
          <w:szCs w:val="18"/>
          <w:color w:val="auto"/>
        </w:rPr>
        <w:t>. As indicated above, the Company may be obligated to settle Warrants in cash in the case of a Fundamental Transaction.</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Company classified the Warrants, with a term greater than one year, as long-term liabilities at their fair value and will re-measure the warrants at each balance sheet date until they are exercised or expire. Any change in the fair value is recognized as other income (expense) in the Company’s statement of operations.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A Warrants</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Company has issued 489,921 Series A Warrants to purchase shares of its Common Stock at an exercise price of $32.50 per share in connection with the unit offering offered in the Company’s initial public offering (“IPO”) in November 2014. The Series A Warrants are exercisable at any time prior to the expiration of the five-year term on November 12, 2019.</w:t>
      </w:r>
    </w:p>
    <w:p>
      <w:pPr>
        <w:spacing w:after="0" w:line="181"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Upon the completion of the IPO, the Series A Warrants started trading on the NASDAQ under the symbol SLNOW. As the Series A Warrants are publicly traded, the Company uses the closing price on the measurement date to determine the fair value of these the Series A Warrants.</w:t>
      </w:r>
    </w:p>
    <w:p>
      <w:pPr>
        <w:spacing w:after="0" w:line="124"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Since their issuance, a total of 4,800 Series A Warrants have been exercised. As of December 31, 2017, the fair value of the 485,121 outstanding Series A Warrants was approximately $352,000, and the increase of $158,000 in fair value during the year ended December 31, 2017 was recorded as other expense in the statement of operations.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C Warrants</w:t>
      </w:r>
    </w:p>
    <w:p>
      <w:pPr>
        <w:spacing w:after="0" w:line="117"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On March 5, 2015, the Company entered into separate agreements with certain Series B Warrant holders, who agreed to exercise their Series B Warrants to purchase an aggregate of 117,902 shares of the Company’s Common Stock at an exercise price of $32.50 per share, resulting in the de-recognition of $6.7 million of the previously issued Series B Warrant liability and gross proceeds to the Company of approximately $3.8 million based on the exercise price of the Series B Warrants. In connection with this exercise of the Series B Warrants,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42" w:lineRule="auto"/>
        <w:rPr>
          <w:sz w:val="20"/>
          <w:szCs w:val="20"/>
          <w:color w:val="auto"/>
        </w:rPr>
      </w:pPr>
      <w:r>
        <w:rPr>
          <w:rFonts w:ascii="Arial" w:cs="Arial" w:eastAsia="Arial" w:hAnsi="Arial"/>
          <w:sz w:val="16"/>
          <w:szCs w:val="16"/>
          <w:color w:val="auto"/>
        </w:rPr>
        <w:t>the Company issued to each investor who exercised Series B Warrants, new Series C Warrants for the number of shares of the Company’s Common Stock underlying the Series B Warrants that were exercised. Each Series C Warrant is exercisable at $31.25 per share and will expire on March 5, 2020.</w:t>
      </w:r>
    </w:p>
    <w:p>
      <w:pPr>
        <w:spacing w:after="0" w:line="124"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In April 2015, the Company issued a tender offer to the remaining holders of Series B Warrants to induce the holders to cash exercise the outstanding Series B Warrants in exchange for new Series C Warrants with an exercise price of $31.25 per share that expire on March 5, 2020. The tender offer was extended to Series B Warrant holders under a registration statement filed with the SEC on Form S-4, which was declared effective on June 25, 2015 and expired on July 24, 2015. During July 2015, certain Series B Warrant holder(s) tendered their Series B Warrants under the tender offer, which resulted in the issuance of 181 shares of the Company’s Common Stock, the issuance of 181 Series C Warrants and proceeds to the Company of $5,882.</w:t>
      </w:r>
    </w:p>
    <w:p>
      <w:pPr>
        <w:spacing w:after="0" w:line="193" w:lineRule="exact"/>
        <w:rPr>
          <w:sz w:val="20"/>
          <w:szCs w:val="20"/>
          <w:color w:val="auto"/>
        </w:rPr>
      </w:pPr>
    </w:p>
    <w:p>
      <w:pPr>
        <w:jc w:val="both"/>
        <w:ind w:left="200" w:right="440" w:firstLine="441"/>
        <w:spacing w:after="0" w:line="286" w:lineRule="auto"/>
        <w:rPr>
          <w:sz w:val="20"/>
          <w:szCs w:val="20"/>
          <w:color w:val="auto"/>
        </w:rPr>
      </w:pPr>
      <w:r>
        <w:rPr>
          <w:rFonts w:ascii="Arial" w:cs="Arial" w:eastAsia="Arial" w:hAnsi="Arial"/>
          <w:sz w:val="17"/>
          <w:szCs w:val="17"/>
          <w:color w:val="auto"/>
        </w:rPr>
        <w:t>The Series C Warrants are exercisable into 118,083 shares of the Company’s Common Stock. As of December 31, 2017, the fair value of the Series C Warrants was determined to be $5,880. The decline in the fair value of the liability for the Series C Warrants of $79,610 in the year ended December 31, 2016 was recorded as other income in the consolidated statement of operations.</w:t>
      </w:r>
    </w:p>
    <w:p>
      <w:pPr>
        <w:spacing w:after="0" w:line="166"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Company has calculated the fair value of the Series C Warrants using a Black-Scholes pricing model, which is equivalent to the fair value computed using the Binomial Lattice Option Model. The Black-Scholes pricing model requires the input of highly subjective assumptions including the expected stock price volatility. The Company used the following inputs.</w:t>
      </w:r>
    </w:p>
    <w:p>
      <w:pPr>
        <w:spacing w:after="0" w:line="18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354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8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Expected Term (years)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6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 %</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Risk-free rate</w:t>
            </w:r>
          </w:p>
        </w:tc>
        <w:tc>
          <w:tcPr>
            <w:tcW w:w="3300" w:type="dxa"/>
            <w:vAlign w:val="bottom"/>
            <w:gridSpan w:val="3"/>
          </w:tcPr>
          <w:p>
            <w:pPr>
              <w:jc w:val="right"/>
              <w:ind w:right="500"/>
              <w:spacing w:after="0"/>
              <w:rPr>
                <w:sz w:val="20"/>
                <w:szCs w:val="20"/>
                <w:color w:val="auto"/>
              </w:rPr>
            </w:pPr>
            <w:r>
              <w:rPr>
                <w:rFonts w:ascii="Arial" w:cs="Arial" w:eastAsia="Arial" w:hAnsi="Arial"/>
                <w:sz w:val="18"/>
                <w:szCs w:val="18"/>
                <w:color w:val="auto"/>
              </w:rPr>
              <w:t>1.57%</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1.51%</w:t>
            </w: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Warrants Issued as Part of the Units in the 2017 PIPE Offering</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2017 PIPE Warrants were issued on December 15, 2017 in to the 2017 PIPE Offering, pursuant to a Warrant Agreement with each of the investors in the 2017 PIPE Offering, and entitle the holder to purchase one share of the Company’s common stock at an exercise price equal to $2.00 per share, subject to adjustment as discussed below, at any time commencing upon issuance of the 2017 PIPE Warrants and terminating at the earlier of December 15, 2020 or 30 days following positive Phase III results for Diazoxide Choline Controlled-Release (DCCR) tablet in Prader-Willi syndrome (PWS).</w:t>
      </w:r>
    </w:p>
    <w:p>
      <w:pPr>
        <w:spacing w:after="0" w:line="188" w:lineRule="exact"/>
        <w:rPr>
          <w:sz w:val="20"/>
          <w:szCs w:val="20"/>
          <w:color w:val="auto"/>
        </w:rPr>
      </w:pPr>
    </w:p>
    <w:p>
      <w:pPr>
        <w:ind w:left="200" w:right="780" w:firstLine="441"/>
        <w:spacing w:after="0" w:line="286" w:lineRule="auto"/>
        <w:rPr>
          <w:sz w:val="20"/>
          <w:szCs w:val="20"/>
          <w:color w:val="auto"/>
        </w:rPr>
      </w:pPr>
      <w:r>
        <w:rPr>
          <w:rFonts w:ascii="Arial" w:cs="Arial" w:eastAsia="Arial" w:hAnsi="Arial"/>
          <w:sz w:val="17"/>
          <w:szCs w:val="17"/>
          <w:color w:val="auto"/>
        </w:rPr>
        <w:t>The exercise price and number of shares of common stock issuable upon exercise of the 2017 PIPE Warrants may be adjusted in certain circumstances, including in the event of a stock split, stock dividend, extraordinary dividend, or recapitalization, reorganization, merger or consolidation. However, the exercise price of the 2017 PIPE Warrants will not be reduced below $1.72.</w:t>
      </w:r>
    </w:p>
    <w:p>
      <w:pPr>
        <w:spacing w:after="0" w:line="166"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Company has calculated the fair value of the 2017 PIPE Warrants using a Monte Carlo simulation of a geometric Brownian motion model. The Monte Carlo simulation pricing model requires the input of highly subjective assumptions including the expected stock price volatility. The following summarizes certain key assumptions used in estimating the fair values.</w:t>
      </w:r>
    </w:p>
    <w:p>
      <w:pPr>
        <w:spacing w:after="0" w:line="18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2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280" w:type="dxa"/>
            <w:vAlign w:val="bottom"/>
            <w:gridSpan w:val="3"/>
            <w:vMerge w:val="continue"/>
          </w:tcPr>
          <w:p>
            <w:pPr>
              <w:spacing w:after="0"/>
              <w:rPr>
                <w:sz w:val="12"/>
                <w:szCs w:val="12"/>
                <w:color w:val="auto"/>
              </w:rPr>
            </w:pPr>
          </w:p>
        </w:tc>
        <w:tc>
          <w:tcPr>
            <w:tcW w:w="1180" w:type="dxa"/>
            <w:vAlign w:val="bottom"/>
            <w:gridSpan w:val="2"/>
          </w:tcPr>
          <w:p>
            <w:pPr>
              <w:jc w:val="right"/>
              <w:ind w:right="194"/>
              <w:spacing w:after="0" w:line="149"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4"/>
                <w:szCs w:val="14"/>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(date of issue)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Volatility</w:t>
            </w:r>
          </w:p>
        </w:tc>
        <w:tc>
          <w:tcPr>
            <w:tcW w:w="19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vMerge w:val="continue"/>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w:t>
            </w:r>
          </w:p>
        </w:tc>
        <w:tc>
          <w:tcPr>
            <w:tcW w:w="34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Expected Term (years)</w:t>
            </w:r>
          </w:p>
        </w:tc>
        <w:tc>
          <w:tcPr>
            <w:tcW w:w="19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0.8 years</w:t>
            </w:r>
          </w:p>
        </w:tc>
        <w:tc>
          <w:tcPr>
            <w:tcW w:w="3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0.8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9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Risk-free rate</w:t>
            </w:r>
          </w:p>
        </w:tc>
        <w:tc>
          <w:tcPr>
            <w:tcW w:w="3280" w:type="dxa"/>
            <w:vAlign w:val="bottom"/>
            <w:gridSpan w:val="3"/>
          </w:tcPr>
          <w:p>
            <w:pPr>
              <w:jc w:val="right"/>
              <w:ind w:right="340"/>
              <w:spacing w:after="0"/>
              <w:rPr>
                <w:sz w:val="20"/>
                <w:szCs w:val="20"/>
                <w:color w:val="auto"/>
              </w:rPr>
            </w:pPr>
            <w:r>
              <w:rPr>
                <w:rFonts w:ascii="Arial" w:cs="Arial" w:eastAsia="Arial" w:hAnsi="Arial"/>
                <w:sz w:val="18"/>
                <w:szCs w:val="18"/>
                <w:color w:val="auto"/>
              </w:rPr>
              <w:t>1.76%</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2017 PIPE Warrants were issued on December 15, 2017 with an estimated fair value of $4,187,000. At December 31, 2017, the fair value of the 2017 PIPE Warrants was estimated at $5,076,000 and the cost of $889,000 associated with the increase in the fair value of the warrants was recorded as expense in other expense in the statement of operations.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(i)Facility Leases</w:t>
      </w:r>
    </w:p>
    <w:p>
      <w:pPr>
        <w:spacing w:after="0" w:line="117" w:lineRule="exact"/>
        <w:rPr>
          <w:sz w:val="20"/>
          <w:szCs w:val="20"/>
          <w:color w:val="auto"/>
        </w:rPr>
      </w:pPr>
    </w:p>
    <w:p>
      <w:pPr>
        <w:ind w:left="200" w:right="360" w:firstLine="441"/>
        <w:spacing w:after="0" w:line="312" w:lineRule="auto"/>
        <w:rPr>
          <w:sz w:val="20"/>
          <w:szCs w:val="20"/>
          <w:color w:val="auto"/>
        </w:rPr>
      </w:pPr>
      <w:r>
        <w:rPr>
          <w:rFonts w:ascii="Arial" w:cs="Arial" w:eastAsia="Arial" w:hAnsi="Arial"/>
          <w:sz w:val="16"/>
          <w:szCs w:val="16"/>
          <w:color w:val="auto"/>
        </w:rPr>
        <w:t>On July 1, 2015 the Company executed a new four-year non-cancelable operating lease agreement for 8,171 square feet of office space for its headquarters facility. The lease agreement provides for monthly lease payments of $23,300 beginning in September of 2015, with increases in the following three years. An additional 5,265 square feet of office space became part of the new lease agreement on March 1, 2016.</w:t>
      </w:r>
    </w:p>
    <w:p>
      <w:pPr>
        <w:spacing w:after="0" w:line="14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The Company also leases office space under a non-cancelable operating lease agreement that was set to expire in May 2015, and in February 2015 the Company signed an amendment to its lease agreement, extending the lease through June 2018. The amendment provides for monthly lease payments of $22,000 beginning in June 2015, with increases in the following two years. The Company subleased this facility in January 2016.</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Minimum rental commitments under all noncancelable leases with an initial term in excess of one year as of December 31, 2017 were as follows.</w:t>
      </w:r>
    </w:p>
    <w:p>
      <w:pPr>
        <w:spacing w:after="0" w:line="254"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5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91"/>
        </w:trPr>
        <w:tc>
          <w:tcPr>
            <w:tcW w:w="4140" w:type="dxa"/>
            <w:vAlign w:val="bottom"/>
            <w:gridSpan w:val="3"/>
            <w:vMerge w:val="continue"/>
          </w:tcPr>
          <w:p>
            <w:pPr>
              <w:spacing w:after="0"/>
              <w:rPr>
                <w:sz w:val="16"/>
                <w:szCs w:val="16"/>
                <w:color w:val="auto"/>
              </w:rPr>
            </w:pPr>
          </w:p>
        </w:tc>
        <w:tc>
          <w:tcPr>
            <w:tcW w:w="2580" w:type="dxa"/>
            <w:vAlign w:val="bottom"/>
          </w:tcPr>
          <w:p>
            <w:pPr>
              <w:spacing w:after="0"/>
              <w:rPr>
                <w:sz w:val="16"/>
                <w:szCs w:val="16"/>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2018</w:t>
            </w:r>
          </w:p>
        </w:tc>
        <w:tc>
          <w:tcPr>
            <w:tcW w:w="258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2"/>
              </w:rPr>
              <w:t>$ 629,923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2019</w:t>
            </w:r>
          </w:p>
        </w:tc>
        <w:tc>
          <w:tcPr>
            <w:tcW w:w="25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$ 964,670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above does not consider the impact of lease payments the Company will receive under the sublease executed in January 2016.</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Rent expense was $514,000 and $595,000 during the years ended December 31, 2017 and 2016, respectively.</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(ii) Shareholder lawsuit</w:t>
      </w:r>
    </w:p>
    <w:p>
      <w:pPr>
        <w:spacing w:after="0" w:line="117"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 xml:space="preserve">On February 16, 2017, the Lawsuit captioned </w:t>
      </w:r>
      <w:r>
        <w:rPr>
          <w:rFonts w:ascii="Arial" w:cs="Arial" w:eastAsia="Arial" w:hAnsi="Arial"/>
          <w:sz w:val="18"/>
          <w:szCs w:val="18"/>
          <w:i w:val="1"/>
          <w:iCs w:val="1"/>
          <w:color w:val="auto"/>
        </w:rPr>
        <w:t>Garfield v. Capnia, Inc., et al.</w:t>
      </w:r>
      <w:r>
        <w:rPr>
          <w:rFonts w:ascii="Arial" w:cs="Arial" w:eastAsia="Arial" w:hAnsi="Arial"/>
          <w:sz w:val="18"/>
          <w:szCs w:val="18"/>
          <w:color w:val="auto"/>
        </w:rPr>
        <w:t>, Case No. C17-00284 was filed in Superior Court of the State of California, County of Contra Costa against the Company and certain of its officers and directors. The Lawsuit alleged, generally, that the Company’s directors breached their fiduciary duties to the Company’s stockholders by seeking to sell control of the Company through an allegedly defective process, and on unfair terms. The Lawsuit also alleged that defendants failed to disclose all material facts concerning the proposed merger with Essentialis to stockholders. The Lawsuit sought, among other things,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equitable relief that would have enjoined the consummation of the proposed merger, compensatory and/or rescissory damages, and attorneys’ fees and costs. The Company made certain supplemental disclosures in a Current Report on Form 8-K filed with the SEC on February 28, 2017 in connection with plaintiff’s agreement to voluntarily dismiss plaintiff’s claims in the Lawsuit.</w:t>
      </w:r>
    </w:p>
    <w:p>
      <w:pPr>
        <w:spacing w:after="0" w:line="181"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On February 28, 2017, the Company agreed to make additional supplemental disclosures and pay $175,000 for dismissal of the lawsuit. This amount was accrued as a current liability on the balance sheet as of December 31, 2016 and recorded as an expense in general and administrative expense on the statement of operations for the year ended December 31, 2016.</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Discontinued Operations and Assets Held for Sale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 Assets held for sale and discontinued operations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Subsequent to the merger with Essentialis described above, the Company explored opportunities divest, sell or dispose of the CoSense, Neo Force, Inc. and Serenz businesses.</w:t>
      </w:r>
    </w:p>
    <w:p>
      <w:pPr>
        <w:spacing w:after="0" w:line="62"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Under ASC 205-20-45-10, during the period in which a component meets the assets held for sale and discontinued operations criteria, an entity must present the assets and liabilities of the discontinued operation separately in the asset and liability sections of the balance sheet for the comparative reporting periods. The prior period balance sheet should be reclassified for the held for sale items. For income statements, the current and prior periods should report the results of operations of the component in discontinued operations when comparative income statements are presented.</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the Balance Sheet accounts presented as assets and liabilities held for sale follow.</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gridSpan w:val="11"/>
          </w:tcPr>
          <w:p>
            <w:pPr>
              <w:ind w:left="6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00" w:type="dxa"/>
            <w:vAlign w:val="bottom"/>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196"/>
        </w:trPr>
        <w:tc>
          <w:tcPr>
            <w:tcW w:w="900" w:type="dxa"/>
            <w:vAlign w:val="bottom"/>
          </w:tcPr>
          <w:p>
            <w:pPr>
              <w:spacing w:after="0"/>
              <w:rPr>
                <w:sz w:val="17"/>
                <w:szCs w:val="17"/>
                <w:color w:val="auto"/>
              </w:rPr>
            </w:pPr>
          </w:p>
        </w:tc>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90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  50,193</w:t>
            </w:r>
          </w:p>
        </w:tc>
        <w:tc>
          <w:tcPr>
            <w:tcW w:w="260" w:type="dxa"/>
            <w:vAlign w:val="bottom"/>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133,337</w:t>
            </w:r>
          </w:p>
        </w:tc>
        <w:tc>
          <w:tcPr>
            <w:tcW w:w="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420,312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660,391</w:t>
            </w:r>
          </w:p>
        </w:tc>
        <w:tc>
          <w:tcPr>
            <w:tcW w:w="40" w:type="dxa"/>
            <w:vAlign w:val="bottom"/>
            <w:shd w:val="clear" w:color="auto" w:fill="CCEEFF"/>
          </w:tcPr>
          <w:p>
            <w:pPr>
              <w:spacing w:after="0"/>
              <w:rPr>
                <w:sz w:val="18"/>
                <w:szCs w:val="18"/>
                <w:color w:val="auto"/>
              </w:rPr>
            </w:pPr>
          </w:p>
        </w:tc>
      </w:tr>
      <w:tr>
        <w:trPr>
          <w:trHeight w:val="223"/>
        </w:trPr>
        <w:tc>
          <w:tcPr>
            <w:tcW w:w="900" w:type="dxa"/>
            <w:vAlign w:val="bottom"/>
          </w:tcPr>
          <w:p>
            <w:pPr>
              <w:spacing w:after="0"/>
              <w:rPr>
                <w:sz w:val="19"/>
                <w:szCs w:val="19"/>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gridSpan w:val="3"/>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45,868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900" w:type="dxa"/>
            <w:vAlign w:val="bottom"/>
          </w:tcPr>
          <w:p>
            <w:pPr>
              <w:spacing w:after="0"/>
              <w:rPr>
                <w:sz w:val="18"/>
                <w:szCs w:val="18"/>
                <w:color w:val="auto"/>
              </w:rPr>
            </w:pPr>
          </w:p>
        </w:tc>
        <w:tc>
          <w:tcPr>
            <w:tcW w:w="5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Current assets held for sale</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516,373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793,728</w:t>
            </w:r>
          </w:p>
        </w:tc>
        <w:tc>
          <w:tcPr>
            <w:tcW w:w="40" w:type="dxa"/>
            <w:vAlign w:val="bottom"/>
            <w:shd w:val="clear" w:color="auto" w:fill="CCEEFF"/>
          </w:tcPr>
          <w:p>
            <w:pPr>
              <w:spacing w:after="0"/>
              <w:rPr>
                <w:sz w:val="18"/>
                <w:szCs w:val="18"/>
                <w:color w:val="auto"/>
              </w:rPr>
            </w:pPr>
          </w:p>
        </w:tc>
      </w:tr>
      <w:tr>
        <w:trPr>
          <w:trHeight w:val="223"/>
        </w:trPr>
        <w:tc>
          <w:tcPr>
            <w:tcW w:w="6820" w:type="dxa"/>
            <w:vAlign w:val="bottom"/>
            <w:gridSpan w:val="2"/>
          </w:tcPr>
          <w:p>
            <w:pPr>
              <w:ind w:left="880"/>
              <w:spacing w:after="0"/>
              <w:rPr>
                <w:sz w:val="20"/>
                <w:szCs w:val="20"/>
                <w:color w:val="auto"/>
              </w:rPr>
            </w:pPr>
            <w:r>
              <w:rPr>
                <w:rFonts w:ascii="Arial" w:cs="Arial" w:eastAsia="Arial" w:hAnsi="Arial"/>
                <w:sz w:val="18"/>
                <w:szCs w:val="18"/>
                <w:color w:val="auto"/>
              </w:rPr>
              <w:t>Long-term 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90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&amp; equipment, net</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19,867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60,539</w:t>
            </w:r>
          </w:p>
        </w:tc>
        <w:tc>
          <w:tcPr>
            <w:tcW w:w="4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718,003</w:t>
            </w:r>
          </w:p>
        </w:tc>
        <w:tc>
          <w:tcPr>
            <w:tcW w:w="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intangible assets</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446,521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817,465</w:t>
            </w:r>
          </w:p>
        </w:tc>
        <w:tc>
          <w:tcPr>
            <w:tcW w:w="40" w:type="dxa"/>
            <w:vAlign w:val="bottom"/>
            <w:shd w:val="clear" w:color="auto" w:fill="CCEEFF"/>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5920" w:type="dxa"/>
            <w:vAlign w:val="bottom"/>
          </w:tcPr>
          <w:p>
            <w:pPr>
              <w:ind w:left="700"/>
              <w:spacing w:after="0"/>
              <w:rPr>
                <w:sz w:val="20"/>
                <w:szCs w:val="20"/>
                <w:color w:val="auto"/>
              </w:rPr>
            </w:pPr>
            <w:r>
              <w:rPr>
                <w:rFonts w:ascii="Arial" w:cs="Arial" w:eastAsia="Arial" w:hAnsi="Arial"/>
                <w:sz w:val="18"/>
                <w:szCs w:val="18"/>
                <w:color w:val="auto"/>
              </w:rPr>
              <w:t>Long-term assets held for sale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466,388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7"/>
              </w:rPr>
              <w:t>1,596,007</w:t>
            </w:r>
          </w:p>
        </w:tc>
        <w:tc>
          <w:tcPr>
            <w:tcW w:w="40" w:type="dxa"/>
            <w:vAlign w:val="bottom"/>
          </w:tcPr>
          <w:p>
            <w:pPr>
              <w:spacing w:after="0"/>
              <w:rPr>
                <w:sz w:val="20"/>
                <w:szCs w:val="20"/>
                <w:color w:val="auto"/>
              </w:rPr>
            </w:pPr>
          </w:p>
        </w:tc>
      </w:tr>
      <w:tr>
        <w:trPr>
          <w:trHeight w:val="216"/>
        </w:trPr>
        <w:tc>
          <w:tcPr>
            <w:tcW w:w="90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50,860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123,379</w:t>
            </w:r>
          </w:p>
        </w:tc>
        <w:tc>
          <w:tcPr>
            <w:tcW w:w="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compensation and other current liabilities</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75,751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119,021</w:t>
            </w:r>
          </w:p>
        </w:tc>
        <w:tc>
          <w:tcPr>
            <w:tcW w:w="40" w:type="dxa"/>
            <w:vAlign w:val="bottom"/>
            <w:shd w:val="clear" w:color="auto" w:fill="CCEEFF"/>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5920" w:type="dxa"/>
            <w:vAlign w:val="bottom"/>
          </w:tcPr>
          <w:p>
            <w:pPr>
              <w:ind w:left="700"/>
              <w:spacing w:after="0"/>
              <w:rPr>
                <w:sz w:val="20"/>
                <w:szCs w:val="20"/>
                <w:color w:val="auto"/>
              </w:rPr>
            </w:pPr>
            <w:r>
              <w:rPr>
                <w:rFonts w:ascii="Arial" w:cs="Arial" w:eastAsia="Arial" w:hAnsi="Arial"/>
                <w:sz w:val="18"/>
                <w:szCs w:val="18"/>
                <w:color w:val="auto"/>
              </w:rPr>
              <w:t>Total current liabilities for sale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126,611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246,400</w:t>
            </w:r>
          </w:p>
        </w:tc>
        <w:tc>
          <w:tcPr>
            <w:tcW w:w="40" w:type="dxa"/>
            <w:vAlign w:val="bottom"/>
          </w:tcPr>
          <w:p>
            <w:pPr>
              <w:spacing w:after="0"/>
              <w:rPr>
                <w:sz w:val="20"/>
                <w:szCs w:val="20"/>
                <w:color w:val="auto"/>
              </w:rPr>
            </w:pPr>
          </w:p>
        </w:tc>
      </w:tr>
      <w:tr>
        <w:trPr>
          <w:trHeight w:val="216"/>
        </w:trPr>
        <w:tc>
          <w:tcPr>
            <w:tcW w:w="90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900" w:type="dxa"/>
            <w:vAlign w:val="bottom"/>
          </w:tcPr>
          <w:p>
            <w:pPr>
              <w:spacing w:after="0"/>
              <w:rPr>
                <w:sz w:val="19"/>
                <w:szCs w:val="19"/>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Other long-term liabilities</w:t>
            </w:r>
          </w:p>
        </w:tc>
        <w:tc>
          <w:tcPr>
            <w:tcW w:w="200" w:type="dxa"/>
            <w:vAlign w:val="bottom"/>
            <w:gridSpan w:val="3"/>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225,392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81,000</w:t>
            </w:r>
          </w:p>
        </w:tc>
        <w:tc>
          <w:tcPr>
            <w:tcW w:w="40" w:type="dxa"/>
            <w:vAlign w:val="bottom"/>
          </w:tcPr>
          <w:p>
            <w:pPr>
              <w:spacing w:after="0"/>
              <w:rPr>
                <w:sz w:val="19"/>
                <w:szCs w:val="19"/>
                <w:color w:val="auto"/>
              </w:rPr>
            </w:pPr>
          </w:p>
        </w:tc>
      </w:tr>
      <w:tr>
        <w:trPr>
          <w:trHeight w:val="216"/>
        </w:trPr>
        <w:tc>
          <w:tcPr>
            <w:tcW w:w="900" w:type="dxa"/>
            <w:vAlign w:val="bottom"/>
          </w:tcPr>
          <w:p>
            <w:pPr>
              <w:spacing w:after="0"/>
              <w:rPr>
                <w:sz w:val="18"/>
                <w:szCs w:val="18"/>
                <w:color w:val="auto"/>
              </w:rPr>
            </w:pPr>
          </w:p>
        </w:tc>
        <w:tc>
          <w:tcPr>
            <w:tcW w:w="5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Long-term liabilities held for sale</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$ 225,392</w:t>
            </w:r>
          </w:p>
        </w:tc>
        <w:tc>
          <w:tcPr>
            <w:tcW w:w="26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81,000</w:t>
            </w:r>
          </w:p>
        </w:tc>
        <w:tc>
          <w:tcPr>
            <w:tcW w:w="40" w:type="dxa"/>
            <w:vAlign w:val="bottom"/>
            <w:shd w:val="clear" w:color="auto" w:fill="CCEEFF"/>
          </w:tcPr>
          <w:p>
            <w:pPr>
              <w:spacing w:after="0"/>
              <w:rPr>
                <w:sz w:val="18"/>
                <w:szCs w:val="18"/>
                <w:color w:val="auto"/>
              </w:rPr>
            </w:pPr>
          </w:p>
        </w:tc>
      </w:tr>
      <w:tr>
        <w:trPr>
          <w:trHeight w:val="439"/>
        </w:trPr>
        <w:tc>
          <w:tcPr>
            <w:tcW w:w="6820" w:type="dxa"/>
            <w:vAlign w:val="bottom"/>
            <w:gridSpan w:val="2"/>
          </w:tcPr>
          <w:p>
            <w:pPr>
              <w:spacing w:after="0"/>
              <w:rPr>
                <w:sz w:val="20"/>
                <w:szCs w:val="20"/>
                <w:color w:val="auto"/>
              </w:rPr>
            </w:pPr>
            <w:r>
              <w:rPr>
                <w:rFonts w:ascii="Arial" w:cs="Arial" w:eastAsia="Arial" w:hAnsi="Arial"/>
                <w:sz w:val="18"/>
                <w:szCs w:val="18"/>
                <w:color w:val="auto"/>
                <w:w w:val="90"/>
              </w:rPr>
              <w:t>The components of the Statement of Operations presented as Discontinued Operations follow.</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9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11"/>
          </w:tcPr>
          <w:p>
            <w:pPr>
              <w:ind w:left="2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90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138"/>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90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$ 735,212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1,450,788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900" w:type="dxa"/>
            <w:vAlign w:val="bottom"/>
          </w:tcPr>
          <w:p>
            <w:pPr>
              <w:spacing w:after="0"/>
              <w:rPr>
                <w:sz w:val="19"/>
                <w:szCs w:val="19"/>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735,212</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9"/>
              </w:rPr>
              <w:t>1,450,788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90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820,098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1,509,306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900" w:type="dxa"/>
            <w:vAlign w:val="bottom"/>
          </w:tcPr>
          <w:p>
            <w:pPr>
              <w:spacing w:after="0"/>
              <w:rPr>
                <w:sz w:val="19"/>
                <w:szCs w:val="19"/>
                <w:color w:val="auto"/>
              </w:rPr>
            </w:pPr>
          </w:p>
        </w:tc>
        <w:tc>
          <w:tcPr>
            <w:tcW w:w="5920" w:type="dxa"/>
            <w:vAlign w:val="bottom"/>
          </w:tcPr>
          <w:p>
            <w:pPr>
              <w:ind w:left="700"/>
              <w:spacing w:after="0"/>
              <w:rPr>
                <w:sz w:val="20"/>
                <w:szCs w:val="20"/>
                <w:color w:val="auto"/>
              </w:rPr>
            </w:pPr>
            <w:r>
              <w:rPr>
                <w:rFonts w:ascii="Arial" w:cs="Arial" w:eastAsia="Arial" w:hAnsi="Arial"/>
                <w:sz w:val="18"/>
                <w:szCs w:val="18"/>
                <w:color w:val="auto"/>
              </w:rPr>
              <w:t>Gross profit 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(84,886)</w:t>
            </w:r>
          </w:p>
        </w:tc>
        <w:tc>
          <w:tcPr>
            <w:tcW w:w="3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(58,518)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90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392"/>
        </w:trPr>
        <w:tc>
          <w:tcPr>
            <w:tcW w:w="9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11"/>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90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gridSpan w:val="3"/>
          </w:tcPr>
          <w:p>
            <w:pPr>
              <w:jc w:val="right"/>
              <w:ind w:right="218"/>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90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2,426,829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2,937,662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218,706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1,630,591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669,175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659,227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592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20" w:type="dxa"/>
            <w:vAlign w:val="bottom"/>
          </w:tcPr>
          <w:p>
            <w:pPr>
              <w:spacing w:after="0"/>
              <w:rPr>
                <w:sz w:val="20"/>
                <w:szCs w:val="20"/>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3,314,710</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5,227,480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900" w:type="dxa"/>
            <w:vAlign w:val="bottom"/>
          </w:tcPr>
          <w:p>
            <w:pPr>
              <w:spacing w:after="0"/>
              <w:rPr>
                <w:sz w:val="18"/>
                <w:szCs w:val="18"/>
                <w:color w:val="auto"/>
              </w:rPr>
            </w:pPr>
          </w:p>
        </w:tc>
        <w:tc>
          <w:tcPr>
            <w:tcW w:w="5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Operating loss</w:t>
            </w:r>
          </w:p>
        </w:tc>
        <w:tc>
          <w:tcPr>
            <w:tcW w:w="120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(3,399,596)</w:t>
            </w:r>
          </w:p>
        </w:tc>
        <w:tc>
          <w:tcPr>
            <w:tcW w:w="120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(5,285,998)</w:t>
            </w:r>
          </w:p>
        </w:tc>
        <w:tc>
          <w:tcPr>
            <w:tcW w:w="4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0" w:type="dxa"/>
            <w:vAlign w:val="bottom"/>
            <w:gridSpan w:val="6"/>
          </w:tcPr>
          <w:p>
            <w:pPr>
              <w:jc w:val="right"/>
              <w:ind w:right="240"/>
              <w:spacing w:after="0"/>
              <w:rPr>
                <w:sz w:val="20"/>
                <w:szCs w:val="20"/>
                <w:color w:val="auto"/>
              </w:rPr>
            </w:pPr>
            <w:r>
              <w:rPr>
                <w:rFonts w:ascii="Arial" w:cs="Arial" w:eastAsia="Arial" w:hAnsi="Arial"/>
                <w:sz w:val="18"/>
                <w:szCs w:val="18"/>
                <w:color w:val="auto"/>
              </w:rPr>
              <w:t>(8,000)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(19,896)</w:t>
            </w:r>
          </w:p>
        </w:tc>
        <w:tc>
          <w:tcPr>
            <w:tcW w:w="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assets</w:t>
            </w:r>
          </w:p>
        </w:tc>
        <w:tc>
          <w:tcPr>
            <w:tcW w:w="120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(185,979)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6820" w:type="dxa"/>
            <w:vAlign w:val="bottom"/>
            <w:gridSpan w:val="2"/>
          </w:tcPr>
          <w:p>
            <w:pPr>
              <w:ind w:left="880"/>
              <w:spacing w:after="0"/>
              <w:rPr>
                <w:sz w:val="20"/>
                <w:szCs w:val="20"/>
                <w:color w:val="auto"/>
              </w:rPr>
            </w:pPr>
            <w:r>
              <w:rPr>
                <w:rFonts w:ascii="Arial" w:cs="Arial" w:eastAsia="Arial" w:hAnsi="Arial"/>
                <w:sz w:val="18"/>
                <w:szCs w:val="18"/>
                <w:color w:val="auto"/>
              </w:rPr>
              <w:t>Net loss from discontinued operations, net of tax effect of $21,700 in 2016</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(3,593,575</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(5,327,594</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r>
      <w:tr>
        <w:trPr>
          <w:trHeight w:val="20"/>
        </w:trPr>
        <w:tc>
          <w:tcPr>
            <w:tcW w:w="9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Stock-based compensation expense of approximately $120,000 and $132,000 was classified in discontinued operations for the years ended December 31, 2017, and 2016, respectively.</w:t>
      </w:r>
    </w:p>
    <w:p>
      <w:pPr>
        <w:spacing w:after="0" w:line="1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640"/>
          </w:cols>
          <w:pgMar w:left="240" w:top="459" w:right="10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(ii) NFI Sale</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On September 2, 2015, the Company established NeoForce, Inc. (“NFI”), a wholly owned subsidiary of the Company and through NFI, acquired substantially all of the assets of an unrelated privately held company NeoForce Group, Inc.(“NeoForce”).</w:t>
      </w:r>
    </w:p>
    <w:p>
      <w:pPr>
        <w:spacing w:after="0" w:line="170"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On July 18, 2017, the Company completed the sale of stock of its 100% wholly-owned subsidiary, NFI, primarily related to the Company’s portfolio of neonatology resuscitation business pursuant to a Stock Purchase Agreement (the “Purchase Agreement”), dated as of July 18, 2017, with NeoForce Holdings, Inc. (“Holdings”), a 100% owned subsidiary of Flexicare Medical Limited, a privately held United Kingdom company, for $720,000 and adjustments for inventory and the current cash balances held at NFI. The Company will also receive the total outstanding accounts receivable and inventory held by NFI at the date of sale, as it is collected or sold, respectively. The transactions contemplated by the Purchase Agreement are a continuation of a process previously disclosed by the Company of evaluating strategic alternatives and focusing on the Company’s rare disease therapeutic business. The Purchase Agreement includes customary terms and conditions, including an adjustment to the purchase price based on inventory and accounts receivables, and provisions that require the Company to indemnify Holdings for certain losses that it incurs as a result of a breach by the Company of its representations and warranties in the Purchase Agreement and certain other matters. Proceeds from the sale are payable to the Company as follows: (1) a $720,000 payment to the Company in cash on July 18, 2017, (2) the value of outstanding accounts receivable as it is collected by NFI following July 18, 2017, payable on a monthly basis, and (3) the value of inventory as it is sold following July 18, 2017, payable on a monthly basis. The Purchase Agreement contains customary representations and warranties of each of the parties.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(iii) CoSense Joint Venture Agreement</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December 2017, the Company entered into a joint venture with OAHL with respect to its CoSense product by agreeing to sell shares of Capnia, its wholly-owned subsidiary, to OAHL. CoSense was Soleno’s first Sensalyze Technology Platform product to receive 510(k) clearances from the FDA and CE Mark certification. CoSense measures CO, which can be elevated due to endogenous causes such as excessive breakdown of red blood cells, or hemolysis, or exogenous causes such as CO poisoning and smoke inhalation. The first target market for CoSense is for the use of ETCO measurements to aid in detection of hemolysis in neonates, a disorder in which CO and bilirubin are produced in excess as byproducts of the breakdown of red blood cells. The Company’s entry into the joint venture results from a comprehensive review of strategic alternatives for its legacy products and product candidates following its transition to a primarily therapeutic drug product company. The terms of the Joint Venture Agreement provide that OAHL will invest up to a total of $2.2 million of Capnia’s common shares on an incremental quarterly basis commencing in December 2017. Going forward, OAHL will be responsible for funding a portion of the Capnia operations. As of December 31, 2017, OAHL had acquired no shares of Capnia. The Company will report for its ownership position in Capnia pursuant to ASC 810.</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 Acquisition of Essentialis Inc.</w:t>
      </w:r>
    </w:p>
    <w:p>
      <w:pPr>
        <w:spacing w:after="0" w:line="121"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On March 7, 2017, the Company acquired Essentialis through the merger of the Company’s wholly-owned subsidiary Company E Merger Sub, Inc., a Delaware corporation (“Merger Sub”), whereby Merger Sub merged into Essentialis, with Essentialis surviving the merger as a wholly owned subsidiary of the Company.</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transaction has been accounted for as an asset acquisition under the acquisition method of accounting. The amendments in ASU 2017-01 provide a screen to determine when a set of assets and activities is not a business. The screen requires that when substantially all of the fair value of the gross assets acquired (or disposed of) is concentrated in a single identifiable asset or a group of similar identifiable assets, the set of assets and activities is not a business.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consideration, the Company issued 3,783,388 shares of common stock to stockholders of Essentialis on March 7, 2017. The Company held back 182,675 shares of common stock as partial recourse to satisfy indemnification claims, and such shares will be issued to Essentialis stockholders on the 1-year anniversary of the closing of the merger. The Company is in-process of distributing the shares for the 1-year anniversary at the time of filing this report. The Company is also obligated to issue an additional 913,389 shares of common stock to Essentialis stockholders upon the achievement of a development milestone. Additionally, upon the achievement of certain commercial milestones associated with the sale of Essentialis’ product in accordance with the terms of the Merger Agreement, the Company is obligated to make cash earnout payments of up to a maximum of $30 million to Essentialis stockholders.</w:t>
      </w:r>
    </w:p>
    <w:p>
      <w:pPr>
        <w:spacing w:after="0" w:line="189"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Since the acquisition was determined to be an asset acquisition, the total value of the purchase consideration will be allocated to the asset acquired. The fair value of the shares issued on the completion of the merger and of the contingent shares to be issued in the future was based on the stock price of the Company on the date of completion of the merger. In addition, the trading history of the Company was reviewed to assess the reliability of the implied consideration value. The Company trades on the NASDAQ, a major U.S. stock exchange, and has significant average daily trading volume with tight intraday bid-ask spreads. These characteristics indicate Soleno’s shares are actively traded and provide a reliable indication of value. On March 7, 2017, the date of the transaction close, the Company’s stock was trading at $3.85 per common share. Additionally, the average closing price of the stock in the 30 calendar days leading up to the close was also approximately $3.85. Accordingly, the fair value of the shares issued on March 7, 2017 and the estimated fair value of the contingent shares to be issued in the future are based on this stock price.</w:t>
      </w:r>
    </w:p>
    <w:p>
      <w:pPr>
        <w:spacing w:after="0" w:line="166"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agreement to pay cash upon the achievement of the commercial milestones result in the recognition of a contingent consideration. The fair value of the contingent cash consideration is based on the Company’s analysis of the likelihood of the drug indication moving from phase II through approval in the Federal Drug Administration approval process and then reaching the cumulative revenue milestones. In determining the likelihood of this occurring, the analysis relied on 2016 research published by BIO, Biomedtraker, &amp; Amplion titles “Clinical Development Success Rates 2006-2015.” Based on management’s assessment, a 56% probability of achieving each milestone was determined to be reasonable. Additionally, the Company anticipates that it could reach the commercial milestones of $100 million and $200 million in applicable revenue in 2023 and 2025, respectively.</w:t>
      </w:r>
    </w:p>
    <w:p>
      <w:pPr>
        <w:spacing w:after="0" w:line="165"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Company recorded the acquisition pursuant to the guidance in ASC 805, which provides that not all of the relevant information needed to complete acquisition-date measurements may be obtainable or known at the time of closing the acquisition and in time for issuance of interim or annual financial statements. Therefore, ASC 805 provides for a “measurement period” during which adjustments to the provisional valuation amounts initially recorded can be made in order to reflect information, existing at the acquisition date, but of which management subsequently obtains or becomes aware. ASC 805 provides that the measurement period can extend for up to, but not exceed, one year.</w:t>
      </w:r>
    </w:p>
    <w:p>
      <w:pPr>
        <w:spacing w:after="0" w:line="173" w:lineRule="exact"/>
        <w:rPr>
          <w:sz w:val="20"/>
          <w:szCs w:val="20"/>
          <w:color w:val="auto"/>
        </w:rPr>
      </w:pPr>
    </w:p>
    <w:p>
      <w:pPr>
        <w:ind w:left="200" w:right="160" w:firstLine="441"/>
        <w:spacing w:after="0" w:line="288" w:lineRule="auto"/>
        <w:rPr>
          <w:sz w:val="20"/>
          <w:szCs w:val="20"/>
          <w:color w:val="auto"/>
        </w:rPr>
      </w:pPr>
      <w:r>
        <w:rPr>
          <w:rFonts w:ascii="Arial" w:cs="Arial" w:eastAsia="Arial" w:hAnsi="Arial"/>
          <w:sz w:val="16"/>
          <w:szCs w:val="16"/>
          <w:color w:val="auto"/>
        </w:rPr>
        <w:t>Management engaged independent professional assistance and advice in order to assess the fair value of the contingent stock and cash consideration as of March 7 and December 31, 2017. During the process of determining the fair value of the contingent consideration at December 31, 2017, the Company became aware that certain of the subjective assumptions made at the time of the initial valuation should be modified based upon management’s increased understanding of the commercial capabilities of the DCCR drug of which it became aware subsequent to the acquisition. Accordingly, the Company determined that it was appropriate to adjust the provisional valuation amounts recorded for the contingent stock and cash consideration made at the inception in March 2017. As a result, the value of the contingent cash consideration to be paid upon completing successive sales milestones increased and the value of the contingent stock consideration payable upon timing milestones was reduced; the resulting combined change to the total contingent consideration was not material. The initial valuation of the contingent consideration determined the fair value of the contingent stock consideration to be $4,220,000 and the fair value of the contingent cash consideration to be $1,090,000, for the combined value of $5,310,000 for the total of the stock and cash contingent consideration. The revision of the initial valuation of</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color w:val="auto"/>
        </w:rPr>
        <w:t>the contingent consideration, made within the measurement period, determined the fair value of the contingent stock consideration to be $2,680,000 and the fair value of the contingent cash consideration to be $2,590,000, for the combined value of $5,270,000 for the total of the contingent stock and cash consideration.</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Also subsequent to March 7, 2017 and prior to reporting the balance sheet and results of operations as of December 31, 2017, and for the year then ended, the Company completed its assessment of the tax effect on the net assets acquired by obtaining the independent study and report regarding the change in control in the previously outstanding stock of Essentialis. As a result of completing the study, the Company determined that, pursuant to Section 382 of the Internal Revenue Code, the utilization of Essentialis’s federal and state operating loss carryforwards were limited, which required the Company to record a net deferred tax liability in the amount of $1,651,000. As a consequence of recording the net deferred tax liability, the Company’s valuation allowance was reduced by $1,651,000, which resulted in the provision for income tax benefit and an increase in the value of the intangible asset acquired.</w:t>
      </w:r>
    </w:p>
    <w:p>
      <w:pPr>
        <w:spacing w:after="0" w:line="189"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Accordingly, the initial purchase cost of the asset acquired was adjusted as of March 2017 and to reflect the change in the fair value of the contingent stock and cash consideration and for the effect of the Section 382 limitation, and the net increase in amortization of the related intangible asset was recorded in the fourth quarter of 2017.</w:t>
      </w:r>
    </w:p>
    <w:p>
      <w:pPr>
        <w:spacing w:after="0" w:line="181"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The probability weighted milestone payments were discounted to determine the present value of future cash payments. The analysis utilized the weighted average cost of capital (WACC) discount rate. The WACC used for the first and second milestones were 30% and 21%, respectively.</w:t>
      </w:r>
    </w:p>
    <w:p>
      <w:pPr>
        <w:spacing w:after="0" w:line="124"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The aggregate purchase price consideration was as follows.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1"/>
                <w:szCs w:val="21"/>
                <w:color w:val="auto"/>
              </w:rPr>
            </w:pPr>
          </w:p>
        </w:tc>
        <w:tc>
          <w:tcPr>
            <w:tcW w:w="6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stock consideration</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17,246,495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Fair value of contingent consideration</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purchase price consideration</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19,836,143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The fair value of the asset acquired is as follows.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1"/>
                <w:szCs w:val="21"/>
                <w:color w:val="auto"/>
              </w:rPr>
            </w:pPr>
          </w:p>
        </w:tc>
        <w:tc>
          <w:tcPr>
            <w:tcW w:w="640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19,836,143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ind w:left="134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19,836,143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As an asset acquisition, the Company also capitalized approximately $573,000 of total costs incurred to complete the acquisition consisting of legal fees of $469,000, printing fees of $75,000 and accounting and other fees of $29,000. Additionally, the Company recorded as part of the purchase price consideration the value equivalent to the deferred tax liability that resulted from acquiring the assets in the amount of approximately $1,651,000. The total intangible asset of $22.0 million was recorded on the balance sheet and is being amortized ratably over the life of the patents through June 30, 2028.</w:t>
      </w:r>
    </w:p>
    <w:p>
      <w:pPr>
        <w:spacing w:after="0" w:line="188"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The acquisition of Essentialis assets was completed in March 2017 and the purchase price was established at the date of closing based upon consideration paid at closing and an estimate of the future contingent consideration to be paid. Subsequent to the acquisition date and prior to reporting the balance sheet and results of operations as of December 31, 2017, and for the year then ended, the Company completed and finalized its assessments of the fair value of consideration paid and of the tax effect on the net assets acquired resulting from the change in control in the previously outstanding stock of Essentialis. As a result of completing the study of the fair value of the consideration paid, the Company revised the initial estimate of the fair value paid at closing and of the future contingent consideration to be paid; accordingly, the initial purchase cost of the asset acquired was adjusted as of March 2017 and the change in amortization of the related intangible asset was recorded in the</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fourth quarter of 2017. As a result of completing the study of the tax effect, the Company determined that, pursuant to Section 382 of the Internal Revenue Code, the utilization of Essentialis’s operating loss carryforwards were limited, which required the Company to record a tax liability in the amount of $1.6 million, deferred to future periods, for the assets acquired for which the cost was recorded as an element of the of assets required. Accordingly, the initial purchase cost of the asset acquired was adjusted as of March 2017 and the increase in amortization of the related intangible asset was recorded in the fourth quarter of 2017.</w:t>
      </w:r>
    </w:p>
    <w:p>
      <w:pPr>
        <w:spacing w:after="0" w:line="188"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fair value of the liability for the contingent consideration payable by the Company achieving the commercial sales milestones of $100 million and $200 million was initially established as approximately $2,590,000 at the time of the merger and approximately $5,082,000 at December 31, 2017, based on the Company’s assessment that it could reach the commercial sales milestones of in 2023 and 2025, respectively.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 Stockholders’ Equity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is authorized to issue 10,000,000 shares of Preferred Stock.</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issued a total of 10,000 Series A Convertible Preferred Stock under the 2015 Sabby Purchase Agreement, with a par value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$0.001 and a stated value of $1,000 per share. The Series A Convertible Preferred Stock did not have an expiration date and were not redeemable at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option of the holders. During the three months ended March 31, 2016 and June 30, 2016 the holders of the Series A Convertible Preferred Stock</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converted 1,665 and 555, respectively, shares of Series A Convertible Preferred Stock resulting in the issuance of 180,000 and 60,000 shares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respectively. Under the 2016 Sabby Purchase Agreement, the remaining 7,780 shares of Series A Convertible Preferred Stock were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repurchased.</w:t>
      </w:r>
    </w:p>
    <w:p>
      <w:pPr>
        <w:spacing w:after="0" w:line="21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 June 2016, the Company entered into the 2016 Sabby Purchase Agreement with Sabby, pursuant to which the Company agreed to sell to Sabby, in a private placement, a total of 13,780 Series B Convertible Preferred Stock, with a par value of $0.001 and a stated value of $1,000 per share.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 In July 2016, the Company issued 13,780 Series B Convertible Preferred Stock shares to Sabby, and during the years ended December 31, 2017 and 2016, the holders of the Series B Convertible Preferred Stock converted 8,209 and 1,000 shares, respectively, of the Series B Convertible Preferred Stock resulting in the issuance of 1,641,800 and 200,000, respectively, shares of Common Stock.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 The Series B Convertible Preferred Stock do not have an expiration date and are not redeemable at the option of the holders. In connection with each close of the Series B Convertible Preferred Stock, the Company was obligated to repurchase the remaining outstanding Series A Convertible Preferred Stock at the original issuance price. In addition, the exercise price of the existing Series D Warrants originally issued in conjunction with the 2015 Sabby Purchase Agreement was reduced from $12.30 to $8.75 per share on the effective date of the 2016 Sabby Purchase Agreement.</w:t>
      </w:r>
    </w:p>
    <w:p>
      <w:pPr>
        <w:spacing w:after="0" w:line="175" w:lineRule="exact"/>
        <w:rPr>
          <w:sz w:val="20"/>
          <w:szCs w:val="20"/>
          <w:color w:val="auto"/>
        </w:rPr>
      </w:pPr>
    </w:p>
    <w:p>
      <w:pPr>
        <w:ind w:left="200" w:right="240" w:firstLine="441"/>
        <w:spacing w:after="0" w:line="254" w:lineRule="auto"/>
        <w:rPr>
          <w:sz w:val="20"/>
          <w:szCs w:val="20"/>
          <w:color w:val="auto"/>
        </w:rPr>
      </w:pPr>
      <w:r>
        <w:rPr>
          <w:rFonts w:ascii="Arial" w:cs="Arial" w:eastAsia="Arial" w:hAnsi="Arial"/>
          <w:sz w:val="18"/>
          <w:szCs w:val="18"/>
          <w:color w:val="auto"/>
        </w:rPr>
        <w:t>In connection with the 2016 Sabby Purchase Agreement, the Company also repurchased an aggregate of 7,780 shares of Series A Convertible Preferred Stock held by Sabby for an aggregate amount of $7,780,000, which shares were originally purchased by Sabby under the 2015 Sabby Purchase Agreement and which shares represent 841,081 shares of Common Stock on an as-converted basis. The sale of the Series B Convertible Preferred Stock occurred in two separate closings. On July 5, 2016, the date of the first closing under the 2016 Sabby Purchase Agreement, the Company received proceeds of approximately $1.3 million, net of $0.1 million in estimated expenses. On September 29, 2016, the date of the second closing under the 2016 Sabby Purchase Agreement, the Company received proceeds of approximately $4.4 million, net of $0.3 million in estimated expenses. After repurchase of the Series A Convertible Preferred Stock and estimated transaction expenses, the Company received approximately $5.6 million of net proceeds.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Company has recognized the repurchase of the Series A Convertible Preferred Stock as an extinguishment of the Series A Convertible Preferred Stock. The Company compared the fair value of the Series B Convertible Preferred Stock immediately after the two close dates under the 2016 Sabby Purchase Agreement to the carrying value of the Series A Convertible Preferred Stock immediately prior to the two close dates under the 2016 Sabby Purchase Agreement. The Company recorded the excess of the aggregate fair value of the Series B Convertible Preferred Stock, $3.4 million, as a loss on extinguishment. In addition, the Company estimated the effect of modifying the exercise price on the existing Series D warrants to be $203,000. The Company therefore recorded a total of $3.7 million extinguishment loss to net loss applicable to common stockholders.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On December 22, 2016, the Company entered into the Merger Agreement and Plan with Essentialis. Consummation of the merger was subject to various closing conditions, including the Company’s consummation of a financing of at least $8 million at, or substantially contemporaneous with, the closing of the merger, which occurred on March 7, 2017 and the receipt of stockholder approval of the merger at a special meeting of stockholders, which the Company received on March 6, 2017.</w:t>
      </w:r>
    </w:p>
    <w:p>
      <w:pPr>
        <w:spacing w:after="0" w:line="187"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On March 7, 2017, the Company completed the merger with Essentialis and issued 3,783,388 shares of common stock to shareholders of Essentialis. The Company held back 182,676 shares of common stock as partial recourse to satisfy indemnification claims, and such shares will be issued to Essentialis stockholders on the 1-year anniversary of the closing of the merger. The Company is also obligated to issue an additional 913,389 shares of common stock to Essentialis stockholders upon the achievement of a development milestone. Assuming that we issue all of the shares of our common stock held back and the development milestone is achieved, we would issue a total of 4,879,453 shares of common stock to Essentialis stockholders. Additionally, upon the achievement of certain commercial milestones associated with the sale of Essentialis’ product in accordance with the terms of the Merger Agreement, we are obligated to make cash earnout payments of up to a maximum of $30 million to Essentialis stockholders. The merger consideration described above will be reduced by any such shares of common stock issuable, or cash earnout payments payable, to Essentialis’ management carve-out plan participants and other service providers of Essentialis, in each case, in accordance with the terms of the Merger Agreement.</w:t>
      </w:r>
    </w:p>
    <w:p>
      <w:pPr>
        <w:spacing w:after="0" w:line="178" w:lineRule="exact"/>
        <w:rPr>
          <w:sz w:val="20"/>
          <w:szCs w:val="20"/>
          <w:color w:val="auto"/>
        </w:rPr>
      </w:pPr>
    </w:p>
    <w:p>
      <w:pPr>
        <w:jc w:val="both"/>
        <w:ind w:left="200" w:right="180" w:firstLine="441"/>
        <w:spacing w:after="0" w:line="257" w:lineRule="auto"/>
        <w:rPr>
          <w:sz w:val="20"/>
          <w:szCs w:val="20"/>
          <w:color w:val="auto"/>
        </w:rPr>
      </w:pPr>
      <w:r>
        <w:rPr>
          <w:rFonts w:ascii="Arial" w:cs="Arial" w:eastAsia="Arial" w:hAnsi="Arial"/>
          <w:sz w:val="18"/>
          <w:szCs w:val="18"/>
          <w:color w:val="auto"/>
        </w:rPr>
        <w:t>On January 27, 2017, the Company entered into the 2017 Aspire Purchase Agreement with Aspire Capital, which provides that, upon the terms and subject to the conditions and limitations set forth therein, Aspire Capital is committed to purchase up to an aggregate of $17.0 million in value of shares of our Common Stock over the 30-month term of the purchase agreement. Further, on the date of the closing of the financing, as defined in the Merger Agreement, the Company shall sell to Aspire Capital, and Aspire Capital shall purchase from the Company an aggregate of $2.0 million of the Company’s common stock.</w:t>
      </w:r>
    </w:p>
    <w:p>
      <w:pPr>
        <w:spacing w:after="0" w:line="188"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In December 2017, the Company entered into a Securities Purchase Agreement, or the Unit Purchase Agreement, with purchasers of the Company’s securities pursuant to which the Company sold and issued 8,141,116 immediately separable units at a price per unit of $1.84 for aggregate gross proceeds of approximately $15,000,000 Each unit consisted of one share of the Company’s common stock and a warrant to purchase 0.74 of a share of the Company’s common stock at an exercise price of $2.00 per share, for an aggregate of 8,141,116 shares of common stock, and corresponding warrants, or the 2017 PIPE Warrants, to purchase 6,024,425 shares of common stock. Soleno refers to the Shares and the Warrant Shares collectively as the Resale Shares. The Company also granted certain registration rights to the investors pursuant to the Unit Purchase Agreement pursuant to which, among other things, the Company prepared and filed a registration statement with the SEC to register for resale the Resale Shares. The registration statement was declared effective in February 2018.</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11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Company has adopted the 1999 Incentive Stock Plan, the 2010 Equity Incentive Plan, and the 2014 Equity Incentive Plan (together, the Plans). The 1999 Incentive Stock Plan expired in 2009, and the 2010 Equity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Incentive Plan has been closed to new issuances. Therefore, the Company may issue options to purchase shares of common stock to employees, directors, and consultants only under the 2014 Equity Incentive Plan. Options granted under the 2014 Plan may be incentive stock options (“ISOs”) or nonqualified stock options (“NSOs”). ISOs may be granted only to Company employees and directors. NSOs may be granted to employees, directors, advisors, and consultants. The Board of Directors has the authority to determine to whom options will be granted, the number of options, the term, and the exercise price.</w:t>
      </w:r>
    </w:p>
    <w:p>
      <w:pPr>
        <w:spacing w:after="0" w:line="188"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Options are to be granted at an exercise price not less than fair value for an ISO or 85% of fair value for an NSO. For individuals holding more than 10% of the voting rights of all classes of stock, the exercise price of an option will not be less than 110% of fair value. The vesting period is normally monthly over a period of 4 years from the vesting date. The contractual term of an option is no longer than five years for ISOs for which the grantee owns greater than 10% of the voting power of all classes of stock and no longer than ten years for all other options.</w:t>
      </w:r>
    </w:p>
    <w:p>
      <w:pPr>
        <w:spacing w:after="0" w:line="17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recognized stock-based compensation expense related to options granted to employees and directors for the fiscal years ended December 31, 2017 and 2016 of $1,000,251 and $871,270, respectively of which $120,220 and $132,038 was recorded in discontinued operations in 2017 and 2016, respectively. The compensation expense is allocated on a departmental basis, based on the classification of the option holder. No income tax benefits have been recognized in the statements of operations for stock-based compensation arrangements as of December 31, 2017 and December 31, 2016.</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 compensation expense was allocated between departments as follows.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4"/>
                <w:szCs w:val="14"/>
                <w:b w:val="1"/>
                <w:bCs w:val="1"/>
                <w:color w:val="auto"/>
                <w:w w:val="90"/>
              </w:rPr>
              <w:t>Year ended</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5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90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93,237</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63,535</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2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786,794</w:t>
            </w:r>
          </w:p>
        </w:tc>
        <w:tc>
          <w:tcPr>
            <w:tcW w:w="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675,697</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880,031</w:t>
            </w:r>
          </w:p>
        </w:tc>
        <w:tc>
          <w:tcPr>
            <w:tcW w:w="8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739,232</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Company granted options to purchase 622,755 and 267,851 of the Company’s common stock in 2017 and 2016. The fair value of each award granted was estimated on the date of grant using the Black-Scholes option pricing model with the following assumptions.</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5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42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December 31,</w:t>
            </w:r>
          </w:p>
        </w:tc>
        <w:tc>
          <w:tcPr>
            <w:tcW w:w="110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3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5.5-6.08</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5.5-6.08</w:t>
            </w:r>
          </w:p>
        </w:tc>
        <w:tc>
          <w:tcPr>
            <w:tcW w:w="0" w:type="dxa"/>
            <w:vAlign w:val="bottom"/>
          </w:tcPr>
          <w:p>
            <w:pPr>
              <w:spacing w:after="0"/>
              <w:rPr>
                <w:sz w:val="1"/>
                <w:szCs w:val="1"/>
                <w:color w:val="auto"/>
              </w:rPr>
            </w:pPr>
          </w:p>
        </w:tc>
      </w:tr>
      <w:tr>
        <w:trPr>
          <w:trHeight w:val="324"/>
        </w:trPr>
        <w:tc>
          <w:tcPr>
            <w:tcW w:w="58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1.9%-2.2%</w:t>
            </w:r>
          </w:p>
        </w:tc>
        <w:tc>
          <w:tcPr>
            <w:tcW w:w="3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1.3%-1.7%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61%-69%</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65%-73%</w:t>
            </w:r>
          </w:p>
        </w:tc>
        <w:tc>
          <w:tcPr>
            <w:tcW w:w="0" w:type="dxa"/>
            <w:vAlign w:val="bottom"/>
          </w:tcPr>
          <w:p>
            <w:pPr>
              <w:spacing w:after="0"/>
              <w:rPr>
                <w:sz w:val="1"/>
                <w:szCs w:val="1"/>
                <w:color w:val="auto"/>
              </w:rPr>
            </w:pPr>
          </w:p>
        </w:tc>
      </w:tr>
      <w:tr>
        <w:trPr>
          <w:trHeight w:val="324"/>
        </w:trPr>
        <w:tc>
          <w:tcPr>
            <w:tcW w:w="5860" w:type="dxa"/>
            <w:vAlign w:val="bottom"/>
            <w:gridSpan w:val="2"/>
          </w:tcPr>
          <w:p>
            <w:pPr>
              <w:spacing w:after="0"/>
              <w:rPr>
                <w:sz w:val="20"/>
                <w:szCs w:val="20"/>
                <w:color w:val="auto"/>
              </w:rPr>
            </w:pPr>
            <w:r>
              <w:rPr>
                <w:rFonts w:ascii="Arial" w:cs="Arial" w:eastAsia="Arial" w:hAnsi="Arial"/>
                <w:sz w:val="18"/>
                <w:szCs w:val="18"/>
                <w:color w:val="auto"/>
              </w:rPr>
              <w:t>Dividend rate</w:t>
            </w: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rPr>
              <w:t>— %</w:t>
            </w:r>
          </w:p>
        </w:tc>
        <w:tc>
          <w:tcPr>
            <w:tcW w:w="1100" w:type="dxa"/>
            <w:vAlign w:val="bottom"/>
          </w:tcPr>
          <w:p>
            <w:pPr>
              <w:jc w:val="cente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These assumptions include:</w:t>
      </w:r>
    </w:p>
    <w:p>
      <w:pPr>
        <w:spacing w:after="0" w:line="76" w:lineRule="exact"/>
        <w:rPr>
          <w:sz w:val="20"/>
          <w:szCs w:val="20"/>
          <w:color w:val="auto"/>
        </w:rPr>
      </w:pPr>
    </w:p>
    <w:p>
      <w:pPr>
        <w:ind w:left="1060" w:right="540" w:hanging="316"/>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estimated volatility rate based on a peer index of common stock of comparable companies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w:t>
      </w:r>
    </w:p>
    <w:p>
      <w:pPr>
        <w:spacing w:after="0" w:line="75" w:lineRule="exact"/>
        <w:rPr>
          <w:rFonts w:ascii="Arial" w:cs="Arial" w:eastAsia="Arial" w:hAnsi="Arial"/>
          <w:sz w:val="18"/>
          <w:szCs w:val="18"/>
          <w:color w:val="auto"/>
        </w:rPr>
      </w:pPr>
    </w:p>
    <w:p>
      <w:pPr>
        <w:ind w:left="1060" w:right="80" w:hanging="316"/>
        <w:spacing w:after="0" w:line="259"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life of stock options represents the average of the contractual term of the options and the weighted-average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period, as permitted under the simplified method. The Company has elected to use the simplified method, as the Company does not have enough historical exercise experience to provide a reasonable basis upon which to estimate the expected term and the stock option grants are considered “plain vanilla” options.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80"/>
          </w:cols>
          <w:pgMar w:left="24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20" w:hanging="316"/>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yields of U.S. Treasury securities with maturities similar to the expected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w:t>
      </w:r>
    </w:p>
    <w:p>
      <w:pPr>
        <w:spacing w:after="0" w:line="75"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stock option transactions for the years ended December 31, 2017 and 2016 as issued under the Plans.</w:t>
      </w:r>
    </w:p>
    <w:p>
      <w:pPr>
        <w:spacing w:after="0" w:line="24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320" w:type="dxa"/>
            <w:vAlign w:val="bottom"/>
            <w:gridSpan w:val="2"/>
          </w:tcPr>
          <w:p>
            <w:pPr>
              <w:jc w:val="right"/>
              <w:ind w:right="720"/>
              <w:spacing w:after="0" w:line="158" w:lineRule="exact"/>
              <w:rPr>
                <w:sz w:val="20"/>
                <w:szCs w:val="20"/>
                <w:color w:val="auto"/>
              </w:rPr>
            </w:pPr>
            <w:r>
              <w:rPr>
                <w:rFonts w:ascii="Arial" w:cs="Arial" w:eastAsia="Arial" w:hAnsi="Arial"/>
                <w:sz w:val="14"/>
                <w:szCs w:val="14"/>
                <w:b w:val="1"/>
                <w:bCs w:val="1"/>
                <w:color w:val="auto"/>
              </w:rPr>
              <w:t>Shares</w:t>
            </w:r>
          </w:p>
        </w:tc>
        <w:tc>
          <w:tcPr>
            <w:tcW w:w="10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31"/>
              <w:spacing w:after="0" w:line="158" w:lineRule="exact"/>
              <w:rPr>
                <w:sz w:val="20"/>
                <w:szCs w:val="20"/>
                <w:color w:val="auto"/>
              </w:rPr>
            </w:pPr>
            <w:r>
              <w:rPr>
                <w:rFonts w:ascii="Arial" w:cs="Arial" w:eastAsia="Arial" w:hAnsi="Arial"/>
                <w:sz w:val="14"/>
                <w:szCs w:val="14"/>
                <w:b w:val="1"/>
                <w:bCs w:val="1"/>
                <w:color w:val="auto"/>
              </w:rPr>
              <w:t>Weighted-</w:t>
            </w:r>
          </w:p>
        </w:tc>
        <w:tc>
          <w:tcPr>
            <w:tcW w:w="1300" w:type="dxa"/>
            <w:vAlign w:val="bottom"/>
            <w:gridSpan w:val="3"/>
          </w:tcPr>
          <w:p>
            <w:pPr>
              <w:jc w:val="center"/>
              <w:ind w:left="354"/>
              <w:spacing w:after="0" w:line="158"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320" w:type="dxa"/>
            <w:vAlign w:val="bottom"/>
            <w:gridSpan w:val="2"/>
          </w:tcPr>
          <w:p>
            <w:pPr>
              <w:jc w:val="right"/>
              <w:ind w:right="640"/>
              <w:spacing w:after="0" w:line="153" w:lineRule="exact"/>
              <w:rPr>
                <w:sz w:val="20"/>
                <w:szCs w:val="20"/>
                <w:color w:val="auto"/>
              </w:rPr>
            </w:pPr>
            <w:r>
              <w:rPr>
                <w:rFonts w:ascii="Arial" w:cs="Arial" w:eastAsia="Arial" w:hAnsi="Arial"/>
                <w:sz w:val="14"/>
                <w:szCs w:val="14"/>
                <w:b w:val="1"/>
                <w:bCs w:val="1"/>
                <w:color w:val="auto"/>
              </w:rPr>
              <w:t>Available</w:t>
            </w: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3"/>
                <w:szCs w:val="13"/>
                <w:color w:val="auto"/>
              </w:rPr>
            </w:pPr>
          </w:p>
        </w:tc>
        <w:tc>
          <w:tcPr>
            <w:tcW w:w="10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w w:val="89"/>
              </w:rPr>
              <w:t>Average Exercise</w:t>
            </w:r>
          </w:p>
        </w:tc>
        <w:tc>
          <w:tcPr>
            <w:tcW w:w="500" w:type="dxa"/>
            <w:vAlign w:val="bottom"/>
          </w:tcPr>
          <w:p>
            <w:pPr>
              <w:spacing w:after="0"/>
              <w:rPr>
                <w:sz w:val="13"/>
                <w:szCs w:val="13"/>
                <w:color w:val="auto"/>
              </w:rPr>
            </w:pPr>
          </w:p>
        </w:tc>
        <w:tc>
          <w:tcPr>
            <w:tcW w:w="80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for Grant</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Price per Share</w:t>
            </w:r>
          </w:p>
        </w:tc>
        <w:tc>
          <w:tcPr>
            <w:tcW w:w="50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371,768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ind w:left="316"/>
              <w:spacing w:after="0"/>
              <w:rPr>
                <w:sz w:val="20"/>
                <w:szCs w:val="20"/>
                <w:color w:val="auto"/>
              </w:rPr>
            </w:pPr>
            <w:r>
              <w:rPr>
                <w:rFonts w:ascii="Arial" w:cs="Arial" w:eastAsia="Arial" w:hAnsi="Arial"/>
                <w:sz w:val="18"/>
                <w:szCs w:val="18"/>
                <w:color w:val="auto"/>
                <w:w w:val="91"/>
              </w:rPr>
              <w:t>8.75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Additional shares authorized</w:t>
            </w:r>
          </w:p>
        </w:tc>
        <w:tc>
          <w:tcPr>
            <w:tcW w:w="780" w:type="dxa"/>
            <w:vAlign w:val="bottom"/>
          </w:tcPr>
          <w:p>
            <w:pPr>
              <w:jc w:val="right"/>
              <w:spacing w:after="0"/>
              <w:rPr>
                <w:sz w:val="20"/>
                <w:szCs w:val="20"/>
                <w:color w:val="auto"/>
              </w:rPr>
            </w:pPr>
            <w:r>
              <w:rPr>
                <w:rFonts w:ascii="Arial" w:cs="Arial" w:eastAsia="Arial" w:hAnsi="Arial"/>
                <w:sz w:val="18"/>
                <w:szCs w:val="18"/>
                <w:color w:val="auto"/>
              </w:rPr>
              <w:t>112,143</w:t>
            </w:r>
          </w:p>
        </w:tc>
        <w:tc>
          <w:tcPr>
            <w:tcW w:w="5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Amendment to plan to authorize additional shares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Options granted</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(267,851)</w:t>
            </w:r>
          </w:p>
        </w:tc>
        <w:tc>
          <w:tcPr>
            <w:tcW w:w="780" w:type="dxa"/>
            <w:vAlign w:val="bottom"/>
          </w:tcPr>
          <w:p>
            <w:pPr>
              <w:jc w:val="right"/>
              <w:spacing w:after="0"/>
              <w:rPr>
                <w:sz w:val="20"/>
                <w:szCs w:val="20"/>
                <w:color w:val="auto"/>
              </w:rPr>
            </w:pPr>
            <w:r>
              <w:rPr>
                <w:rFonts w:ascii="Arial" w:cs="Arial" w:eastAsia="Arial" w:hAnsi="Arial"/>
                <w:sz w:val="18"/>
                <w:szCs w:val="18"/>
                <w:color w:val="auto"/>
              </w:rPr>
              <w:t>267,851</w:t>
            </w:r>
          </w:p>
        </w:tc>
        <w:tc>
          <w:tcPr>
            <w:tcW w:w="28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6.80</w:t>
            </w:r>
          </w:p>
        </w:tc>
        <w:tc>
          <w:tcPr>
            <w:tcW w:w="500" w:type="dxa"/>
            <w:vAlign w:val="bottom"/>
          </w:tcPr>
          <w:p>
            <w:pPr>
              <w:spacing w:after="0"/>
              <w:rPr>
                <w:sz w:val="18"/>
                <w:szCs w:val="18"/>
                <w:color w:val="auto"/>
              </w:rPr>
            </w:pPr>
          </w:p>
        </w:tc>
        <w:tc>
          <w:tcPr>
            <w:tcW w:w="800" w:type="dxa"/>
            <w:vAlign w:val="bottom"/>
            <w:gridSpan w:val="2"/>
          </w:tcPr>
          <w:p>
            <w:pPr>
              <w:jc w:val="center"/>
              <w:ind w:left="2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(11,683)</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Options canceled/forfeited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46,249</w:t>
            </w:r>
          </w:p>
        </w:tc>
        <w:tc>
          <w:tcPr>
            <w:tcW w:w="5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(46,249)</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15.45</w:t>
            </w:r>
          </w:p>
        </w:tc>
        <w:tc>
          <w:tcPr>
            <w:tcW w:w="500" w:type="dxa"/>
            <w:vAlign w:val="bottom"/>
          </w:tcPr>
          <w:p>
            <w:pPr>
              <w:spacing w:after="0"/>
              <w:rPr>
                <w:sz w:val="18"/>
                <w:szCs w:val="18"/>
                <w:color w:val="auto"/>
              </w:rPr>
            </w:pPr>
          </w:p>
        </w:tc>
        <w:tc>
          <w:tcPr>
            <w:tcW w:w="800" w:type="dxa"/>
            <w:vAlign w:val="bottom"/>
            <w:gridSpan w:val="2"/>
          </w:tcPr>
          <w:p>
            <w:pPr>
              <w:jc w:val="center"/>
              <w:ind w:left="2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191,770</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581,687</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260" w:type="dxa"/>
            <w:vAlign w:val="bottom"/>
            <w:gridSpan w:val="2"/>
            <w:shd w:val="clear" w:color="auto" w:fill="CCEEFF"/>
          </w:tcPr>
          <w:p>
            <w:pPr>
              <w:jc w:val="center"/>
              <w:ind w:left="814"/>
              <w:spacing w:after="0"/>
              <w:rPr>
                <w:sz w:val="20"/>
                <w:szCs w:val="20"/>
                <w:color w:val="auto"/>
              </w:rPr>
            </w:pPr>
            <w:r>
              <w:rPr>
                <w:rFonts w:ascii="Arial" w:cs="Arial" w:eastAsia="Arial" w:hAnsi="Arial"/>
                <w:sz w:val="18"/>
                <w:szCs w:val="18"/>
                <w:color w:val="auto"/>
                <w:w w:val="91"/>
              </w:rPr>
              <w:t>8.48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Additional shares authorized</w:t>
            </w:r>
          </w:p>
        </w:tc>
        <w:tc>
          <w:tcPr>
            <w:tcW w:w="780" w:type="dxa"/>
            <w:vAlign w:val="bottom"/>
          </w:tcPr>
          <w:p>
            <w:pPr>
              <w:jc w:val="right"/>
              <w:spacing w:after="0"/>
              <w:rPr>
                <w:sz w:val="20"/>
                <w:szCs w:val="20"/>
                <w:color w:val="auto"/>
              </w:rPr>
            </w:pPr>
            <w:r>
              <w:rPr>
                <w:rFonts w:ascii="Arial" w:cs="Arial" w:eastAsia="Arial" w:hAnsi="Arial"/>
                <w:sz w:val="18"/>
                <w:szCs w:val="18"/>
                <w:color w:val="auto"/>
              </w:rPr>
              <w:t>134,295</w:t>
            </w:r>
          </w:p>
        </w:tc>
        <w:tc>
          <w:tcPr>
            <w:tcW w:w="5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0" w:type="dxa"/>
            <w:vAlign w:val="bottom"/>
            <w:gridSpan w:val="2"/>
          </w:tcPr>
          <w:p>
            <w:pPr>
              <w:jc w:val="center"/>
              <w:ind w:left="2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Amendment to plan to authorize additional shares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1,785,837</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Options granted</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(622,755)</w:t>
            </w:r>
          </w:p>
        </w:tc>
        <w:tc>
          <w:tcPr>
            <w:tcW w:w="780" w:type="dxa"/>
            <w:vAlign w:val="bottom"/>
          </w:tcPr>
          <w:p>
            <w:pPr>
              <w:jc w:val="right"/>
              <w:spacing w:after="0"/>
              <w:rPr>
                <w:sz w:val="20"/>
                <w:szCs w:val="20"/>
                <w:color w:val="auto"/>
              </w:rPr>
            </w:pPr>
            <w:r>
              <w:rPr>
                <w:rFonts w:ascii="Arial" w:cs="Arial" w:eastAsia="Arial" w:hAnsi="Arial"/>
                <w:sz w:val="18"/>
                <w:szCs w:val="18"/>
                <w:color w:val="auto"/>
              </w:rPr>
              <w:t>622,755</w:t>
            </w:r>
          </w:p>
        </w:tc>
        <w:tc>
          <w:tcPr>
            <w:tcW w:w="28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3.04</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Options canceled/forfeited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177,455</w:t>
            </w:r>
          </w:p>
        </w:tc>
        <w:tc>
          <w:tcPr>
            <w:tcW w:w="5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(177,455)</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8.84</w:t>
            </w:r>
          </w:p>
        </w:tc>
        <w:tc>
          <w:tcPr>
            <w:tcW w:w="500" w:type="dxa"/>
            <w:vAlign w:val="bottom"/>
          </w:tcPr>
          <w:p>
            <w:pPr>
              <w:spacing w:after="0"/>
              <w:rPr>
                <w:sz w:val="18"/>
                <w:szCs w:val="18"/>
                <w:color w:val="auto"/>
              </w:rPr>
            </w:pPr>
          </w:p>
        </w:tc>
        <w:tc>
          <w:tcPr>
            <w:tcW w:w="800" w:type="dxa"/>
            <w:vAlign w:val="bottom"/>
            <w:gridSpan w:val="2"/>
          </w:tcPr>
          <w:p>
            <w:pPr>
              <w:jc w:val="center"/>
              <w:ind w:left="2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1,666,602</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1,026,987</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Options vested at December 31, 2017</w:t>
            </w: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554,763</w:t>
            </w:r>
          </w:p>
        </w:tc>
        <w:tc>
          <w:tcPr>
            <w:tcW w:w="280" w:type="dxa"/>
            <w:vAlign w:val="bottom"/>
          </w:tcPr>
          <w:p>
            <w:pPr>
              <w:spacing w:after="0" w:line="20" w:lineRule="exact"/>
              <w:rPr>
                <w:sz w:val="1"/>
                <w:szCs w:val="1"/>
                <w:color w:val="auto"/>
              </w:rPr>
            </w:pPr>
          </w:p>
        </w:tc>
        <w:tc>
          <w:tcPr>
            <w:tcW w:w="3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13.87</w:t>
            </w:r>
          </w:p>
        </w:tc>
        <w:tc>
          <w:tcPr>
            <w:tcW w:w="1260" w:type="dxa"/>
            <w:vAlign w:val="bottom"/>
            <w:gridSpan w:val="2"/>
            <w:vMerge w:val="restart"/>
          </w:tcPr>
          <w:p>
            <w:pPr>
              <w:jc w:val="center"/>
              <w:ind w:left="814"/>
              <w:spacing w:after="0"/>
              <w:rPr>
                <w:sz w:val="20"/>
                <w:szCs w:val="20"/>
                <w:color w:val="auto"/>
              </w:rPr>
            </w:pPr>
            <w:r>
              <w:rPr>
                <w:rFonts w:ascii="Arial" w:cs="Arial" w:eastAsia="Arial" w:hAnsi="Arial"/>
                <w:sz w:val="18"/>
                <w:szCs w:val="18"/>
                <w:color w:val="auto"/>
                <w:w w:val="91"/>
              </w:rPr>
              <w:t>7.03</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expected to vest at December 31, 2017</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1,026,987</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260" w:type="dxa"/>
            <w:vAlign w:val="bottom"/>
            <w:gridSpan w:val="2"/>
            <w:shd w:val="clear" w:color="auto" w:fill="CCEEFF"/>
          </w:tcPr>
          <w:p>
            <w:pPr>
              <w:jc w:val="center"/>
              <w:ind w:left="814"/>
              <w:spacing w:after="0"/>
              <w:rPr>
                <w:sz w:val="20"/>
                <w:szCs w:val="20"/>
                <w:color w:val="auto"/>
              </w:rPr>
            </w:pPr>
            <w:r>
              <w:rPr>
                <w:rFonts w:ascii="Arial" w:cs="Arial" w:eastAsia="Arial" w:hAnsi="Arial"/>
                <w:sz w:val="18"/>
                <w:szCs w:val="18"/>
                <w:color w:val="auto"/>
                <w:w w:val="91"/>
              </w:rPr>
              <w:t>7.94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 weighted-average grant date fair value of employee options granted was $1.88 and $4.05 per share for the year ended December 31, 2017 and December 31, 2016, respectively. At December 31, 2017 total unrecognized employee stock-based compensation was $1.2 million, which is expected to be recognized over the weighted-average remaining vesting period of 2.6 years. As of December 31, 2017, the outstanding stock options had an intrinsic value of zero.</w:t>
      </w:r>
    </w:p>
    <w:p>
      <w:pPr>
        <w:spacing w:after="0" w:line="187" w:lineRule="exact"/>
        <w:rPr>
          <w:sz w:val="20"/>
          <w:szCs w:val="20"/>
          <w:color w:val="auto"/>
        </w:rPr>
      </w:pPr>
    </w:p>
    <w:p>
      <w:pPr>
        <w:jc w:val="both"/>
        <w:ind w:left="200" w:right="620" w:firstLine="441"/>
        <w:spacing w:after="0" w:line="286" w:lineRule="auto"/>
        <w:rPr>
          <w:sz w:val="20"/>
          <w:szCs w:val="20"/>
          <w:color w:val="auto"/>
        </w:rPr>
      </w:pPr>
      <w:r>
        <w:rPr>
          <w:rFonts w:ascii="Arial" w:cs="Arial" w:eastAsia="Arial" w:hAnsi="Arial"/>
          <w:sz w:val="17"/>
          <w:szCs w:val="17"/>
          <w:color w:val="auto"/>
        </w:rPr>
        <w:t>The fair value of an equity award granted to a non-employee generally is determined in the same manner as an equity award granted to an employee. In most cases, the fair value of the equity securities granted is more reliably determinable than the fair value of the goods or services received. Stock-based compensation related to its grant of options to non-employees has not been material to date.</w:t>
      </w:r>
    </w:p>
    <w:p>
      <w:pPr>
        <w:spacing w:after="0" w:line="166"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In June 2016, the Company granted 11,000 NSOs to sales representatives of Bemes, Inc. Of the 11,000 options granted, 5,499 options with a fair value of $26,355 vested immediately upon grant. Accelerated vesting of the remaining options were contingent on the satisfaction of certain performance requirements, that were not met. Regardless of not achieving accelerated vesting, the remaining options have a one-year cliff vesting. As a result, the Company recognized $13,502 in expense for the remaining options during 2016, which vested during the first quarter of 2017. Total expense for the two groups of options reflects the fair value of the Company’s common stock on the applicable vesting commencement dates.</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Soleno’s board of directors and stockholders have adopted the 2014 Employee Stock Purchase Plan, or the ESPP. The ESPP has become effective, and the board of directors will implement commencement of offers thereunder in its discretion. A total of 27,967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94" w:lineRule="exact"/>
        <w:rPr>
          <w:sz w:val="20"/>
          <w:szCs w:val="20"/>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1.0% of the outstanding shares of the Company’s Common Stock on the first day of such year; 55,936 shares;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amount as determined by the board of directors.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there were no purchases by employees under this plan.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D Warrants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Company issued 256,064 Series D Warrants in October 2015, with an exercise price of $12.30 and a term of five years expiring on October 15, 2020. The Company’s Series D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 to cause or maintain the effectiveness of a registration statement for the offer and sale of these securities. The Series D Warrant agreement further provides for the payment of liquidated damages at an amount per month equal to 1% of the aggregate VWAP of the shares into which each Series D Warrant is convertible into in the event that the Company is unable to maintain the effectiveness of a registration statement as described herein. The Company evaluated the registration payment arrangement stipulated in the terms of this securities agreement and determined that it is probable that the Company will maintain an effective registration statement and has therefore not allocated any portion of the proceeds to the registration payment arrangement. The Series D Warrant agreement specifically provides that under no circumstances will the Company be required to settle any Series D Warrant exercise for cash, whether by net settlement or otherwise.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 xml:space="preserve">The Company accounts for the Series D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 indicated above, the Company is not required under any circumstance to settle any Series D Warrant exercise for cash. The Company has therefore classified the value of the Series D Warrants as permanent equity.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Common Stock Warrants</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As of December 31, 2017 and 2016, the Company had 96,029 Common Stock warrants outstanding from the 2010/2012 convertible notes, with an exercise price of $24.35 and a term of 10 years expiring in November 2024. The Company also has outstanding 1,851 Common Stock warrants issued in 2009, with an exercise price of $108.00 and a term of 10 years, expiring in January 2019 and 16,500 Common Stock warrants issued to the underwriter in the Company’s IPO, with an exercise price of $35.70 and a term of 10 years, expiring in November 2024.</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geographical distribution of loss before income taxes are summarized below.</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1"/>
              </w:rPr>
              <w:t>$ (13,706,889)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0"/>
              </w:rPr>
              <w:t>$ (6,501,997)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Foreign</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(17,429)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3"/>
              </w:rPr>
              <w:t>(235,623)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0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$ 13,724,318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(6,737,620)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ind w:left="880"/>
              <w:spacing w:after="0"/>
              <w:rPr>
                <w:sz w:val="20"/>
                <w:szCs w:val="20"/>
                <w:color w:val="auto"/>
              </w:rPr>
            </w:pPr>
            <w:r>
              <w:rPr>
                <w:rFonts w:ascii="Arial" w:cs="Arial" w:eastAsia="Arial" w:hAnsi="Arial"/>
                <w:sz w:val="18"/>
                <w:szCs w:val="18"/>
                <w:color w:val="auto"/>
              </w:rPr>
              <w:t>Loss resulting from discontinued operations</w:t>
            </w: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 (3,593,575</w:t>
            </w: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8"/>
                <w:szCs w:val="18"/>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(5,305,894</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Taxes allocated to discontinued operations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The components of the provision for income tax benefit follows.</w:t>
            </w: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6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Federal</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Foreign</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Deferred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1"/>
              </w:rPr>
              <w:t>(1,578,355)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State</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(72,912)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(1,651,267</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for income tax benefit</w:t>
            </w:r>
          </w:p>
        </w:tc>
        <w:tc>
          <w:tcPr>
            <w:tcW w:w="232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(1,650,467)</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provision for income tax benefit results from accounting for the acquired assets and liabilities of Essentialis resulting in a portion of the Company’s valuation allowance in the amount of $1.6 million being released.</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provision for income tax benefit differs from the amount estimated by applying the statutory federal income tax rate to the operating loss from continuing operations due to the following.</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2"/>
              </w:rPr>
              <w:t>Tax on the loss before income tax expense computed at the federal statutory</w:t>
            </w:r>
          </w:p>
        </w:tc>
        <w:tc>
          <w:tcPr>
            <w:tcW w:w="2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 of 34%</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(4,666,395)</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$(2,290,862)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State tax (benefit) at statutory rate, net of federal benefit</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(67,321)</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(136,982)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Tax reform</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10,613,026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2,614</w:t>
            </w: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35,343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(8,484,728)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2,355,170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Change in research and development credits</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(121,382)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(129,974)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Compensation—ISO</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294,913</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Change in fair value of warrants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343,179</w:t>
            </w:r>
          </w:p>
        </w:tc>
        <w:tc>
          <w:tcPr>
            <w:tcW w:w="28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(619,067)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203,197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Loss on sale of NFI</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(677,132)</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909,562</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511,866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Provision for income tax benefit</w:t>
            </w:r>
          </w:p>
        </w:tc>
        <w:tc>
          <w:tcPr>
            <w:tcW w:w="2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(1,650,467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jc w:val="right"/>
              <w:ind w:right="1310"/>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7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at December 31, 2017 and 2016.</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Non-Current 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Reserves and accruals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144,876</w:t>
            </w:r>
          </w:p>
        </w:tc>
        <w:tc>
          <w:tcPr>
            <w:tcW w:w="4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159,163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25,485,703</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30,291,080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credit carryforwards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1,807,163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1,580,253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Capital loss carryover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459,201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compensation—NSO</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700"/>
              <w:spacing w:after="0"/>
              <w:rPr>
                <w:sz w:val="20"/>
                <w:szCs w:val="20"/>
                <w:color w:val="auto"/>
              </w:rPr>
            </w:pPr>
            <w:r>
              <w:rPr>
                <w:rFonts w:ascii="Arial" w:cs="Arial" w:eastAsia="Arial" w:hAnsi="Arial"/>
                <w:sz w:val="18"/>
                <w:szCs w:val="18"/>
                <w:color w:val="auto"/>
              </w:rPr>
              <w:t>Gross non-current deferred tax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27,949,904</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32,094,036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(4,414,340)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(74,376)</w:t>
            </w: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(2,397)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(1,764)</w:t>
            </w: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non-current 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(4,416,737)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(76,141)</w:t>
            </w: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23,533,167</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32,017,896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(23,533,167)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(32,017,895)</w:t>
            </w: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The Company has recorded a full valuation allowance against its net deferred tax assets due to the uncertainty as to whether such assets will be realized. The valuation allowance increased by $8,484,728 from December 31, 2016 to December 31, 2017 primarily due to the generation of current year net operating losses and research and development credits claimed.</w:t>
      </w:r>
    </w:p>
    <w:p>
      <w:pPr>
        <w:spacing w:after="0" w:line="18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As of December 31, 2017, the Company had $104.5 million of federal, $50.0 million of state and $253,000 of foreign net operating losses available to offset future taxable income. The federal net operating loss carryforwards begins to expire in 2019, the state net operating loss carryforwards will begin to expire in 2017 and the foreign net operating loss carryforward can be carried forward indefinitely, if not utilized. As of December 31, 2017, the Company also had $1.6 million of federal and $1.3 million of state research and development credit carryforwards. The federal research and development credit carryforward begins to expire in 2024 and the state research and development credit can be carried forward indefinitely.</w:t>
      </w:r>
    </w:p>
    <w:p>
      <w:pPr>
        <w:spacing w:after="0" w:line="158"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Utilization of the net operating loss and tax credit carry forwards are subject to an annual limitation due to the ownership percentage change limitations provided by the Internal Revenue Code of 1986 and similar state provisions. The annual limitation may result in the expiration of the net operating loss before utilization. The Company completed Section 382 analysis through December 2016 and determined that an ownership change, as defined under Section 382 of the Internal Revenue Code, occurred in June 2016. The Company’s tax attributes are subject to an annual limitation of approximately $0.5 million per year for federal purposes.</w:t>
      </w:r>
    </w:p>
    <w:p>
      <w:pPr>
        <w:spacing w:after="0" w:line="18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United States taxes and foreign withholding taxes have not been provided on undistributed earnings for certain non-United States subsidiaries as of December 31, 2017, as the earnings, if any, are intended to be indefinitely reinvested.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summarize the activities of gross unrecognized tax benefits.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5"/>
          </w:tcPr>
          <w:p>
            <w:pPr>
              <w:ind w:left="5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$794,962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$691,697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Decreases related to prior year tax positions</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(4,459)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35,804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Increase related to current year tax positions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63,002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67,461</w:t>
            </w:r>
          </w:p>
        </w:tc>
        <w:tc>
          <w:tcPr>
            <w:tcW w:w="40" w:type="dxa"/>
            <w:vAlign w:val="bottom"/>
            <w:shd w:val="clear" w:color="auto" w:fill="CCEEFF"/>
          </w:tcPr>
          <w:p>
            <w:pPr>
              <w:spacing w:after="0"/>
              <w:rPr>
                <w:sz w:val="18"/>
                <w:szCs w:val="18"/>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853,504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794,962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There were no unrecognized tax benefits that would impact the effective tax rate as of December 31, 2017 and December 31, 2016. As of December 31, 2017, unrecognized tax benefits of $853,504 would be offset by a change in valuation allowance.</w:t>
      </w:r>
    </w:p>
    <w:p>
      <w:pPr>
        <w:spacing w:after="0" w:line="170"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The Company files income tax returns in the U.S. federal jurisdiction, certain state jurisdictions and United Kingdom. In the normal course of business, the Company is subject to examination by federal, state, local and foreign jurisdictions, where applicable. In the U.S federal jurisdiction, tax years 1999 forward remain open to examination, in the state tax jurisdiction, years 2006 forward remain open to examination and in the foreign jurisdiction, years 2015 forward remain open to examination. The Company is currently not under audit by any federal, state, local or foreign jurisdiction.</w:t>
      </w:r>
    </w:p>
    <w:p>
      <w:pPr>
        <w:spacing w:after="0" w:line="188"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On December 22, 2017, H.R. 1, also known as the Tax Cuts and Jobs Act, or the “2017 Tax Act”, was enacted in the U.S. This enactment resulted in a number of significant changes to U.S. federal income tax law for U.S. corporations. Most notably, the statutory U.S. federal corporate income tax rate was changed from 35% to 21% for corporations. In addition to the change in the corporate income tax rate, the 2017 Tax Act further introduced a number of other changes including a one-time transition tax via a mandatory deemed repatriation of post-1986 undistributed foreign earnings and profits; the introduction of a tax on global intangible low-taxed income (“GILTI”) for tax years beginning after December 31, 2017; the limitation of deductible net interest to 30% of adjustable taxable income; the further limitation of the deductibility of share-based compensation of certain highly compensated employees; the ability to elect to accelerate bonus depreciation on certain qualified assets; and the Base Erosion and Anti-Abuse Tax (“BEAT”), amongst other changes.</w:t>
      </w:r>
    </w:p>
    <w:p>
      <w:pPr>
        <w:spacing w:after="0" w:line="192"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Additionally, on December 22, 2017, the SEC staff also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2017 Tax Act. Specifically, SAB 118 provides a measurement period for companies to evaluate the impacts of the 2017 Tax Act on their financial statements. This measurement period begins in the reporting period that includes the enactment date and ends when an entity has obtained, prepared, and analyzed the information that was needed in order to complete the accounting requirements, and cannot exceed one year.</w:t>
      </w:r>
    </w:p>
    <w:p>
      <w:pPr>
        <w:spacing w:after="0" w:line="19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re-measurement of U.S. deferred tax assets/liabilities were approximately $10.6 million with corresponding offset to valuation allowance. The Company estimated a negative earning &amp; profit for all its foreign entities including FIN 48 liabilities and therefore did not record for any transition tax pursuant to IRC Section 965.</w:t>
      </w:r>
    </w:p>
    <w:p>
      <w:pPr>
        <w:spacing w:after="0" w:line="18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Company uses the “more likely than not” criterion for recognizing the tax benefit of uncertain tax positions and to establish measurement criteria for income tax benefits. The Company has determined it has no material unrecognized assets or liabilities related to uncertain tax positions as of December 31, 2017. The Company does not anticipate any significant changes in such uncertainties and judgments during the next 12 months. In the event the Company should need to recognize interest and penalties related to unrecognized tax liabilities, this amount will be recorded as a component of other expense.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 Net loss per share</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Basic net loss per share is computed by dividing net loss by the weighted-average number of Common Stock actually outstanding during the period. Diluted net loss per share is computed by dividing net loss by the weighted-average number of Common Stock outstanding and dilutive potential Common Stock that would be issued upon the exercise of Common Stock warrants and options. For the year ended December 31, 2017 and 2016, the effect of issuing the potential common stock is anti-dilutive due to the net losses in those periods and the number of shares used to compute basic and diluted earnings per share are the same in each of those periods.</w:t>
      </w:r>
    </w:p>
    <w:p>
      <w:pPr>
        <w:spacing w:after="0" w:line="188" w:lineRule="exact"/>
        <w:rPr>
          <w:sz w:val="20"/>
          <w:szCs w:val="20"/>
          <w:color w:val="auto"/>
        </w:rPr>
      </w:pPr>
    </w:p>
    <w:p>
      <w:pPr>
        <w:ind w:left="200" w:right="820" w:firstLine="441"/>
        <w:spacing w:after="0" w:line="308" w:lineRule="auto"/>
        <w:rPr>
          <w:sz w:val="20"/>
          <w:szCs w:val="20"/>
          <w:color w:val="auto"/>
        </w:rPr>
      </w:pPr>
      <w:r>
        <w:rPr>
          <w:rFonts w:ascii="Arial" w:cs="Arial" w:eastAsia="Arial" w:hAnsi="Arial"/>
          <w:sz w:val="17"/>
          <w:szCs w:val="17"/>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165"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180" w:type="dxa"/>
            <w:vAlign w:val="bottom"/>
            <w:gridSpan w:val="4"/>
          </w:tcPr>
          <w:p>
            <w:pPr>
              <w:ind w:left="46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6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126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914,200</w:t>
            </w:r>
          </w:p>
        </w:tc>
        <w:tc>
          <w:tcPr>
            <w:tcW w:w="3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180" w:type="dxa"/>
            <w:vAlign w:val="bottom"/>
          </w:tcPr>
          <w:p>
            <w:pPr>
              <w:spacing w:after="0" w:line="201" w:lineRule="exact"/>
              <w:rPr>
                <w:sz w:val="20"/>
                <w:szCs w:val="20"/>
                <w:color w:val="auto"/>
              </w:rPr>
            </w:pPr>
            <w:r>
              <w:rPr>
                <w:rFonts w:ascii="Arial" w:cs="Arial" w:eastAsia="Arial" w:hAnsi="Arial"/>
                <w:sz w:val="18"/>
                <w:szCs w:val="18"/>
                <w:color w:val="auto"/>
              </w:rPr>
              <w:t>Warrants issued to 2010/2012 convertible note holders to purchase common</w:t>
            </w: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stock</w:t>
            </w:r>
          </w:p>
        </w:tc>
        <w:tc>
          <w:tcPr>
            <w:tcW w:w="860" w:type="dxa"/>
            <w:vAlign w:val="bottom"/>
          </w:tcPr>
          <w:p>
            <w:pPr>
              <w:jc w:val="right"/>
              <w:spacing w:after="0"/>
              <w:rPr>
                <w:sz w:val="20"/>
                <w:szCs w:val="20"/>
                <w:color w:val="auto"/>
              </w:rPr>
            </w:pPr>
            <w:r>
              <w:rPr>
                <w:rFonts w:ascii="Arial" w:cs="Arial" w:eastAsia="Arial" w:hAnsi="Arial"/>
                <w:sz w:val="18"/>
                <w:szCs w:val="18"/>
                <w:color w:val="auto"/>
              </w:rPr>
              <w:t>102,070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102,070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1,026,987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581,686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Warrants issued in 2009 to purchase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1,851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1,851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to underwriter to purchase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Series A warrants to purchase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485,121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485,121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Series C warrants to purchase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118,083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118,083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Series D warrants to purchase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586,182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586,162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2017 PIPE warrants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6,024,425</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80" w:type="dxa"/>
            <w:vAlign w:val="bottom"/>
          </w:tcPr>
          <w:p>
            <w:pPr>
              <w:ind w:left="70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9,275,419</w:t>
            </w:r>
          </w:p>
        </w:tc>
        <w:tc>
          <w:tcPr>
            <w:tcW w:w="3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4,447,473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 Compensation Plan for Board Members</w:t>
      </w:r>
    </w:p>
    <w:p>
      <w:pPr>
        <w:spacing w:after="0" w:line="12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 Compensation Committee of the Board of Directors of the Company recommended, and the Board approved a new compensation plan for the payment of quarterly Board fees. At the election of each Board member, beginning with the third quarter of 2016, they had the option to either receive cash payments or to be paid in common stock of the Company. For the third quarter of 2016, two of the Board members elected to be paid in common stock of the Company resulting in the issuance of 5,084 shares of common stock.</w:t>
      </w:r>
    </w:p>
    <w:p>
      <w:pPr>
        <w:spacing w:after="0" w:line="17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2017, the Compensation Committee of the Board of Directors recommended, and the Board approved a revised compensation plan pursuant to which all board fees are paid in Common Stock of the Company. Payment to the Board of Directors in shares of the Company’s Common Stock is made after the close of the quarter in which the compensation is earned. During the year ended December 31, 2017, the Company issued 90,306 shares of Common Stock to its Board members for fees earned during the first, second and third quarters. he Company issued 47,766 shares of Common Stock to directors in the fourth quarter of 2017 were issued in February 2018 (see Note 15).</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14. Defined Contribution Plan</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Company sponsors a 401(k) Plan, which stipulates that eligible employees can elect to contribute to the 401(k) Plan, subject to certain limitations of eligible compensation. The Company may match employee contributions in amounts to be determined at the Company’s sole discretion. To date, the Company has not made any matching contributions.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15. Subsequent Events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 Sabby conversion of Series B convertible stock</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January 2018, a fund managed by Sabby converted an aggregate of 1,000 shares of their Series B Convertible Stock into 200,000 shares of Common Stock.</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(ii) Common shares issued to directors in payment of quarterly board of director fees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On February 2, 2018, the Company issued 47,766 shares of Common Stock to members of its Board of Directors as compensation for Board of Directors fees earned during the quarter ended December 31, 2017.</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960"/>
          </w:cols>
          <w:pgMar w:left="240" w:top="459" w:right="6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reports filed under the Securities Exchange Act of 1934, as amended, or the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85"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Our Principal Executive Officer and Principal Financial Officer, after evaluating the effectiveness of our disclosure controls and procedures (as defined in Exchange Act Rules 13a-15(e) and 15d-15(e)) as of the end of the period covered by this Annual Report on Form 10-K, have concluded that, based on such evaluation, our disclosure controls and procedures were effective to ensure that information required to be disclosed by us in the reports that we file or submit under the Exchange Act is recorded, processed, summarized and reported, with the time periods specified in the SEC’s rules and forms, and is accumulated and communicated to our management, including our Principal Executive Officer and Principal Financial Officer as appropriate to allow timely decisions regarding required disclosure.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Exchange Act. Internal control over financial reporting is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our transactions and the disposition of our assets, (ii) provide reasonable assurance that transactions are recorded as necessary to permit preparation of consolidated financial statements in accordance with GAAP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w:t>
      </w:r>
    </w:p>
    <w:p>
      <w:pPr>
        <w:spacing w:after="0" w:line="182"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 xml:space="preserve">Management conducted an evaluation of the effectiveness of our control over financial reporting based on the 2013 framework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Based on this evaluation,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concluded that our internal control over financial reporting was effective as of December 31, 2017.</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24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in Internal Controls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There have been no changes to our internal control over financial reporting that occurred during our last fiscal quarter ended December 31, 2017 that have materially affected, or are reasonably likely to materially affect, our internal control over financial reporting.</w:t>
      </w:r>
    </w:p>
    <w:p>
      <w:pPr>
        <w:spacing w:after="0" w:line="38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60"/>
          </w:cols>
          <w:pgMar w:left="240" w:top="459" w:right="5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2018 Annual Meeting of Stockholders. The Definitive Proxy Statement will be filed with the Securities and Exchange Commission within 120 days after the end of the fiscal year covered by this Annual Report on Form 10-K.</w:t>
      </w:r>
    </w:p>
    <w:p>
      <w:pPr>
        <w:spacing w:after="0" w:line="3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2018 Annual Meeting of Stockholders. The Definitive Proxy Statement will be filed with the Securities and Exchange Commission within 120 days after the end of the fiscal year covered by this Annual Report on Form 10-K.</w:t>
      </w:r>
    </w:p>
    <w:p>
      <w:pPr>
        <w:spacing w:after="0" w:line="393" w:lineRule="exact"/>
        <w:rPr>
          <w:sz w:val="20"/>
          <w:szCs w:val="20"/>
          <w:color w:val="auto"/>
        </w:rPr>
      </w:pPr>
    </w:p>
    <w:p>
      <w:pPr>
        <w:jc w:val="center"/>
        <w:ind w:left="500" w:right="1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The information required by this item to our Definitive Proxy Statement for our 2018 Annual Meeting of Stockholders. The Definitive Proxy Statement will be filed with the Securities and Exchange Commission within 120 days after the end of the fiscal year covered by this Annual Report on Form 10-K.</w:t>
      </w:r>
    </w:p>
    <w:p>
      <w:pPr>
        <w:spacing w:after="0" w:line="3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AND DIRECTOR INDEPENDENCE</w:t>
      </w:r>
    </w:p>
    <w:p>
      <w:pPr>
        <w:spacing w:after="0" w:line="103"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The information required by this item to our Definitive Proxy Statement for our 2018 Annual Meeting of Stockholders. The Definitive Proxy Statement will be filed with the Securities and Exchange Commission within 120 days after the end of the fiscal year covered by this Annual Report on Form 10-K.</w:t>
      </w:r>
    </w:p>
    <w:p>
      <w:pPr>
        <w:spacing w:after="0" w:line="3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2017 Annual Meeting of Stockholders. The Definitive Proxy Statement will be filed with the Securities and Exchange Commission within 120 days after the end of the fiscal year covered by this Annual Report on Form 10-K.</w:t>
      </w:r>
    </w:p>
    <w:p>
      <w:pPr>
        <w:spacing w:after="0" w:line="3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56" w:lineRule="exact"/>
        <w:rPr>
          <w:sz w:val="20"/>
          <w:szCs w:val="20"/>
          <w:color w:val="auto"/>
        </w:rPr>
      </w:pPr>
    </w:p>
    <w:p>
      <w:pPr>
        <w:ind w:left="860" w:hanging="656"/>
        <w:spacing w:after="0"/>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Financial Statements: See “Index to Financial Statements” in Part II, Item 8 of this Annual Report on Form 10-K</w:t>
      </w:r>
    </w:p>
    <w:p>
      <w:pPr>
        <w:spacing w:after="0" w:line="23" w:lineRule="exact"/>
        <w:rPr>
          <w:rFonts w:ascii="Arial" w:cs="Arial" w:eastAsia="Arial" w:hAnsi="Arial"/>
          <w:sz w:val="18"/>
          <w:szCs w:val="18"/>
          <w:color w:val="auto"/>
        </w:rPr>
      </w:pPr>
    </w:p>
    <w:p>
      <w:pPr>
        <w:ind w:left="860" w:right="400" w:hanging="656"/>
        <w:spacing w:after="0" w:line="250" w:lineRule="auto"/>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Financial Schedules: All schedules have been omitted because the information called for is not required or is shown either in the financial statements or in the notes thereto.</w:t>
      </w:r>
    </w:p>
    <w:p>
      <w:pPr>
        <w:ind w:left="860" w:right="420" w:hanging="656"/>
        <w:spacing w:after="0" w:line="261" w:lineRule="auto"/>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Exhibits: The exhibits listed in the accompanying index to exhibits are filed or incorporated by reference as part of this Annual Report on Form 10-K.</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80"/>
          </w:cols>
          <w:pgMar w:left="24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60" w:type="dxa"/>
            <w:vAlign w:val="bottom"/>
            <w:gridSpan w:val="23"/>
            <w:vMerge w:val="restart"/>
          </w:tcPr>
          <w:p>
            <w:pPr>
              <w:ind w:left="5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Number</w:t>
            </w: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60" w:type="dxa"/>
            <w:vAlign w:val="bottom"/>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2"/>
                <w:szCs w:val="22"/>
                <w:color w:val="auto"/>
              </w:rPr>
            </w:pPr>
          </w:p>
        </w:tc>
        <w:tc>
          <w:tcPr>
            <w:tcW w:w="5160" w:type="dxa"/>
            <w:vAlign w:val="bottom"/>
            <w:tcBorders>
              <w:top w:val="single" w:sz="8" w:color="auto"/>
            </w:tcBorders>
            <w:gridSpan w:val="25"/>
          </w:tcPr>
          <w:p>
            <w:pPr>
              <w:spacing w:after="0"/>
              <w:rPr>
                <w:rFonts w:ascii="Arial" w:cs="Arial" w:eastAsia="Arial" w:hAnsi="Arial"/>
                <w:sz w:val="18"/>
                <w:szCs w:val="18"/>
                <w:color w:val="0000EE"/>
                <w:w w:val="94"/>
              </w:rPr>
            </w:pPr>
            <w:hyperlink r:id="rId138">
              <w:r>
                <w:rPr>
                  <w:rFonts w:ascii="Arial" w:cs="Arial" w:eastAsia="Arial" w:hAnsi="Arial"/>
                  <w:sz w:val="18"/>
                  <w:szCs w:val="18"/>
                  <w:color w:val="0000EE"/>
                  <w:w w:val="94"/>
                </w:rPr>
                <w:t>Stock Purchase Agreement, dated as of July 18, 2017, and between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80" w:type="dxa"/>
            <w:vAlign w:val="bottom"/>
            <w:tcBorders>
              <w:top w:val="single" w:sz="8" w:color="0000EE"/>
            </w:tcBorders>
            <w:gridSpan w:val="19"/>
          </w:tcPr>
          <w:p>
            <w:pPr>
              <w:spacing w:after="0" w:line="19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Soleno Therapeutics, Inc., a Delaware corporation, and NeoForce</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Holdings, Inc. a Delaware corporation</w:t>
              </w:r>
            </w:hyperlink>
          </w:p>
        </w:tc>
        <w:tc>
          <w:tcPr>
            <w:tcW w:w="1940" w:type="dxa"/>
            <w:vAlign w:val="bottom"/>
            <w:tcBorders>
              <w:top w:val="single" w:sz="8" w:color="0000EE"/>
            </w:tcBorders>
            <w:gridSpan w:val="10"/>
          </w:tcPr>
          <w:p>
            <w:pPr>
              <w:spacing w:after="0"/>
              <w:rPr>
                <w:sz w:val="17"/>
                <w:szCs w:val="17"/>
                <w:color w:val="auto"/>
              </w:rPr>
            </w:pPr>
          </w:p>
        </w:tc>
        <w:tc>
          <w:tcPr>
            <w:tcW w:w="4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4"/>
                <w:szCs w:val="24"/>
                <w:color w:val="auto"/>
              </w:rPr>
            </w:pPr>
          </w:p>
        </w:tc>
        <w:tc>
          <w:tcPr>
            <w:tcW w:w="5160" w:type="dxa"/>
            <w:vAlign w:val="bottom"/>
            <w:gridSpan w:val="25"/>
          </w:tcPr>
          <w:p>
            <w:pPr>
              <w:spacing w:after="0"/>
              <w:rPr>
                <w:rFonts w:ascii="Arial" w:cs="Arial" w:eastAsia="Arial" w:hAnsi="Arial"/>
                <w:sz w:val="18"/>
                <w:szCs w:val="18"/>
                <w:color w:val="0000EE"/>
                <w:w w:val="99"/>
              </w:rPr>
            </w:pPr>
            <w:hyperlink r:id="rId139">
              <w:r>
                <w:rPr>
                  <w:rFonts w:ascii="Arial" w:cs="Arial" w:eastAsia="Arial" w:hAnsi="Arial"/>
                  <w:sz w:val="18"/>
                  <w:szCs w:val="18"/>
                  <w:color w:val="0000EE"/>
                  <w:w w:val="99"/>
                </w:rPr>
                <w:t>Joint Venture Agreement, dated as of December 4, 2017, by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1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139">
              <w:r>
                <w:rPr>
                  <w:rFonts w:ascii="Arial" w:cs="Arial" w:eastAsia="Arial" w:hAnsi="Arial"/>
                  <w:sz w:val="18"/>
                  <w:szCs w:val="18"/>
                  <w:color w:val="0000EE"/>
                  <w:w w:val="89"/>
                </w:rPr>
                <w:t>among Soleno Therapeutics, Inc., Capnia, Inc., and OptAsia Healthcare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96"/>
              </w:rPr>
            </w:pPr>
            <w:hyperlink r:id="rId139">
              <w:r>
                <w:rPr>
                  <w:rFonts w:ascii="Arial" w:cs="Arial" w:eastAsia="Arial" w:hAnsi="Arial"/>
                  <w:sz w:val="18"/>
                  <w:szCs w:val="18"/>
                  <w:color w:val="0000EE"/>
                  <w:w w:val="96"/>
                </w:rPr>
                <w:t>Limited</w:t>
              </w:r>
            </w:hyperlink>
          </w:p>
        </w:tc>
        <w:tc>
          <w:tcPr>
            <w:tcW w:w="45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4"/>
                <w:szCs w:val="24"/>
                <w:color w:val="auto"/>
              </w:rPr>
            </w:pPr>
          </w:p>
        </w:tc>
        <w:tc>
          <w:tcPr>
            <w:tcW w:w="5160" w:type="dxa"/>
            <w:vAlign w:val="bottom"/>
            <w:gridSpan w:val="25"/>
          </w:tcPr>
          <w:p>
            <w:pPr>
              <w:spacing w:after="0"/>
              <w:rPr>
                <w:rFonts w:ascii="Arial" w:cs="Arial" w:eastAsia="Arial" w:hAnsi="Arial"/>
                <w:sz w:val="18"/>
                <w:szCs w:val="18"/>
                <w:color w:val="0000EE"/>
                <w:w w:val="93"/>
              </w:rPr>
            </w:pPr>
            <w:hyperlink r:id="rId140">
              <w:r>
                <w:rPr>
                  <w:rFonts w:ascii="Arial" w:cs="Arial" w:eastAsia="Arial" w:hAnsi="Arial"/>
                  <w:sz w:val="18"/>
                  <w:szCs w:val="18"/>
                  <w:color w:val="0000EE"/>
                  <w:w w:val="93"/>
                </w:rPr>
                <w:t>PRC IP Purchase Agreement, dated as of December 4, 2017, by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between OptAsia Healthcare Limited and Capnia, Inc.</w:t>
              </w:r>
            </w:hyperlink>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24"/>
                <w:szCs w:val="24"/>
                <w:color w:val="auto"/>
              </w:rPr>
            </w:pPr>
          </w:p>
        </w:tc>
        <w:tc>
          <w:tcPr>
            <w:tcW w:w="5100" w:type="dxa"/>
            <w:vAlign w:val="bottom"/>
            <w:tcBorders>
              <w:bottom w:val="single" w:sz="8" w:color="0000EE"/>
            </w:tcBorders>
            <w:gridSpan w:val="23"/>
          </w:tcPr>
          <w:p>
            <w:pPr>
              <w:spacing w:after="0"/>
              <w:rPr>
                <w:rFonts w:ascii="Arial" w:cs="Arial" w:eastAsia="Arial" w:hAnsi="Arial"/>
                <w:sz w:val="18"/>
                <w:szCs w:val="18"/>
                <w:color w:val="0000EE"/>
                <w:w w:val="90"/>
              </w:rPr>
            </w:pPr>
            <w:hyperlink r:id="rId141">
              <w:r>
                <w:rPr>
                  <w:rFonts w:ascii="Arial" w:cs="Arial" w:eastAsia="Arial" w:hAnsi="Arial"/>
                  <w:sz w:val="18"/>
                  <w:szCs w:val="18"/>
                  <w:color w:val="0000EE"/>
                  <w:w w:val="90"/>
                </w:rPr>
                <w:t>Transition Services Agreement, dated as of December 4, 2017, by and</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among Soleno Therapeutics, Inc., a Delaware corporation, Capnia, Inc.</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160" w:type="dxa"/>
            <w:vAlign w:val="bottom"/>
            <w:gridSpan w:val="25"/>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and OptAsia Healthcare, Ltd., a Hong Kong company</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4440" w:type="dxa"/>
            <w:vAlign w:val="bottom"/>
            <w:tcBorders>
              <w:bottom w:val="single" w:sz="8" w:color="0000EE"/>
            </w:tcBorders>
            <w:gridSpan w:val="14"/>
          </w:tcPr>
          <w:p>
            <w:pPr>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Amended and Restated Certificate of Incorporation of Soleno</w:t>
              </w:r>
            </w:hyperlink>
          </w:p>
        </w:tc>
        <w:tc>
          <w:tcPr>
            <w:tcW w:w="7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42">
              <w:r>
                <w:rPr>
                  <w:rFonts w:ascii="Arial" w:cs="Arial" w:eastAsia="Arial" w:hAnsi="Arial"/>
                  <w:sz w:val="18"/>
                  <w:szCs w:val="18"/>
                  <w:color w:val="0000EE"/>
                  <w:w w:val="89"/>
                </w:rPr>
                <w:t>Therapeutics, Inc.</w:t>
              </w:r>
            </w:hyperlink>
          </w:p>
        </w:tc>
        <w:tc>
          <w:tcPr>
            <w:tcW w:w="38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4340" w:type="dxa"/>
            <w:vAlign w:val="bottom"/>
            <w:tcBorders>
              <w:bottom w:val="single" w:sz="8" w:color="0000EE"/>
            </w:tcBorders>
            <w:gridSpan w:val="12"/>
          </w:tcPr>
          <w:p>
            <w:pPr>
              <w:spacing w:after="0"/>
              <w:rPr>
                <w:rFonts w:ascii="Arial" w:cs="Arial" w:eastAsia="Arial" w:hAnsi="Arial"/>
                <w:sz w:val="18"/>
                <w:szCs w:val="18"/>
                <w:color w:val="0000EE"/>
                <w:w w:val="89"/>
              </w:rPr>
            </w:pPr>
            <w:hyperlink r:id="rId143">
              <w:r>
                <w:rPr>
                  <w:rFonts w:ascii="Arial" w:cs="Arial" w:eastAsia="Arial" w:hAnsi="Arial"/>
                  <w:sz w:val="18"/>
                  <w:szCs w:val="18"/>
                  <w:color w:val="0000EE"/>
                  <w:w w:val="89"/>
                </w:rPr>
                <w:t>Amended and Restated Bylaws of Soleno Therapeutics, Inc.</w:t>
              </w:r>
            </w:hyperlink>
          </w:p>
        </w:tc>
        <w:tc>
          <w:tcPr>
            <w:tcW w:w="8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24"/>
                <w:szCs w:val="24"/>
                <w:color w:val="auto"/>
              </w:rPr>
            </w:pPr>
          </w:p>
        </w:tc>
        <w:tc>
          <w:tcPr>
            <w:tcW w:w="5160" w:type="dxa"/>
            <w:vAlign w:val="bottom"/>
            <w:gridSpan w:val="25"/>
          </w:tcPr>
          <w:p>
            <w:pPr>
              <w:spacing w:after="0"/>
              <w:rPr>
                <w:rFonts w:ascii="Arial" w:cs="Arial" w:eastAsia="Arial" w:hAnsi="Arial"/>
                <w:sz w:val="18"/>
                <w:szCs w:val="18"/>
                <w:color w:val="0000EE"/>
                <w:w w:val="96"/>
              </w:rPr>
            </w:pPr>
            <w:hyperlink r:id="rId144">
              <w:r>
                <w:rPr>
                  <w:rFonts w:ascii="Arial" w:cs="Arial" w:eastAsia="Arial" w:hAnsi="Arial"/>
                  <w:sz w:val="18"/>
                  <w:szCs w:val="18"/>
                  <w:color w:val="0000EE"/>
                  <w:w w:val="96"/>
                </w:rPr>
                <w:t>Certificate of Designation of Preferences, Rights and Limitations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Series A Convertible Preferred Stock.</w:t>
              </w:r>
            </w:hyperlink>
          </w:p>
        </w:tc>
        <w:tc>
          <w:tcPr>
            <w:tcW w:w="2160" w:type="dxa"/>
            <w:vAlign w:val="bottom"/>
            <w:tcBorders>
              <w:top w:val="single" w:sz="8" w:color="0000EE"/>
            </w:tcBorders>
            <w:gridSpan w:val="14"/>
          </w:tcPr>
          <w:p>
            <w:pPr>
              <w:spacing w:after="0"/>
              <w:rPr>
                <w:sz w:val="17"/>
                <w:szCs w:val="17"/>
                <w:color w:val="auto"/>
              </w:rPr>
            </w:pPr>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4"/>
                <w:szCs w:val="24"/>
                <w:color w:val="auto"/>
              </w:rPr>
            </w:pPr>
          </w:p>
        </w:tc>
        <w:tc>
          <w:tcPr>
            <w:tcW w:w="5160" w:type="dxa"/>
            <w:vAlign w:val="bottom"/>
            <w:gridSpan w:val="25"/>
          </w:tcPr>
          <w:p>
            <w:pPr>
              <w:spacing w:after="0"/>
              <w:rPr>
                <w:rFonts w:ascii="Arial" w:cs="Arial" w:eastAsia="Arial" w:hAnsi="Arial"/>
                <w:sz w:val="18"/>
                <w:szCs w:val="18"/>
                <w:color w:val="0000EE"/>
                <w:w w:val="96"/>
              </w:rPr>
            </w:pPr>
            <w:hyperlink r:id="rId145">
              <w:r>
                <w:rPr>
                  <w:rFonts w:ascii="Arial" w:cs="Arial" w:eastAsia="Arial" w:hAnsi="Arial"/>
                  <w:sz w:val="18"/>
                  <w:szCs w:val="18"/>
                  <w:color w:val="0000EE"/>
                  <w:w w:val="96"/>
                </w:rPr>
                <w:t>Certificate of Designation of Preferences, Rights and Limitations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Series B Convertible Preferred Stock</w:t>
              </w:r>
            </w:hyperlink>
          </w:p>
        </w:tc>
        <w:tc>
          <w:tcPr>
            <w:tcW w:w="2200" w:type="dxa"/>
            <w:vAlign w:val="bottom"/>
            <w:tcBorders>
              <w:top w:val="single" w:sz="8" w:color="0000EE"/>
            </w:tcBorders>
            <w:gridSpan w:val="15"/>
          </w:tcPr>
          <w:p>
            <w:pPr>
              <w:spacing w:after="0"/>
              <w:rPr>
                <w:sz w:val="17"/>
                <w:szCs w:val="17"/>
                <w:color w:val="auto"/>
              </w:rPr>
            </w:pPr>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4"/>
                <w:szCs w:val="24"/>
                <w:color w:val="auto"/>
              </w:rPr>
            </w:pPr>
          </w:p>
        </w:tc>
        <w:tc>
          <w:tcPr>
            <w:tcW w:w="1900" w:type="dxa"/>
            <w:vAlign w:val="bottom"/>
            <w:tcBorders>
              <w:bottom w:val="single" w:sz="8" w:color="0000EE"/>
            </w:tcBorders>
            <w:gridSpan w:val="3"/>
          </w:tcPr>
          <w:p>
            <w:pPr>
              <w:spacing w:after="0"/>
              <w:rPr>
                <w:rFonts w:ascii="Arial" w:cs="Arial" w:eastAsia="Arial" w:hAnsi="Arial"/>
                <w:sz w:val="18"/>
                <w:szCs w:val="18"/>
                <w:color w:val="0000EE"/>
                <w:w w:val="92"/>
              </w:rPr>
            </w:pPr>
            <w:hyperlink r:id="rId146">
              <w:r>
                <w:rPr>
                  <w:rFonts w:ascii="Arial" w:cs="Arial" w:eastAsia="Arial" w:hAnsi="Arial"/>
                  <w:sz w:val="18"/>
                  <w:szCs w:val="18"/>
                  <w:color w:val="0000EE"/>
                  <w:w w:val="92"/>
                </w:rPr>
                <w:t>Certificate of Amendment</w:t>
              </w:r>
            </w:hyperlink>
          </w:p>
        </w:tc>
        <w:tc>
          <w:tcPr>
            <w:tcW w:w="326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24"/>
                <w:szCs w:val="24"/>
                <w:color w:val="auto"/>
              </w:rPr>
            </w:pPr>
          </w:p>
        </w:tc>
        <w:tc>
          <w:tcPr>
            <w:tcW w:w="5160" w:type="dxa"/>
            <w:vAlign w:val="bottom"/>
            <w:gridSpan w:val="25"/>
          </w:tcPr>
          <w:p>
            <w:pPr>
              <w:spacing w:after="0"/>
              <w:rPr>
                <w:rFonts w:ascii="Arial" w:cs="Arial" w:eastAsia="Arial" w:hAnsi="Arial"/>
                <w:sz w:val="18"/>
                <w:szCs w:val="18"/>
                <w:color w:val="0000EE"/>
              </w:rPr>
            </w:pPr>
            <w:hyperlink r:id="rId147">
              <w:r>
                <w:rPr>
                  <w:rFonts w:ascii="Arial" w:cs="Arial" w:eastAsia="Arial" w:hAnsi="Arial"/>
                  <w:sz w:val="18"/>
                  <w:szCs w:val="18"/>
                  <w:color w:val="0000EE"/>
                </w:rPr>
                <w:t>Certificate of Amendment to the Certificate of Incorporation</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2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Form of the common stock certificate.</w:t>
              </w:r>
            </w:hyperlink>
          </w:p>
        </w:tc>
        <w:tc>
          <w:tcPr>
            <w:tcW w:w="1580" w:type="dxa"/>
            <w:vAlign w:val="bottom"/>
            <w:tcBorders>
              <w:top w:val="single" w:sz="8" w:color="0000EE"/>
            </w:tcBorders>
            <w:gridSpan w:val="6"/>
          </w:tcPr>
          <w:p>
            <w:pPr>
              <w:spacing w:after="0"/>
              <w:rPr>
                <w:sz w:val="24"/>
                <w:szCs w:val="24"/>
                <w:color w:val="auto"/>
              </w:rPr>
            </w:pPr>
          </w:p>
        </w:tc>
        <w:tc>
          <w:tcPr>
            <w:tcW w:w="8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5160" w:type="dxa"/>
            <w:vAlign w:val="bottom"/>
            <w:tcBorders>
              <w:bottom w:val="single" w:sz="8" w:color="0000EE"/>
            </w:tcBorders>
            <w:gridSpan w:val="25"/>
          </w:tcPr>
          <w:p>
            <w:pPr>
              <w:spacing w:after="0"/>
              <w:rPr>
                <w:rFonts w:ascii="Arial" w:cs="Arial" w:eastAsia="Arial" w:hAnsi="Arial"/>
                <w:sz w:val="18"/>
                <w:szCs w:val="18"/>
                <w:color w:val="0000EE"/>
                <w:w w:val="91"/>
              </w:rPr>
            </w:pPr>
            <w:hyperlink r:id="rId149">
              <w:r>
                <w:rPr>
                  <w:rFonts w:ascii="Arial" w:cs="Arial" w:eastAsia="Arial" w:hAnsi="Arial"/>
                  <w:sz w:val="18"/>
                  <w:szCs w:val="18"/>
                  <w:color w:val="0000EE"/>
                  <w:w w:val="91"/>
                </w:rPr>
                <w:t>Amended And Restated Investors’ Rights Agreement, dated March 20,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160" w:type="dxa"/>
            <w:vAlign w:val="bottom"/>
            <w:gridSpan w:val="25"/>
          </w:tcPr>
          <w:p>
            <w:pPr>
              <w:spacing w:after="0" w:line="196" w:lineRule="exact"/>
              <w:rPr>
                <w:rFonts w:ascii="Arial" w:cs="Arial" w:eastAsia="Arial" w:hAnsi="Arial"/>
                <w:sz w:val="18"/>
                <w:szCs w:val="18"/>
                <w:color w:val="0000EE"/>
                <w:w w:val="93"/>
              </w:rPr>
            </w:pPr>
            <w:hyperlink r:id="rId149">
              <w:r>
                <w:rPr>
                  <w:rFonts w:ascii="Arial" w:cs="Arial" w:eastAsia="Arial" w:hAnsi="Arial"/>
                  <w:sz w:val="18"/>
                  <w:szCs w:val="18"/>
                  <w:color w:val="0000EE"/>
                  <w:w w:val="93"/>
                </w:rPr>
                <w:t>2008, by and among Soleno Therapeutics, Inc. and certain holders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r:id="rId149">
              <w:r>
                <w:rPr>
                  <w:rFonts w:ascii="Arial" w:cs="Arial" w:eastAsia="Arial" w:hAnsi="Arial"/>
                  <w:sz w:val="18"/>
                  <w:szCs w:val="18"/>
                  <w:color w:val="0000EE"/>
                  <w:w w:val="89"/>
                </w:rPr>
                <w:t>the Soleno Therapeutics, Inc.’s capital stock named therein.</w:t>
              </w:r>
            </w:hyperlink>
          </w:p>
        </w:tc>
        <w:tc>
          <w:tcPr>
            <w:tcW w:w="660" w:type="dxa"/>
            <w:vAlign w:val="bottom"/>
            <w:tcBorders>
              <w:top w:val="single" w:sz="8" w:color="0000EE"/>
            </w:tcBorders>
            <w:gridSpan w:val="11"/>
          </w:tcPr>
          <w:p>
            <w:pPr>
              <w:spacing w:after="0"/>
              <w:rPr>
                <w:sz w:val="17"/>
                <w:szCs w:val="17"/>
                <w:color w:val="auto"/>
              </w:rPr>
            </w:pPr>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4"/>
                <w:szCs w:val="24"/>
                <w:color w:val="auto"/>
              </w:rPr>
            </w:pPr>
          </w:p>
        </w:tc>
        <w:tc>
          <w:tcPr>
            <w:tcW w:w="2760" w:type="dxa"/>
            <w:vAlign w:val="bottom"/>
            <w:tcBorders>
              <w:bottom w:val="single" w:sz="8" w:color="0000EE"/>
            </w:tcBorders>
            <w:gridSpan w:val="6"/>
          </w:tcPr>
          <w:p>
            <w:pPr>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Form of Series A Warrant Agreement.</w:t>
              </w:r>
            </w:hyperlink>
          </w:p>
        </w:tc>
        <w:tc>
          <w:tcPr>
            <w:tcW w:w="24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24"/>
                <w:szCs w:val="24"/>
                <w:color w:val="auto"/>
              </w:rPr>
            </w:pPr>
          </w:p>
        </w:tc>
        <w:tc>
          <w:tcPr>
            <w:tcW w:w="5160" w:type="dxa"/>
            <w:vAlign w:val="bottom"/>
            <w:gridSpan w:val="25"/>
          </w:tcPr>
          <w:p>
            <w:pPr>
              <w:spacing w:after="0"/>
              <w:rPr>
                <w:rFonts w:ascii="Arial" w:cs="Arial" w:eastAsia="Arial" w:hAnsi="Arial"/>
                <w:sz w:val="18"/>
                <w:szCs w:val="18"/>
                <w:color w:val="0000EE"/>
              </w:rPr>
            </w:pPr>
            <w:hyperlink r:id="rId151">
              <w:r>
                <w:rPr>
                  <w:rFonts w:ascii="Arial" w:cs="Arial" w:eastAsia="Arial" w:hAnsi="Arial"/>
                  <w:sz w:val="18"/>
                  <w:szCs w:val="18"/>
                  <w:color w:val="0000EE"/>
                </w:rPr>
                <w:t>Form of the Series A Warrant certificate.</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40" w:type="dxa"/>
            <w:vAlign w:val="bottom"/>
            <w:gridSpan w:val="8"/>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24"/>
                <w:szCs w:val="24"/>
                <w:color w:val="auto"/>
              </w:rPr>
            </w:pPr>
          </w:p>
        </w:tc>
        <w:tc>
          <w:tcPr>
            <w:tcW w:w="3400" w:type="dxa"/>
            <w:vAlign w:val="bottom"/>
            <w:tcBorders>
              <w:bottom w:val="single" w:sz="8" w:color="0000EE"/>
            </w:tcBorders>
            <w:gridSpan w:val="9"/>
          </w:tcPr>
          <w:p>
            <w:pPr>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Form of Underwriters’ Compensation Warrant.</w:t>
              </w:r>
            </w:hyperlink>
          </w:p>
        </w:tc>
        <w:tc>
          <w:tcPr>
            <w:tcW w:w="17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24"/>
                <w:szCs w:val="24"/>
                <w:color w:val="auto"/>
              </w:rPr>
            </w:pPr>
          </w:p>
        </w:tc>
        <w:tc>
          <w:tcPr>
            <w:tcW w:w="5160" w:type="dxa"/>
            <w:vAlign w:val="bottom"/>
            <w:gridSpan w:val="25"/>
          </w:tcPr>
          <w:p>
            <w:pPr>
              <w:spacing w:after="0"/>
              <w:rPr>
                <w:rFonts w:ascii="Arial" w:cs="Arial" w:eastAsia="Arial" w:hAnsi="Arial"/>
                <w:sz w:val="18"/>
                <w:szCs w:val="18"/>
                <w:color w:val="0000EE"/>
                <w:w w:val="97"/>
              </w:rPr>
            </w:pPr>
            <w:hyperlink r:id="rId153">
              <w:r>
                <w:rPr>
                  <w:rFonts w:ascii="Arial" w:cs="Arial" w:eastAsia="Arial" w:hAnsi="Arial"/>
                  <w:sz w:val="18"/>
                  <w:szCs w:val="18"/>
                  <w:color w:val="0000EE"/>
                  <w:w w:val="97"/>
                </w:rPr>
                <w:t>Form of Convertible Promissory Note issued in February 2010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00" w:type="dxa"/>
            <w:vAlign w:val="bottom"/>
            <w:gridSpan w:val="16"/>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March 2010 in connection with the 2010 convertible note financing.</w:t>
              </w:r>
            </w:hyperlink>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24"/>
                <w:szCs w:val="24"/>
                <w:color w:val="auto"/>
              </w:rPr>
            </w:pPr>
          </w:p>
        </w:tc>
        <w:tc>
          <w:tcPr>
            <w:tcW w:w="4700" w:type="dxa"/>
            <w:vAlign w:val="bottom"/>
            <w:tcBorders>
              <w:bottom w:val="single" w:sz="8" w:color="0000EE"/>
            </w:tcBorders>
            <w:gridSpan w:val="16"/>
          </w:tcPr>
          <w:p>
            <w:pPr>
              <w:spacing w:after="0"/>
              <w:rPr>
                <w:rFonts w:ascii="Arial" w:cs="Arial" w:eastAsia="Arial" w:hAnsi="Arial"/>
                <w:sz w:val="18"/>
                <w:szCs w:val="18"/>
                <w:color w:val="0000EE"/>
                <w:w w:val="88"/>
              </w:rPr>
            </w:pPr>
            <w:hyperlink r:id="rId154">
              <w:r>
                <w:rPr>
                  <w:rFonts w:ascii="Arial" w:cs="Arial" w:eastAsia="Arial" w:hAnsi="Arial"/>
                  <w:sz w:val="18"/>
                  <w:szCs w:val="18"/>
                  <w:color w:val="0000EE"/>
                  <w:w w:val="88"/>
                </w:rPr>
                <w:t>Form of Warrant to Purchase Shares issued in February 2010 and</w:t>
              </w:r>
            </w:hyperlink>
          </w:p>
        </w:tc>
        <w:tc>
          <w:tcPr>
            <w:tcW w:w="4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March 2010 in connection with the 2010 convertible note financing.</w:t>
              </w:r>
            </w:hyperlink>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80" w:type="dxa"/>
            <w:vAlign w:val="bottom"/>
            <w:gridSpan w:val="19"/>
          </w:tcPr>
          <w:p>
            <w:pPr>
              <w:jc w:val="right"/>
              <w:ind w:right="60"/>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Incorporated by Reference from</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96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4"/>
                <w:szCs w:val="14"/>
                <w:b w:val="1"/>
                <w:bCs w:val="1"/>
                <w:color w:val="auto"/>
              </w:rPr>
              <w:t>Registrant’s</w:t>
            </w:r>
          </w:p>
        </w:tc>
        <w:tc>
          <w:tcPr>
            <w:tcW w:w="30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Date Filed</w:t>
            </w:r>
          </w:p>
        </w:tc>
        <w:tc>
          <w:tcPr>
            <w:tcW w:w="3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8"/>
              </w:rPr>
              <w:t>Exhibit</w:t>
            </w: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Filed</w:t>
            </w:r>
          </w:p>
        </w:tc>
      </w:tr>
      <w:tr>
        <w:trPr>
          <w:trHeight w:val="176"/>
        </w:trPr>
        <w:tc>
          <w:tcPr>
            <w:tcW w:w="960" w:type="dxa"/>
            <w:vAlign w:val="bottom"/>
          </w:tcPr>
          <w:p>
            <w:pPr>
              <w:ind w:left="300"/>
              <w:spacing w:after="0"/>
              <w:rPr>
                <w:sz w:val="20"/>
                <w:szCs w:val="20"/>
                <w:color w:val="auto"/>
              </w:rPr>
            </w:pPr>
            <w:r>
              <w:rPr>
                <w:rFonts w:ascii="Arial" w:cs="Arial" w:eastAsia="Arial" w:hAnsi="Arial"/>
                <w:sz w:val="14"/>
                <w:szCs w:val="14"/>
                <w:b w:val="1"/>
                <w:bCs w:val="1"/>
                <w:color w:val="auto"/>
              </w:rPr>
              <w:t>Form</w:t>
            </w:r>
          </w:p>
        </w:tc>
        <w:tc>
          <w:tcPr>
            <w:tcW w:w="3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with the SEC</w:t>
            </w:r>
          </w:p>
        </w:tc>
        <w:tc>
          <w:tcPr>
            <w:tcW w:w="820" w:type="dxa"/>
            <w:vAlign w:val="bottom"/>
            <w:gridSpan w:val="2"/>
          </w:tcPr>
          <w:p>
            <w:pPr>
              <w:jc w:val="center"/>
              <w:ind w:left="191"/>
              <w:spacing w:after="0"/>
              <w:rPr>
                <w:sz w:val="20"/>
                <w:szCs w:val="20"/>
                <w:color w:val="auto"/>
              </w:rPr>
            </w:pPr>
            <w:r>
              <w:rPr>
                <w:rFonts w:ascii="Arial" w:cs="Arial" w:eastAsia="Arial" w:hAnsi="Arial"/>
                <w:sz w:val="14"/>
                <w:szCs w:val="14"/>
                <w:b w:val="1"/>
                <w:bCs w:val="1"/>
                <w:color w:val="auto"/>
                <w:w w:val="94"/>
              </w:rPr>
              <w:t>Number</w:t>
            </w:r>
          </w:p>
        </w:tc>
        <w:tc>
          <w:tcPr>
            <w:tcW w:w="88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w w:val="98"/>
              </w:rPr>
              <w:t>Herewith</w:t>
            </w:r>
          </w:p>
        </w:tc>
      </w:tr>
      <w:tr>
        <w:trPr>
          <w:trHeight w:val="20"/>
        </w:trPr>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8-K</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July 24, 2017</w:t>
            </w:r>
          </w:p>
        </w:tc>
        <w:tc>
          <w:tcPr>
            <w:tcW w:w="820" w:type="dxa"/>
            <w:vAlign w:val="bottom"/>
            <w:gridSpan w:val="2"/>
          </w:tcPr>
          <w:p>
            <w:pPr>
              <w:jc w:val="center"/>
              <w:ind w:left="191"/>
              <w:spacing w:after="0"/>
              <w:rPr>
                <w:sz w:val="20"/>
                <w:szCs w:val="20"/>
                <w:color w:val="auto"/>
              </w:rPr>
            </w:pPr>
            <w:r>
              <w:rPr>
                <w:rFonts w:ascii="Arial" w:cs="Arial" w:eastAsia="Arial" w:hAnsi="Arial"/>
                <w:sz w:val="18"/>
                <w:szCs w:val="18"/>
                <w:color w:val="auto"/>
                <w:w w:val="87"/>
              </w:rPr>
              <w:t>2.1</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756"/>
        </w:trPr>
        <w:tc>
          <w:tcPr>
            <w:tcW w:w="960" w:type="dxa"/>
            <w:vAlign w:val="bottom"/>
          </w:tcPr>
          <w:p>
            <w:pPr>
              <w:spacing w:after="0"/>
              <w:rPr>
                <w:sz w:val="20"/>
                <w:szCs w:val="20"/>
                <w:color w:val="auto"/>
              </w:rPr>
            </w:pPr>
            <w:r>
              <w:rPr>
                <w:rFonts w:ascii="Arial" w:cs="Arial" w:eastAsia="Arial" w:hAnsi="Arial"/>
                <w:sz w:val="18"/>
                <w:szCs w:val="18"/>
                <w:color w:val="auto"/>
              </w:rPr>
              <w:t>8-K</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December 8, 2017</w:t>
            </w:r>
          </w:p>
        </w:tc>
        <w:tc>
          <w:tcPr>
            <w:tcW w:w="820" w:type="dxa"/>
            <w:vAlign w:val="bottom"/>
            <w:gridSpan w:val="2"/>
          </w:tcPr>
          <w:p>
            <w:pPr>
              <w:jc w:val="center"/>
              <w:ind w:left="191"/>
              <w:spacing w:after="0"/>
              <w:rPr>
                <w:sz w:val="20"/>
                <w:szCs w:val="20"/>
                <w:color w:val="auto"/>
              </w:rPr>
            </w:pPr>
            <w:r>
              <w:rPr>
                <w:rFonts w:ascii="Arial" w:cs="Arial" w:eastAsia="Arial" w:hAnsi="Arial"/>
                <w:sz w:val="18"/>
                <w:szCs w:val="18"/>
                <w:color w:val="auto"/>
                <w:w w:val="87"/>
              </w:rPr>
              <w:t>2.1</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756"/>
        </w:trPr>
        <w:tc>
          <w:tcPr>
            <w:tcW w:w="960" w:type="dxa"/>
            <w:vAlign w:val="bottom"/>
          </w:tcPr>
          <w:p>
            <w:pPr>
              <w:spacing w:after="0"/>
              <w:rPr>
                <w:sz w:val="20"/>
                <w:szCs w:val="20"/>
                <w:color w:val="auto"/>
              </w:rPr>
            </w:pPr>
            <w:r>
              <w:rPr>
                <w:rFonts w:ascii="Arial" w:cs="Arial" w:eastAsia="Arial" w:hAnsi="Arial"/>
                <w:sz w:val="18"/>
                <w:szCs w:val="18"/>
                <w:color w:val="auto"/>
              </w:rPr>
              <w:t>8-K</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December 8, 2017</w:t>
            </w:r>
          </w:p>
        </w:tc>
        <w:tc>
          <w:tcPr>
            <w:tcW w:w="820" w:type="dxa"/>
            <w:vAlign w:val="bottom"/>
            <w:gridSpan w:val="2"/>
          </w:tcPr>
          <w:p>
            <w:pPr>
              <w:jc w:val="center"/>
              <w:ind w:left="191"/>
              <w:spacing w:after="0"/>
              <w:rPr>
                <w:sz w:val="20"/>
                <w:szCs w:val="20"/>
                <w:color w:val="auto"/>
              </w:rPr>
            </w:pPr>
            <w:r>
              <w:rPr>
                <w:rFonts w:ascii="Arial" w:cs="Arial" w:eastAsia="Arial" w:hAnsi="Arial"/>
                <w:sz w:val="18"/>
                <w:szCs w:val="18"/>
                <w:color w:val="auto"/>
                <w:w w:val="87"/>
              </w:rPr>
              <w:t>2.2</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8-K</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December 8, 2017</w:t>
            </w:r>
          </w:p>
        </w:tc>
        <w:tc>
          <w:tcPr>
            <w:tcW w:w="820" w:type="dxa"/>
            <w:vAlign w:val="bottom"/>
            <w:gridSpan w:val="2"/>
          </w:tcPr>
          <w:p>
            <w:pPr>
              <w:jc w:val="center"/>
              <w:ind w:left="191"/>
              <w:spacing w:after="0"/>
              <w:rPr>
                <w:sz w:val="20"/>
                <w:szCs w:val="20"/>
                <w:color w:val="auto"/>
              </w:rPr>
            </w:pPr>
            <w:r>
              <w:rPr>
                <w:rFonts w:ascii="Arial" w:cs="Arial" w:eastAsia="Arial" w:hAnsi="Arial"/>
                <w:sz w:val="18"/>
                <w:szCs w:val="18"/>
                <w:color w:val="auto"/>
                <w:w w:val="87"/>
              </w:rPr>
              <w:t>2.3</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756"/>
        </w:trPr>
        <w:tc>
          <w:tcPr>
            <w:tcW w:w="960" w:type="dxa"/>
            <w:vAlign w:val="bottom"/>
          </w:tcPr>
          <w:p>
            <w:pPr>
              <w:spacing w:after="0"/>
              <w:rPr>
                <w:sz w:val="20"/>
                <w:szCs w:val="20"/>
                <w:color w:val="auto"/>
              </w:rPr>
            </w:pPr>
            <w:r>
              <w:rPr>
                <w:rFonts w:ascii="Arial" w:cs="Arial" w:eastAsia="Arial" w:hAnsi="Arial"/>
                <w:sz w:val="18"/>
                <w:szCs w:val="18"/>
                <w:color w:val="auto"/>
              </w:rPr>
              <w:t>S-1/A</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August 7, 2014</w:t>
            </w:r>
          </w:p>
        </w:tc>
        <w:tc>
          <w:tcPr>
            <w:tcW w:w="820" w:type="dxa"/>
            <w:vAlign w:val="bottom"/>
            <w:gridSpan w:val="2"/>
          </w:tcPr>
          <w:p>
            <w:pPr>
              <w:jc w:val="center"/>
              <w:ind w:left="191"/>
              <w:spacing w:after="0"/>
              <w:rPr>
                <w:sz w:val="20"/>
                <w:szCs w:val="20"/>
                <w:color w:val="auto"/>
              </w:rPr>
            </w:pPr>
            <w:r>
              <w:rPr>
                <w:rFonts w:ascii="Arial" w:cs="Arial" w:eastAsia="Arial" w:hAnsi="Arial"/>
                <w:sz w:val="18"/>
                <w:szCs w:val="18"/>
                <w:color w:val="auto"/>
                <w:w w:val="87"/>
              </w:rPr>
              <w:t>3.2</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S-1/A</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July 1, 2014</w:t>
            </w:r>
          </w:p>
        </w:tc>
        <w:tc>
          <w:tcPr>
            <w:tcW w:w="820" w:type="dxa"/>
            <w:vAlign w:val="bottom"/>
            <w:gridSpan w:val="2"/>
          </w:tcPr>
          <w:p>
            <w:pPr>
              <w:jc w:val="center"/>
              <w:ind w:left="191"/>
              <w:spacing w:after="0"/>
              <w:rPr>
                <w:sz w:val="20"/>
                <w:szCs w:val="20"/>
                <w:color w:val="auto"/>
              </w:rPr>
            </w:pPr>
            <w:r>
              <w:rPr>
                <w:rFonts w:ascii="Arial" w:cs="Arial" w:eastAsia="Arial" w:hAnsi="Arial"/>
                <w:sz w:val="18"/>
                <w:szCs w:val="18"/>
                <w:color w:val="auto"/>
                <w:w w:val="87"/>
              </w:rPr>
              <w:t>3.4</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8-K</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October 15, 2015</w:t>
            </w:r>
          </w:p>
        </w:tc>
        <w:tc>
          <w:tcPr>
            <w:tcW w:w="820" w:type="dxa"/>
            <w:vAlign w:val="bottom"/>
            <w:gridSpan w:val="2"/>
          </w:tcPr>
          <w:p>
            <w:pPr>
              <w:jc w:val="center"/>
              <w:ind w:left="191"/>
              <w:spacing w:after="0"/>
              <w:rPr>
                <w:sz w:val="20"/>
                <w:szCs w:val="20"/>
                <w:color w:val="auto"/>
              </w:rPr>
            </w:pPr>
            <w:r>
              <w:rPr>
                <w:rFonts w:ascii="Arial" w:cs="Arial" w:eastAsia="Arial" w:hAnsi="Arial"/>
                <w:sz w:val="18"/>
                <w:szCs w:val="18"/>
                <w:color w:val="auto"/>
                <w:w w:val="87"/>
              </w:rPr>
              <w:t>3.1</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8-K</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July 6, 2016</w:t>
            </w:r>
          </w:p>
        </w:tc>
        <w:tc>
          <w:tcPr>
            <w:tcW w:w="820" w:type="dxa"/>
            <w:vAlign w:val="bottom"/>
            <w:gridSpan w:val="2"/>
          </w:tcPr>
          <w:p>
            <w:pPr>
              <w:jc w:val="center"/>
              <w:ind w:left="191"/>
              <w:spacing w:after="0"/>
              <w:rPr>
                <w:sz w:val="20"/>
                <w:szCs w:val="20"/>
                <w:color w:val="auto"/>
              </w:rPr>
            </w:pPr>
            <w:r>
              <w:rPr>
                <w:rFonts w:ascii="Arial" w:cs="Arial" w:eastAsia="Arial" w:hAnsi="Arial"/>
                <w:sz w:val="18"/>
                <w:szCs w:val="18"/>
                <w:color w:val="auto"/>
                <w:w w:val="87"/>
              </w:rPr>
              <w:t>3.1</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8-K</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May 11, 2017</w:t>
            </w:r>
          </w:p>
        </w:tc>
        <w:tc>
          <w:tcPr>
            <w:tcW w:w="820" w:type="dxa"/>
            <w:vAlign w:val="bottom"/>
            <w:gridSpan w:val="2"/>
          </w:tcPr>
          <w:p>
            <w:pPr>
              <w:jc w:val="center"/>
              <w:ind w:left="191"/>
              <w:spacing w:after="0"/>
              <w:rPr>
                <w:sz w:val="20"/>
                <w:szCs w:val="20"/>
                <w:color w:val="auto"/>
              </w:rPr>
            </w:pPr>
            <w:r>
              <w:rPr>
                <w:rFonts w:ascii="Arial" w:cs="Arial" w:eastAsia="Arial" w:hAnsi="Arial"/>
                <w:sz w:val="18"/>
                <w:szCs w:val="18"/>
                <w:color w:val="auto"/>
                <w:w w:val="87"/>
              </w:rPr>
              <w:t>3.1</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8-K</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October 6, 2017</w:t>
            </w:r>
          </w:p>
        </w:tc>
        <w:tc>
          <w:tcPr>
            <w:tcW w:w="820" w:type="dxa"/>
            <w:vAlign w:val="bottom"/>
            <w:gridSpan w:val="2"/>
          </w:tcPr>
          <w:p>
            <w:pPr>
              <w:jc w:val="center"/>
              <w:ind w:left="191"/>
              <w:spacing w:after="0"/>
              <w:rPr>
                <w:sz w:val="20"/>
                <w:szCs w:val="20"/>
                <w:color w:val="auto"/>
              </w:rPr>
            </w:pPr>
            <w:r>
              <w:rPr>
                <w:rFonts w:ascii="Arial" w:cs="Arial" w:eastAsia="Arial" w:hAnsi="Arial"/>
                <w:sz w:val="18"/>
                <w:szCs w:val="18"/>
                <w:color w:val="auto"/>
                <w:w w:val="87"/>
              </w:rPr>
              <w:t>3.1</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S-1/A</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August 5, 2014</w:t>
            </w:r>
          </w:p>
        </w:tc>
        <w:tc>
          <w:tcPr>
            <w:tcW w:w="820" w:type="dxa"/>
            <w:vAlign w:val="bottom"/>
            <w:gridSpan w:val="2"/>
          </w:tcPr>
          <w:p>
            <w:pPr>
              <w:jc w:val="center"/>
              <w:ind w:left="191"/>
              <w:spacing w:after="0"/>
              <w:rPr>
                <w:sz w:val="20"/>
                <w:szCs w:val="20"/>
                <w:color w:val="auto"/>
              </w:rPr>
            </w:pPr>
            <w:r>
              <w:rPr>
                <w:rFonts w:ascii="Arial" w:cs="Arial" w:eastAsia="Arial" w:hAnsi="Arial"/>
                <w:sz w:val="18"/>
                <w:szCs w:val="18"/>
                <w:color w:val="auto"/>
                <w:w w:val="87"/>
              </w:rPr>
              <w:t>4.1</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S-1/A</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July 1, 2014</w:t>
            </w:r>
          </w:p>
        </w:tc>
        <w:tc>
          <w:tcPr>
            <w:tcW w:w="820" w:type="dxa"/>
            <w:vAlign w:val="bottom"/>
            <w:gridSpan w:val="2"/>
          </w:tcPr>
          <w:p>
            <w:pPr>
              <w:jc w:val="center"/>
              <w:ind w:left="191"/>
              <w:spacing w:after="0"/>
              <w:rPr>
                <w:sz w:val="20"/>
                <w:szCs w:val="20"/>
                <w:color w:val="auto"/>
              </w:rPr>
            </w:pPr>
            <w:r>
              <w:rPr>
                <w:rFonts w:ascii="Arial" w:cs="Arial" w:eastAsia="Arial" w:hAnsi="Arial"/>
                <w:sz w:val="18"/>
                <w:szCs w:val="18"/>
                <w:color w:val="auto"/>
                <w:w w:val="87"/>
              </w:rPr>
              <w:t>4.2</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756"/>
        </w:trPr>
        <w:tc>
          <w:tcPr>
            <w:tcW w:w="960" w:type="dxa"/>
            <w:vAlign w:val="bottom"/>
          </w:tcPr>
          <w:p>
            <w:pPr>
              <w:spacing w:after="0"/>
              <w:rPr>
                <w:sz w:val="20"/>
                <w:szCs w:val="20"/>
                <w:color w:val="auto"/>
              </w:rPr>
            </w:pPr>
            <w:r>
              <w:rPr>
                <w:rFonts w:ascii="Arial" w:cs="Arial" w:eastAsia="Arial" w:hAnsi="Arial"/>
                <w:sz w:val="18"/>
                <w:szCs w:val="18"/>
                <w:color w:val="auto"/>
              </w:rPr>
              <w:t>S-1/A</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August 5, 2014</w:t>
            </w:r>
          </w:p>
        </w:tc>
        <w:tc>
          <w:tcPr>
            <w:tcW w:w="820" w:type="dxa"/>
            <w:vAlign w:val="bottom"/>
            <w:gridSpan w:val="2"/>
          </w:tcPr>
          <w:p>
            <w:pPr>
              <w:jc w:val="center"/>
              <w:ind w:left="191"/>
              <w:spacing w:after="0"/>
              <w:rPr>
                <w:sz w:val="20"/>
                <w:szCs w:val="20"/>
                <w:color w:val="auto"/>
              </w:rPr>
            </w:pPr>
            <w:r>
              <w:rPr>
                <w:rFonts w:ascii="Arial" w:cs="Arial" w:eastAsia="Arial" w:hAnsi="Arial"/>
                <w:sz w:val="18"/>
                <w:szCs w:val="18"/>
                <w:color w:val="auto"/>
                <w:w w:val="87"/>
              </w:rPr>
              <w:t>4.3</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S-1/A</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August 5, 2014</w:t>
            </w:r>
          </w:p>
        </w:tc>
        <w:tc>
          <w:tcPr>
            <w:tcW w:w="820" w:type="dxa"/>
            <w:vAlign w:val="bottom"/>
            <w:gridSpan w:val="2"/>
          </w:tcPr>
          <w:p>
            <w:pPr>
              <w:jc w:val="center"/>
              <w:ind w:left="191"/>
              <w:spacing w:after="0"/>
              <w:rPr>
                <w:sz w:val="20"/>
                <w:szCs w:val="20"/>
                <w:color w:val="auto"/>
              </w:rPr>
            </w:pPr>
            <w:r>
              <w:rPr>
                <w:rFonts w:ascii="Arial" w:cs="Arial" w:eastAsia="Arial" w:hAnsi="Arial"/>
                <w:sz w:val="18"/>
                <w:szCs w:val="18"/>
                <w:color w:val="auto"/>
                <w:w w:val="87"/>
              </w:rPr>
              <w:t>4.4</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S-1/A</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August 5, 2014</w:t>
            </w:r>
          </w:p>
        </w:tc>
        <w:tc>
          <w:tcPr>
            <w:tcW w:w="820" w:type="dxa"/>
            <w:vAlign w:val="bottom"/>
            <w:gridSpan w:val="2"/>
          </w:tcPr>
          <w:p>
            <w:pPr>
              <w:jc w:val="center"/>
              <w:ind w:left="191"/>
              <w:spacing w:after="0"/>
              <w:rPr>
                <w:sz w:val="20"/>
                <w:szCs w:val="20"/>
                <w:color w:val="auto"/>
              </w:rPr>
            </w:pPr>
            <w:r>
              <w:rPr>
                <w:rFonts w:ascii="Arial" w:cs="Arial" w:eastAsia="Arial" w:hAnsi="Arial"/>
                <w:sz w:val="18"/>
                <w:szCs w:val="18"/>
                <w:color w:val="auto"/>
                <w:w w:val="87"/>
              </w:rPr>
              <w:t>4.5</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S-1</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June 10, 2014</w:t>
            </w:r>
          </w:p>
        </w:tc>
        <w:tc>
          <w:tcPr>
            <w:tcW w:w="820" w:type="dxa"/>
            <w:vAlign w:val="bottom"/>
            <w:gridSpan w:val="2"/>
          </w:tcPr>
          <w:p>
            <w:pPr>
              <w:jc w:val="center"/>
              <w:ind w:left="191"/>
              <w:spacing w:after="0"/>
              <w:rPr>
                <w:sz w:val="20"/>
                <w:szCs w:val="20"/>
                <w:color w:val="auto"/>
              </w:rPr>
            </w:pPr>
            <w:r>
              <w:rPr>
                <w:rFonts w:ascii="Arial" w:cs="Arial" w:eastAsia="Arial" w:hAnsi="Arial"/>
                <w:sz w:val="18"/>
                <w:szCs w:val="18"/>
                <w:color w:val="auto"/>
                <w:w w:val="87"/>
              </w:rPr>
              <w:t>4.6</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S-1</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June 10, 2014</w:t>
            </w:r>
          </w:p>
        </w:tc>
        <w:tc>
          <w:tcPr>
            <w:tcW w:w="820" w:type="dxa"/>
            <w:vAlign w:val="bottom"/>
            <w:gridSpan w:val="2"/>
          </w:tcPr>
          <w:p>
            <w:pPr>
              <w:jc w:val="center"/>
              <w:ind w:left="191"/>
              <w:spacing w:after="0"/>
              <w:rPr>
                <w:sz w:val="20"/>
                <w:szCs w:val="20"/>
                <w:color w:val="auto"/>
              </w:rPr>
            </w:pPr>
            <w:r>
              <w:rPr>
                <w:rFonts w:ascii="Arial" w:cs="Arial" w:eastAsia="Arial" w:hAnsi="Arial"/>
                <w:sz w:val="18"/>
                <w:szCs w:val="18"/>
                <w:color w:val="auto"/>
                <w:w w:val="87"/>
              </w:rPr>
              <w:t>4.7</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2">
            <w:col w:w="6240" w:space="300"/>
            <w:col w:w="4660"/>
          </w:cols>
          <w:pgMar w:left="240" w:top="459" w:right="45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760" w:type="dxa"/>
            <w:vAlign w:val="bottom"/>
            <w:gridSpan w:val="21"/>
            <w:vMerge w:val="restart"/>
          </w:tcPr>
          <w:p>
            <w:pPr>
              <w:ind w:left="2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Number</w:t>
            </w: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760" w:type="dxa"/>
            <w:vAlign w:val="bottom"/>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22"/>
                <w:szCs w:val="22"/>
                <w:color w:val="auto"/>
              </w:rPr>
            </w:pPr>
          </w:p>
        </w:tc>
        <w:tc>
          <w:tcPr>
            <w:tcW w:w="5480" w:type="dxa"/>
            <w:vAlign w:val="bottom"/>
            <w:tcBorders>
              <w:top w:val="single" w:sz="8" w:color="auto"/>
            </w:tcBorders>
            <w:gridSpan w:val="22"/>
          </w:tcPr>
          <w:p>
            <w:pPr>
              <w:spacing w:after="0"/>
              <w:rPr>
                <w:rFonts w:ascii="Arial" w:cs="Arial" w:eastAsia="Arial" w:hAnsi="Arial"/>
                <w:sz w:val="18"/>
                <w:szCs w:val="18"/>
                <w:color w:val="0000EE"/>
              </w:rPr>
            </w:pPr>
            <w:hyperlink r:id="rId156">
              <w:r>
                <w:rPr>
                  <w:rFonts w:ascii="Arial" w:cs="Arial" w:eastAsia="Arial" w:hAnsi="Arial"/>
                  <w:sz w:val="18"/>
                  <w:szCs w:val="18"/>
                  <w:color w:val="0000EE"/>
                </w:rPr>
                <w:t>Form of Convertible Promissory Note issued in November 2010 in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connection with the 2010 convertible note financing.</w:t>
              </w:r>
            </w:hyperlink>
          </w:p>
        </w:tc>
        <w:tc>
          <w:tcPr>
            <w:tcW w:w="1000" w:type="dxa"/>
            <w:vAlign w:val="bottom"/>
            <w:tcBorders>
              <w:top w:val="single" w:sz="8" w:color="0000EE"/>
            </w:tcBorders>
            <w:gridSpan w:val="7"/>
          </w:tcPr>
          <w:p>
            <w:pPr>
              <w:spacing w:after="0"/>
              <w:rPr>
                <w:sz w:val="17"/>
                <w:szCs w:val="17"/>
                <w:color w:val="auto"/>
              </w:rPr>
            </w:pPr>
          </w:p>
        </w:tc>
        <w:tc>
          <w:tcPr>
            <w:tcW w:w="6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8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4"/>
                <w:szCs w:val="24"/>
                <w:color w:val="auto"/>
              </w:rPr>
            </w:pPr>
          </w:p>
        </w:tc>
        <w:tc>
          <w:tcPr>
            <w:tcW w:w="4680" w:type="dxa"/>
            <w:vAlign w:val="bottom"/>
            <w:tcBorders>
              <w:bottom w:val="single" w:sz="8" w:color="0000EE"/>
            </w:tcBorders>
            <w:gridSpan w:val="13"/>
          </w:tcPr>
          <w:p>
            <w:pPr>
              <w:spacing w:after="0"/>
              <w:rPr>
                <w:rFonts w:ascii="Arial" w:cs="Arial" w:eastAsia="Arial" w:hAnsi="Arial"/>
                <w:sz w:val="18"/>
                <w:szCs w:val="18"/>
                <w:color w:val="0000EE"/>
                <w:w w:val="89"/>
              </w:rPr>
            </w:pPr>
            <w:hyperlink r:id="rId157">
              <w:r>
                <w:rPr>
                  <w:rFonts w:ascii="Arial" w:cs="Arial" w:eastAsia="Arial" w:hAnsi="Arial"/>
                  <w:sz w:val="18"/>
                  <w:szCs w:val="18"/>
                  <w:color w:val="0000EE"/>
                  <w:w w:val="89"/>
                </w:rPr>
                <w:t>Form of Warrant to Purchase Shares issued in November 2010 in</w:t>
              </w:r>
            </w:hyperlink>
          </w:p>
        </w:tc>
        <w:tc>
          <w:tcPr>
            <w:tcW w:w="8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connection with the 2010 convertible note financing.</w:t>
              </w:r>
            </w:hyperlink>
          </w:p>
        </w:tc>
        <w:tc>
          <w:tcPr>
            <w:tcW w:w="16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80"/>
              <w:spacing w:after="0"/>
              <w:rPr>
                <w:sz w:val="20"/>
                <w:szCs w:val="20"/>
                <w:color w:val="auto"/>
              </w:rPr>
            </w:pPr>
            <w:r>
              <w:rPr>
                <w:rFonts w:ascii="Arial" w:cs="Arial" w:eastAsia="Arial" w:hAnsi="Arial"/>
                <w:sz w:val="18"/>
                <w:szCs w:val="18"/>
                <w:color w:val="auto"/>
                <w:w w:val="91"/>
              </w:rPr>
              <w:t>4.10</w:t>
            </w:r>
          </w:p>
        </w:tc>
        <w:tc>
          <w:tcPr>
            <w:tcW w:w="300" w:type="dxa"/>
            <w:vAlign w:val="bottom"/>
          </w:tcPr>
          <w:p>
            <w:pPr>
              <w:spacing w:after="0"/>
              <w:rPr>
                <w:sz w:val="24"/>
                <w:szCs w:val="24"/>
                <w:color w:val="auto"/>
              </w:rPr>
            </w:pPr>
          </w:p>
        </w:tc>
        <w:tc>
          <w:tcPr>
            <w:tcW w:w="5460" w:type="dxa"/>
            <w:vAlign w:val="bottom"/>
            <w:tcBorders>
              <w:bottom w:val="single" w:sz="8" w:color="0000EE"/>
            </w:tcBorders>
            <w:gridSpan w:val="21"/>
          </w:tcPr>
          <w:p>
            <w:pPr>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Form of Convertible Promissory Note issued in January 2012 in connection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80" w:type="dxa"/>
            <w:vAlign w:val="bottom"/>
            <w:gridSpan w:val="22"/>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with the 2012 convertible note financing.</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80"/>
              <w:spacing w:after="0"/>
              <w:rPr>
                <w:sz w:val="20"/>
                <w:szCs w:val="20"/>
                <w:color w:val="auto"/>
              </w:rPr>
            </w:pPr>
            <w:r>
              <w:rPr>
                <w:rFonts w:ascii="Arial" w:cs="Arial" w:eastAsia="Arial" w:hAnsi="Arial"/>
                <w:sz w:val="18"/>
                <w:szCs w:val="18"/>
                <w:color w:val="auto"/>
                <w:w w:val="91"/>
              </w:rPr>
              <w:t>4.11</w:t>
            </w:r>
          </w:p>
        </w:tc>
        <w:tc>
          <w:tcPr>
            <w:tcW w:w="300" w:type="dxa"/>
            <w:vAlign w:val="bottom"/>
          </w:tcPr>
          <w:p>
            <w:pPr>
              <w:spacing w:after="0"/>
              <w:rPr>
                <w:sz w:val="24"/>
                <w:szCs w:val="24"/>
                <w:color w:val="auto"/>
              </w:rPr>
            </w:pPr>
          </w:p>
        </w:tc>
        <w:tc>
          <w:tcPr>
            <w:tcW w:w="5320" w:type="dxa"/>
            <w:vAlign w:val="bottom"/>
            <w:tcBorders>
              <w:bottom w:val="single" w:sz="8" w:color="0000EE"/>
            </w:tcBorders>
            <w:gridSpan w:val="18"/>
          </w:tcPr>
          <w:p>
            <w:pPr>
              <w:spacing w:after="0"/>
              <w:rPr>
                <w:rFonts w:ascii="Arial" w:cs="Arial" w:eastAsia="Arial" w:hAnsi="Arial"/>
                <w:sz w:val="18"/>
                <w:szCs w:val="18"/>
                <w:color w:val="0000EE"/>
                <w:w w:val="89"/>
              </w:rPr>
            </w:pPr>
            <w:hyperlink r:id="rId159">
              <w:r>
                <w:rPr>
                  <w:rFonts w:ascii="Arial" w:cs="Arial" w:eastAsia="Arial" w:hAnsi="Arial"/>
                  <w:sz w:val="18"/>
                  <w:szCs w:val="18"/>
                  <w:color w:val="0000EE"/>
                  <w:w w:val="89"/>
                </w:rPr>
                <w:t>Form of Warrant to Purchase Shares issued in January 2012 in connection</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80" w:type="dxa"/>
            <w:vAlign w:val="bottom"/>
            <w:gridSpan w:val="22"/>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with Soleno Therapeutics, Inc.’s 2012 convertible note financing.</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80"/>
              <w:spacing w:after="0"/>
              <w:rPr>
                <w:sz w:val="20"/>
                <w:szCs w:val="20"/>
                <w:color w:val="auto"/>
              </w:rPr>
            </w:pPr>
            <w:r>
              <w:rPr>
                <w:rFonts w:ascii="Arial" w:cs="Arial" w:eastAsia="Arial" w:hAnsi="Arial"/>
                <w:sz w:val="18"/>
                <w:szCs w:val="18"/>
                <w:color w:val="auto"/>
                <w:w w:val="91"/>
              </w:rPr>
              <w:t>4.12</w:t>
            </w:r>
          </w:p>
        </w:tc>
        <w:tc>
          <w:tcPr>
            <w:tcW w:w="300" w:type="dxa"/>
            <w:vAlign w:val="bottom"/>
          </w:tcPr>
          <w:p>
            <w:pPr>
              <w:spacing w:after="0"/>
              <w:rPr>
                <w:sz w:val="24"/>
                <w:szCs w:val="24"/>
                <w:color w:val="auto"/>
              </w:rPr>
            </w:pPr>
          </w:p>
        </w:tc>
        <w:tc>
          <w:tcPr>
            <w:tcW w:w="5440" w:type="dxa"/>
            <w:vAlign w:val="bottom"/>
            <w:tcBorders>
              <w:bottom w:val="single" w:sz="8" w:color="0000EE"/>
            </w:tcBorders>
            <w:gridSpan w:val="20"/>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Form of Convertible Promissory Note issued in July 2012 and August 2012</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80" w:type="dxa"/>
            <w:vAlign w:val="bottom"/>
            <w:gridSpan w:val="22"/>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in connection with the 2012 convertible note financing.</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80"/>
              <w:spacing w:after="0"/>
              <w:rPr>
                <w:sz w:val="20"/>
                <w:szCs w:val="20"/>
                <w:color w:val="auto"/>
              </w:rPr>
            </w:pPr>
            <w:r>
              <w:rPr>
                <w:rFonts w:ascii="Arial" w:cs="Arial" w:eastAsia="Arial" w:hAnsi="Arial"/>
                <w:sz w:val="18"/>
                <w:szCs w:val="18"/>
                <w:color w:val="auto"/>
                <w:w w:val="91"/>
              </w:rPr>
              <w:t>4.13</w:t>
            </w:r>
          </w:p>
        </w:tc>
        <w:tc>
          <w:tcPr>
            <w:tcW w:w="300" w:type="dxa"/>
            <w:vAlign w:val="bottom"/>
          </w:tcPr>
          <w:p>
            <w:pPr>
              <w:spacing w:after="0"/>
              <w:rPr>
                <w:sz w:val="24"/>
                <w:szCs w:val="24"/>
                <w:color w:val="auto"/>
              </w:rPr>
            </w:pPr>
          </w:p>
        </w:tc>
        <w:tc>
          <w:tcPr>
            <w:tcW w:w="5480" w:type="dxa"/>
            <w:vAlign w:val="bottom"/>
            <w:gridSpan w:val="22"/>
          </w:tcPr>
          <w:p>
            <w:pPr>
              <w:spacing w:after="0"/>
              <w:rPr>
                <w:rFonts w:ascii="Arial" w:cs="Arial" w:eastAsia="Arial" w:hAnsi="Arial"/>
                <w:sz w:val="18"/>
                <w:szCs w:val="18"/>
                <w:color w:val="0000EE"/>
                <w:w w:val="92"/>
              </w:rPr>
            </w:pPr>
            <w:hyperlink r:id="rId161">
              <w:r>
                <w:rPr>
                  <w:rFonts w:ascii="Arial" w:cs="Arial" w:eastAsia="Arial" w:hAnsi="Arial"/>
                  <w:sz w:val="18"/>
                  <w:szCs w:val="18"/>
                  <w:color w:val="0000EE"/>
                  <w:w w:val="92"/>
                </w:rPr>
                <w:t>Form of Warrant to Purchase Shares issued in July 2012 and August 2012</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3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in connection with the 2012 convertible note financing.</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80"/>
              <w:spacing w:after="0"/>
              <w:rPr>
                <w:sz w:val="20"/>
                <w:szCs w:val="20"/>
                <w:color w:val="auto"/>
              </w:rPr>
            </w:pPr>
            <w:r>
              <w:rPr>
                <w:rFonts w:ascii="Arial" w:cs="Arial" w:eastAsia="Arial" w:hAnsi="Arial"/>
                <w:sz w:val="18"/>
                <w:szCs w:val="18"/>
                <w:color w:val="auto"/>
                <w:w w:val="91"/>
              </w:rPr>
              <w:t>4.14</w:t>
            </w:r>
          </w:p>
        </w:tc>
        <w:tc>
          <w:tcPr>
            <w:tcW w:w="300" w:type="dxa"/>
            <w:vAlign w:val="bottom"/>
          </w:tcPr>
          <w:p>
            <w:pPr>
              <w:spacing w:after="0"/>
              <w:rPr>
                <w:sz w:val="24"/>
                <w:szCs w:val="24"/>
                <w:color w:val="auto"/>
              </w:rPr>
            </w:pPr>
          </w:p>
        </w:tc>
        <w:tc>
          <w:tcPr>
            <w:tcW w:w="5380" w:type="dxa"/>
            <w:vAlign w:val="bottom"/>
            <w:tcBorders>
              <w:bottom w:val="single" w:sz="8" w:color="0000EE"/>
            </w:tcBorders>
            <w:gridSpan w:val="19"/>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Form of Convertible Promissory Note issued in April, August and October</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80" w:type="dxa"/>
            <w:vAlign w:val="bottom"/>
            <w:gridSpan w:val="22"/>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2014 in connection with the 2014 convertible note financing.</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80"/>
              <w:spacing w:after="0"/>
              <w:rPr>
                <w:sz w:val="20"/>
                <w:szCs w:val="20"/>
                <w:color w:val="auto"/>
              </w:rPr>
            </w:pPr>
            <w:r>
              <w:rPr>
                <w:rFonts w:ascii="Arial" w:cs="Arial" w:eastAsia="Arial" w:hAnsi="Arial"/>
                <w:sz w:val="18"/>
                <w:szCs w:val="18"/>
                <w:color w:val="auto"/>
                <w:w w:val="91"/>
              </w:rPr>
              <w:t>4.15</w:t>
            </w:r>
          </w:p>
        </w:tc>
        <w:tc>
          <w:tcPr>
            <w:tcW w:w="300" w:type="dxa"/>
            <w:vAlign w:val="bottom"/>
          </w:tcPr>
          <w:p>
            <w:pPr>
              <w:spacing w:after="0"/>
              <w:rPr>
                <w:sz w:val="24"/>
                <w:szCs w:val="24"/>
                <w:color w:val="auto"/>
              </w:rPr>
            </w:pPr>
          </w:p>
        </w:tc>
        <w:tc>
          <w:tcPr>
            <w:tcW w:w="5480" w:type="dxa"/>
            <w:vAlign w:val="bottom"/>
            <w:gridSpan w:val="22"/>
          </w:tcPr>
          <w:p>
            <w:pPr>
              <w:spacing w:after="0"/>
              <w:rPr>
                <w:rFonts w:ascii="Arial" w:cs="Arial" w:eastAsia="Arial" w:hAnsi="Arial"/>
                <w:sz w:val="18"/>
                <w:szCs w:val="18"/>
                <w:color w:val="0000EE"/>
                <w:w w:val="93"/>
              </w:rPr>
            </w:pPr>
            <w:hyperlink r:id="rId163">
              <w:r>
                <w:rPr>
                  <w:rFonts w:ascii="Arial" w:cs="Arial" w:eastAsia="Arial" w:hAnsi="Arial"/>
                  <w:sz w:val="18"/>
                  <w:szCs w:val="18"/>
                  <w:color w:val="0000EE"/>
                  <w:w w:val="93"/>
                </w:rPr>
                <w:t>Form of Warrant to Purchase Shares issued in April, August and October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2014 in connection with the 2014 convertible note financing.</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80"/>
              <w:spacing w:after="0"/>
              <w:rPr>
                <w:sz w:val="20"/>
                <w:szCs w:val="20"/>
                <w:color w:val="auto"/>
              </w:rPr>
            </w:pPr>
            <w:r>
              <w:rPr>
                <w:rFonts w:ascii="Arial" w:cs="Arial" w:eastAsia="Arial" w:hAnsi="Arial"/>
                <w:sz w:val="18"/>
                <w:szCs w:val="18"/>
                <w:color w:val="auto"/>
                <w:w w:val="91"/>
              </w:rPr>
              <w:t>4.16</w:t>
            </w:r>
          </w:p>
        </w:tc>
        <w:tc>
          <w:tcPr>
            <w:tcW w:w="300" w:type="dxa"/>
            <w:vAlign w:val="bottom"/>
          </w:tcPr>
          <w:p>
            <w:pPr>
              <w:spacing w:after="0"/>
              <w:rPr>
                <w:sz w:val="24"/>
                <w:szCs w:val="24"/>
                <w:color w:val="auto"/>
              </w:rPr>
            </w:pPr>
          </w:p>
        </w:tc>
        <w:tc>
          <w:tcPr>
            <w:tcW w:w="1720" w:type="dxa"/>
            <w:vAlign w:val="bottom"/>
            <w:tcBorders>
              <w:top w:val="single" w:sz="8" w:color="0000EE"/>
              <w:bottom w:val="single" w:sz="8" w:color="0000EE"/>
            </w:tcBorders>
          </w:tcPr>
          <w:p>
            <w:pPr>
              <w:spacing w:after="0"/>
              <w:rPr>
                <w:rFonts w:ascii="Arial" w:cs="Arial" w:eastAsia="Arial" w:hAnsi="Arial"/>
                <w:sz w:val="18"/>
                <w:szCs w:val="18"/>
                <w:color w:val="0000EE"/>
                <w:w w:val="92"/>
              </w:rPr>
            </w:pPr>
            <w:hyperlink r:id="rId164">
              <w:r>
                <w:rPr>
                  <w:rFonts w:ascii="Arial" w:cs="Arial" w:eastAsia="Arial" w:hAnsi="Arial"/>
                  <w:sz w:val="18"/>
                  <w:szCs w:val="18"/>
                  <w:color w:val="0000EE"/>
                  <w:w w:val="92"/>
                </w:rPr>
                <w:t>Form of unit certificate.</w:t>
              </w:r>
            </w:hyperlink>
          </w:p>
        </w:tc>
        <w:tc>
          <w:tcPr>
            <w:tcW w:w="2660" w:type="dxa"/>
            <w:vAlign w:val="bottom"/>
            <w:tcBorders>
              <w:top w:val="single" w:sz="8" w:color="0000EE"/>
            </w:tcBorders>
            <w:gridSpan w:val="11"/>
          </w:tcPr>
          <w:p>
            <w:pPr>
              <w:spacing w:after="0"/>
              <w:rPr>
                <w:sz w:val="24"/>
                <w:szCs w:val="24"/>
                <w:color w:val="auto"/>
              </w:rPr>
            </w:pPr>
          </w:p>
        </w:tc>
        <w:tc>
          <w:tcPr>
            <w:tcW w:w="11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80"/>
              <w:spacing w:after="0"/>
              <w:rPr>
                <w:sz w:val="20"/>
                <w:szCs w:val="20"/>
                <w:color w:val="auto"/>
              </w:rPr>
            </w:pPr>
            <w:r>
              <w:rPr>
                <w:rFonts w:ascii="Arial" w:cs="Arial" w:eastAsia="Arial" w:hAnsi="Arial"/>
                <w:sz w:val="18"/>
                <w:szCs w:val="18"/>
                <w:color w:val="auto"/>
                <w:w w:val="91"/>
              </w:rPr>
              <w:t>4.17</w:t>
            </w:r>
          </w:p>
        </w:tc>
        <w:tc>
          <w:tcPr>
            <w:tcW w:w="300" w:type="dxa"/>
            <w:vAlign w:val="bottom"/>
          </w:tcPr>
          <w:p>
            <w:pPr>
              <w:spacing w:after="0"/>
              <w:rPr>
                <w:sz w:val="24"/>
                <w:szCs w:val="24"/>
                <w:color w:val="auto"/>
              </w:rPr>
            </w:pPr>
          </w:p>
        </w:tc>
        <w:tc>
          <w:tcPr>
            <w:tcW w:w="2740" w:type="dxa"/>
            <w:vAlign w:val="bottom"/>
            <w:tcBorders>
              <w:bottom w:val="single" w:sz="8" w:color="0000EE"/>
            </w:tcBorders>
            <w:gridSpan w:val="3"/>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Form of Series B Warrant Agreement.</w:t>
              </w:r>
            </w:hyperlink>
          </w:p>
        </w:tc>
        <w:tc>
          <w:tcPr>
            <w:tcW w:w="274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80"/>
              <w:spacing w:after="0"/>
              <w:rPr>
                <w:sz w:val="20"/>
                <w:szCs w:val="20"/>
                <w:color w:val="auto"/>
              </w:rPr>
            </w:pPr>
            <w:r>
              <w:rPr>
                <w:rFonts w:ascii="Arial" w:cs="Arial" w:eastAsia="Arial" w:hAnsi="Arial"/>
                <w:sz w:val="18"/>
                <w:szCs w:val="18"/>
                <w:color w:val="auto"/>
                <w:w w:val="91"/>
              </w:rPr>
              <w:t>4.18</w:t>
            </w:r>
          </w:p>
        </w:tc>
        <w:tc>
          <w:tcPr>
            <w:tcW w:w="300" w:type="dxa"/>
            <w:vAlign w:val="bottom"/>
          </w:tcPr>
          <w:p>
            <w:pPr>
              <w:spacing w:after="0"/>
              <w:rPr>
                <w:sz w:val="24"/>
                <w:szCs w:val="24"/>
                <w:color w:val="auto"/>
              </w:rPr>
            </w:pPr>
          </w:p>
        </w:tc>
        <w:tc>
          <w:tcPr>
            <w:tcW w:w="5480" w:type="dxa"/>
            <w:vAlign w:val="bottom"/>
            <w:gridSpan w:val="22"/>
          </w:tcPr>
          <w:p>
            <w:pPr>
              <w:spacing w:after="0"/>
              <w:rPr>
                <w:rFonts w:ascii="Arial" w:cs="Arial" w:eastAsia="Arial" w:hAnsi="Arial"/>
                <w:sz w:val="18"/>
                <w:szCs w:val="18"/>
                <w:color w:val="0000EE"/>
              </w:rPr>
            </w:pPr>
            <w:hyperlink r:id="rId166">
              <w:r>
                <w:rPr>
                  <w:rFonts w:ascii="Arial" w:cs="Arial" w:eastAsia="Arial" w:hAnsi="Arial"/>
                  <w:sz w:val="18"/>
                  <w:szCs w:val="18"/>
                  <w:color w:val="0000EE"/>
                </w:rPr>
                <w:t>Form of the Series B Warrant certificate.</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gridSpan w:val="2"/>
          </w:tcPr>
          <w:p>
            <w:pPr>
              <w:ind w:left="180"/>
              <w:spacing w:after="0"/>
              <w:rPr>
                <w:sz w:val="20"/>
                <w:szCs w:val="20"/>
                <w:color w:val="auto"/>
              </w:rPr>
            </w:pPr>
            <w:r>
              <w:rPr>
                <w:rFonts w:ascii="Arial" w:cs="Arial" w:eastAsia="Arial" w:hAnsi="Arial"/>
                <w:sz w:val="18"/>
                <w:szCs w:val="18"/>
                <w:color w:val="auto"/>
                <w:w w:val="91"/>
              </w:rPr>
              <w:t>4.19</w:t>
            </w:r>
          </w:p>
        </w:tc>
        <w:tc>
          <w:tcPr>
            <w:tcW w:w="300" w:type="dxa"/>
            <w:vAlign w:val="bottom"/>
          </w:tcPr>
          <w:p>
            <w:pPr>
              <w:spacing w:after="0"/>
              <w:rPr>
                <w:sz w:val="24"/>
                <w:szCs w:val="24"/>
                <w:color w:val="auto"/>
              </w:rPr>
            </w:pPr>
          </w:p>
        </w:tc>
        <w:tc>
          <w:tcPr>
            <w:tcW w:w="5480" w:type="dxa"/>
            <w:vAlign w:val="bottom"/>
            <w:gridSpan w:val="22"/>
          </w:tcPr>
          <w:p>
            <w:pPr>
              <w:spacing w:after="0"/>
              <w:rPr>
                <w:rFonts w:ascii="Arial" w:cs="Arial" w:eastAsia="Arial" w:hAnsi="Arial"/>
                <w:sz w:val="18"/>
                <w:szCs w:val="18"/>
                <w:color w:val="0000EE"/>
              </w:rPr>
            </w:pPr>
            <w:hyperlink r:id="rId167">
              <w:r>
                <w:rPr>
                  <w:rFonts w:ascii="Arial" w:cs="Arial" w:eastAsia="Arial" w:hAnsi="Arial"/>
                  <w:sz w:val="18"/>
                  <w:szCs w:val="18"/>
                  <w:color w:val="0000EE"/>
                </w:rPr>
                <w:t>Form of the Series C Warrant Agreement.</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ind w:left="180"/>
              <w:spacing w:after="0"/>
              <w:rPr>
                <w:sz w:val="20"/>
                <w:szCs w:val="20"/>
                <w:color w:val="auto"/>
              </w:rPr>
            </w:pPr>
            <w:r>
              <w:rPr>
                <w:rFonts w:ascii="Arial" w:cs="Arial" w:eastAsia="Arial" w:hAnsi="Arial"/>
                <w:sz w:val="18"/>
                <w:szCs w:val="18"/>
                <w:color w:val="auto"/>
                <w:w w:val="91"/>
              </w:rPr>
              <w:t>4.20</w:t>
            </w:r>
          </w:p>
        </w:tc>
        <w:tc>
          <w:tcPr>
            <w:tcW w:w="300" w:type="dxa"/>
            <w:vAlign w:val="bottom"/>
          </w:tcPr>
          <w:p>
            <w:pPr>
              <w:spacing w:after="0"/>
              <w:rPr>
                <w:sz w:val="24"/>
                <w:szCs w:val="24"/>
                <w:color w:val="auto"/>
              </w:rPr>
            </w:pPr>
          </w:p>
        </w:tc>
        <w:tc>
          <w:tcPr>
            <w:tcW w:w="3000" w:type="dxa"/>
            <w:vAlign w:val="bottom"/>
            <w:tcBorders>
              <w:top w:val="single" w:sz="8" w:color="0000EE"/>
            </w:tcBorders>
            <w:gridSpan w:val="5"/>
          </w:tcPr>
          <w:p>
            <w:pPr>
              <w:spacing w:after="0"/>
              <w:rPr>
                <w:rFonts w:ascii="Arial" w:cs="Arial" w:eastAsia="Arial" w:hAnsi="Arial"/>
                <w:sz w:val="18"/>
                <w:szCs w:val="18"/>
                <w:color w:val="0000EE"/>
                <w:w w:val="92"/>
              </w:rPr>
            </w:pPr>
            <w:hyperlink r:id="rId168">
              <w:r>
                <w:rPr>
                  <w:rFonts w:ascii="Arial" w:cs="Arial" w:eastAsia="Arial" w:hAnsi="Arial"/>
                  <w:sz w:val="18"/>
                  <w:szCs w:val="18"/>
                  <w:color w:val="0000EE"/>
                  <w:w w:val="92"/>
                </w:rPr>
                <w:t>Form of the Series C Warrant certificate.</w:t>
              </w:r>
            </w:hyperlink>
          </w:p>
        </w:tc>
        <w:tc>
          <w:tcPr>
            <w:tcW w:w="248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80"/>
              <w:spacing w:after="0"/>
              <w:rPr>
                <w:sz w:val="20"/>
                <w:szCs w:val="20"/>
                <w:color w:val="auto"/>
              </w:rPr>
            </w:pPr>
            <w:r>
              <w:rPr>
                <w:rFonts w:ascii="Arial" w:cs="Arial" w:eastAsia="Arial" w:hAnsi="Arial"/>
                <w:sz w:val="18"/>
                <w:szCs w:val="18"/>
                <w:color w:val="auto"/>
                <w:w w:val="91"/>
              </w:rPr>
              <w:t>4.21</w:t>
            </w:r>
          </w:p>
        </w:tc>
        <w:tc>
          <w:tcPr>
            <w:tcW w:w="300" w:type="dxa"/>
            <w:vAlign w:val="bottom"/>
          </w:tcPr>
          <w:p>
            <w:pPr>
              <w:spacing w:after="0"/>
              <w:rPr>
                <w:sz w:val="24"/>
                <w:szCs w:val="24"/>
                <w:color w:val="auto"/>
              </w:rPr>
            </w:pPr>
          </w:p>
        </w:tc>
        <w:tc>
          <w:tcPr>
            <w:tcW w:w="5480" w:type="dxa"/>
            <w:vAlign w:val="bottom"/>
            <w:gridSpan w:val="22"/>
          </w:tcPr>
          <w:p>
            <w:pPr>
              <w:spacing w:after="0"/>
              <w:rPr>
                <w:rFonts w:ascii="Arial" w:cs="Arial" w:eastAsia="Arial" w:hAnsi="Arial"/>
                <w:sz w:val="18"/>
                <w:szCs w:val="18"/>
                <w:color w:val="0000EE"/>
              </w:rPr>
            </w:pPr>
            <w:hyperlink r:id="rId169">
              <w:r>
                <w:rPr>
                  <w:rFonts w:ascii="Arial" w:cs="Arial" w:eastAsia="Arial" w:hAnsi="Arial"/>
                  <w:sz w:val="18"/>
                  <w:szCs w:val="18"/>
                  <w:color w:val="0000EE"/>
                </w:rPr>
                <w:t>Form of Series D Common Stock Purchase Warrant.</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ind w:left="180"/>
              <w:spacing w:after="0"/>
              <w:rPr>
                <w:sz w:val="20"/>
                <w:szCs w:val="20"/>
                <w:color w:val="auto"/>
              </w:rPr>
            </w:pPr>
            <w:r>
              <w:rPr>
                <w:rFonts w:ascii="Arial" w:cs="Arial" w:eastAsia="Arial" w:hAnsi="Arial"/>
                <w:sz w:val="18"/>
                <w:szCs w:val="18"/>
                <w:color w:val="auto"/>
                <w:w w:val="91"/>
              </w:rPr>
              <w:t>4.22</w:t>
            </w:r>
          </w:p>
        </w:tc>
        <w:tc>
          <w:tcPr>
            <w:tcW w:w="300" w:type="dxa"/>
            <w:vAlign w:val="bottom"/>
          </w:tcPr>
          <w:p>
            <w:pPr>
              <w:spacing w:after="0"/>
              <w:rPr>
                <w:sz w:val="24"/>
                <w:szCs w:val="24"/>
                <w:color w:val="auto"/>
              </w:rPr>
            </w:pPr>
          </w:p>
        </w:tc>
        <w:tc>
          <w:tcPr>
            <w:tcW w:w="3760" w:type="dxa"/>
            <w:vAlign w:val="bottom"/>
            <w:tcBorders>
              <w:top w:val="single" w:sz="8" w:color="0000EE"/>
            </w:tcBorders>
            <w:gridSpan w:val="7"/>
          </w:tcPr>
          <w:p>
            <w:pPr>
              <w:spacing w:after="0"/>
              <w:rPr>
                <w:rFonts w:ascii="Arial" w:cs="Arial" w:eastAsia="Arial" w:hAnsi="Arial"/>
                <w:sz w:val="18"/>
                <w:szCs w:val="18"/>
                <w:color w:val="0000EE"/>
              </w:rPr>
            </w:pPr>
            <w:hyperlink r:id="rId170">
              <w:r>
                <w:rPr>
                  <w:rFonts w:ascii="Arial" w:cs="Arial" w:eastAsia="Arial" w:hAnsi="Arial"/>
                  <w:sz w:val="18"/>
                  <w:szCs w:val="18"/>
                  <w:color w:val="0000EE"/>
                </w:rPr>
                <w:t>Form of Placement Agent Warrant.</w:t>
              </w:r>
            </w:hyperlink>
          </w:p>
        </w:tc>
        <w:tc>
          <w:tcPr>
            <w:tcW w:w="17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80"/>
              <w:spacing w:after="0"/>
              <w:rPr>
                <w:sz w:val="20"/>
                <w:szCs w:val="20"/>
                <w:color w:val="auto"/>
              </w:rPr>
            </w:pPr>
            <w:r>
              <w:rPr>
                <w:rFonts w:ascii="Arial" w:cs="Arial" w:eastAsia="Arial" w:hAnsi="Arial"/>
                <w:sz w:val="18"/>
                <w:szCs w:val="18"/>
                <w:color w:val="auto"/>
                <w:w w:val="91"/>
              </w:rPr>
              <w:t>4.23</w:t>
            </w:r>
          </w:p>
        </w:tc>
        <w:tc>
          <w:tcPr>
            <w:tcW w:w="300" w:type="dxa"/>
            <w:vAlign w:val="bottom"/>
          </w:tcPr>
          <w:p>
            <w:pPr>
              <w:spacing w:after="0"/>
              <w:rPr>
                <w:sz w:val="24"/>
                <w:szCs w:val="24"/>
                <w:color w:val="auto"/>
              </w:rPr>
            </w:pPr>
          </w:p>
        </w:tc>
        <w:tc>
          <w:tcPr>
            <w:tcW w:w="5480" w:type="dxa"/>
            <w:vAlign w:val="bottom"/>
            <w:gridSpan w:val="22"/>
          </w:tcPr>
          <w:p>
            <w:pPr>
              <w:spacing w:after="0"/>
              <w:rPr>
                <w:rFonts w:ascii="Arial" w:cs="Arial" w:eastAsia="Arial" w:hAnsi="Arial"/>
                <w:sz w:val="18"/>
                <w:szCs w:val="18"/>
                <w:color w:val="0000EE"/>
              </w:rPr>
            </w:pPr>
            <w:hyperlink r:id="rId171">
              <w:r>
                <w:rPr>
                  <w:rFonts w:ascii="Arial" w:cs="Arial" w:eastAsia="Arial" w:hAnsi="Arial"/>
                  <w:sz w:val="18"/>
                  <w:szCs w:val="18"/>
                  <w:color w:val="0000EE"/>
                </w:rPr>
                <w:t>Form of Series D common stock Warrant Certificate.</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60" w:type="dxa"/>
            <w:vAlign w:val="bottom"/>
            <w:gridSpan w:val="6"/>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80"/>
              <w:spacing w:after="0"/>
              <w:rPr>
                <w:sz w:val="20"/>
                <w:szCs w:val="20"/>
                <w:color w:val="auto"/>
              </w:rPr>
            </w:pPr>
            <w:r>
              <w:rPr>
                <w:rFonts w:ascii="Arial" w:cs="Arial" w:eastAsia="Arial" w:hAnsi="Arial"/>
                <w:sz w:val="18"/>
                <w:szCs w:val="18"/>
                <w:color w:val="auto"/>
                <w:w w:val="91"/>
              </w:rPr>
              <w:t>4.24</w:t>
            </w:r>
          </w:p>
        </w:tc>
        <w:tc>
          <w:tcPr>
            <w:tcW w:w="300" w:type="dxa"/>
            <w:vAlign w:val="bottom"/>
          </w:tcPr>
          <w:p>
            <w:pPr>
              <w:spacing w:after="0"/>
              <w:rPr>
                <w:sz w:val="24"/>
                <w:szCs w:val="24"/>
                <w:color w:val="auto"/>
              </w:rPr>
            </w:pPr>
          </w:p>
        </w:tc>
        <w:tc>
          <w:tcPr>
            <w:tcW w:w="4160" w:type="dxa"/>
            <w:vAlign w:val="bottom"/>
            <w:tcBorders>
              <w:bottom w:val="single" w:sz="8" w:color="0000EE"/>
            </w:tcBorders>
            <w:gridSpan w:val="11"/>
          </w:tcPr>
          <w:p>
            <w:pPr>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Form of Series A Convertible Preferred Stock Certificate.</w:t>
              </w:r>
            </w:hyperlink>
          </w:p>
        </w:tc>
        <w:tc>
          <w:tcPr>
            <w:tcW w:w="13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80"/>
              <w:spacing w:after="0"/>
              <w:rPr>
                <w:sz w:val="20"/>
                <w:szCs w:val="20"/>
                <w:color w:val="auto"/>
              </w:rPr>
            </w:pPr>
            <w:r>
              <w:rPr>
                <w:rFonts w:ascii="Arial" w:cs="Arial" w:eastAsia="Arial" w:hAnsi="Arial"/>
                <w:sz w:val="18"/>
                <w:szCs w:val="18"/>
                <w:color w:val="auto"/>
                <w:w w:val="91"/>
              </w:rPr>
              <w:t>4.25</w:t>
            </w:r>
          </w:p>
        </w:tc>
        <w:tc>
          <w:tcPr>
            <w:tcW w:w="300" w:type="dxa"/>
            <w:vAlign w:val="bottom"/>
          </w:tcPr>
          <w:p>
            <w:pPr>
              <w:spacing w:after="0"/>
              <w:rPr>
                <w:sz w:val="24"/>
                <w:szCs w:val="24"/>
                <w:color w:val="auto"/>
              </w:rPr>
            </w:pPr>
          </w:p>
        </w:tc>
        <w:tc>
          <w:tcPr>
            <w:tcW w:w="5480" w:type="dxa"/>
            <w:vAlign w:val="bottom"/>
            <w:gridSpan w:val="22"/>
          </w:tcPr>
          <w:p>
            <w:pPr>
              <w:spacing w:after="0"/>
              <w:rPr>
                <w:rFonts w:ascii="Arial" w:cs="Arial" w:eastAsia="Arial" w:hAnsi="Arial"/>
                <w:sz w:val="18"/>
                <w:szCs w:val="18"/>
                <w:color w:val="0000EE"/>
              </w:rPr>
            </w:pPr>
            <w:hyperlink r:id="rId173">
              <w:r>
                <w:rPr>
                  <w:rFonts w:ascii="Arial" w:cs="Arial" w:eastAsia="Arial" w:hAnsi="Arial"/>
                  <w:sz w:val="18"/>
                  <w:szCs w:val="18"/>
                  <w:color w:val="0000EE"/>
                </w:rPr>
                <w:t>Form of Placement Agent Warrant.</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3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80"/>
              <w:spacing w:after="0"/>
              <w:rPr>
                <w:sz w:val="20"/>
                <w:szCs w:val="20"/>
                <w:color w:val="auto"/>
              </w:rPr>
            </w:pPr>
            <w:r>
              <w:rPr>
                <w:rFonts w:ascii="Arial" w:cs="Arial" w:eastAsia="Arial" w:hAnsi="Arial"/>
                <w:sz w:val="18"/>
                <w:szCs w:val="18"/>
                <w:color w:val="auto"/>
                <w:w w:val="91"/>
              </w:rPr>
              <w:t>4.26</w:t>
            </w:r>
          </w:p>
        </w:tc>
        <w:tc>
          <w:tcPr>
            <w:tcW w:w="300" w:type="dxa"/>
            <w:vAlign w:val="bottom"/>
          </w:tcPr>
          <w:p>
            <w:pPr>
              <w:spacing w:after="0"/>
              <w:rPr>
                <w:sz w:val="24"/>
                <w:szCs w:val="24"/>
                <w:color w:val="auto"/>
              </w:rPr>
            </w:pPr>
          </w:p>
        </w:tc>
        <w:tc>
          <w:tcPr>
            <w:tcW w:w="5480" w:type="dxa"/>
            <w:vAlign w:val="bottom"/>
            <w:gridSpan w:val="22"/>
          </w:tcPr>
          <w:p>
            <w:pPr>
              <w:spacing w:after="0"/>
              <w:rPr>
                <w:rFonts w:ascii="Arial" w:cs="Arial" w:eastAsia="Arial" w:hAnsi="Arial"/>
                <w:sz w:val="18"/>
                <w:szCs w:val="18"/>
                <w:color w:val="0000EE"/>
              </w:rPr>
            </w:pPr>
            <w:hyperlink r:id="rId174">
              <w:r>
                <w:rPr>
                  <w:rFonts w:ascii="Arial" w:cs="Arial" w:eastAsia="Arial" w:hAnsi="Arial"/>
                  <w:sz w:val="18"/>
                  <w:szCs w:val="18"/>
                  <w:color w:val="0000EE"/>
                </w:rPr>
                <w:t>Form of Series B Convertible Preferred Stock Certificate.</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ind w:left="180"/>
              <w:spacing w:after="0"/>
              <w:rPr>
                <w:sz w:val="20"/>
                <w:szCs w:val="20"/>
                <w:color w:val="auto"/>
              </w:rPr>
            </w:pPr>
            <w:r>
              <w:rPr>
                <w:rFonts w:ascii="Arial" w:cs="Arial" w:eastAsia="Arial" w:hAnsi="Arial"/>
                <w:sz w:val="18"/>
                <w:szCs w:val="18"/>
                <w:color w:val="auto"/>
                <w:w w:val="91"/>
              </w:rPr>
              <w:t>4.27</w:t>
            </w:r>
          </w:p>
        </w:tc>
        <w:tc>
          <w:tcPr>
            <w:tcW w:w="300" w:type="dxa"/>
            <w:vAlign w:val="bottom"/>
          </w:tcPr>
          <w:p>
            <w:pPr>
              <w:spacing w:after="0"/>
              <w:rPr>
                <w:sz w:val="24"/>
                <w:szCs w:val="24"/>
                <w:color w:val="auto"/>
              </w:rPr>
            </w:pPr>
          </w:p>
        </w:tc>
        <w:tc>
          <w:tcPr>
            <w:tcW w:w="4140" w:type="dxa"/>
            <w:vAlign w:val="bottom"/>
            <w:tcBorders>
              <w:top w:val="single" w:sz="8" w:color="0000EE"/>
            </w:tcBorders>
            <w:gridSpan w:val="10"/>
          </w:tcPr>
          <w:p>
            <w:pPr>
              <w:spacing w:after="0"/>
              <w:rPr>
                <w:rFonts w:ascii="Arial" w:cs="Arial" w:eastAsia="Arial" w:hAnsi="Arial"/>
                <w:sz w:val="18"/>
                <w:szCs w:val="18"/>
                <w:color w:val="0000EE"/>
              </w:rPr>
            </w:pPr>
            <w:hyperlink r:id="rId175">
              <w:r>
                <w:rPr>
                  <w:rFonts w:ascii="Arial" w:cs="Arial" w:eastAsia="Arial" w:hAnsi="Arial"/>
                  <w:sz w:val="18"/>
                  <w:szCs w:val="18"/>
                  <w:color w:val="0000EE"/>
                </w:rPr>
                <w:t>Form of Common Stock Purchase Warrant</w:t>
              </w:r>
            </w:hyperlink>
          </w:p>
        </w:tc>
        <w:tc>
          <w:tcPr>
            <w:tcW w:w="13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tcBorders>
              <w:top w:val="single" w:sz="8" w:color="0000EE"/>
            </w:tcBorders>
            <w:gridSpan w:val="6"/>
          </w:tcPr>
          <w:p>
            <w:pPr>
              <w:spacing w:after="0"/>
              <w:rPr>
                <w:sz w:val="24"/>
                <w:szCs w:val="24"/>
                <w:color w:val="auto"/>
              </w:rPr>
            </w:pPr>
          </w:p>
        </w:tc>
        <w:tc>
          <w:tcPr>
            <w:tcW w:w="2180" w:type="dxa"/>
            <w:vAlign w:val="bottom"/>
            <w:gridSpan w:val="10"/>
          </w:tcPr>
          <w:p>
            <w:pPr>
              <w:jc w:val="right"/>
              <w:ind w:right="42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Incorporated by Reference from</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Registrant’s</w:t>
            </w:r>
          </w:p>
        </w:tc>
        <w:tc>
          <w:tcPr>
            <w:tcW w:w="20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Date Filed</w:t>
            </w: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8"/>
              </w:rPr>
              <w:t>Exhibit</w:t>
            </w: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Filed</w:t>
            </w:r>
          </w:p>
        </w:tc>
      </w:tr>
      <w:tr>
        <w:trPr>
          <w:trHeight w:val="176"/>
        </w:trPr>
        <w:tc>
          <w:tcPr>
            <w:tcW w:w="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5"/>
              </w:rPr>
              <w:t>with the SEC</w:t>
            </w:r>
          </w:p>
        </w:tc>
        <w:tc>
          <w:tcPr>
            <w:tcW w:w="70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8"/>
              </w:rPr>
              <w:t>Number</w:t>
            </w:r>
          </w:p>
        </w:tc>
        <w:tc>
          <w:tcPr>
            <w:tcW w:w="80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8"/>
              </w:rPr>
              <w:t>Herewith</w:t>
            </w: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304"/>
        </w:trPr>
        <w:tc>
          <w:tcPr>
            <w:tcW w:w="980" w:type="dxa"/>
            <w:vAlign w:val="bottom"/>
            <w:gridSpan w:val="2"/>
          </w:tcPr>
          <w:p>
            <w:pPr>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00" w:type="dxa"/>
            <w:vAlign w:val="bottom"/>
            <w:gridSpan w:val="2"/>
          </w:tcPr>
          <w:p>
            <w:pPr>
              <w:jc w:val="center"/>
              <w:ind w:left="111"/>
              <w:spacing w:after="0"/>
              <w:rPr>
                <w:sz w:val="20"/>
                <w:szCs w:val="20"/>
                <w:color w:val="auto"/>
              </w:rPr>
            </w:pPr>
            <w:r>
              <w:rPr>
                <w:rFonts w:ascii="Arial" w:cs="Arial" w:eastAsia="Arial" w:hAnsi="Arial"/>
                <w:sz w:val="18"/>
                <w:szCs w:val="18"/>
                <w:color w:val="auto"/>
                <w:w w:val="87"/>
              </w:rPr>
              <w:t>4.8</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00" w:type="dxa"/>
            <w:vAlign w:val="bottom"/>
            <w:gridSpan w:val="2"/>
          </w:tcPr>
          <w:p>
            <w:pPr>
              <w:jc w:val="center"/>
              <w:ind w:left="111"/>
              <w:spacing w:after="0"/>
              <w:rPr>
                <w:sz w:val="20"/>
                <w:szCs w:val="20"/>
                <w:color w:val="auto"/>
              </w:rPr>
            </w:pPr>
            <w:r>
              <w:rPr>
                <w:rFonts w:ascii="Arial" w:cs="Arial" w:eastAsia="Arial" w:hAnsi="Arial"/>
                <w:sz w:val="18"/>
                <w:szCs w:val="18"/>
                <w:color w:val="auto"/>
                <w:w w:val="87"/>
              </w:rPr>
              <w:t>4.9</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00" w:type="dxa"/>
            <w:vAlign w:val="bottom"/>
            <w:gridSpan w:val="2"/>
          </w:tcPr>
          <w:p>
            <w:pPr>
              <w:jc w:val="center"/>
              <w:ind w:left="91"/>
              <w:spacing w:after="0"/>
              <w:rPr>
                <w:sz w:val="20"/>
                <w:szCs w:val="20"/>
                <w:color w:val="auto"/>
              </w:rPr>
            </w:pPr>
            <w:r>
              <w:rPr>
                <w:rFonts w:ascii="Arial" w:cs="Arial" w:eastAsia="Arial" w:hAnsi="Arial"/>
                <w:sz w:val="18"/>
                <w:szCs w:val="18"/>
                <w:color w:val="auto"/>
                <w:w w:val="91"/>
              </w:rPr>
              <w:t>4.10</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00" w:type="dxa"/>
            <w:vAlign w:val="bottom"/>
            <w:gridSpan w:val="2"/>
          </w:tcPr>
          <w:p>
            <w:pPr>
              <w:jc w:val="center"/>
              <w:ind w:left="91"/>
              <w:spacing w:after="0"/>
              <w:rPr>
                <w:sz w:val="20"/>
                <w:szCs w:val="20"/>
                <w:color w:val="auto"/>
              </w:rPr>
            </w:pPr>
            <w:r>
              <w:rPr>
                <w:rFonts w:ascii="Arial" w:cs="Arial" w:eastAsia="Arial" w:hAnsi="Arial"/>
                <w:sz w:val="18"/>
                <w:szCs w:val="18"/>
                <w:color w:val="auto"/>
                <w:w w:val="91"/>
              </w:rPr>
              <w:t>4.11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00" w:type="dxa"/>
            <w:vAlign w:val="bottom"/>
            <w:gridSpan w:val="2"/>
          </w:tcPr>
          <w:p>
            <w:pPr>
              <w:jc w:val="center"/>
              <w:ind w:left="91"/>
              <w:spacing w:after="0"/>
              <w:rPr>
                <w:sz w:val="20"/>
                <w:szCs w:val="20"/>
                <w:color w:val="auto"/>
              </w:rPr>
            </w:pPr>
            <w:r>
              <w:rPr>
                <w:rFonts w:ascii="Arial" w:cs="Arial" w:eastAsia="Arial" w:hAnsi="Arial"/>
                <w:sz w:val="18"/>
                <w:szCs w:val="18"/>
                <w:color w:val="auto"/>
                <w:w w:val="91"/>
              </w:rPr>
              <w:t>4.12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00" w:type="dxa"/>
            <w:vAlign w:val="bottom"/>
            <w:gridSpan w:val="2"/>
          </w:tcPr>
          <w:p>
            <w:pPr>
              <w:jc w:val="center"/>
              <w:ind w:left="91"/>
              <w:spacing w:after="0"/>
              <w:rPr>
                <w:sz w:val="20"/>
                <w:szCs w:val="20"/>
                <w:color w:val="auto"/>
              </w:rPr>
            </w:pPr>
            <w:r>
              <w:rPr>
                <w:rFonts w:ascii="Arial" w:cs="Arial" w:eastAsia="Arial" w:hAnsi="Arial"/>
                <w:sz w:val="18"/>
                <w:szCs w:val="18"/>
                <w:color w:val="auto"/>
                <w:w w:val="91"/>
              </w:rPr>
              <w:t>4.13</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00" w:type="dxa"/>
            <w:vAlign w:val="bottom"/>
            <w:gridSpan w:val="2"/>
          </w:tcPr>
          <w:p>
            <w:pPr>
              <w:jc w:val="center"/>
              <w:ind w:left="91"/>
              <w:spacing w:after="0"/>
              <w:rPr>
                <w:sz w:val="20"/>
                <w:szCs w:val="20"/>
                <w:color w:val="auto"/>
              </w:rPr>
            </w:pPr>
            <w:r>
              <w:rPr>
                <w:rFonts w:ascii="Arial" w:cs="Arial" w:eastAsia="Arial" w:hAnsi="Arial"/>
                <w:sz w:val="18"/>
                <w:szCs w:val="18"/>
                <w:color w:val="auto"/>
                <w:w w:val="91"/>
              </w:rPr>
              <w:t>4.14</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00" w:type="dxa"/>
            <w:vAlign w:val="bottom"/>
            <w:gridSpan w:val="2"/>
          </w:tcPr>
          <w:p>
            <w:pPr>
              <w:jc w:val="center"/>
              <w:ind w:left="91"/>
              <w:spacing w:after="0"/>
              <w:rPr>
                <w:sz w:val="20"/>
                <w:szCs w:val="20"/>
                <w:color w:val="auto"/>
              </w:rPr>
            </w:pPr>
            <w:r>
              <w:rPr>
                <w:rFonts w:ascii="Arial" w:cs="Arial" w:eastAsia="Arial" w:hAnsi="Arial"/>
                <w:sz w:val="18"/>
                <w:szCs w:val="18"/>
                <w:color w:val="auto"/>
                <w:w w:val="91"/>
              </w:rPr>
              <w:t>4.15</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August 5, 2014</w:t>
            </w:r>
          </w:p>
        </w:tc>
        <w:tc>
          <w:tcPr>
            <w:tcW w:w="700" w:type="dxa"/>
            <w:vAlign w:val="bottom"/>
            <w:gridSpan w:val="2"/>
          </w:tcPr>
          <w:p>
            <w:pPr>
              <w:jc w:val="center"/>
              <w:ind w:left="91"/>
              <w:spacing w:after="0"/>
              <w:rPr>
                <w:sz w:val="20"/>
                <w:szCs w:val="20"/>
                <w:color w:val="auto"/>
              </w:rPr>
            </w:pPr>
            <w:r>
              <w:rPr>
                <w:rFonts w:ascii="Arial" w:cs="Arial" w:eastAsia="Arial" w:hAnsi="Arial"/>
                <w:sz w:val="18"/>
                <w:szCs w:val="18"/>
                <w:color w:val="auto"/>
                <w:w w:val="91"/>
              </w:rPr>
              <w:t>4.16</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November 4, 2014</w:t>
            </w:r>
          </w:p>
        </w:tc>
        <w:tc>
          <w:tcPr>
            <w:tcW w:w="700" w:type="dxa"/>
            <w:vAlign w:val="bottom"/>
            <w:gridSpan w:val="2"/>
          </w:tcPr>
          <w:p>
            <w:pPr>
              <w:jc w:val="center"/>
              <w:ind w:left="91"/>
              <w:spacing w:after="0"/>
              <w:rPr>
                <w:sz w:val="20"/>
                <w:szCs w:val="20"/>
                <w:color w:val="auto"/>
              </w:rPr>
            </w:pPr>
            <w:r>
              <w:rPr>
                <w:rFonts w:ascii="Arial" w:cs="Arial" w:eastAsia="Arial" w:hAnsi="Arial"/>
                <w:sz w:val="18"/>
                <w:szCs w:val="18"/>
                <w:color w:val="auto"/>
                <w:w w:val="91"/>
              </w:rPr>
              <w:t>4.17</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8"/>
        </w:trPr>
        <w:tc>
          <w:tcPr>
            <w:tcW w:w="980" w:type="dxa"/>
            <w:vAlign w:val="bottom"/>
            <w:gridSpan w:val="2"/>
          </w:tcPr>
          <w:p>
            <w:pPr>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November 4, 2014</w:t>
            </w:r>
          </w:p>
        </w:tc>
        <w:tc>
          <w:tcPr>
            <w:tcW w:w="700" w:type="dxa"/>
            <w:vAlign w:val="bottom"/>
            <w:gridSpan w:val="2"/>
          </w:tcPr>
          <w:p>
            <w:pPr>
              <w:jc w:val="center"/>
              <w:ind w:left="91"/>
              <w:spacing w:after="0"/>
              <w:rPr>
                <w:sz w:val="20"/>
                <w:szCs w:val="20"/>
                <w:color w:val="auto"/>
              </w:rPr>
            </w:pPr>
            <w:r>
              <w:rPr>
                <w:rFonts w:ascii="Arial" w:cs="Arial" w:eastAsia="Arial" w:hAnsi="Arial"/>
                <w:sz w:val="18"/>
                <w:szCs w:val="18"/>
                <w:color w:val="auto"/>
                <w:w w:val="91"/>
              </w:rPr>
              <w:t>4.18</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S-4</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April 1, 2015</w:t>
            </w:r>
          </w:p>
        </w:tc>
        <w:tc>
          <w:tcPr>
            <w:tcW w:w="700" w:type="dxa"/>
            <w:vAlign w:val="bottom"/>
            <w:gridSpan w:val="2"/>
          </w:tcPr>
          <w:p>
            <w:pPr>
              <w:jc w:val="center"/>
              <w:ind w:left="91"/>
              <w:spacing w:after="0"/>
              <w:rPr>
                <w:sz w:val="20"/>
                <w:szCs w:val="20"/>
                <w:color w:val="auto"/>
              </w:rPr>
            </w:pPr>
            <w:r>
              <w:rPr>
                <w:rFonts w:ascii="Arial" w:cs="Arial" w:eastAsia="Arial" w:hAnsi="Arial"/>
                <w:sz w:val="18"/>
                <w:szCs w:val="18"/>
                <w:color w:val="auto"/>
                <w:w w:val="91"/>
              </w:rPr>
              <w:t>4.19</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S-4</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April 1, 2015</w:t>
            </w:r>
          </w:p>
        </w:tc>
        <w:tc>
          <w:tcPr>
            <w:tcW w:w="700" w:type="dxa"/>
            <w:vAlign w:val="bottom"/>
            <w:gridSpan w:val="2"/>
          </w:tcPr>
          <w:p>
            <w:pPr>
              <w:jc w:val="center"/>
              <w:ind w:left="91"/>
              <w:spacing w:after="0"/>
              <w:rPr>
                <w:sz w:val="20"/>
                <w:szCs w:val="20"/>
                <w:color w:val="auto"/>
              </w:rPr>
            </w:pPr>
            <w:r>
              <w:rPr>
                <w:rFonts w:ascii="Arial" w:cs="Arial" w:eastAsia="Arial" w:hAnsi="Arial"/>
                <w:sz w:val="18"/>
                <w:szCs w:val="18"/>
                <w:color w:val="auto"/>
                <w:w w:val="91"/>
              </w:rPr>
              <w:t>4.20</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October 15, 2015</w:t>
            </w:r>
          </w:p>
        </w:tc>
        <w:tc>
          <w:tcPr>
            <w:tcW w:w="700" w:type="dxa"/>
            <w:vAlign w:val="bottom"/>
            <w:gridSpan w:val="2"/>
          </w:tcPr>
          <w:p>
            <w:pPr>
              <w:jc w:val="center"/>
              <w:ind w:left="111"/>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October 15, 2015</w:t>
            </w:r>
          </w:p>
        </w:tc>
        <w:tc>
          <w:tcPr>
            <w:tcW w:w="700" w:type="dxa"/>
            <w:vAlign w:val="bottom"/>
            <w:gridSpan w:val="2"/>
          </w:tcPr>
          <w:p>
            <w:pPr>
              <w:jc w:val="center"/>
              <w:ind w:left="111"/>
              <w:spacing w:after="0"/>
              <w:rPr>
                <w:sz w:val="20"/>
                <w:szCs w:val="20"/>
                <w:color w:val="auto"/>
              </w:rPr>
            </w:pPr>
            <w:r>
              <w:rPr>
                <w:rFonts w:ascii="Arial" w:cs="Arial" w:eastAsia="Arial" w:hAnsi="Arial"/>
                <w:sz w:val="18"/>
                <w:szCs w:val="18"/>
                <w:color w:val="auto"/>
                <w:w w:val="87"/>
              </w:rPr>
              <w:t>4.2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October 15, 2015</w:t>
            </w:r>
          </w:p>
        </w:tc>
        <w:tc>
          <w:tcPr>
            <w:tcW w:w="700" w:type="dxa"/>
            <w:vAlign w:val="bottom"/>
            <w:gridSpan w:val="2"/>
          </w:tcPr>
          <w:p>
            <w:pPr>
              <w:jc w:val="center"/>
              <w:ind w:left="111"/>
              <w:spacing w:after="0"/>
              <w:rPr>
                <w:sz w:val="20"/>
                <w:szCs w:val="20"/>
                <w:color w:val="auto"/>
              </w:rPr>
            </w:pPr>
            <w:r>
              <w:rPr>
                <w:rFonts w:ascii="Arial" w:cs="Arial" w:eastAsia="Arial" w:hAnsi="Arial"/>
                <w:sz w:val="18"/>
                <w:szCs w:val="18"/>
                <w:color w:val="auto"/>
                <w:w w:val="87"/>
              </w:rPr>
              <w:t>4.3</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October 15, 2015</w:t>
            </w:r>
          </w:p>
        </w:tc>
        <w:tc>
          <w:tcPr>
            <w:tcW w:w="700" w:type="dxa"/>
            <w:vAlign w:val="bottom"/>
            <w:gridSpan w:val="2"/>
          </w:tcPr>
          <w:p>
            <w:pPr>
              <w:jc w:val="center"/>
              <w:ind w:left="111"/>
              <w:spacing w:after="0"/>
              <w:rPr>
                <w:sz w:val="20"/>
                <w:szCs w:val="20"/>
                <w:color w:val="auto"/>
              </w:rPr>
            </w:pPr>
            <w:r>
              <w:rPr>
                <w:rFonts w:ascii="Arial" w:cs="Arial" w:eastAsia="Arial" w:hAnsi="Arial"/>
                <w:sz w:val="18"/>
                <w:szCs w:val="18"/>
                <w:color w:val="auto"/>
                <w:w w:val="87"/>
              </w:rPr>
              <w:t>4.4</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July 6, 2016</w:t>
            </w:r>
          </w:p>
        </w:tc>
        <w:tc>
          <w:tcPr>
            <w:tcW w:w="700" w:type="dxa"/>
            <w:vAlign w:val="bottom"/>
            <w:gridSpan w:val="2"/>
          </w:tcPr>
          <w:p>
            <w:pPr>
              <w:jc w:val="center"/>
              <w:ind w:left="111"/>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July 6, 2016</w:t>
            </w:r>
          </w:p>
        </w:tc>
        <w:tc>
          <w:tcPr>
            <w:tcW w:w="700" w:type="dxa"/>
            <w:vAlign w:val="bottom"/>
            <w:gridSpan w:val="2"/>
          </w:tcPr>
          <w:p>
            <w:pPr>
              <w:jc w:val="center"/>
              <w:ind w:left="111"/>
              <w:spacing w:after="0"/>
              <w:rPr>
                <w:sz w:val="20"/>
                <w:szCs w:val="20"/>
                <w:color w:val="auto"/>
              </w:rPr>
            </w:pPr>
            <w:r>
              <w:rPr>
                <w:rFonts w:ascii="Arial" w:cs="Arial" w:eastAsia="Arial" w:hAnsi="Arial"/>
                <w:sz w:val="18"/>
                <w:szCs w:val="18"/>
                <w:color w:val="auto"/>
                <w:w w:val="87"/>
              </w:rPr>
              <w:t>4.2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December 13, 2017</w:t>
            </w:r>
          </w:p>
        </w:tc>
        <w:tc>
          <w:tcPr>
            <w:tcW w:w="700" w:type="dxa"/>
            <w:vAlign w:val="bottom"/>
            <w:gridSpan w:val="2"/>
          </w:tcPr>
          <w:p>
            <w:pPr>
              <w:jc w:val="center"/>
              <w:ind w:left="111"/>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2">
            <w:col w:w="6500" w:space="180"/>
            <w:col w:w="452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40" w:type="dxa"/>
            <w:vAlign w:val="bottom"/>
            <w:gridSpan w:val="22"/>
            <w:vMerge w:val="restart"/>
          </w:tcPr>
          <w:p>
            <w:pPr>
              <w:ind w:left="1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4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300" w:type="dxa"/>
            <w:vAlign w:val="bottom"/>
          </w:tcPr>
          <w:p>
            <w:pPr>
              <w:spacing w:after="0"/>
              <w:rPr>
                <w:sz w:val="22"/>
                <w:szCs w:val="22"/>
                <w:color w:val="auto"/>
              </w:rPr>
            </w:pPr>
          </w:p>
        </w:tc>
        <w:tc>
          <w:tcPr>
            <w:tcW w:w="2000" w:type="dxa"/>
            <w:vAlign w:val="bottom"/>
            <w:tcBorders>
              <w:top w:val="single" w:sz="8" w:color="auto"/>
              <w:bottom w:val="single" w:sz="8" w:color="0000EE"/>
            </w:tcBorders>
            <w:gridSpan w:val="5"/>
          </w:tcPr>
          <w:p>
            <w:pPr>
              <w:spacing w:after="0"/>
              <w:rPr>
                <w:rFonts w:ascii="Arial" w:cs="Arial" w:eastAsia="Arial" w:hAnsi="Arial"/>
                <w:sz w:val="18"/>
                <w:szCs w:val="18"/>
                <w:color w:val="0000EE"/>
                <w:w w:val="91"/>
              </w:rPr>
            </w:pPr>
            <w:hyperlink r:id="rId177">
              <w:r>
                <w:rPr>
                  <w:rFonts w:ascii="Arial" w:cs="Arial" w:eastAsia="Arial" w:hAnsi="Arial"/>
                  <w:sz w:val="18"/>
                  <w:szCs w:val="18"/>
                  <w:color w:val="0000EE"/>
                  <w:w w:val="91"/>
                </w:rPr>
                <w:t>Form of Voting Agreement.</w:t>
              </w:r>
            </w:hyperlink>
          </w:p>
        </w:tc>
        <w:tc>
          <w:tcPr>
            <w:tcW w:w="3440" w:type="dxa"/>
            <w:vAlign w:val="bottom"/>
            <w:tcBorders>
              <w:top w:val="single" w:sz="8" w:color="auto"/>
            </w:tcBorders>
            <w:gridSpan w:val="21"/>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9.20</w:t>
            </w:r>
          </w:p>
        </w:tc>
        <w:tc>
          <w:tcPr>
            <w:tcW w:w="300" w:type="dxa"/>
            <w:vAlign w:val="bottom"/>
          </w:tcPr>
          <w:p>
            <w:pPr>
              <w:spacing w:after="0"/>
              <w:rPr>
                <w:sz w:val="24"/>
                <w:szCs w:val="24"/>
                <w:color w:val="auto"/>
              </w:rPr>
            </w:pPr>
          </w:p>
        </w:tc>
        <w:tc>
          <w:tcPr>
            <w:tcW w:w="2000" w:type="dxa"/>
            <w:vAlign w:val="bottom"/>
            <w:tcBorders>
              <w:bottom w:val="single" w:sz="8" w:color="0000EE"/>
            </w:tcBorders>
            <w:gridSpan w:val="5"/>
          </w:tcPr>
          <w:p>
            <w:pPr>
              <w:spacing w:after="0"/>
              <w:rPr>
                <w:rFonts w:ascii="Arial" w:cs="Arial" w:eastAsia="Arial" w:hAnsi="Arial"/>
                <w:sz w:val="18"/>
                <w:szCs w:val="18"/>
                <w:color w:val="0000EE"/>
                <w:w w:val="91"/>
              </w:rPr>
            </w:pPr>
            <w:hyperlink r:id="rId177">
              <w:r>
                <w:rPr>
                  <w:rFonts w:ascii="Arial" w:cs="Arial" w:eastAsia="Arial" w:hAnsi="Arial"/>
                  <w:sz w:val="18"/>
                  <w:szCs w:val="18"/>
                  <w:color w:val="0000EE"/>
                  <w:w w:val="91"/>
                </w:rPr>
                <w:t>Form of Voting Agreement.</w:t>
              </w:r>
            </w:hyperlink>
          </w:p>
        </w:tc>
        <w:tc>
          <w:tcPr>
            <w:tcW w:w="344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9.30</w:t>
            </w:r>
          </w:p>
        </w:tc>
        <w:tc>
          <w:tcPr>
            <w:tcW w:w="300" w:type="dxa"/>
            <w:vAlign w:val="bottom"/>
          </w:tcPr>
          <w:p>
            <w:pPr>
              <w:spacing w:after="0"/>
              <w:rPr>
                <w:sz w:val="24"/>
                <w:szCs w:val="24"/>
                <w:color w:val="auto"/>
              </w:rPr>
            </w:pPr>
          </w:p>
        </w:tc>
        <w:tc>
          <w:tcPr>
            <w:tcW w:w="2000" w:type="dxa"/>
            <w:vAlign w:val="bottom"/>
            <w:tcBorders>
              <w:bottom w:val="single" w:sz="8" w:color="0000EE"/>
            </w:tcBorders>
            <w:gridSpan w:val="5"/>
          </w:tcPr>
          <w:p>
            <w:pPr>
              <w:spacing w:after="0"/>
              <w:rPr>
                <w:rFonts w:ascii="Arial" w:cs="Arial" w:eastAsia="Arial" w:hAnsi="Arial"/>
                <w:sz w:val="18"/>
                <w:szCs w:val="18"/>
                <w:color w:val="0000EE"/>
                <w:w w:val="91"/>
              </w:rPr>
            </w:pPr>
            <w:hyperlink r:id="rId178">
              <w:r>
                <w:rPr>
                  <w:rFonts w:ascii="Arial" w:cs="Arial" w:eastAsia="Arial" w:hAnsi="Arial"/>
                  <w:sz w:val="18"/>
                  <w:szCs w:val="18"/>
                  <w:color w:val="0000EE"/>
                  <w:w w:val="91"/>
                </w:rPr>
                <w:t>Form of Voting Agreement.</w:t>
              </w:r>
            </w:hyperlink>
          </w:p>
        </w:tc>
        <w:tc>
          <w:tcPr>
            <w:tcW w:w="344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5440" w:type="dxa"/>
            <w:vAlign w:val="bottom"/>
            <w:gridSpan w:val="26"/>
          </w:tcPr>
          <w:p>
            <w:pPr>
              <w:spacing w:after="0"/>
              <w:rPr>
                <w:rFonts w:ascii="Arial" w:cs="Arial" w:eastAsia="Arial" w:hAnsi="Arial"/>
                <w:sz w:val="18"/>
                <w:szCs w:val="18"/>
                <w:color w:val="0000EE"/>
                <w:w w:val="91"/>
              </w:rPr>
            </w:pPr>
            <w:hyperlink r:id="rId179">
              <w:r>
                <w:rPr>
                  <w:rFonts w:ascii="Arial" w:cs="Arial" w:eastAsia="Arial" w:hAnsi="Arial"/>
                  <w:sz w:val="18"/>
                  <w:szCs w:val="18"/>
                  <w:color w:val="0000EE"/>
                  <w:w w:val="91"/>
                </w:rPr>
                <w:t>Form of Indemnification Agreement between the Registrant and each of its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79">
              <w:r>
                <w:rPr>
                  <w:rFonts w:ascii="Arial" w:cs="Arial" w:eastAsia="Arial" w:hAnsi="Arial"/>
                  <w:sz w:val="18"/>
                  <w:szCs w:val="18"/>
                  <w:color w:val="0000EE"/>
                  <w:w w:val="90"/>
                </w:rPr>
                <w:t>directors and executive officers.</w:t>
              </w:r>
            </w:hyperlink>
          </w:p>
        </w:tc>
        <w:tc>
          <w:tcPr>
            <w:tcW w:w="3100" w:type="dxa"/>
            <w:vAlign w:val="bottom"/>
            <w:tcBorders>
              <w:top w:val="single" w:sz="8" w:color="0000EE"/>
            </w:tcBorders>
            <w:gridSpan w:val="1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4"/>
                <w:szCs w:val="24"/>
                <w:color w:val="auto"/>
              </w:rPr>
            </w:pPr>
          </w:p>
        </w:tc>
        <w:tc>
          <w:tcPr>
            <w:tcW w:w="5440" w:type="dxa"/>
            <w:vAlign w:val="bottom"/>
            <w:gridSpan w:val="26"/>
          </w:tcPr>
          <w:p>
            <w:pPr>
              <w:spacing w:after="0"/>
              <w:rPr>
                <w:rFonts w:ascii="Arial" w:cs="Arial" w:eastAsia="Arial" w:hAnsi="Arial"/>
                <w:sz w:val="18"/>
                <w:szCs w:val="18"/>
                <w:color w:val="0000EE"/>
              </w:rPr>
            </w:pPr>
            <w:hyperlink r:id="rId160">
              <w:r>
                <w:rPr>
                  <w:rFonts w:ascii="Arial" w:cs="Arial" w:eastAsia="Arial" w:hAnsi="Arial"/>
                  <w:sz w:val="18"/>
                  <w:szCs w:val="18"/>
                  <w:color w:val="0000EE"/>
                </w:rPr>
                <w:t>1999 Incentive Stock Plan and forms of agreements thereunder.</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4"/>
                <w:szCs w:val="24"/>
                <w:color w:val="auto"/>
              </w:rPr>
            </w:pPr>
          </w:p>
        </w:tc>
        <w:tc>
          <w:tcPr>
            <w:tcW w:w="4640" w:type="dxa"/>
            <w:vAlign w:val="bottom"/>
            <w:tcBorders>
              <w:bottom w:val="single" w:sz="8" w:color="0000EE"/>
            </w:tcBorders>
            <w:gridSpan w:val="11"/>
          </w:tcPr>
          <w:p>
            <w:pPr>
              <w:spacing w:after="0"/>
              <w:rPr>
                <w:rFonts w:ascii="Arial" w:cs="Arial" w:eastAsia="Arial" w:hAnsi="Arial"/>
                <w:sz w:val="18"/>
                <w:szCs w:val="18"/>
                <w:color w:val="0000EE"/>
                <w:w w:val="89"/>
              </w:rPr>
            </w:pPr>
            <w:hyperlink r:id="rId180">
              <w:r>
                <w:rPr>
                  <w:rFonts w:ascii="Arial" w:cs="Arial" w:eastAsia="Arial" w:hAnsi="Arial"/>
                  <w:sz w:val="18"/>
                  <w:szCs w:val="18"/>
                  <w:color w:val="0000EE"/>
                  <w:w w:val="89"/>
                </w:rPr>
                <w:t>2010 Equity Incentive Plan and forms of agreements thereunder.</w:t>
              </w:r>
            </w:hyperlink>
          </w:p>
        </w:tc>
        <w:tc>
          <w:tcPr>
            <w:tcW w:w="8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4640" w:type="dxa"/>
            <w:vAlign w:val="bottom"/>
            <w:tcBorders>
              <w:bottom w:val="single" w:sz="8" w:color="0000EE"/>
            </w:tcBorders>
            <w:gridSpan w:val="11"/>
          </w:tcPr>
          <w:p>
            <w:pPr>
              <w:spacing w:after="0"/>
              <w:rPr>
                <w:rFonts w:ascii="Arial" w:cs="Arial" w:eastAsia="Arial" w:hAnsi="Arial"/>
                <w:sz w:val="18"/>
                <w:szCs w:val="18"/>
                <w:color w:val="0000EE"/>
                <w:w w:val="89"/>
              </w:rPr>
            </w:pPr>
            <w:hyperlink r:id="rId181">
              <w:r>
                <w:rPr>
                  <w:rFonts w:ascii="Arial" w:cs="Arial" w:eastAsia="Arial" w:hAnsi="Arial"/>
                  <w:sz w:val="18"/>
                  <w:szCs w:val="18"/>
                  <w:color w:val="0000EE"/>
                  <w:w w:val="89"/>
                </w:rPr>
                <w:t>2014 Equity Incentive Plan and forms of agreements thereunder.</w:t>
              </w:r>
            </w:hyperlink>
          </w:p>
        </w:tc>
        <w:tc>
          <w:tcPr>
            <w:tcW w:w="8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24"/>
                <w:szCs w:val="24"/>
                <w:color w:val="auto"/>
              </w:rPr>
            </w:pPr>
          </w:p>
        </w:tc>
        <w:tc>
          <w:tcPr>
            <w:tcW w:w="5440" w:type="dxa"/>
            <w:vAlign w:val="bottom"/>
            <w:gridSpan w:val="26"/>
          </w:tcPr>
          <w:p>
            <w:pPr>
              <w:spacing w:after="0"/>
              <w:rPr>
                <w:rFonts w:ascii="Arial" w:cs="Arial" w:eastAsia="Arial" w:hAnsi="Arial"/>
                <w:sz w:val="18"/>
                <w:szCs w:val="18"/>
                <w:color w:val="0000EE"/>
                <w:w w:val="90"/>
              </w:rPr>
            </w:pPr>
            <w:hyperlink r:id="rId182">
              <w:r>
                <w:rPr>
                  <w:rFonts w:ascii="Arial" w:cs="Arial" w:eastAsia="Arial" w:hAnsi="Arial"/>
                  <w:sz w:val="18"/>
                  <w:szCs w:val="18"/>
                  <w:color w:val="0000EE"/>
                  <w:w w:val="90"/>
                </w:rPr>
                <w:t>2014 Employee Stock Purchase Plan and forms of agreements thereunder.</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24"/>
                <w:szCs w:val="24"/>
                <w:color w:val="auto"/>
              </w:rPr>
            </w:pPr>
          </w:p>
        </w:tc>
        <w:tc>
          <w:tcPr>
            <w:tcW w:w="5320" w:type="dxa"/>
            <w:vAlign w:val="bottom"/>
            <w:tcBorders>
              <w:top w:val="single" w:sz="8" w:color="0000EE"/>
            </w:tcBorders>
            <w:gridSpan w:val="23"/>
          </w:tcPr>
          <w:p>
            <w:pPr>
              <w:spacing w:after="0"/>
              <w:rPr>
                <w:rFonts w:ascii="Arial" w:cs="Arial" w:eastAsia="Arial" w:hAnsi="Arial"/>
                <w:sz w:val="18"/>
                <w:szCs w:val="18"/>
                <w:color w:val="0000EE"/>
                <w:w w:val="91"/>
              </w:rPr>
            </w:pPr>
            <w:hyperlink r:id="rId183">
              <w:r>
                <w:rPr>
                  <w:rFonts w:ascii="Arial" w:cs="Arial" w:eastAsia="Arial" w:hAnsi="Arial"/>
                  <w:sz w:val="18"/>
                  <w:szCs w:val="18"/>
                  <w:color w:val="0000EE"/>
                  <w:w w:val="91"/>
                </w:rPr>
                <w:t>Offer Letter, dated June 22, 2007, by and between Soleno Therapeutics,</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Inc. and Ernest Mario, Ph.D.</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24"/>
                <w:szCs w:val="24"/>
                <w:color w:val="auto"/>
              </w:rPr>
            </w:pPr>
          </w:p>
        </w:tc>
        <w:tc>
          <w:tcPr>
            <w:tcW w:w="5440" w:type="dxa"/>
            <w:vAlign w:val="bottom"/>
            <w:gridSpan w:val="26"/>
          </w:tcPr>
          <w:p>
            <w:pPr>
              <w:spacing w:after="0"/>
              <w:rPr>
                <w:rFonts w:ascii="Arial" w:cs="Arial" w:eastAsia="Arial" w:hAnsi="Arial"/>
                <w:sz w:val="18"/>
                <w:szCs w:val="18"/>
                <w:color w:val="0000EE"/>
                <w:w w:val="98"/>
              </w:rPr>
            </w:pPr>
            <w:hyperlink r:id="rId184">
              <w:r>
                <w:rPr>
                  <w:rFonts w:ascii="Arial" w:cs="Arial" w:eastAsia="Arial" w:hAnsi="Arial"/>
                  <w:sz w:val="18"/>
                  <w:szCs w:val="18"/>
                  <w:color w:val="0000EE"/>
                  <w:w w:val="98"/>
                </w:rPr>
                <w:t>Employment Agreement, dated April 6, 2010, by and between Soleno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Therapeutics, Inc. and Anish Bhatnagar.</w:t>
              </w:r>
            </w:hyperlink>
          </w:p>
        </w:tc>
        <w:tc>
          <w:tcPr>
            <w:tcW w:w="4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24"/>
                <w:szCs w:val="24"/>
                <w:color w:val="auto"/>
              </w:rPr>
            </w:pPr>
          </w:p>
        </w:tc>
        <w:tc>
          <w:tcPr>
            <w:tcW w:w="5260" w:type="dxa"/>
            <w:vAlign w:val="bottom"/>
            <w:tcBorders>
              <w:bottom w:val="single" w:sz="8" w:color="0000EE"/>
            </w:tcBorders>
            <w:gridSpan w:val="22"/>
          </w:tcPr>
          <w:p>
            <w:pPr>
              <w:spacing w:after="0"/>
              <w:rPr>
                <w:rFonts w:ascii="Arial" w:cs="Arial" w:eastAsia="Arial" w:hAnsi="Arial"/>
                <w:sz w:val="18"/>
                <w:szCs w:val="18"/>
                <w:color w:val="0000EE"/>
                <w:w w:val="89"/>
              </w:rPr>
            </w:pPr>
            <w:hyperlink r:id="rId185">
              <w:r>
                <w:rPr>
                  <w:rFonts w:ascii="Arial" w:cs="Arial" w:eastAsia="Arial" w:hAnsi="Arial"/>
                  <w:sz w:val="18"/>
                  <w:szCs w:val="18"/>
                  <w:color w:val="0000EE"/>
                  <w:w w:val="89"/>
                </w:rPr>
                <w:t>Offer Letter, dated May 29, 2013, between Soleno Therapeutics, Inc. and</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40" w:type="dxa"/>
            <w:vAlign w:val="bottom"/>
            <w:gridSpan w:val="26"/>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Anthony Wondka.</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4"/>
                <w:szCs w:val="24"/>
                <w:color w:val="auto"/>
              </w:rPr>
            </w:pPr>
          </w:p>
        </w:tc>
        <w:tc>
          <w:tcPr>
            <w:tcW w:w="5220" w:type="dxa"/>
            <w:vAlign w:val="bottom"/>
            <w:tcBorders>
              <w:bottom w:val="single" w:sz="8" w:color="0000EE"/>
            </w:tcBorders>
            <w:gridSpan w:val="21"/>
          </w:tcPr>
          <w:p>
            <w:pPr>
              <w:spacing w:after="0"/>
              <w:rPr>
                <w:rFonts w:ascii="Arial" w:cs="Arial" w:eastAsia="Arial" w:hAnsi="Arial"/>
                <w:sz w:val="18"/>
                <w:szCs w:val="18"/>
                <w:color w:val="0000EE"/>
                <w:w w:val="90"/>
              </w:rPr>
            </w:pPr>
            <w:hyperlink r:id="rId186">
              <w:r>
                <w:rPr>
                  <w:rFonts w:ascii="Arial" w:cs="Arial" w:eastAsia="Arial" w:hAnsi="Arial"/>
                  <w:sz w:val="18"/>
                  <w:szCs w:val="18"/>
                  <w:color w:val="0000EE"/>
                  <w:w w:val="90"/>
                </w:rPr>
                <w:t>Offer Letter, dated April 17, 2014, by and between Soleno Therapeutics,</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40" w:type="dxa"/>
            <w:vAlign w:val="bottom"/>
            <w:gridSpan w:val="26"/>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Inc. and Antoun Nabhan.</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tcBorders>
              <w:right w:val="single" w:sz="8" w:color="0000EE"/>
            </w:tcBorders>
            <w:gridSpan w:val="2"/>
            <w:shd w:val="clear" w:color="auto" w:fill="0000EE"/>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w w:val="88"/>
              </w:rPr>
              <w:t>10.10</w:t>
            </w:r>
          </w:p>
        </w:tc>
        <w:tc>
          <w:tcPr>
            <w:tcW w:w="300" w:type="dxa"/>
            <w:vAlign w:val="bottom"/>
          </w:tcPr>
          <w:p>
            <w:pPr>
              <w:spacing w:after="0"/>
              <w:rPr>
                <w:sz w:val="24"/>
                <w:szCs w:val="24"/>
                <w:color w:val="auto"/>
              </w:rPr>
            </w:pPr>
          </w:p>
        </w:tc>
        <w:tc>
          <w:tcPr>
            <w:tcW w:w="5180" w:type="dxa"/>
            <w:vAlign w:val="bottom"/>
            <w:tcBorders>
              <w:bottom w:val="single" w:sz="8" w:color="0000EE"/>
            </w:tcBorders>
            <w:gridSpan w:val="19"/>
          </w:tcPr>
          <w:p>
            <w:pPr>
              <w:spacing w:after="0"/>
              <w:rPr>
                <w:rFonts w:ascii="Arial" w:cs="Arial" w:eastAsia="Arial" w:hAnsi="Arial"/>
                <w:sz w:val="18"/>
                <w:szCs w:val="18"/>
                <w:color w:val="0000EE"/>
                <w:w w:val="88"/>
              </w:rPr>
            </w:pPr>
            <w:hyperlink r:id="rId187">
              <w:r>
                <w:rPr>
                  <w:rFonts w:ascii="Arial" w:cs="Arial" w:eastAsia="Arial" w:hAnsi="Arial"/>
                  <w:sz w:val="18"/>
                  <w:szCs w:val="18"/>
                  <w:color w:val="0000EE"/>
                  <w:w w:val="88"/>
                </w:rPr>
                <w:t>Asset Purchase Agreement dated May 11, 2010, by and between Soleno</w:t>
              </w:r>
            </w:hyperlink>
          </w:p>
        </w:tc>
        <w:tc>
          <w:tcPr>
            <w:tcW w:w="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Therapeutics, Inc. and BioMedical Drug Development Inc.</w:t>
              </w:r>
            </w:hyperlink>
          </w:p>
        </w:tc>
        <w:tc>
          <w:tcPr>
            <w:tcW w:w="12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w w:val="88"/>
              </w:rPr>
              <w:t>10.11</w:t>
            </w:r>
          </w:p>
        </w:tc>
        <w:tc>
          <w:tcPr>
            <w:tcW w:w="300" w:type="dxa"/>
            <w:vAlign w:val="bottom"/>
          </w:tcPr>
          <w:p>
            <w:pPr>
              <w:spacing w:after="0"/>
              <w:rPr>
                <w:sz w:val="24"/>
                <w:szCs w:val="24"/>
                <w:color w:val="auto"/>
              </w:rPr>
            </w:pPr>
          </w:p>
        </w:tc>
        <w:tc>
          <w:tcPr>
            <w:tcW w:w="5200" w:type="dxa"/>
            <w:vAlign w:val="bottom"/>
            <w:tcBorders>
              <w:bottom w:val="single" w:sz="8" w:color="0000EE"/>
            </w:tcBorders>
            <w:gridSpan w:val="20"/>
          </w:tcPr>
          <w:p>
            <w:pPr>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Convertible Note and Warrant Purchase Agreement, dated February 10,</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4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r:id="rId188">
              <w:r>
                <w:rPr>
                  <w:rFonts w:ascii="Arial" w:cs="Arial" w:eastAsia="Arial" w:hAnsi="Arial"/>
                  <w:sz w:val="18"/>
                  <w:szCs w:val="18"/>
                  <w:color w:val="0000EE"/>
                  <w:w w:val="88"/>
                </w:rPr>
                <w:t>2010, by and among Soleno Therapeutics, Inc. and the investors named</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88">
              <w:r>
                <w:rPr>
                  <w:rFonts w:ascii="Arial" w:cs="Arial" w:eastAsia="Arial" w:hAnsi="Arial"/>
                  <w:sz w:val="18"/>
                  <w:szCs w:val="18"/>
                  <w:color w:val="0000EE"/>
                  <w:w w:val="89"/>
                </w:rPr>
                <w:t>therein.</w:t>
              </w:r>
            </w:hyperlink>
          </w:p>
        </w:tc>
        <w:tc>
          <w:tcPr>
            <w:tcW w:w="48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w w:val="88"/>
              </w:rPr>
              <w:t>10.12</w:t>
            </w:r>
          </w:p>
        </w:tc>
        <w:tc>
          <w:tcPr>
            <w:tcW w:w="300" w:type="dxa"/>
            <w:vAlign w:val="bottom"/>
          </w:tcPr>
          <w:p>
            <w:pPr>
              <w:spacing w:after="0"/>
              <w:rPr>
                <w:sz w:val="24"/>
                <w:szCs w:val="24"/>
                <w:color w:val="auto"/>
              </w:rPr>
            </w:pPr>
          </w:p>
        </w:tc>
        <w:tc>
          <w:tcPr>
            <w:tcW w:w="5360" w:type="dxa"/>
            <w:vAlign w:val="bottom"/>
            <w:tcBorders>
              <w:bottom w:val="single" w:sz="8" w:color="0000EE"/>
            </w:tcBorders>
            <w:gridSpan w:val="24"/>
          </w:tcPr>
          <w:p>
            <w:pPr>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Amendment No. 1 to Convertible Note and Warrant Purchase Agreement,</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6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r:id="rId189">
              <w:r>
                <w:rPr>
                  <w:rFonts w:ascii="Arial" w:cs="Arial" w:eastAsia="Arial" w:hAnsi="Arial"/>
                  <w:sz w:val="18"/>
                  <w:szCs w:val="18"/>
                  <w:color w:val="0000EE"/>
                  <w:w w:val="88"/>
                </w:rPr>
                <w:t>Convertible Promissory Notes and Warrants to Purchase Shares, dated</w:t>
              </w:r>
            </w:hyperlink>
          </w:p>
        </w:tc>
        <w:tc>
          <w:tcPr>
            <w:tcW w:w="3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89">
              <w:r>
                <w:rPr>
                  <w:rFonts w:ascii="Arial" w:cs="Arial" w:eastAsia="Arial" w:hAnsi="Arial"/>
                  <w:sz w:val="18"/>
                  <w:szCs w:val="18"/>
                  <w:color w:val="0000EE"/>
                  <w:w w:val="89"/>
                </w:rPr>
                <w:t>November 10, 2010, by and among Soleno Therapeutics, Inc. and the</w:t>
              </w:r>
            </w:hyperlink>
          </w:p>
        </w:tc>
        <w:tc>
          <w:tcPr>
            <w:tcW w:w="4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89">
              <w:r>
                <w:rPr>
                  <w:rFonts w:ascii="Arial" w:cs="Arial" w:eastAsia="Arial" w:hAnsi="Arial"/>
                  <w:sz w:val="18"/>
                  <w:szCs w:val="18"/>
                  <w:color w:val="0000EE"/>
                  <w:w w:val="89"/>
                </w:rPr>
                <w:t>investors named therein.</w:t>
              </w:r>
            </w:hyperlink>
          </w:p>
        </w:tc>
        <w:tc>
          <w:tcPr>
            <w:tcW w:w="36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w w:val="88"/>
              </w:rPr>
              <w:t>10.13</w:t>
            </w:r>
          </w:p>
        </w:tc>
        <w:tc>
          <w:tcPr>
            <w:tcW w:w="300" w:type="dxa"/>
            <w:vAlign w:val="bottom"/>
          </w:tcPr>
          <w:p>
            <w:pPr>
              <w:spacing w:after="0"/>
              <w:rPr>
                <w:sz w:val="24"/>
                <w:szCs w:val="24"/>
                <w:color w:val="auto"/>
              </w:rPr>
            </w:pPr>
          </w:p>
        </w:tc>
        <w:tc>
          <w:tcPr>
            <w:tcW w:w="5360" w:type="dxa"/>
            <w:vAlign w:val="bottom"/>
            <w:tcBorders>
              <w:bottom w:val="single" w:sz="8" w:color="0000EE"/>
            </w:tcBorders>
            <w:gridSpan w:val="24"/>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Amendment No. 2 to Convertible Note and Warrant Purchase Agreement,</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6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r:id="rId190">
              <w:r>
                <w:rPr>
                  <w:rFonts w:ascii="Arial" w:cs="Arial" w:eastAsia="Arial" w:hAnsi="Arial"/>
                  <w:sz w:val="18"/>
                  <w:szCs w:val="18"/>
                  <w:color w:val="0000EE"/>
                  <w:w w:val="88"/>
                </w:rPr>
                <w:t>Convertible Promissory Notes and Warrants to Purchase Shares, dated</w:t>
              </w:r>
            </w:hyperlink>
          </w:p>
        </w:tc>
        <w:tc>
          <w:tcPr>
            <w:tcW w:w="3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r:id="rId190">
              <w:r>
                <w:rPr>
                  <w:rFonts w:ascii="Arial" w:cs="Arial" w:eastAsia="Arial" w:hAnsi="Arial"/>
                  <w:sz w:val="18"/>
                  <w:szCs w:val="18"/>
                  <w:color w:val="0000EE"/>
                  <w:w w:val="88"/>
                </w:rPr>
                <w:t>January 17, 2012, by and among Soleno Therapeutics, Inc. and the</w:t>
              </w:r>
            </w:hyperlink>
          </w:p>
        </w:tc>
        <w:tc>
          <w:tcPr>
            <w:tcW w:w="6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90">
              <w:r>
                <w:rPr>
                  <w:rFonts w:ascii="Arial" w:cs="Arial" w:eastAsia="Arial" w:hAnsi="Arial"/>
                  <w:sz w:val="18"/>
                  <w:szCs w:val="18"/>
                  <w:color w:val="0000EE"/>
                  <w:w w:val="89"/>
                </w:rPr>
                <w:t>investors named therein.</w:t>
              </w:r>
            </w:hyperlink>
          </w:p>
        </w:tc>
        <w:tc>
          <w:tcPr>
            <w:tcW w:w="36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w w:val="88"/>
              </w:rPr>
              <w:t>10.14</w:t>
            </w:r>
          </w:p>
        </w:tc>
        <w:tc>
          <w:tcPr>
            <w:tcW w:w="300" w:type="dxa"/>
            <w:vAlign w:val="bottom"/>
          </w:tcPr>
          <w:p>
            <w:pPr>
              <w:spacing w:after="0"/>
              <w:rPr>
                <w:sz w:val="24"/>
                <w:szCs w:val="24"/>
                <w:color w:val="auto"/>
              </w:rPr>
            </w:pPr>
          </w:p>
        </w:tc>
        <w:tc>
          <w:tcPr>
            <w:tcW w:w="5440" w:type="dxa"/>
            <w:vAlign w:val="bottom"/>
            <w:gridSpan w:val="26"/>
          </w:tcPr>
          <w:p>
            <w:pPr>
              <w:spacing w:after="0"/>
              <w:rPr>
                <w:rFonts w:ascii="Arial" w:cs="Arial" w:eastAsia="Arial" w:hAnsi="Arial"/>
                <w:sz w:val="18"/>
                <w:szCs w:val="18"/>
                <w:color w:val="0000EE"/>
                <w:w w:val="95"/>
              </w:rPr>
            </w:pPr>
            <w:hyperlink r:id="rId191">
              <w:r>
                <w:rPr>
                  <w:rFonts w:ascii="Arial" w:cs="Arial" w:eastAsia="Arial" w:hAnsi="Arial"/>
                  <w:sz w:val="18"/>
                  <w:szCs w:val="18"/>
                  <w:color w:val="0000EE"/>
                  <w:w w:val="95"/>
                </w:rPr>
                <w:t>Convertible Note and Warrant Purchase Agreement, dated January 16,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560" w:type="dxa"/>
            <w:vAlign w:val="bottom"/>
            <w:gridSpan w:val="15"/>
            <w:shd w:val="clear" w:color="auto" w:fill="0000EE"/>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4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r:id="rId191">
              <w:r>
                <w:rPr>
                  <w:rFonts w:ascii="Arial" w:cs="Arial" w:eastAsia="Arial" w:hAnsi="Arial"/>
                  <w:sz w:val="18"/>
                  <w:szCs w:val="18"/>
                  <w:color w:val="0000EE"/>
                  <w:w w:val="88"/>
                </w:rPr>
                <w:t>2012, by and among Soleno Therapeutics, Inc. and the investors named</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91">
              <w:r>
                <w:rPr>
                  <w:rFonts w:ascii="Arial" w:cs="Arial" w:eastAsia="Arial" w:hAnsi="Arial"/>
                  <w:sz w:val="18"/>
                  <w:szCs w:val="18"/>
                  <w:color w:val="0000EE"/>
                  <w:w w:val="86"/>
                </w:rPr>
                <w:t>therein.</w:t>
              </w:r>
            </w:hyperlink>
          </w:p>
        </w:tc>
        <w:tc>
          <w:tcPr>
            <w:tcW w:w="49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00" w:type="dxa"/>
            <w:vAlign w:val="bottom"/>
            <w:gridSpan w:val="14"/>
          </w:tcPr>
          <w:p>
            <w:pPr>
              <w:jc w:val="right"/>
              <w:ind w:right="180"/>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Incorporated by Reference from</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Registrant’s</w:t>
            </w:r>
          </w:p>
        </w:tc>
        <w:tc>
          <w:tcPr>
            <w:tcW w:w="20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Date Filed</w:t>
            </w: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8"/>
              </w:rPr>
              <w:t>Exhibit</w:t>
            </w: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Filed</w:t>
            </w:r>
          </w:p>
        </w:tc>
      </w:tr>
      <w:tr>
        <w:trPr>
          <w:trHeight w:val="176"/>
        </w:trPr>
        <w:tc>
          <w:tcPr>
            <w:tcW w:w="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with the SEC</w:t>
            </w:r>
          </w:p>
        </w:tc>
        <w:tc>
          <w:tcPr>
            <w:tcW w:w="74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4"/>
              </w:rPr>
              <w:t>Number</w:t>
            </w:r>
          </w:p>
        </w:tc>
        <w:tc>
          <w:tcPr>
            <w:tcW w:w="80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8"/>
              </w:rPr>
              <w:t>Herewith</w:t>
            </w: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304"/>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October 15, 2015</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7"/>
              </w:rPr>
              <w:t>9.1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July 6, 2016</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7"/>
              </w:rPr>
              <w:t>9.1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December 27, 2016</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5"/>
              </w:rPr>
              <w:t>10.1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5"/>
              </w:rPr>
              <w:t>10.1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5"/>
              </w:rPr>
              <w:t>10.2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5"/>
              </w:rPr>
              <w:t>10.3</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July 1, 2014</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5"/>
              </w:rPr>
              <w:t>10.4</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July 1, 2014</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5"/>
              </w:rPr>
              <w:t>10.5</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5"/>
              </w:rPr>
              <w:t>10.6</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5"/>
              </w:rPr>
              <w:t>10.7</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5"/>
              </w:rPr>
              <w:t>10.8</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5"/>
              </w:rPr>
              <w:t>10.9</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93"/>
              </w:rPr>
              <w:t>10.10</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4"/>
              </w:rPr>
              <w:t>10.11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756"/>
        </w:trPr>
        <w:tc>
          <w:tcPr>
            <w:tcW w:w="980" w:type="dxa"/>
            <w:vAlign w:val="bottom"/>
            <w:gridSpan w:val="2"/>
          </w:tcPr>
          <w:p>
            <w:pPr>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93"/>
              </w:rPr>
              <w:t>10.12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972"/>
        </w:trPr>
        <w:tc>
          <w:tcPr>
            <w:tcW w:w="980" w:type="dxa"/>
            <w:vAlign w:val="bottom"/>
            <w:gridSpan w:val="2"/>
          </w:tcPr>
          <w:p>
            <w:pPr>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93"/>
              </w:rPr>
              <w:t>10.13</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972"/>
        </w:trPr>
        <w:tc>
          <w:tcPr>
            <w:tcW w:w="980" w:type="dxa"/>
            <w:vAlign w:val="bottom"/>
            <w:gridSpan w:val="2"/>
          </w:tcPr>
          <w:p>
            <w:pPr>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93"/>
              </w:rPr>
              <w:t>10.14</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2">
            <w:col w:w="6460" w:space="180"/>
            <w:col w:w="456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300" w:type="dxa"/>
            <w:vAlign w:val="bottom"/>
          </w:tcPr>
          <w:p>
            <w:pPr>
              <w:spacing w:after="0"/>
              <w:rPr>
                <w:sz w:val="14"/>
                <w:szCs w:val="14"/>
                <w:color w:val="auto"/>
              </w:rPr>
            </w:pPr>
          </w:p>
        </w:tc>
        <w:tc>
          <w:tcPr>
            <w:tcW w:w="5440" w:type="dxa"/>
            <w:vAlign w:val="bottom"/>
            <w:gridSpan w:val="25"/>
            <w:vMerge w:val="restart"/>
          </w:tcPr>
          <w:p>
            <w:pPr>
              <w:ind w:left="19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14"/>
                <w:szCs w:val="14"/>
                <w:color w:val="auto"/>
              </w:rPr>
            </w:pPr>
          </w:p>
        </w:tc>
        <w:tc>
          <w:tcPr>
            <w:tcW w:w="5440" w:type="dxa"/>
            <w:vAlign w:val="bottom"/>
            <w:gridSpan w:val="2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300" w:type="dxa"/>
            <w:vAlign w:val="bottom"/>
          </w:tcPr>
          <w:p>
            <w:pPr>
              <w:spacing w:after="0"/>
              <w:rPr>
                <w:sz w:val="22"/>
                <w:szCs w:val="22"/>
                <w:color w:val="auto"/>
              </w:rPr>
            </w:pPr>
          </w:p>
        </w:tc>
        <w:tc>
          <w:tcPr>
            <w:tcW w:w="5440" w:type="dxa"/>
            <w:vAlign w:val="bottom"/>
            <w:tcBorders>
              <w:top w:val="single" w:sz="8" w:color="auto"/>
            </w:tcBorders>
            <w:gridSpan w:val="25"/>
          </w:tcPr>
          <w:p>
            <w:pPr>
              <w:spacing w:after="0"/>
              <w:rPr>
                <w:rFonts w:ascii="Arial" w:cs="Arial" w:eastAsia="Arial" w:hAnsi="Arial"/>
                <w:sz w:val="18"/>
                <w:szCs w:val="18"/>
                <w:color w:val="0000EE"/>
              </w:rPr>
            </w:pPr>
            <w:hyperlink r:id="rId193">
              <w:r>
                <w:rPr>
                  <w:rFonts w:ascii="Arial" w:cs="Arial" w:eastAsia="Arial" w:hAnsi="Arial"/>
                  <w:sz w:val="18"/>
                  <w:szCs w:val="18"/>
                  <w:color w:val="0000EE"/>
                </w:rPr>
                <w:t>Omnibus Amendment to Convertible Note and Warrant Purchase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9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93">
              <w:r>
                <w:rPr>
                  <w:rFonts w:ascii="Arial" w:cs="Arial" w:eastAsia="Arial" w:hAnsi="Arial"/>
                  <w:sz w:val="18"/>
                  <w:szCs w:val="18"/>
                  <w:color w:val="0000EE"/>
                  <w:w w:val="89"/>
                </w:rPr>
                <w:t>Agreement, Convertible Promissory Notes and Warrants to Purchase</w:t>
              </w:r>
            </w:hyperlink>
          </w:p>
        </w:tc>
        <w:tc>
          <w:tcPr>
            <w:tcW w:w="4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8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r:id="rId193">
              <w:r>
                <w:rPr>
                  <w:rFonts w:ascii="Arial" w:cs="Arial" w:eastAsia="Arial" w:hAnsi="Arial"/>
                  <w:sz w:val="18"/>
                  <w:szCs w:val="18"/>
                  <w:color w:val="0000EE"/>
                  <w:w w:val="88"/>
                </w:rPr>
                <w:t>Shares, dated July 31, 2012, by and among Soleno Therapeutics, Inc. and</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40" w:type="dxa"/>
            <w:vAlign w:val="bottom"/>
            <w:gridSpan w:val="25"/>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the investors named therein.</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300" w:type="dxa"/>
            <w:vAlign w:val="bottom"/>
          </w:tcPr>
          <w:p>
            <w:pPr>
              <w:spacing w:after="0"/>
              <w:rPr>
                <w:sz w:val="24"/>
                <w:szCs w:val="24"/>
                <w:color w:val="auto"/>
              </w:rPr>
            </w:pPr>
          </w:p>
        </w:tc>
        <w:tc>
          <w:tcPr>
            <w:tcW w:w="5180" w:type="dxa"/>
            <w:vAlign w:val="bottom"/>
            <w:tcBorders>
              <w:bottom w:val="single" w:sz="8" w:color="0000EE"/>
            </w:tcBorders>
            <w:gridSpan w:val="20"/>
          </w:tcPr>
          <w:p>
            <w:pPr>
              <w:spacing w:after="0"/>
              <w:rPr>
                <w:rFonts w:ascii="Arial" w:cs="Arial" w:eastAsia="Arial" w:hAnsi="Arial"/>
                <w:sz w:val="18"/>
                <w:szCs w:val="18"/>
                <w:color w:val="0000EE"/>
                <w:w w:val="90"/>
              </w:rPr>
            </w:pPr>
            <w:hyperlink r:id="rId194">
              <w:r>
                <w:rPr>
                  <w:rFonts w:ascii="Arial" w:cs="Arial" w:eastAsia="Arial" w:hAnsi="Arial"/>
                  <w:sz w:val="18"/>
                  <w:szCs w:val="18"/>
                  <w:color w:val="0000EE"/>
                  <w:w w:val="90"/>
                </w:rPr>
                <w:t>Omnibus Amendment to Convertible Promissory Notes and Warrants to</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40" w:type="dxa"/>
            <w:vAlign w:val="bottom"/>
            <w:gridSpan w:val="25"/>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Purchase Shares, dated April 28, 2014, by and among Soleno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Therapeutics, Inc. and the investors named therein.</w:t>
              </w:r>
            </w:hyperlink>
          </w:p>
        </w:tc>
        <w:tc>
          <w:tcPr>
            <w:tcW w:w="10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10.17</w:t>
            </w:r>
          </w:p>
        </w:tc>
        <w:tc>
          <w:tcPr>
            <w:tcW w:w="300" w:type="dxa"/>
            <w:vAlign w:val="bottom"/>
          </w:tcPr>
          <w:p>
            <w:pPr>
              <w:spacing w:after="0"/>
              <w:rPr>
                <w:sz w:val="24"/>
                <w:szCs w:val="24"/>
                <w:color w:val="auto"/>
              </w:rPr>
            </w:pPr>
          </w:p>
        </w:tc>
        <w:tc>
          <w:tcPr>
            <w:tcW w:w="5380" w:type="dxa"/>
            <w:vAlign w:val="bottom"/>
            <w:tcBorders>
              <w:bottom w:val="single" w:sz="8" w:color="0000EE"/>
            </w:tcBorders>
            <w:gridSpan w:val="24"/>
          </w:tcPr>
          <w:p>
            <w:pPr>
              <w:spacing w:after="0"/>
              <w:rPr>
                <w:rFonts w:ascii="Arial" w:cs="Arial" w:eastAsia="Arial" w:hAnsi="Arial"/>
                <w:sz w:val="18"/>
                <w:szCs w:val="18"/>
                <w:color w:val="0000EE"/>
                <w:w w:val="91"/>
              </w:rPr>
            </w:pPr>
            <w:hyperlink r:id="rId195">
              <w:r>
                <w:rPr>
                  <w:rFonts w:ascii="Arial" w:cs="Arial" w:eastAsia="Arial" w:hAnsi="Arial"/>
                  <w:sz w:val="18"/>
                  <w:szCs w:val="18"/>
                  <w:color w:val="0000EE"/>
                  <w:w w:val="91"/>
                </w:rPr>
                <w:t>Convertible Note and Warrant Purchase Agreement, dated April 28, 2014,</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95">
              <w:r>
                <w:rPr>
                  <w:rFonts w:ascii="Arial" w:cs="Arial" w:eastAsia="Arial" w:hAnsi="Arial"/>
                  <w:sz w:val="18"/>
                  <w:szCs w:val="18"/>
                  <w:color w:val="0000EE"/>
                  <w:w w:val="89"/>
                </w:rPr>
                <w:t>by and among Soleno Therapeutics, Inc. and the investors named therein.</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10.18</w:t>
            </w:r>
          </w:p>
        </w:tc>
        <w:tc>
          <w:tcPr>
            <w:tcW w:w="300" w:type="dxa"/>
            <w:vAlign w:val="bottom"/>
          </w:tcPr>
          <w:p>
            <w:pPr>
              <w:spacing w:after="0"/>
              <w:rPr>
                <w:sz w:val="24"/>
                <w:szCs w:val="24"/>
                <w:color w:val="auto"/>
              </w:rPr>
            </w:pPr>
          </w:p>
        </w:tc>
        <w:tc>
          <w:tcPr>
            <w:tcW w:w="5440" w:type="dxa"/>
            <w:vAlign w:val="bottom"/>
            <w:gridSpan w:val="25"/>
          </w:tcPr>
          <w:p>
            <w:pPr>
              <w:spacing w:after="0"/>
              <w:rPr>
                <w:rFonts w:ascii="Arial" w:cs="Arial" w:eastAsia="Arial" w:hAnsi="Arial"/>
                <w:sz w:val="18"/>
                <w:szCs w:val="18"/>
                <w:color w:val="0000EE"/>
              </w:rPr>
            </w:pPr>
            <w:hyperlink r:id="rId196">
              <w:r>
                <w:rPr>
                  <w:rFonts w:ascii="Arial" w:cs="Arial" w:eastAsia="Arial" w:hAnsi="Arial"/>
                  <w:sz w:val="18"/>
                  <w:szCs w:val="18"/>
                  <w:color w:val="0000EE"/>
                </w:rPr>
                <w:t>Omnibus Amendment to Convertible Note and Warrant Purchase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9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96">
              <w:r>
                <w:rPr>
                  <w:rFonts w:ascii="Arial" w:cs="Arial" w:eastAsia="Arial" w:hAnsi="Arial"/>
                  <w:sz w:val="18"/>
                  <w:szCs w:val="18"/>
                  <w:color w:val="0000EE"/>
                  <w:w w:val="89"/>
                </w:rPr>
                <w:t>Agreement, Convertible Promissory Notes and Warrants to Purchase</w:t>
              </w:r>
            </w:hyperlink>
          </w:p>
        </w:tc>
        <w:tc>
          <w:tcPr>
            <w:tcW w:w="5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2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r:id="rId196">
              <w:r>
                <w:rPr>
                  <w:rFonts w:ascii="Arial" w:cs="Arial" w:eastAsia="Arial" w:hAnsi="Arial"/>
                  <w:sz w:val="18"/>
                  <w:szCs w:val="18"/>
                  <w:color w:val="0000EE"/>
                  <w:w w:val="88"/>
                </w:rPr>
                <w:t>Shares, dated May 5, 2014, by and among Soleno Therapeutics, Inc. and</w:t>
              </w:r>
            </w:hyperlink>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40" w:type="dxa"/>
            <w:vAlign w:val="bottom"/>
            <w:gridSpan w:val="25"/>
          </w:tcPr>
          <w:p>
            <w:pPr>
              <w:spacing w:after="0" w:line="196" w:lineRule="exact"/>
              <w:rPr>
                <w:rFonts w:ascii="Arial" w:cs="Arial" w:eastAsia="Arial" w:hAnsi="Arial"/>
                <w:sz w:val="18"/>
                <w:szCs w:val="18"/>
                <w:color w:val="0000EE"/>
              </w:rPr>
            </w:pPr>
            <w:hyperlink r:id="rId196">
              <w:r>
                <w:rPr>
                  <w:rFonts w:ascii="Arial" w:cs="Arial" w:eastAsia="Arial" w:hAnsi="Arial"/>
                  <w:sz w:val="18"/>
                  <w:szCs w:val="18"/>
                  <w:color w:val="0000EE"/>
                </w:rPr>
                <w:t>the investors named therein.</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10.19</w:t>
            </w:r>
          </w:p>
        </w:tc>
        <w:tc>
          <w:tcPr>
            <w:tcW w:w="300" w:type="dxa"/>
            <w:vAlign w:val="bottom"/>
          </w:tcPr>
          <w:p>
            <w:pPr>
              <w:spacing w:after="0"/>
              <w:rPr>
                <w:sz w:val="24"/>
                <w:szCs w:val="24"/>
                <w:color w:val="auto"/>
              </w:rPr>
            </w:pPr>
          </w:p>
        </w:tc>
        <w:tc>
          <w:tcPr>
            <w:tcW w:w="5160" w:type="dxa"/>
            <w:vAlign w:val="bottom"/>
            <w:tcBorders>
              <w:bottom w:val="single" w:sz="8" w:color="0000EE"/>
            </w:tcBorders>
            <w:gridSpan w:val="19"/>
          </w:tcPr>
          <w:p>
            <w:pPr>
              <w:spacing w:after="0"/>
              <w:rPr>
                <w:rFonts w:ascii="Arial" w:cs="Arial" w:eastAsia="Arial" w:hAnsi="Arial"/>
                <w:sz w:val="18"/>
                <w:szCs w:val="18"/>
                <w:color w:val="0000EE"/>
                <w:w w:val="89"/>
              </w:rPr>
            </w:pPr>
            <w:hyperlink r:id="rId197">
              <w:r>
                <w:rPr>
                  <w:rFonts w:ascii="Arial" w:cs="Arial" w:eastAsia="Arial" w:hAnsi="Arial"/>
                  <w:sz w:val="18"/>
                  <w:szCs w:val="18"/>
                  <w:color w:val="0000EE"/>
                  <w:w w:val="89"/>
                </w:rPr>
                <w:t>Sublease, dated May 20, 2014, by and among Soleno Therapeutics, Inc.</w:t>
              </w:r>
            </w:hyperlink>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97">
              <w:r>
                <w:rPr>
                  <w:rFonts w:ascii="Arial" w:cs="Arial" w:eastAsia="Arial" w:hAnsi="Arial"/>
                  <w:sz w:val="18"/>
                  <w:szCs w:val="18"/>
                  <w:color w:val="0000EE"/>
                  <w:w w:val="90"/>
                </w:rPr>
                <w:t>and Silicon Valley Finance Group.</w:t>
              </w:r>
            </w:hyperlink>
          </w:p>
        </w:tc>
        <w:tc>
          <w:tcPr>
            <w:tcW w:w="29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10.20</w:t>
            </w:r>
          </w:p>
        </w:tc>
        <w:tc>
          <w:tcPr>
            <w:tcW w:w="300" w:type="dxa"/>
            <w:vAlign w:val="bottom"/>
          </w:tcPr>
          <w:p>
            <w:pPr>
              <w:spacing w:after="0"/>
              <w:rPr>
                <w:sz w:val="24"/>
                <w:szCs w:val="24"/>
                <w:color w:val="auto"/>
              </w:rPr>
            </w:pPr>
          </w:p>
        </w:tc>
        <w:tc>
          <w:tcPr>
            <w:tcW w:w="5440" w:type="dxa"/>
            <w:vAlign w:val="bottom"/>
            <w:gridSpan w:val="25"/>
          </w:tcPr>
          <w:p>
            <w:pPr>
              <w:spacing w:after="0"/>
              <w:rPr>
                <w:rFonts w:ascii="Arial" w:cs="Arial" w:eastAsia="Arial" w:hAnsi="Arial"/>
                <w:sz w:val="18"/>
                <w:szCs w:val="18"/>
                <w:color w:val="0000EE"/>
                <w:w w:val="93"/>
              </w:rPr>
            </w:pPr>
            <w:hyperlink r:id="rId198">
              <w:r>
                <w:rPr>
                  <w:rFonts w:ascii="Arial" w:cs="Arial" w:eastAsia="Arial" w:hAnsi="Arial"/>
                  <w:sz w:val="18"/>
                  <w:szCs w:val="18"/>
                  <w:color w:val="0000EE"/>
                  <w:w w:val="93"/>
                </w:rPr>
                <w:t>Offer Letter, dated June 24, 2014, by and between Soleno Therapeutics,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98">
              <w:r>
                <w:rPr>
                  <w:rFonts w:ascii="Arial" w:cs="Arial" w:eastAsia="Arial" w:hAnsi="Arial"/>
                  <w:sz w:val="18"/>
                  <w:szCs w:val="18"/>
                  <w:color w:val="0000EE"/>
                </w:rPr>
                <w:t>Inc. and David D. O’Toole.</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10.21</w:t>
            </w:r>
          </w:p>
        </w:tc>
        <w:tc>
          <w:tcPr>
            <w:tcW w:w="300" w:type="dxa"/>
            <w:vAlign w:val="bottom"/>
          </w:tcPr>
          <w:p>
            <w:pPr>
              <w:spacing w:after="0"/>
              <w:rPr>
                <w:sz w:val="24"/>
                <w:szCs w:val="24"/>
                <w:color w:val="auto"/>
              </w:rPr>
            </w:pPr>
          </w:p>
        </w:tc>
        <w:tc>
          <w:tcPr>
            <w:tcW w:w="4860" w:type="dxa"/>
            <w:vAlign w:val="bottom"/>
            <w:tcBorders>
              <w:bottom w:val="single" w:sz="8" w:color="0000EE"/>
            </w:tcBorders>
            <w:gridSpan w:val="14"/>
          </w:tcPr>
          <w:p>
            <w:pPr>
              <w:spacing w:after="0"/>
              <w:rPr>
                <w:rFonts w:ascii="Arial" w:cs="Arial" w:eastAsia="Arial" w:hAnsi="Arial"/>
                <w:sz w:val="18"/>
                <w:szCs w:val="18"/>
                <w:color w:val="0000EE"/>
                <w:w w:val="89"/>
              </w:rPr>
            </w:pPr>
            <w:hyperlink r:id="rId199">
              <w:r>
                <w:rPr>
                  <w:rFonts w:ascii="Arial" w:cs="Arial" w:eastAsia="Arial" w:hAnsi="Arial"/>
                  <w:sz w:val="18"/>
                  <w:szCs w:val="18"/>
                  <w:color w:val="0000EE"/>
                  <w:w w:val="89"/>
                </w:rPr>
                <w:t>Loan Agreement by and between Soleno Therapeutics, Inc. and the</w:t>
              </w:r>
            </w:hyperlink>
          </w:p>
        </w:tc>
        <w:tc>
          <w:tcPr>
            <w:tcW w:w="5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r:id="rId199">
              <w:r>
                <w:rPr>
                  <w:rFonts w:ascii="Arial" w:cs="Arial" w:eastAsia="Arial" w:hAnsi="Arial"/>
                  <w:sz w:val="18"/>
                  <w:szCs w:val="18"/>
                  <w:color w:val="0000EE"/>
                  <w:w w:val="88"/>
                </w:rPr>
                <w:t>investors named therein, dated September 29, 2014.</w:t>
              </w:r>
            </w:hyperlink>
          </w:p>
        </w:tc>
        <w:tc>
          <w:tcPr>
            <w:tcW w:w="17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10.22</w:t>
            </w:r>
          </w:p>
        </w:tc>
        <w:tc>
          <w:tcPr>
            <w:tcW w:w="300" w:type="dxa"/>
            <w:vAlign w:val="bottom"/>
          </w:tcPr>
          <w:p>
            <w:pPr>
              <w:spacing w:after="0"/>
              <w:rPr>
                <w:sz w:val="24"/>
                <w:szCs w:val="24"/>
                <w:color w:val="auto"/>
              </w:rPr>
            </w:pPr>
          </w:p>
        </w:tc>
        <w:tc>
          <w:tcPr>
            <w:tcW w:w="5060" w:type="dxa"/>
            <w:vAlign w:val="bottom"/>
            <w:tcBorders>
              <w:bottom w:val="single" w:sz="8" w:color="0000EE"/>
            </w:tcBorders>
            <w:gridSpan w:val="18"/>
          </w:tcPr>
          <w:p>
            <w:pPr>
              <w:spacing w:after="0"/>
              <w:rPr>
                <w:rFonts w:ascii="Arial" w:cs="Arial" w:eastAsia="Arial" w:hAnsi="Arial"/>
                <w:sz w:val="18"/>
                <w:szCs w:val="18"/>
                <w:color w:val="0000EE"/>
                <w:w w:val="89"/>
              </w:rPr>
            </w:pPr>
            <w:hyperlink r:id="rId200">
              <w:r>
                <w:rPr>
                  <w:rFonts w:ascii="Arial" w:cs="Arial" w:eastAsia="Arial" w:hAnsi="Arial"/>
                  <w:sz w:val="18"/>
                  <w:szCs w:val="18"/>
                  <w:color w:val="0000EE"/>
                  <w:w w:val="89"/>
                </w:rPr>
                <w:t>Revised Second Tranche Closing Notice and Letter Amendment dated</w:t>
              </w:r>
            </w:hyperlink>
          </w:p>
        </w:tc>
        <w:tc>
          <w:tcPr>
            <w:tcW w:w="3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200">
              <w:r>
                <w:rPr>
                  <w:rFonts w:ascii="Arial" w:cs="Arial" w:eastAsia="Arial" w:hAnsi="Arial"/>
                  <w:sz w:val="18"/>
                  <w:szCs w:val="18"/>
                  <w:color w:val="0000EE"/>
                  <w:w w:val="90"/>
                </w:rPr>
                <w:t>August 18, 2014 relating to the August 2014 Notes.</w:t>
              </w:r>
            </w:hyperlink>
          </w:p>
        </w:tc>
        <w:tc>
          <w:tcPr>
            <w:tcW w:w="17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10.23</w:t>
            </w:r>
          </w:p>
        </w:tc>
        <w:tc>
          <w:tcPr>
            <w:tcW w:w="300" w:type="dxa"/>
            <w:vAlign w:val="bottom"/>
          </w:tcPr>
          <w:p>
            <w:pPr>
              <w:spacing w:after="0"/>
              <w:rPr>
                <w:sz w:val="24"/>
                <w:szCs w:val="24"/>
                <w:color w:val="auto"/>
              </w:rPr>
            </w:pPr>
          </w:p>
        </w:tc>
        <w:tc>
          <w:tcPr>
            <w:tcW w:w="5440" w:type="dxa"/>
            <w:vAlign w:val="bottom"/>
            <w:gridSpan w:val="25"/>
          </w:tcPr>
          <w:p>
            <w:pPr>
              <w:spacing w:after="0"/>
              <w:rPr>
                <w:rFonts w:ascii="Arial" w:cs="Arial" w:eastAsia="Arial" w:hAnsi="Arial"/>
                <w:sz w:val="18"/>
                <w:szCs w:val="18"/>
                <w:color w:val="0000EE"/>
                <w:w w:val="91"/>
              </w:rPr>
            </w:pPr>
            <w:hyperlink r:id="rId201">
              <w:r>
                <w:rPr>
                  <w:rFonts w:ascii="Arial" w:cs="Arial" w:eastAsia="Arial" w:hAnsi="Arial"/>
                  <w:sz w:val="18"/>
                  <w:szCs w:val="18"/>
                  <w:color w:val="0000EE"/>
                  <w:w w:val="91"/>
                </w:rPr>
                <w:t>Second Tranche Subsequent Closing Notice and Letter Amendment dated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201">
              <w:r>
                <w:rPr>
                  <w:rFonts w:ascii="Arial" w:cs="Arial" w:eastAsia="Arial" w:hAnsi="Arial"/>
                  <w:sz w:val="18"/>
                  <w:szCs w:val="18"/>
                  <w:color w:val="0000EE"/>
                  <w:w w:val="90"/>
                </w:rPr>
                <w:t>October 22, 2014 relating to the October 2014 Notes.</w:t>
              </w:r>
            </w:hyperlink>
          </w:p>
        </w:tc>
        <w:tc>
          <w:tcPr>
            <w:tcW w:w="1460" w:type="dxa"/>
            <w:vAlign w:val="bottom"/>
            <w:tcBorders>
              <w:top w:val="single" w:sz="8" w:color="0000EE"/>
            </w:tcBorders>
            <w:gridSpan w:val="13"/>
          </w:tcPr>
          <w:p>
            <w:pPr>
              <w:spacing w:after="0"/>
              <w:rPr>
                <w:sz w:val="17"/>
                <w:szCs w:val="17"/>
                <w:color w:val="auto"/>
              </w:rPr>
            </w:pP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10.24</w:t>
            </w:r>
          </w:p>
        </w:tc>
        <w:tc>
          <w:tcPr>
            <w:tcW w:w="300" w:type="dxa"/>
            <w:vAlign w:val="bottom"/>
          </w:tcPr>
          <w:p>
            <w:pPr>
              <w:spacing w:after="0"/>
              <w:rPr>
                <w:sz w:val="24"/>
                <w:szCs w:val="24"/>
                <w:color w:val="auto"/>
              </w:rPr>
            </w:pPr>
          </w:p>
        </w:tc>
        <w:tc>
          <w:tcPr>
            <w:tcW w:w="2760" w:type="dxa"/>
            <w:vAlign w:val="bottom"/>
            <w:tcBorders>
              <w:bottom w:val="single" w:sz="8" w:color="0000EE"/>
            </w:tcBorders>
            <w:gridSpan w:val="4"/>
          </w:tcPr>
          <w:p>
            <w:pPr>
              <w:spacing w:after="0"/>
              <w:rPr>
                <w:rFonts w:ascii="Arial" w:cs="Arial" w:eastAsia="Arial" w:hAnsi="Arial"/>
                <w:sz w:val="18"/>
                <w:szCs w:val="18"/>
                <w:color w:val="0000EE"/>
                <w:w w:val="90"/>
              </w:rPr>
            </w:pPr>
            <w:hyperlink r:id="rId202">
              <w:r>
                <w:rPr>
                  <w:rFonts w:ascii="Arial" w:cs="Arial" w:eastAsia="Arial" w:hAnsi="Arial"/>
                  <w:sz w:val="18"/>
                  <w:szCs w:val="18"/>
                  <w:color w:val="0000EE"/>
                  <w:w w:val="90"/>
                </w:rPr>
                <w:t>Form of Warrant Exercise Agreement.</w:t>
              </w:r>
            </w:hyperlink>
          </w:p>
        </w:tc>
        <w:tc>
          <w:tcPr>
            <w:tcW w:w="268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10.25</w:t>
            </w:r>
          </w:p>
        </w:tc>
        <w:tc>
          <w:tcPr>
            <w:tcW w:w="300" w:type="dxa"/>
            <w:vAlign w:val="bottom"/>
          </w:tcPr>
          <w:p>
            <w:pPr>
              <w:spacing w:after="0"/>
              <w:rPr>
                <w:sz w:val="24"/>
                <w:szCs w:val="24"/>
                <w:color w:val="auto"/>
              </w:rPr>
            </w:pPr>
          </w:p>
        </w:tc>
        <w:tc>
          <w:tcPr>
            <w:tcW w:w="4880" w:type="dxa"/>
            <w:vAlign w:val="bottom"/>
            <w:tcBorders>
              <w:bottom w:val="single" w:sz="8" w:color="0000EE"/>
            </w:tcBorders>
            <w:gridSpan w:val="15"/>
          </w:tcPr>
          <w:p>
            <w:pPr>
              <w:spacing w:after="0"/>
              <w:rPr>
                <w:rFonts w:ascii="Arial" w:cs="Arial" w:eastAsia="Arial" w:hAnsi="Arial"/>
                <w:sz w:val="18"/>
                <w:szCs w:val="18"/>
                <w:color w:val="0000EE"/>
                <w:w w:val="90"/>
              </w:rPr>
            </w:pPr>
            <w:hyperlink r:id="rId203">
              <w:r>
                <w:rPr>
                  <w:rFonts w:ascii="Arial" w:cs="Arial" w:eastAsia="Arial" w:hAnsi="Arial"/>
                  <w:sz w:val="18"/>
                  <w:szCs w:val="18"/>
                  <w:color w:val="0000EE"/>
                  <w:w w:val="90"/>
                </w:rPr>
                <w:t>Advisory Agreement by and between Soleno Therapeutics, Inc. and</w:t>
              </w:r>
            </w:hyperlink>
          </w:p>
        </w:tc>
        <w:tc>
          <w:tcPr>
            <w:tcW w:w="5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40" w:type="dxa"/>
            <w:vAlign w:val="bottom"/>
            <w:gridSpan w:val="25"/>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Maxim Group LLC, dated March 4, 2015.</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10.26</w:t>
            </w:r>
          </w:p>
        </w:tc>
        <w:tc>
          <w:tcPr>
            <w:tcW w:w="300" w:type="dxa"/>
            <w:vAlign w:val="bottom"/>
          </w:tcPr>
          <w:p>
            <w:pPr>
              <w:spacing w:after="0"/>
              <w:rPr>
                <w:sz w:val="24"/>
                <w:szCs w:val="24"/>
                <w:color w:val="auto"/>
              </w:rPr>
            </w:pPr>
          </w:p>
        </w:tc>
        <w:tc>
          <w:tcPr>
            <w:tcW w:w="5440" w:type="dxa"/>
            <w:vAlign w:val="bottom"/>
            <w:gridSpan w:val="25"/>
          </w:tcPr>
          <w:p>
            <w:pPr>
              <w:spacing w:after="0"/>
              <w:rPr>
                <w:rFonts w:ascii="Arial" w:cs="Arial" w:eastAsia="Arial" w:hAnsi="Arial"/>
                <w:sz w:val="18"/>
                <w:szCs w:val="18"/>
                <w:color w:val="0000EE"/>
                <w:w w:val="93"/>
              </w:rPr>
            </w:pPr>
            <w:hyperlink r:id="rId204">
              <w:r>
                <w:rPr>
                  <w:rFonts w:ascii="Arial" w:cs="Arial" w:eastAsia="Arial" w:hAnsi="Arial"/>
                  <w:sz w:val="18"/>
                  <w:szCs w:val="18"/>
                  <w:color w:val="0000EE"/>
                  <w:w w:val="93"/>
                </w:rPr>
                <w:t>Agreement and First Amendment to Asset Purchase Agreement between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204">
              <w:r>
                <w:rPr>
                  <w:rFonts w:ascii="Arial" w:cs="Arial" w:eastAsia="Arial" w:hAnsi="Arial"/>
                  <w:sz w:val="18"/>
                  <w:szCs w:val="18"/>
                  <w:color w:val="0000EE"/>
                  <w:w w:val="92"/>
                </w:rPr>
                <w:t>the Company, BDDI and affiliate of BDDI, dated June 30, 2015.</w:t>
              </w:r>
            </w:hyperlink>
          </w:p>
        </w:tc>
        <w:tc>
          <w:tcPr>
            <w:tcW w:w="540" w:type="dxa"/>
            <w:vAlign w:val="bottom"/>
            <w:tcBorders>
              <w:top w:val="single" w:sz="8" w:color="0000EE"/>
            </w:tcBorders>
            <w:gridSpan w:val="9"/>
          </w:tcPr>
          <w:p>
            <w:pPr>
              <w:spacing w:after="0"/>
              <w:rPr>
                <w:sz w:val="17"/>
                <w:szCs w:val="17"/>
                <w:color w:val="auto"/>
              </w:rPr>
            </w:pPr>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10.27</w:t>
            </w:r>
          </w:p>
        </w:tc>
        <w:tc>
          <w:tcPr>
            <w:tcW w:w="300" w:type="dxa"/>
            <w:vAlign w:val="bottom"/>
          </w:tcPr>
          <w:p>
            <w:pPr>
              <w:spacing w:after="0"/>
              <w:rPr>
                <w:sz w:val="24"/>
                <w:szCs w:val="24"/>
                <w:color w:val="auto"/>
              </w:rPr>
            </w:pPr>
          </w:p>
        </w:tc>
        <w:tc>
          <w:tcPr>
            <w:tcW w:w="4840" w:type="dxa"/>
            <w:vAlign w:val="bottom"/>
            <w:tcBorders>
              <w:bottom w:val="single" w:sz="8" w:color="0000EE"/>
            </w:tcBorders>
            <w:gridSpan w:val="13"/>
          </w:tcPr>
          <w:p>
            <w:pPr>
              <w:spacing w:after="0"/>
              <w:rPr>
                <w:rFonts w:ascii="Arial" w:cs="Arial" w:eastAsia="Arial" w:hAnsi="Arial"/>
                <w:sz w:val="18"/>
                <w:szCs w:val="18"/>
                <w:color w:val="0000EE"/>
                <w:w w:val="88"/>
              </w:rPr>
            </w:pPr>
            <w:hyperlink r:id="rId205">
              <w:r>
                <w:rPr>
                  <w:rFonts w:ascii="Arial" w:cs="Arial" w:eastAsia="Arial" w:hAnsi="Arial"/>
                  <w:sz w:val="18"/>
                  <w:szCs w:val="18"/>
                  <w:color w:val="0000EE"/>
                  <w:w w:val="88"/>
                </w:rPr>
                <w:t>Common Stock Purchase Agreement between the Company and an</w:t>
              </w:r>
            </w:hyperlink>
          </w:p>
        </w:tc>
        <w:tc>
          <w:tcPr>
            <w:tcW w:w="6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40" w:type="dxa"/>
            <w:vAlign w:val="bottom"/>
            <w:gridSpan w:val="25"/>
          </w:tcPr>
          <w:p>
            <w:pPr>
              <w:spacing w:after="0" w:line="196" w:lineRule="exact"/>
              <w:rPr>
                <w:rFonts w:ascii="Arial" w:cs="Arial" w:eastAsia="Arial" w:hAnsi="Arial"/>
                <w:sz w:val="18"/>
                <w:szCs w:val="18"/>
                <w:color w:val="0000EE"/>
              </w:rPr>
            </w:pPr>
            <w:hyperlink r:id="rId205">
              <w:r>
                <w:rPr>
                  <w:rFonts w:ascii="Arial" w:cs="Arial" w:eastAsia="Arial" w:hAnsi="Arial"/>
                  <w:sz w:val="18"/>
                  <w:szCs w:val="18"/>
                  <w:color w:val="0000EE"/>
                </w:rPr>
                <w:t>affiliate of BDDI, dated June 30, 2015.</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80" w:type="dxa"/>
            <w:vAlign w:val="bottom"/>
            <w:gridSpan w:val="1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10.28</w:t>
            </w:r>
          </w:p>
        </w:tc>
        <w:tc>
          <w:tcPr>
            <w:tcW w:w="300" w:type="dxa"/>
            <w:vAlign w:val="bottom"/>
          </w:tcPr>
          <w:p>
            <w:pPr>
              <w:spacing w:after="0"/>
              <w:rPr>
                <w:sz w:val="24"/>
                <w:szCs w:val="24"/>
                <w:color w:val="auto"/>
              </w:rPr>
            </w:pPr>
          </w:p>
        </w:tc>
        <w:tc>
          <w:tcPr>
            <w:tcW w:w="5440" w:type="dxa"/>
            <w:vAlign w:val="bottom"/>
            <w:gridSpan w:val="25"/>
          </w:tcPr>
          <w:p>
            <w:pPr>
              <w:spacing w:after="0"/>
              <w:rPr>
                <w:rFonts w:ascii="Arial" w:cs="Arial" w:eastAsia="Arial" w:hAnsi="Arial"/>
                <w:sz w:val="18"/>
                <w:szCs w:val="18"/>
                <w:color w:val="0000EE"/>
                <w:w w:val="93"/>
              </w:rPr>
            </w:pPr>
            <w:hyperlink r:id="rId206">
              <w:r>
                <w:rPr>
                  <w:rFonts w:ascii="Arial" w:cs="Arial" w:eastAsia="Arial" w:hAnsi="Arial"/>
                  <w:sz w:val="18"/>
                  <w:szCs w:val="18"/>
                  <w:color w:val="0000EE"/>
                  <w:w w:val="93"/>
                </w:rPr>
                <w:t>Registration Rights Agreement between the Company and Aspire Capital</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206">
              <w:r>
                <w:rPr>
                  <w:rFonts w:ascii="Arial" w:cs="Arial" w:eastAsia="Arial" w:hAnsi="Arial"/>
                  <w:sz w:val="18"/>
                  <w:szCs w:val="18"/>
                  <w:color w:val="0000EE"/>
                  <w:w w:val="90"/>
                </w:rPr>
                <w:t>Fund, LLC, dated July 24, 2015.</w:t>
              </w:r>
            </w:hyperlink>
          </w:p>
        </w:tc>
        <w:tc>
          <w:tcPr>
            <w:tcW w:w="2940" w:type="dxa"/>
            <w:vAlign w:val="bottom"/>
            <w:tcBorders>
              <w:top w:val="single" w:sz="8" w:color="0000EE"/>
            </w:tcBorders>
            <w:gridSpan w:val="20"/>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40" w:type="dxa"/>
            <w:vAlign w:val="bottom"/>
            <w:gridSpan w:val="14"/>
          </w:tcPr>
          <w:p>
            <w:pPr>
              <w:jc w:val="right"/>
              <w:ind w:right="2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Incorporated by Reference from</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Registrant’s</w:t>
            </w:r>
          </w:p>
        </w:tc>
        <w:tc>
          <w:tcPr>
            <w:tcW w:w="20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Date Filed</w:t>
            </w: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8"/>
              </w:rPr>
              <w:t>Exhibit</w:t>
            </w: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Filed</w:t>
            </w:r>
          </w:p>
        </w:tc>
      </w:tr>
      <w:tr>
        <w:trPr>
          <w:trHeight w:val="176"/>
        </w:trPr>
        <w:tc>
          <w:tcPr>
            <w:tcW w:w="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with the SEC</w:t>
            </w:r>
          </w:p>
        </w:tc>
        <w:tc>
          <w:tcPr>
            <w:tcW w:w="74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4"/>
              </w:rPr>
              <w:t>Number</w:t>
            </w:r>
          </w:p>
        </w:tc>
        <w:tc>
          <w:tcPr>
            <w:tcW w:w="80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8"/>
              </w:rPr>
              <w:t>Herewith</w:t>
            </w: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304"/>
        </w:trPr>
        <w:tc>
          <w:tcPr>
            <w:tcW w:w="980" w:type="dxa"/>
            <w:vAlign w:val="bottom"/>
            <w:gridSpan w:val="2"/>
          </w:tcPr>
          <w:p>
            <w:pPr>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93"/>
              </w:rPr>
              <w:t>10.15</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972"/>
        </w:trPr>
        <w:tc>
          <w:tcPr>
            <w:tcW w:w="980" w:type="dxa"/>
            <w:vAlign w:val="bottom"/>
            <w:gridSpan w:val="2"/>
          </w:tcPr>
          <w:p>
            <w:pPr>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93"/>
              </w:rPr>
              <w:t>10.16</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756"/>
        </w:trPr>
        <w:tc>
          <w:tcPr>
            <w:tcW w:w="980" w:type="dxa"/>
            <w:vAlign w:val="bottom"/>
            <w:gridSpan w:val="2"/>
          </w:tcPr>
          <w:p>
            <w:pPr>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93"/>
              </w:rPr>
              <w:t>10.17</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S-1</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June 10, 2014</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93"/>
              </w:rPr>
              <w:t>10.18</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972"/>
        </w:trPr>
        <w:tc>
          <w:tcPr>
            <w:tcW w:w="980" w:type="dxa"/>
            <w:vAlign w:val="bottom"/>
            <w:gridSpan w:val="2"/>
          </w:tcPr>
          <w:p>
            <w:pPr>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July 1, 2014</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93"/>
              </w:rPr>
              <w:t>10.19</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July 22, 2014</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93"/>
              </w:rPr>
              <w:t>10.20</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September 29, 2014</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93"/>
              </w:rPr>
              <w:t>10.21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November 4, 2014</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93"/>
              </w:rPr>
              <w:t>10.22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November 4, 2014</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93"/>
              </w:rPr>
              <w:t>10.23</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March 5, 2015</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5"/>
              </w:rPr>
              <w:t>10.1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S-4</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April 1, 2015</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93"/>
              </w:rPr>
              <w:t>10.25</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July 7, 2015</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5"/>
              </w:rPr>
              <w:t>10.1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July 7, 2015</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5"/>
              </w:rPr>
              <w:t>10.2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July 27, 2015</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2">
            <w:col w:w="6460" w:space="180"/>
            <w:col w:w="4560"/>
          </w:cols>
          <w:pgMar w:left="24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40" w:type="dxa"/>
            <w:vAlign w:val="bottom"/>
            <w:gridSpan w:val="21"/>
            <w:vMerge w:val="restart"/>
          </w:tcPr>
          <w:p>
            <w:pPr>
              <w:ind w:left="15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40" w:type="dxa"/>
            <w:vAlign w:val="bottom"/>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300" w:type="dxa"/>
            <w:vAlign w:val="bottom"/>
          </w:tcPr>
          <w:p>
            <w:pPr>
              <w:spacing w:after="0"/>
              <w:rPr>
                <w:sz w:val="22"/>
                <w:szCs w:val="22"/>
                <w:color w:val="auto"/>
              </w:rPr>
            </w:pPr>
          </w:p>
        </w:tc>
        <w:tc>
          <w:tcPr>
            <w:tcW w:w="5440" w:type="dxa"/>
            <w:vAlign w:val="bottom"/>
            <w:tcBorders>
              <w:top w:val="single" w:sz="8" w:color="auto"/>
            </w:tcBorders>
            <w:gridSpan w:val="22"/>
          </w:tcPr>
          <w:p>
            <w:pPr>
              <w:spacing w:after="0"/>
              <w:rPr>
                <w:rFonts w:ascii="Arial" w:cs="Arial" w:eastAsia="Arial" w:hAnsi="Arial"/>
                <w:sz w:val="18"/>
                <w:szCs w:val="18"/>
                <w:color w:val="0000EE"/>
                <w:w w:val="94"/>
              </w:rPr>
            </w:pPr>
            <w:hyperlink r:id="rId208">
              <w:r>
                <w:rPr>
                  <w:rFonts w:ascii="Arial" w:cs="Arial" w:eastAsia="Arial" w:hAnsi="Arial"/>
                  <w:sz w:val="18"/>
                  <w:szCs w:val="18"/>
                  <w:color w:val="0000EE"/>
                  <w:w w:val="94"/>
                </w:rPr>
                <w:t>Common Stock Purchase Agreement between the Company and Aspire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Capital Fund, LLC, dated July 24, 2015.</w:t>
              </w:r>
            </w:hyperlink>
          </w:p>
        </w:tc>
        <w:tc>
          <w:tcPr>
            <w:tcW w:w="3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10.30</w:t>
            </w:r>
          </w:p>
        </w:tc>
        <w:tc>
          <w:tcPr>
            <w:tcW w:w="300" w:type="dxa"/>
            <w:vAlign w:val="bottom"/>
          </w:tcPr>
          <w:p>
            <w:pPr>
              <w:spacing w:after="0"/>
              <w:rPr>
                <w:sz w:val="24"/>
                <w:szCs w:val="24"/>
                <w:color w:val="auto"/>
              </w:rPr>
            </w:pPr>
          </w:p>
        </w:tc>
        <w:tc>
          <w:tcPr>
            <w:tcW w:w="4540" w:type="dxa"/>
            <w:vAlign w:val="bottom"/>
            <w:tcBorders>
              <w:bottom w:val="single" w:sz="8" w:color="0000EE"/>
            </w:tcBorders>
            <w:gridSpan w:val="11"/>
          </w:tcPr>
          <w:p>
            <w:pPr>
              <w:spacing w:after="0"/>
              <w:rPr>
                <w:rFonts w:ascii="Arial" w:cs="Arial" w:eastAsia="Arial" w:hAnsi="Arial"/>
                <w:sz w:val="18"/>
                <w:szCs w:val="18"/>
                <w:color w:val="0000EE"/>
                <w:w w:val="88"/>
              </w:rPr>
            </w:pPr>
            <w:hyperlink r:id="rId209">
              <w:r>
                <w:rPr>
                  <w:rFonts w:ascii="Arial" w:cs="Arial" w:eastAsia="Arial" w:hAnsi="Arial"/>
                  <w:sz w:val="18"/>
                  <w:szCs w:val="18"/>
                  <w:color w:val="0000EE"/>
                  <w:w w:val="88"/>
                </w:rPr>
                <w:t>Engagement Letter dated September 17, 2015, between Soleno</w:t>
              </w:r>
            </w:hyperlink>
          </w:p>
        </w:tc>
        <w:tc>
          <w:tcPr>
            <w:tcW w:w="9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209">
              <w:r>
                <w:rPr>
                  <w:rFonts w:ascii="Arial" w:cs="Arial" w:eastAsia="Arial" w:hAnsi="Arial"/>
                  <w:sz w:val="18"/>
                  <w:szCs w:val="18"/>
                  <w:color w:val="0000EE"/>
                  <w:w w:val="91"/>
                </w:rPr>
                <w:t>Therapeutics, Inc. and Maxim Group, LLC.</w:t>
              </w:r>
            </w:hyperlink>
          </w:p>
        </w:tc>
        <w:tc>
          <w:tcPr>
            <w:tcW w:w="23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10.31</w:t>
            </w:r>
          </w:p>
        </w:tc>
        <w:tc>
          <w:tcPr>
            <w:tcW w:w="300" w:type="dxa"/>
            <w:vAlign w:val="bottom"/>
          </w:tcPr>
          <w:p>
            <w:pPr>
              <w:spacing w:after="0"/>
              <w:rPr>
                <w:sz w:val="24"/>
                <w:szCs w:val="24"/>
                <w:color w:val="auto"/>
              </w:rPr>
            </w:pPr>
          </w:p>
        </w:tc>
        <w:tc>
          <w:tcPr>
            <w:tcW w:w="5440" w:type="dxa"/>
            <w:vAlign w:val="bottom"/>
            <w:gridSpan w:val="22"/>
          </w:tcPr>
          <w:p>
            <w:pPr>
              <w:spacing w:after="0"/>
              <w:rPr>
                <w:rFonts w:ascii="Arial" w:cs="Arial" w:eastAsia="Arial" w:hAnsi="Arial"/>
                <w:sz w:val="18"/>
                <w:szCs w:val="18"/>
                <w:color w:val="0000EE"/>
              </w:rPr>
            </w:pPr>
            <w:hyperlink r:id="rId210">
              <w:r>
                <w:rPr>
                  <w:rFonts w:ascii="Arial" w:cs="Arial" w:eastAsia="Arial" w:hAnsi="Arial"/>
                  <w:sz w:val="18"/>
                  <w:szCs w:val="18"/>
                  <w:color w:val="0000EE"/>
                </w:rPr>
                <w:t>Securities Purchase Agreement dated October 12, 2015.</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10.32</w:t>
            </w:r>
          </w:p>
        </w:tc>
        <w:tc>
          <w:tcPr>
            <w:tcW w:w="300" w:type="dxa"/>
            <w:vAlign w:val="bottom"/>
          </w:tcPr>
          <w:p>
            <w:pPr>
              <w:spacing w:after="0"/>
              <w:rPr>
                <w:sz w:val="24"/>
                <w:szCs w:val="24"/>
                <w:color w:val="auto"/>
              </w:rPr>
            </w:pPr>
          </w:p>
        </w:tc>
        <w:tc>
          <w:tcPr>
            <w:tcW w:w="4020" w:type="dxa"/>
            <w:vAlign w:val="bottom"/>
            <w:tcBorders>
              <w:top w:val="single" w:sz="8" w:color="0000EE"/>
            </w:tcBorders>
            <w:gridSpan w:val="8"/>
          </w:tcPr>
          <w:p>
            <w:pPr>
              <w:spacing w:after="0"/>
              <w:rPr>
                <w:rFonts w:ascii="Arial" w:cs="Arial" w:eastAsia="Arial" w:hAnsi="Arial"/>
                <w:sz w:val="18"/>
                <w:szCs w:val="18"/>
                <w:color w:val="0000EE"/>
              </w:rPr>
            </w:pPr>
            <w:hyperlink r:id="rId211">
              <w:r>
                <w:rPr>
                  <w:rFonts w:ascii="Arial" w:cs="Arial" w:eastAsia="Arial" w:hAnsi="Arial"/>
                  <w:sz w:val="18"/>
                  <w:szCs w:val="18"/>
                  <w:color w:val="0000EE"/>
                </w:rPr>
                <w:t>Form of Registration Rights Agreement.</w:t>
              </w:r>
            </w:hyperlink>
          </w:p>
        </w:tc>
        <w:tc>
          <w:tcPr>
            <w:tcW w:w="14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10.33</w:t>
            </w:r>
          </w:p>
        </w:tc>
        <w:tc>
          <w:tcPr>
            <w:tcW w:w="300" w:type="dxa"/>
            <w:vAlign w:val="bottom"/>
          </w:tcPr>
          <w:p>
            <w:pPr>
              <w:spacing w:after="0"/>
              <w:rPr>
                <w:sz w:val="24"/>
                <w:szCs w:val="24"/>
                <w:color w:val="auto"/>
              </w:rPr>
            </w:pPr>
          </w:p>
        </w:tc>
        <w:tc>
          <w:tcPr>
            <w:tcW w:w="2900" w:type="dxa"/>
            <w:vAlign w:val="bottom"/>
            <w:tcBorders>
              <w:top w:val="single" w:sz="8" w:color="0000EE"/>
            </w:tcBorders>
            <w:gridSpan w:val="4"/>
          </w:tcPr>
          <w:p>
            <w:pPr>
              <w:spacing w:after="0"/>
              <w:rPr>
                <w:rFonts w:ascii="Arial" w:cs="Arial" w:eastAsia="Arial" w:hAnsi="Arial"/>
                <w:sz w:val="18"/>
                <w:szCs w:val="18"/>
                <w:color w:val="0000EE"/>
              </w:rPr>
            </w:pPr>
            <w:hyperlink r:id="rId212">
              <w:r>
                <w:rPr>
                  <w:rFonts w:ascii="Arial" w:cs="Arial" w:eastAsia="Arial" w:hAnsi="Arial"/>
                  <w:sz w:val="18"/>
                  <w:szCs w:val="18"/>
                  <w:color w:val="0000EE"/>
                </w:rPr>
                <w:t>Form of Lock-Up Agreement.</w:t>
              </w:r>
            </w:hyperlink>
          </w:p>
        </w:tc>
        <w:tc>
          <w:tcPr>
            <w:tcW w:w="25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10.34</w:t>
            </w:r>
          </w:p>
        </w:tc>
        <w:tc>
          <w:tcPr>
            <w:tcW w:w="300" w:type="dxa"/>
            <w:vAlign w:val="bottom"/>
          </w:tcPr>
          <w:p>
            <w:pPr>
              <w:spacing w:after="0"/>
              <w:rPr>
                <w:sz w:val="24"/>
                <w:szCs w:val="24"/>
                <w:color w:val="auto"/>
              </w:rPr>
            </w:pPr>
          </w:p>
        </w:tc>
        <w:tc>
          <w:tcPr>
            <w:tcW w:w="5140" w:type="dxa"/>
            <w:vAlign w:val="bottom"/>
            <w:tcBorders>
              <w:bottom w:val="single" w:sz="8" w:color="0000EE"/>
            </w:tcBorders>
            <w:gridSpan w:val="18"/>
          </w:tcPr>
          <w:p>
            <w:pPr>
              <w:spacing w:after="0"/>
              <w:rPr>
                <w:rFonts w:ascii="Arial" w:cs="Arial" w:eastAsia="Arial" w:hAnsi="Arial"/>
                <w:sz w:val="18"/>
                <w:szCs w:val="18"/>
                <w:color w:val="0000EE"/>
                <w:w w:val="89"/>
              </w:rPr>
            </w:pPr>
            <w:hyperlink r:id="rId213">
              <w:r>
                <w:rPr>
                  <w:rFonts w:ascii="Arial" w:cs="Arial" w:eastAsia="Arial" w:hAnsi="Arial"/>
                  <w:sz w:val="18"/>
                  <w:szCs w:val="18"/>
                  <w:color w:val="0000EE"/>
                  <w:w w:val="89"/>
                </w:rPr>
                <w:t>Amendment No. 1 to Securities Purchase Agreement dated October 29,</w:t>
              </w:r>
            </w:hyperlink>
          </w:p>
        </w:tc>
        <w:tc>
          <w:tcPr>
            <w:tcW w:w="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gridSpan w:val="2"/>
          </w:tcPr>
          <w:p>
            <w:pPr>
              <w:ind w:left="300"/>
              <w:spacing w:after="0" w:line="196" w:lineRule="exact"/>
              <w:rPr>
                <w:rFonts w:ascii="Arial" w:cs="Arial" w:eastAsia="Arial" w:hAnsi="Arial"/>
                <w:sz w:val="18"/>
                <w:szCs w:val="18"/>
                <w:color w:val="0000EE"/>
                <w:w w:val="84"/>
              </w:rPr>
            </w:pPr>
            <w:hyperlink r:id="rId213">
              <w:r>
                <w:rPr>
                  <w:rFonts w:ascii="Arial" w:cs="Arial" w:eastAsia="Arial" w:hAnsi="Arial"/>
                  <w:sz w:val="18"/>
                  <w:szCs w:val="18"/>
                  <w:color w:val="0000EE"/>
                  <w:w w:val="84"/>
                </w:rPr>
                <w:t>2015.</w:t>
              </w:r>
            </w:hyperlink>
          </w:p>
        </w:tc>
        <w:tc>
          <w:tcPr>
            <w:tcW w:w="1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10.35</w:t>
            </w:r>
          </w:p>
        </w:tc>
        <w:tc>
          <w:tcPr>
            <w:tcW w:w="300" w:type="dxa"/>
            <w:vAlign w:val="bottom"/>
          </w:tcPr>
          <w:p>
            <w:pPr>
              <w:spacing w:after="0"/>
              <w:rPr>
                <w:sz w:val="24"/>
                <w:szCs w:val="24"/>
                <w:color w:val="auto"/>
              </w:rPr>
            </w:pPr>
          </w:p>
        </w:tc>
        <w:tc>
          <w:tcPr>
            <w:tcW w:w="5440" w:type="dxa"/>
            <w:vAlign w:val="bottom"/>
            <w:gridSpan w:val="22"/>
          </w:tcPr>
          <w:p>
            <w:pPr>
              <w:spacing w:after="0"/>
              <w:rPr>
                <w:rFonts w:ascii="Arial" w:cs="Arial" w:eastAsia="Arial" w:hAnsi="Arial"/>
                <w:sz w:val="18"/>
                <w:szCs w:val="18"/>
                <w:color w:val="0000EE"/>
                <w:w w:val="99"/>
              </w:rPr>
            </w:pPr>
            <w:hyperlink r:id="rId214">
              <w:r>
                <w:rPr>
                  <w:rFonts w:ascii="Arial" w:cs="Arial" w:eastAsia="Arial" w:hAnsi="Arial"/>
                  <w:sz w:val="18"/>
                  <w:szCs w:val="18"/>
                  <w:color w:val="0000EE"/>
                  <w:w w:val="99"/>
                </w:rPr>
                <w:t>Transfer and Distribution Agreement: United States: by and between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r:id="rId214">
              <w:r>
                <w:rPr>
                  <w:rFonts w:ascii="Arial" w:cs="Arial" w:eastAsia="Arial" w:hAnsi="Arial"/>
                  <w:sz w:val="18"/>
                  <w:szCs w:val="18"/>
                  <w:color w:val="0000EE"/>
                  <w:w w:val="88"/>
                </w:rPr>
                <w:t>Soleno Therapeutics, Inc. and Bemes, Inc. signed January 26, 2016.</w:t>
              </w:r>
            </w:hyperlink>
          </w:p>
        </w:tc>
        <w:tc>
          <w:tcPr>
            <w:tcW w:w="60" w:type="dxa"/>
            <w:vAlign w:val="bottom"/>
            <w:tcBorders>
              <w:top w:val="single" w:sz="8" w:color="0000EE"/>
            </w:tcBorders>
            <w:gridSpan w:val="2"/>
          </w:tcPr>
          <w:p>
            <w:pPr>
              <w:spacing w:after="0"/>
              <w:rPr>
                <w:sz w:val="17"/>
                <w:szCs w:val="17"/>
                <w:color w:val="auto"/>
              </w:rPr>
            </w:pPr>
          </w:p>
        </w:tc>
        <w:tc>
          <w:tcPr>
            <w:tcW w:w="5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10.36</w:t>
            </w:r>
          </w:p>
        </w:tc>
        <w:tc>
          <w:tcPr>
            <w:tcW w:w="300" w:type="dxa"/>
            <w:vAlign w:val="bottom"/>
          </w:tcPr>
          <w:p>
            <w:pPr>
              <w:spacing w:after="0"/>
              <w:rPr>
                <w:sz w:val="24"/>
                <w:szCs w:val="24"/>
                <w:color w:val="auto"/>
              </w:rPr>
            </w:pPr>
          </w:p>
        </w:tc>
        <w:tc>
          <w:tcPr>
            <w:tcW w:w="5440" w:type="dxa"/>
            <w:vAlign w:val="bottom"/>
            <w:gridSpan w:val="22"/>
          </w:tcPr>
          <w:p>
            <w:pPr>
              <w:spacing w:after="0"/>
              <w:rPr>
                <w:rFonts w:ascii="Arial" w:cs="Arial" w:eastAsia="Arial" w:hAnsi="Arial"/>
                <w:sz w:val="18"/>
                <w:szCs w:val="18"/>
                <w:color w:val="0000EE"/>
                <w:w w:val="94"/>
              </w:rPr>
            </w:pPr>
            <w:hyperlink r:id="rId215">
              <w:r>
                <w:rPr>
                  <w:rFonts w:ascii="Arial" w:cs="Arial" w:eastAsia="Arial" w:hAnsi="Arial"/>
                  <w:sz w:val="18"/>
                  <w:szCs w:val="18"/>
                  <w:color w:val="0000EE"/>
                  <w:w w:val="94"/>
                </w:rPr>
                <w:t>Engagement Letter dated June 26, 2016, between Soleno Therapeutics,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r:id="rId215">
              <w:r>
                <w:rPr>
                  <w:rFonts w:ascii="Arial" w:cs="Arial" w:eastAsia="Arial" w:hAnsi="Arial"/>
                  <w:sz w:val="18"/>
                  <w:szCs w:val="18"/>
                  <w:color w:val="0000EE"/>
                  <w:w w:val="94"/>
                </w:rPr>
                <w:t>Inc. and Maxim Group, LLC.</w:t>
              </w:r>
            </w:hyperlink>
          </w:p>
        </w:tc>
        <w:tc>
          <w:tcPr>
            <w:tcW w:w="2940" w:type="dxa"/>
            <w:vAlign w:val="bottom"/>
            <w:tcBorders>
              <w:top w:val="single" w:sz="8" w:color="0000EE"/>
            </w:tcBorders>
            <w:gridSpan w:val="15"/>
          </w:tcPr>
          <w:p>
            <w:pPr>
              <w:spacing w:after="0"/>
              <w:rPr>
                <w:sz w:val="17"/>
                <w:szCs w:val="17"/>
                <w:color w:val="auto"/>
              </w:rPr>
            </w:pPr>
          </w:p>
        </w:tc>
        <w:tc>
          <w:tcPr>
            <w:tcW w:w="3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10.37</w:t>
            </w:r>
          </w:p>
        </w:tc>
        <w:tc>
          <w:tcPr>
            <w:tcW w:w="300" w:type="dxa"/>
            <w:vAlign w:val="bottom"/>
          </w:tcPr>
          <w:p>
            <w:pPr>
              <w:spacing w:after="0"/>
              <w:rPr>
                <w:sz w:val="24"/>
                <w:szCs w:val="24"/>
                <w:color w:val="auto"/>
              </w:rPr>
            </w:pPr>
          </w:p>
        </w:tc>
        <w:tc>
          <w:tcPr>
            <w:tcW w:w="3780" w:type="dxa"/>
            <w:vAlign w:val="bottom"/>
            <w:tcBorders>
              <w:bottom w:val="single" w:sz="8" w:color="0000EE"/>
            </w:tcBorders>
            <w:gridSpan w:val="7"/>
          </w:tcPr>
          <w:p>
            <w:pPr>
              <w:spacing w:after="0"/>
              <w:rPr>
                <w:rFonts w:ascii="Arial" w:cs="Arial" w:eastAsia="Arial" w:hAnsi="Arial"/>
                <w:sz w:val="18"/>
                <w:szCs w:val="18"/>
                <w:color w:val="0000EE"/>
                <w:w w:val="87"/>
              </w:rPr>
            </w:pPr>
            <w:hyperlink r:id="rId216">
              <w:r>
                <w:rPr>
                  <w:rFonts w:ascii="Arial" w:cs="Arial" w:eastAsia="Arial" w:hAnsi="Arial"/>
                  <w:sz w:val="18"/>
                  <w:szCs w:val="18"/>
                  <w:color w:val="0000EE"/>
                  <w:w w:val="87"/>
                </w:rPr>
                <w:t>Securities Purchase Agreement dated June 29, 2016.</w:t>
              </w:r>
            </w:hyperlink>
          </w:p>
        </w:tc>
        <w:tc>
          <w:tcPr>
            <w:tcW w:w="16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10.38</w:t>
            </w:r>
          </w:p>
        </w:tc>
        <w:tc>
          <w:tcPr>
            <w:tcW w:w="300" w:type="dxa"/>
            <w:vAlign w:val="bottom"/>
          </w:tcPr>
          <w:p>
            <w:pPr>
              <w:spacing w:after="0"/>
              <w:rPr>
                <w:sz w:val="24"/>
                <w:szCs w:val="24"/>
                <w:color w:val="auto"/>
              </w:rPr>
            </w:pPr>
          </w:p>
        </w:tc>
        <w:tc>
          <w:tcPr>
            <w:tcW w:w="4400" w:type="dxa"/>
            <w:vAlign w:val="bottom"/>
            <w:tcBorders>
              <w:bottom w:val="single" w:sz="8" w:color="0000EE"/>
            </w:tcBorders>
            <w:gridSpan w:val="9"/>
          </w:tcPr>
          <w:p>
            <w:pPr>
              <w:spacing w:after="0"/>
              <w:rPr>
                <w:rFonts w:ascii="Arial" w:cs="Arial" w:eastAsia="Arial" w:hAnsi="Arial"/>
                <w:sz w:val="18"/>
                <w:szCs w:val="18"/>
                <w:color w:val="0000EE"/>
                <w:w w:val="90"/>
              </w:rPr>
            </w:pPr>
            <w:hyperlink r:id="rId217">
              <w:r>
                <w:rPr>
                  <w:rFonts w:ascii="Arial" w:cs="Arial" w:eastAsia="Arial" w:hAnsi="Arial"/>
                  <w:sz w:val="18"/>
                  <w:szCs w:val="18"/>
                  <w:color w:val="0000EE"/>
                  <w:w w:val="90"/>
                </w:rPr>
                <w:t>Form of Registration Rights Agreement dated June 29, 2016.</w:t>
              </w:r>
            </w:hyperlink>
          </w:p>
        </w:tc>
        <w:tc>
          <w:tcPr>
            <w:tcW w:w="10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10.39</w:t>
            </w:r>
          </w:p>
        </w:tc>
        <w:tc>
          <w:tcPr>
            <w:tcW w:w="300" w:type="dxa"/>
            <w:vAlign w:val="bottom"/>
          </w:tcPr>
          <w:p>
            <w:pPr>
              <w:spacing w:after="0"/>
              <w:rPr>
                <w:sz w:val="24"/>
                <w:szCs w:val="24"/>
                <w:color w:val="auto"/>
              </w:rPr>
            </w:pPr>
          </w:p>
        </w:tc>
        <w:tc>
          <w:tcPr>
            <w:tcW w:w="5440" w:type="dxa"/>
            <w:vAlign w:val="bottom"/>
            <w:gridSpan w:val="22"/>
          </w:tcPr>
          <w:p>
            <w:pPr>
              <w:spacing w:after="0"/>
              <w:rPr>
                <w:rFonts w:ascii="Arial" w:cs="Arial" w:eastAsia="Arial" w:hAnsi="Arial"/>
                <w:sz w:val="18"/>
                <w:szCs w:val="18"/>
                <w:color w:val="0000EE"/>
                <w:w w:val="90"/>
              </w:rPr>
            </w:pPr>
            <w:hyperlink r:id="rId218">
              <w:r>
                <w:rPr>
                  <w:rFonts w:ascii="Arial" w:cs="Arial" w:eastAsia="Arial" w:hAnsi="Arial"/>
                  <w:sz w:val="18"/>
                  <w:szCs w:val="18"/>
                  <w:color w:val="0000EE"/>
                  <w:w w:val="90"/>
                </w:rPr>
                <w:t>Amendment No. 1 to Securities Purchase Agreement dated September 20,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gridSpan w:val="2"/>
          </w:tcPr>
          <w:p>
            <w:pPr>
              <w:ind w:left="300"/>
              <w:spacing w:after="0" w:line="196" w:lineRule="exact"/>
              <w:rPr>
                <w:rFonts w:ascii="Arial" w:cs="Arial" w:eastAsia="Arial" w:hAnsi="Arial"/>
                <w:sz w:val="18"/>
                <w:szCs w:val="18"/>
                <w:color w:val="0000EE"/>
                <w:w w:val="84"/>
              </w:rPr>
            </w:pPr>
            <w:hyperlink r:id="rId218">
              <w:r>
                <w:rPr>
                  <w:rFonts w:ascii="Arial" w:cs="Arial" w:eastAsia="Arial" w:hAnsi="Arial"/>
                  <w:sz w:val="18"/>
                  <w:szCs w:val="18"/>
                  <w:color w:val="0000EE"/>
                  <w:w w:val="84"/>
                </w:rPr>
                <w:t>2016.</w:t>
              </w:r>
            </w:hyperlink>
          </w:p>
        </w:tc>
        <w:tc>
          <w:tcPr>
            <w:tcW w:w="1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10.40</w:t>
            </w:r>
          </w:p>
        </w:tc>
        <w:tc>
          <w:tcPr>
            <w:tcW w:w="300" w:type="dxa"/>
            <w:vAlign w:val="bottom"/>
          </w:tcPr>
          <w:p>
            <w:pPr>
              <w:spacing w:after="0"/>
              <w:rPr>
                <w:sz w:val="24"/>
                <w:szCs w:val="24"/>
                <w:color w:val="auto"/>
              </w:rPr>
            </w:pPr>
          </w:p>
        </w:tc>
        <w:tc>
          <w:tcPr>
            <w:tcW w:w="5380" w:type="dxa"/>
            <w:vAlign w:val="bottom"/>
            <w:tcBorders>
              <w:bottom w:val="single" w:sz="8" w:color="0000EE"/>
            </w:tcBorders>
            <w:gridSpan w:val="21"/>
          </w:tcPr>
          <w:p>
            <w:pPr>
              <w:spacing w:after="0"/>
              <w:rPr>
                <w:rFonts w:ascii="Arial" w:cs="Arial" w:eastAsia="Arial" w:hAnsi="Arial"/>
                <w:sz w:val="18"/>
                <w:szCs w:val="18"/>
                <w:color w:val="0000EE"/>
                <w:w w:val="90"/>
              </w:rPr>
            </w:pPr>
            <w:hyperlink r:id="rId219">
              <w:r>
                <w:rPr>
                  <w:rFonts w:ascii="Arial" w:cs="Arial" w:eastAsia="Arial" w:hAnsi="Arial"/>
                  <w:sz w:val="18"/>
                  <w:szCs w:val="18"/>
                  <w:color w:val="0000EE"/>
                  <w:w w:val="90"/>
                </w:rPr>
                <w:t>Agreement and Plan of Merger and Reorganization, dated as of December</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40" w:type="dxa"/>
            <w:vAlign w:val="bottom"/>
            <w:gridSpan w:val="22"/>
          </w:tcPr>
          <w:p>
            <w:pPr>
              <w:spacing w:after="0" w:line="196" w:lineRule="exact"/>
              <w:rPr>
                <w:rFonts w:ascii="Arial" w:cs="Arial" w:eastAsia="Arial" w:hAnsi="Arial"/>
                <w:sz w:val="18"/>
                <w:szCs w:val="18"/>
                <w:color w:val="0000EE"/>
              </w:rPr>
            </w:pPr>
            <w:hyperlink r:id="rId219">
              <w:r>
                <w:rPr>
                  <w:rFonts w:ascii="Arial" w:cs="Arial" w:eastAsia="Arial" w:hAnsi="Arial"/>
                  <w:sz w:val="18"/>
                  <w:szCs w:val="18"/>
                  <w:color w:val="0000EE"/>
                </w:rPr>
                <w:t>22, 2016, by and among Soleno Therapeutics, Inc., a Delaware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40" w:type="dxa"/>
            <w:vAlign w:val="bottom"/>
            <w:gridSpan w:val="22"/>
          </w:tcPr>
          <w:p>
            <w:pPr>
              <w:spacing w:after="0" w:line="196" w:lineRule="exact"/>
              <w:rPr>
                <w:rFonts w:ascii="Arial" w:cs="Arial" w:eastAsia="Arial" w:hAnsi="Arial"/>
                <w:sz w:val="18"/>
                <w:szCs w:val="18"/>
                <w:color w:val="0000EE"/>
                <w:w w:val="92"/>
              </w:rPr>
            </w:pPr>
            <w:hyperlink r:id="rId219">
              <w:r>
                <w:rPr>
                  <w:rFonts w:ascii="Arial" w:cs="Arial" w:eastAsia="Arial" w:hAnsi="Arial"/>
                  <w:sz w:val="18"/>
                  <w:szCs w:val="18"/>
                  <w:color w:val="0000EE"/>
                  <w:w w:val="92"/>
                </w:rPr>
                <w:t>corporation, Essentialis, Inc., a Delaware corporation, Company E Merger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219">
              <w:r>
                <w:rPr>
                  <w:rFonts w:ascii="Arial" w:cs="Arial" w:eastAsia="Arial" w:hAnsi="Arial"/>
                  <w:sz w:val="18"/>
                  <w:szCs w:val="18"/>
                  <w:color w:val="0000EE"/>
                  <w:w w:val="91"/>
                </w:rPr>
                <w:t>Sub, Inc., a Delaware corporation and a wholly-owned subsidiary of</w:t>
              </w:r>
            </w:hyperlink>
          </w:p>
        </w:tc>
        <w:tc>
          <w:tcPr>
            <w:tcW w:w="460" w:type="dxa"/>
            <w:vAlign w:val="bottom"/>
            <w:tcBorders>
              <w:top w:val="single" w:sz="8" w:color="0000EE"/>
            </w:tcBorders>
            <w:gridSpan w:val="7"/>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40" w:type="dxa"/>
            <w:vAlign w:val="bottom"/>
            <w:gridSpan w:val="22"/>
          </w:tcPr>
          <w:p>
            <w:pPr>
              <w:spacing w:after="0" w:line="196" w:lineRule="exact"/>
              <w:rPr>
                <w:rFonts w:ascii="Arial" w:cs="Arial" w:eastAsia="Arial" w:hAnsi="Arial"/>
                <w:sz w:val="18"/>
                <w:szCs w:val="18"/>
                <w:color w:val="0000EE"/>
                <w:w w:val="91"/>
              </w:rPr>
            </w:pPr>
            <w:hyperlink r:id="rId219">
              <w:r>
                <w:rPr>
                  <w:rFonts w:ascii="Arial" w:cs="Arial" w:eastAsia="Arial" w:hAnsi="Arial"/>
                  <w:sz w:val="18"/>
                  <w:szCs w:val="18"/>
                  <w:color w:val="0000EE"/>
                  <w:w w:val="91"/>
                </w:rPr>
                <w:t>Soleno Therapeutics, and Neil Cowen as the stockholders’ representative.</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10.41</w:t>
            </w:r>
          </w:p>
        </w:tc>
        <w:tc>
          <w:tcPr>
            <w:tcW w:w="300" w:type="dxa"/>
            <w:vAlign w:val="bottom"/>
          </w:tcPr>
          <w:p>
            <w:pPr>
              <w:spacing w:after="0"/>
              <w:rPr>
                <w:sz w:val="24"/>
                <w:szCs w:val="24"/>
                <w:color w:val="auto"/>
              </w:rPr>
            </w:pPr>
          </w:p>
        </w:tc>
        <w:tc>
          <w:tcPr>
            <w:tcW w:w="5320" w:type="dxa"/>
            <w:vAlign w:val="bottom"/>
            <w:tcBorders>
              <w:top w:val="single" w:sz="8" w:color="0000EE"/>
            </w:tcBorders>
            <w:gridSpan w:val="20"/>
          </w:tcPr>
          <w:p>
            <w:pPr>
              <w:spacing w:after="0"/>
              <w:rPr>
                <w:rFonts w:ascii="Arial" w:cs="Arial" w:eastAsia="Arial" w:hAnsi="Arial"/>
                <w:sz w:val="18"/>
                <w:szCs w:val="18"/>
                <w:color w:val="0000EE"/>
                <w:w w:val="90"/>
              </w:rPr>
            </w:pPr>
            <w:hyperlink r:id="rId220">
              <w:r>
                <w:rPr>
                  <w:rFonts w:ascii="Arial" w:cs="Arial" w:eastAsia="Arial" w:hAnsi="Arial"/>
                  <w:sz w:val="18"/>
                  <w:szCs w:val="18"/>
                  <w:color w:val="0000EE"/>
                  <w:w w:val="90"/>
                </w:rPr>
                <w:t>Registration Rights Agreement between the Company and Aspire Capital</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220">
              <w:r>
                <w:rPr>
                  <w:rFonts w:ascii="Arial" w:cs="Arial" w:eastAsia="Arial" w:hAnsi="Arial"/>
                  <w:sz w:val="18"/>
                  <w:szCs w:val="18"/>
                  <w:color w:val="0000EE"/>
                  <w:w w:val="89"/>
                </w:rPr>
                <w:t>Fund, LLC, dated January 27, 2017.</w:t>
              </w:r>
            </w:hyperlink>
          </w:p>
        </w:tc>
        <w:tc>
          <w:tcPr>
            <w:tcW w:w="2680" w:type="dxa"/>
            <w:vAlign w:val="bottom"/>
            <w:tcBorders>
              <w:top w:val="single" w:sz="8" w:color="0000EE"/>
            </w:tcBorders>
            <w:gridSpan w:val="16"/>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10.42</w:t>
            </w:r>
          </w:p>
        </w:tc>
        <w:tc>
          <w:tcPr>
            <w:tcW w:w="300" w:type="dxa"/>
            <w:vAlign w:val="bottom"/>
          </w:tcPr>
          <w:p>
            <w:pPr>
              <w:spacing w:after="0"/>
              <w:rPr>
                <w:sz w:val="24"/>
                <w:szCs w:val="24"/>
                <w:color w:val="auto"/>
              </w:rPr>
            </w:pPr>
          </w:p>
        </w:tc>
        <w:tc>
          <w:tcPr>
            <w:tcW w:w="5440" w:type="dxa"/>
            <w:vAlign w:val="bottom"/>
            <w:gridSpan w:val="22"/>
          </w:tcPr>
          <w:p>
            <w:pPr>
              <w:spacing w:after="0"/>
              <w:rPr>
                <w:rFonts w:ascii="Arial" w:cs="Arial" w:eastAsia="Arial" w:hAnsi="Arial"/>
                <w:sz w:val="18"/>
                <w:szCs w:val="18"/>
                <w:color w:val="0000EE"/>
                <w:w w:val="94"/>
              </w:rPr>
            </w:pPr>
            <w:hyperlink r:id="rId221">
              <w:r>
                <w:rPr>
                  <w:rFonts w:ascii="Arial" w:cs="Arial" w:eastAsia="Arial" w:hAnsi="Arial"/>
                  <w:sz w:val="18"/>
                  <w:szCs w:val="18"/>
                  <w:color w:val="0000EE"/>
                  <w:w w:val="94"/>
                </w:rPr>
                <w:t>Common Stock Purchase Agreement between the Company and Aspire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21">
              <w:r>
                <w:rPr>
                  <w:rFonts w:ascii="Arial" w:cs="Arial" w:eastAsia="Arial" w:hAnsi="Arial"/>
                  <w:sz w:val="18"/>
                  <w:szCs w:val="18"/>
                  <w:color w:val="0000EE"/>
                </w:rPr>
                <w:t>Capital Fund, LLC, dated January 27, 2017.</w:t>
              </w:r>
            </w:hyperlink>
          </w:p>
        </w:tc>
        <w:tc>
          <w:tcPr>
            <w:tcW w:w="3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60" w:type="dxa"/>
            <w:vAlign w:val="bottom"/>
            <w:gridSpan w:val="6"/>
            <w:shd w:val="clear" w:color="auto" w:fill="0000EE"/>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300" w:type="dxa"/>
            <w:vAlign w:val="bottom"/>
          </w:tcPr>
          <w:p>
            <w:pPr>
              <w:spacing w:after="0"/>
              <w:rPr>
                <w:sz w:val="24"/>
                <w:szCs w:val="24"/>
                <w:color w:val="auto"/>
              </w:rPr>
            </w:pPr>
          </w:p>
        </w:tc>
        <w:tc>
          <w:tcPr>
            <w:tcW w:w="5440" w:type="dxa"/>
            <w:vAlign w:val="bottom"/>
            <w:gridSpan w:val="22"/>
          </w:tcPr>
          <w:p>
            <w:pPr>
              <w:spacing w:after="0"/>
              <w:rPr>
                <w:rFonts w:ascii="Arial" w:cs="Arial" w:eastAsia="Arial" w:hAnsi="Arial"/>
                <w:sz w:val="18"/>
                <w:szCs w:val="18"/>
                <w:color w:val="0000EE"/>
                <w:w w:val="98"/>
              </w:rPr>
            </w:pPr>
            <w:hyperlink r:id="rId138">
              <w:r>
                <w:rPr>
                  <w:rFonts w:ascii="Arial" w:cs="Arial" w:eastAsia="Arial" w:hAnsi="Arial"/>
                  <w:sz w:val="18"/>
                  <w:szCs w:val="18"/>
                  <w:color w:val="0000EE"/>
                  <w:w w:val="98"/>
                </w:rPr>
                <w:t>Stock Purchase Agreement made by and between the Company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60" w:type="dxa"/>
            <w:vAlign w:val="bottom"/>
            <w:gridSpan w:val="12"/>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40" w:type="dxa"/>
            <w:vAlign w:val="bottom"/>
            <w:gridSpan w:val="22"/>
          </w:tcPr>
          <w:p>
            <w:pPr>
              <w:spacing w:after="0" w:line="196" w:lineRule="exact"/>
              <w:rPr>
                <w:rFonts w:ascii="Arial" w:cs="Arial" w:eastAsia="Arial" w:hAnsi="Arial"/>
                <w:sz w:val="18"/>
                <w:szCs w:val="18"/>
                <w:color w:val="0000EE"/>
                <w:w w:val="99"/>
              </w:rPr>
            </w:pPr>
            <w:hyperlink r:id="rId138">
              <w:r>
                <w:rPr>
                  <w:rFonts w:ascii="Arial" w:cs="Arial" w:eastAsia="Arial" w:hAnsi="Arial"/>
                  <w:sz w:val="18"/>
                  <w:szCs w:val="18"/>
                  <w:color w:val="0000EE"/>
                  <w:w w:val="99"/>
                </w:rPr>
                <w:t>NeoForce Holdings, Inc. a Delaware corporation dated July 18, 2017</w:t>
              </w:r>
            </w:hyperlink>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60" w:type="dxa"/>
            <w:vAlign w:val="bottom"/>
            <w:tcBorders>
              <w:top w:val="single" w:sz="8" w:color="0000EE"/>
            </w:tcBorders>
            <w:gridSpan w:val="12"/>
          </w:tcPr>
          <w:p>
            <w:pPr>
              <w:ind w:left="4560"/>
              <w:spacing w:after="0"/>
              <w:rPr>
                <w:sz w:val="20"/>
                <w:szCs w:val="20"/>
                <w:color w:val="auto"/>
              </w:rPr>
            </w:pPr>
            <w:r>
              <w:rPr>
                <w:rFonts w:ascii="Arial" w:cs="Arial" w:eastAsia="Arial" w:hAnsi="Arial"/>
                <w:sz w:val="18"/>
                <w:szCs w:val="18"/>
                <w:color w:val="auto"/>
                <w:w w:val="93"/>
              </w:rPr>
              <w:t>123</w:t>
            </w: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Incorporated by Reference from</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Registrant’s</w:t>
            </w:r>
          </w:p>
        </w:tc>
        <w:tc>
          <w:tcPr>
            <w:tcW w:w="20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Date Filed</w:t>
            </w: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8"/>
              </w:rPr>
              <w:t>Exhibit</w:t>
            </w: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Filed</w:t>
            </w:r>
          </w:p>
        </w:tc>
      </w:tr>
      <w:tr>
        <w:trPr>
          <w:trHeight w:val="176"/>
        </w:trPr>
        <w:tc>
          <w:tcPr>
            <w:tcW w:w="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with the SEC</w:t>
            </w:r>
          </w:p>
        </w:tc>
        <w:tc>
          <w:tcPr>
            <w:tcW w:w="74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4"/>
              </w:rPr>
              <w:t>Number</w:t>
            </w:r>
          </w:p>
        </w:tc>
        <w:tc>
          <w:tcPr>
            <w:tcW w:w="80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8"/>
              </w:rPr>
              <w:t>Herewith</w:t>
            </w: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304"/>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July 27, 2015</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5"/>
              </w:rPr>
              <w:t>10.1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October 15, 2015</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7"/>
              </w:rPr>
              <w:t>1.1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October 15, 2015</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5"/>
              </w:rPr>
              <w:t>10.1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October 15, 2015</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5"/>
              </w:rPr>
              <w:t>10.2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October 15, 2015</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5"/>
              </w:rPr>
              <w:t>10.3</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December 22, 2015</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93"/>
              </w:rPr>
              <w:t>10.33</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January 28, 2016</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5"/>
              </w:rPr>
              <w:t>10.1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July 6, 2016</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7"/>
              </w:rPr>
              <w:t>1.1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July 6, 2016</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5"/>
              </w:rPr>
              <w:t>10.1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July 6, 2016</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5"/>
              </w:rPr>
              <w:t>10.2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S-1/A</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September 20, 2016</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93"/>
              </w:rPr>
              <w:t>10.39</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0"/>
        </w:trPr>
        <w:tc>
          <w:tcPr>
            <w:tcW w:w="980" w:type="dxa"/>
            <w:vAlign w:val="bottom"/>
            <w:gridSpan w:val="2"/>
          </w:tcPr>
          <w:p>
            <w:pPr>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December 27, 2016</w:t>
            </w:r>
          </w:p>
        </w:tc>
        <w:tc>
          <w:tcPr>
            <w:tcW w:w="740" w:type="dxa"/>
            <w:vAlign w:val="bottom"/>
            <w:gridSpan w:val="2"/>
          </w:tcPr>
          <w:p>
            <w:pPr>
              <w:jc w:val="center"/>
              <w:ind w:left="111"/>
              <w:spacing w:after="0"/>
              <w:rPr>
                <w:sz w:val="20"/>
                <w:szCs w:val="20"/>
                <w:color w:val="auto"/>
              </w:rPr>
            </w:pPr>
            <w:r>
              <w:rPr>
                <w:rFonts w:ascii="Arial" w:cs="Arial" w:eastAsia="Arial" w:hAnsi="Arial"/>
                <w:sz w:val="18"/>
                <w:szCs w:val="18"/>
                <w:color w:val="auto"/>
                <w:w w:val="87"/>
              </w:rPr>
              <w:t>2.1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S-1</w:t>
            </w:r>
          </w:p>
        </w:tc>
        <w:tc>
          <w:tcPr>
            <w:tcW w:w="2120" w:type="dxa"/>
            <w:vAlign w:val="bottom"/>
          </w:tcPr>
          <w:p>
            <w:pPr>
              <w:ind w:left="440"/>
              <w:spacing w:after="0"/>
              <w:rPr>
                <w:sz w:val="20"/>
                <w:szCs w:val="20"/>
                <w:color w:val="auto"/>
              </w:rPr>
            </w:pPr>
            <w:r>
              <w:rPr>
                <w:rFonts w:ascii="Arial" w:cs="Arial" w:eastAsia="Arial" w:hAnsi="Arial"/>
                <w:sz w:val="18"/>
                <w:szCs w:val="18"/>
                <w:color w:val="auto"/>
              </w:rPr>
              <w:t>February 1, 2017</w:t>
            </w:r>
          </w:p>
        </w:tc>
        <w:tc>
          <w:tcPr>
            <w:tcW w:w="840" w:type="dxa"/>
            <w:vAlign w:val="bottom"/>
          </w:tcPr>
          <w:p>
            <w:pPr>
              <w:jc w:val="center"/>
              <w:ind w:left="330"/>
              <w:spacing w:after="0"/>
              <w:rPr>
                <w:sz w:val="20"/>
                <w:szCs w:val="20"/>
                <w:color w:val="auto"/>
              </w:rPr>
            </w:pPr>
            <w:r>
              <w:rPr>
                <w:rFonts w:ascii="Arial" w:cs="Arial" w:eastAsia="Arial" w:hAnsi="Arial"/>
                <w:sz w:val="18"/>
                <w:szCs w:val="18"/>
                <w:color w:val="auto"/>
                <w:w w:val="93"/>
              </w:rPr>
              <w:t>10.51</w:t>
            </w:r>
          </w:p>
        </w:tc>
      </w:tr>
      <w:tr>
        <w:trPr>
          <w:trHeight w:val="540"/>
        </w:trPr>
        <w:tc>
          <w:tcPr>
            <w:tcW w:w="740" w:type="dxa"/>
            <w:vAlign w:val="bottom"/>
          </w:tcPr>
          <w:p>
            <w:pPr>
              <w:spacing w:after="0"/>
              <w:rPr>
                <w:sz w:val="20"/>
                <w:szCs w:val="20"/>
                <w:color w:val="auto"/>
              </w:rPr>
            </w:pPr>
            <w:r>
              <w:rPr>
                <w:rFonts w:ascii="Arial" w:cs="Arial" w:eastAsia="Arial" w:hAnsi="Arial"/>
                <w:sz w:val="18"/>
                <w:szCs w:val="18"/>
                <w:color w:val="auto"/>
              </w:rPr>
              <w:t>S-1</w:t>
            </w:r>
          </w:p>
        </w:tc>
        <w:tc>
          <w:tcPr>
            <w:tcW w:w="2120" w:type="dxa"/>
            <w:vAlign w:val="bottom"/>
          </w:tcPr>
          <w:p>
            <w:pPr>
              <w:ind w:left="440"/>
              <w:spacing w:after="0"/>
              <w:rPr>
                <w:sz w:val="20"/>
                <w:szCs w:val="20"/>
                <w:color w:val="auto"/>
              </w:rPr>
            </w:pPr>
            <w:r>
              <w:rPr>
                <w:rFonts w:ascii="Arial" w:cs="Arial" w:eastAsia="Arial" w:hAnsi="Arial"/>
                <w:sz w:val="18"/>
                <w:szCs w:val="18"/>
                <w:color w:val="auto"/>
              </w:rPr>
              <w:t>February 1, 2017</w:t>
            </w:r>
          </w:p>
        </w:tc>
        <w:tc>
          <w:tcPr>
            <w:tcW w:w="840" w:type="dxa"/>
            <w:vAlign w:val="bottom"/>
          </w:tcPr>
          <w:p>
            <w:pPr>
              <w:jc w:val="center"/>
              <w:ind w:left="330"/>
              <w:spacing w:after="0"/>
              <w:rPr>
                <w:sz w:val="20"/>
                <w:szCs w:val="20"/>
                <w:color w:val="auto"/>
              </w:rPr>
            </w:pPr>
            <w:r>
              <w:rPr>
                <w:rFonts w:ascii="Arial" w:cs="Arial" w:eastAsia="Arial" w:hAnsi="Arial"/>
                <w:sz w:val="18"/>
                <w:szCs w:val="18"/>
                <w:color w:val="auto"/>
                <w:w w:val="93"/>
              </w:rPr>
              <w:t>10.52</w:t>
            </w:r>
          </w:p>
        </w:tc>
      </w:tr>
      <w:tr>
        <w:trPr>
          <w:trHeight w:val="540"/>
        </w:trPr>
        <w:tc>
          <w:tcPr>
            <w:tcW w:w="740" w:type="dxa"/>
            <w:vAlign w:val="bottom"/>
          </w:tcPr>
          <w:p>
            <w:pPr>
              <w:spacing w:after="0"/>
              <w:rPr>
                <w:sz w:val="20"/>
                <w:szCs w:val="20"/>
                <w:color w:val="auto"/>
              </w:rPr>
            </w:pPr>
            <w:r>
              <w:rPr>
                <w:rFonts w:ascii="Arial" w:cs="Arial" w:eastAsia="Arial" w:hAnsi="Arial"/>
                <w:sz w:val="18"/>
                <w:szCs w:val="18"/>
                <w:color w:val="auto"/>
              </w:rPr>
              <w:t>8-K</w:t>
            </w:r>
          </w:p>
        </w:tc>
        <w:tc>
          <w:tcPr>
            <w:tcW w:w="2120" w:type="dxa"/>
            <w:vAlign w:val="bottom"/>
          </w:tcPr>
          <w:p>
            <w:pPr>
              <w:ind w:left="440"/>
              <w:spacing w:after="0"/>
              <w:rPr>
                <w:sz w:val="20"/>
                <w:szCs w:val="20"/>
                <w:color w:val="auto"/>
              </w:rPr>
            </w:pPr>
            <w:r>
              <w:rPr>
                <w:rFonts w:ascii="Arial" w:cs="Arial" w:eastAsia="Arial" w:hAnsi="Arial"/>
                <w:sz w:val="18"/>
                <w:szCs w:val="18"/>
                <w:color w:val="auto"/>
              </w:rPr>
              <w:t>July 24, 2017</w:t>
            </w:r>
          </w:p>
        </w:tc>
        <w:tc>
          <w:tcPr>
            <w:tcW w:w="840" w:type="dxa"/>
            <w:vAlign w:val="bottom"/>
          </w:tcPr>
          <w:p>
            <w:pPr>
              <w:jc w:val="center"/>
              <w:ind w:left="330"/>
              <w:spacing w:after="0"/>
              <w:rPr>
                <w:sz w:val="20"/>
                <w:szCs w:val="20"/>
                <w:color w:val="auto"/>
              </w:rPr>
            </w:pPr>
            <w:r>
              <w:rPr>
                <w:rFonts w:ascii="Arial" w:cs="Arial" w:eastAsia="Arial" w:hAnsi="Arial"/>
                <w:sz w:val="18"/>
                <w:szCs w:val="18"/>
                <w:color w:val="auto"/>
                <w:w w:val="87"/>
              </w:rPr>
              <w:t>2.1</w:t>
            </w:r>
          </w:p>
        </w:tc>
      </w:tr>
    </w:tbl>
    <w:p>
      <w:pPr>
        <w:sectPr>
          <w:pgSz w:w="11900" w:h="16838" w:orient="portrait"/>
          <w:cols w:equalWidth="0" w:num="2">
            <w:col w:w="6460" w:space="180"/>
            <w:col w:w="456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Incorporated by Reference from</w:t>
            </w: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Exhibit</w:t>
            </w: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80" w:type="dxa"/>
            <w:vAlign w:val="bottom"/>
            <w:gridSpan w:val="9"/>
            <w:vMerge w:val="restart"/>
          </w:tcPr>
          <w:p>
            <w:pPr>
              <w:ind w:left="60"/>
              <w:spacing w:after="0"/>
              <w:rPr>
                <w:sz w:val="20"/>
                <w:szCs w:val="20"/>
                <w:color w:val="auto"/>
              </w:rPr>
            </w:pPr>
            <w:r>
              <w:rPr>
                <w:rFonts w:ascii="Arial" w:cs="Arial" w:eastAsia="Arial" w:hAnsi="Arial"/>
                <w:sz w:val="14"/>
                <w:szCs w:val="14"/>
                <w:b w:val="1"/>
                <w:bCs w:val="1"/>
                <w:color w:val="auto"/>
              </w:rPr>
              <w:t>Description of Document</w:t>
            </w:r>
          </w:p>
        </w:tc>
        <w:tc>
          <w:tcPr>
            <w:tcW w:w="22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Registrant’s</w:t>
            </w:r>
          </w:p>
        </w:tc>
        <w:tc>
          <w:tcPr>
            <w:tcW w:w="200" w:type="dxa"/>
            <w:vAlign w:val="bottom"/>
          </w:tcPr>
          <w:p>
            <w:pPr>
              <w:spacing w:after="0"/>
              <w:rPr>
                <w:sz w:val="11"/>
                <w:szCs w:val="11"/>
                <w:color w:val="auto"/>
              </w:rPr>
            </w:pPr>
          </w:p>
        </w:tc>
        <w:tc>
          <w:tcPr>
            <w:tcW w:w="1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Date Filed</w:t>
            </w:r>
          </w:p>
        </w:tc>
        <w:tc>
          <w:tcPr>
            <w:tcW w:w="22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Exhibit</w:t>
            </w:r>
          </w:p>
        </w:tc>
        <w:tc>
          <w:tcPr>
            <w:tcW w:w="22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80" w:type="dxa"/>
            <w:vAlign w:val="bottom"/>
            <w:gridSpan w:val="9"/>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Form</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with the SEC</w:t>
            </w:r>
          </w:p>
        </w:tc>
        <w:tc>
          <w:tcPr>
            <w:tcW w:w="74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94"/>
              </w:rPr>
              <w:t>Number</w:t>
            </w:r>
          </w:p>
        </w:tc>
        <w:tc>
          <w:tcPr>
            <w:tcW w:w="800" w:type="dxa"/>
            <w:vAlign w:val="bottom"/>
            <w:gridSpan w:val="2"/>
          </w:tcPr>
          <w:p>
            <w:pPr>
              <w:ind w:left="200"/>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10.44</w:t>
            </w:r>
          </w:p>
        </w:tc>
        <w:tc>
          <w:tcPr>
            <w:tcW w:w="300" w:type="dxa"/>
            <w:vAlign w:val="bottom"/>
          </w:tcPr>
          <w:p>
            <w:pPr>
              <w:spacing w:after="0"/>
              <w:rPr>
                <w:sz w:val="22"/>
                <w:szCs w:val="22"/>
                <w:color w:val="auto"/>
              </w:rPr>
            </w:pPr>
          </w:p>
        </w:tc>
        <w:tc>
          <w:tcPr>
            <w:tcW w:w="5100" w:type="dxa"/>
            <w:vAlign w:val="bottom"/>
            <w:tcBorders>
              <w:bottom w:val="single" w:sz="8" w:color="0000EE"/>
            </w:tcBorders>
            <w:gridSpan w:val="9"/>
          </w:tcPr>
          <w:p>
            <w:pPr>
              <w:spacing w:after="0"/>
              <w:rPr>
                <w:rFonts w:ascii="Arial" w:cs="Arial" w:eastAsia="Arial" w:hAnsi="Arial"/>
                <w:sz w:val="18"/>
                <w:szCs w:val="18"/>
                <w:color w:val="0000EE"/>
                <w:w w:val="89"/>
              </w:rPr>
            </w:pPr>
            <w:hyperlink r:id="rId139">
              <w:r>
                <w:rPr>
                  <w:rFonts w:ascii="Arial" w:cs="Arial" w:eastAsia="Arial" w:hAnsi="Arial"/>
                  <w:sz w:val="18"/>
                  <w:szCs w:val="18"/>
                  <w:color w:val="0000EE"/>
                  <w:w w:val="89"/>
                </w:rPr>
                <w:t>Joint Venture Agreement dated as of December 4, 2017 by and among</w:t>
              </w:r>
            </w:hyperlink>
          </w:p>
        </w:tc>
        <w:tc>
          <w:tcPr>
            <w:tcW w:w="180" w:type="dxa"/>
            <w:vAlign w:val="bottom"/>
            <w:gridSpan w:val="2"/>
          </w:tcPr>
          <w:p>
            <w:pPr>
              <w:spacing w:after="0"/>
              <w:rPr>
                <w:sz w:val="22"/>
                <w:szCs w:val="22"/>
                <w:color w:val="auto"/>
              </w:rPr>
            </w:pP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December 8, 2017</w:t>
            </w:r>
          </w:p>
        </w:tc>
        <w:tc>
          <w:tcPr>
            <w:tcW w:w="740" w:type="dxa"/>
            <w:vAlign w:val="bottom"/>
            <w:gridSpan w:val="2"/>
          </w:tcPr>
          <w:p>
            <w:pPr>
              <w:jc w:val="right"/>
              <w:ind w:right="88"/>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Soleno Therapeutics, Inc., Capnia, Inc., and OptAsia Healthcare Limited</w:t>
              </w:r>
            </w:hyperlink>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10.45</w:t>
            </w:r>
          </w:p>
        </w:tc>
        <w:tc>
          <w:tcPr>
            <w:tcW w:w="300" w:type="dxa"/>
            <w:vAlign w:val="bottom"/>
          </w:tcPr>
          <w:p>
            <w:pPr>
              <w:spacing w:after="0"/>
              <w:rPr>
                <w:sz w:val="24"/>
                <w:szCs w:val="24"/>
                <w:color w:val="auto"/>
              </w:rPr>
            </w:pPr>
          </w:p>
        </w:tc>
        <w:tc>
          <w:tcPr>
            <w:tcW w:w="5280" w:type="dxa"/>
            <w:vAlign w:val="bottom"/>
            <w:gridSpan w:val="11"/>
          </w:tcPr>
          <w:p>
            <w:pPr>
              <w:spacing w:after="0"/>
              <w:rPr>
                <w:rFonts w:ascii="Arial" w:cs="Arial" w:eastAsia="Arial" w:hAnsi="Arial"/>
                <w:sz w:val="18"/>
                <w:szCs w:val="18"/>
                <w:color w:val="0000EE"/>
              </w:rPr>
            </w:pPr>
            <w:hyperlink r:id="rId178">
              <w:r>
                <w:rPr>
                  <w:rFonts w:ascii="Arial" w:cs="Arial" w:eastAsia="Arial" w:hAnsi="Arial"/>
                  <w:sz w:val="18"/>
                  <w:szCs w:val="18"/>
                  <w:color w:val="0000EE"/>
                </w:rPr>
                <w:t>Securities Purchase Agreement, dated as of December 11, 2017</w:t>
              </w:r>
            </w:hyperlink>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8-K</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December 13, 2017</w:t>
            </w: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24"/>
                <w:szCs w:val="24"/>
                <w:color w:val="auto"/>
              </w:rPr>
            </w:pPr>
          </w:p>
        </w:tc>
        <w:tc>
          <w:tcPr>
            <w:tcW w:w="88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128">
              <w:r>
                <w:rPr>
                  <w:rFonts w:ascii="Arial" w:cs="Arial" w:eastAsia="Arial" w:hAnsi="Arial"/>
                  <w:sz w:val="18"/>
                  <w:szCs w:val="18"/>
                  <w:color w:val="0000EE"/>
                  <w:w w:val="87"/>
                </w:rPr>
                <w:t>Subsidiaries</w:t>
              </w:r>
            </w:hyperlink>
          </w:p>
        </w:tc>
        <w:tc>
          <w:tcPr>
            <w:tcW w:w="3680" w:type="dxa"/>
            <w:vAlign w:val="bottom"/>
            <w:tcBorders>
              <w:top w:val="single" w:sz="8" w:color="0000EE"/>
            </w:tcBorders>
            <w:gridSpan w:val="5"/>
          </w:tcPr>
          <w:p>
            <w:pPr>
              <w:spacing w:after="0"/>
              <w:rPr>
                <w:sz w:val="24"/>
                <w:szCs w:val="24"/>
                <w:color w:val="auto"/>
              </w:rPr>
            </w:pPr>
          </w:p>
        </w:tc>
        <w:tc>
          <w:tcPr>
            <w:tcW w:w="72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24"/>
                <w:szCs w:val="24"/>
                <w:color w:val="auto"/>
              </w:rPr>
            </w:pPr>
          </w:p>
        </w:tc>
        <w:tc>
          <w:tcPr>
            <w:tcW w:w="5280" w:type="dxa"/>
            <w:vAlign w:val="bottom"/>
            <w:gridSpan w:val="11"/>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Consent of Marcum LLP</w:t>
              </w:r>
            </w:hyperlink>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24"/>
                <w:szCs w:val="24"/>
                <w:color w:val="auto"/>
              </w:rPr>
            </w:pPr>
          </w:p>
        </w:tc>
        <w:tc>
          <w:tcPr>
            <w:tcW w:w="50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27">
              <w:r>
                <w:rPr>
                  <w:rFonts w:ascii="Arial" w:cs="Arial" w:eastAsia="Arial" w:hAnsi="Arial"/>
                  <w:sz w:val="18"/>
                  <w:szCs w:val="18"/>
                  <w:color w:val="0000EE"/>
                  <w:w w:val="90"/>
                </w:rPr>
                <w:t>Power of Attorney (incorporated by reference to the signature page to</w:t>
              </w:r>
            </w:hyperlink>
          </w:p>
        </w:tc>
        <w:tc>
          <w:tcPr>
            <w:tcW w:w="26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this registration statement)</w:t>
              </w:r>
            </w:hyperlink>
          </w:p>
        </w:tc>
        <w:tc>
          <w:tcPr>
            <w:tcW w:w="336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5280" w:type="dxa"/>
            <w:vAlign w:val="bottom"/>
            <w:gridSpan w:val="11"/>
          </w:tcPr>
          <w:p>
            <w:pPr>
              <w:spacing w:after="0"/>
              <w:rPr>
                <w:rFonts w:ascii="Arial" w:cs="Arial" w:eastAsia="Arial" w:hAnsi="Arial"/>
                <w:sz w:val="18"/>
                <w:szCs w:val="18"/>
                <w:color w:val="0000EE"/>
                <w:w w:val="95"/>
              </w:rPr>
            </w:pPr>
            <w:hyperlink w:anchor="page130">
              <w:r>
                <w:rPr>
                  <w:rFonts w:ascii="Arial" w:cs="Arial" w:eastAsia="Arial" w:hAnsi="Arial"/>
                  <w:sz w:val="18"/>
                  <w:szCs w:val="18"/>
                  <w:color w:val="0000EE"/>
                  <w:w w:val="95"/>
                </w:rPr>
                <w:t>Certification of Principal Executive Officer and Principal Financial and</w:t>
              </w:r>
            </w:hyperlink>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40" w:type="dxa"/>
            <w:vAlign w:val="bottom"/>
            <w:tcBorders>
              <w:top w:val="single" w:sz="8" w:color="0000EE"/>
            </w:tcBorders>
            <w:gridSpan w:val="10"/>
          </w:tcPr>
          <w:p>
            <w:pPr>
              <w:spacing w:after="0" w:line="196" w:lineRule="exact"/>
              <w:rPr>
                <w:rFonts w:ascii="Arial" w:cs="Arial" w:eastAsia="Arial" w:hAnsi="Arial"/>
                <w:sz w:val="18"/>
                <w:szCs w:val="18"/>
                <w:color w:val="0000EE"/>
                <w:w w:val="94"/>
              </w:rPr>
            </w:pPr>
            <w:hyperlink w:anchor="page130">
              <w:r>
                <w:rPr>
                  <w:rFonts w:ascii="Arial" w:cs="Arial" w:eastAsia="Arial" w:hAnsi="Arial"/>
                  <w:sz w:val="18"/>
                  <w:szCs w:val="18"/>
                  <w:color w:val="0000EE"/>
                  <w:w w:val="94"/>
                </w:rPr>
                <w:t>Accounting Officer Required Under Rule 13a-14(a) and 15d-14(a) of</w:t>
              </w:r>
            </w:hyperlink>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the Securities Exchange Act of 1934, as amended</w:t>
              </w:r>
            </w:hyperlink>
          </w:p>
        </w:tc>
        <w:tc>
          <w:tcPr>
            <w:tcW w:w="26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5280" w:type="dxa"/>
            <w:vAlign w:val="bottom"/>
            <w:gridSpan w:val="11"/>
          </w:tcPr>
          <w:p>
            <w:pPr>
              <w:spacing w:after="0"/>
              <w:rPr>
                <w:rFonts w:ascii="Arial" w:cs="Arial" w:eastAsia="Arial" w:hAnsi="Arial"/>
                <w:sz w:val="18"/>
                <w:szCs w:val="18"/>
                <w:color w:val="0000EE"/>
                <w:w w:val="95"/>
              </w:rPr>
            </w:pPr>
            <w:hyperlink w:anchor="page131">
              <w:r>
                <w:rPr>
                  <w:rFonts w:ascii="Arial" w:cs="Arial" w:eastAsia="Arial" w:hAnsi="Arial"/>
                  <w:sz w:val="18"/>
                  <w:szCs w:val="18"/>
                  <w:color w:val="0000EE"/>
                  <w:w w:val="95"/>
                </w:rPr>
                <w:t>Certification of Principal Executive Officer and Principal Financial and</w:t>
              </w:r>
            </w:hyperlink>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131">
              <w:r>
                <w:rPr>
                  <w:rFonts w:ascii="Arial" w:cs="Arial" w:eastAsia="Arial" w:hAnsi="Arial"/>
                  <w:sz w:val="18"/>
                  <w:szCs w:val="18"/>
                  <w:color w:val="0000EE"/>
                  <w:w w:val="92"/>
                </w:rPr>
                <w:t>Accounting Officer Required Under Rule 13a-14(b) of the Securities</w:t>
              </w:r>
            </w:hyperlink>
          </w:p>
        </w:tc>
        <w:tc>
          <w:tcPr>
            <w:tcW w:w="140" w:type="dxa"/>
            <w:vAlign w:val="bottom"/>
            <w:tcBorders>
              <w:top w:val="single" w:sz="8" w:color="0000EE"/>
            </w:tcBorders>
            <w:gridSpan w:val="3"/>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80" w:type="dxa"/>
            <w:vAlign w:val="bottom"/>
            <w:gridSpan w:val="11"/>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Exchange Act of 1934, as amended, and 18 U.S.C. §1350</w:t>
              </w:r>
            </w:hyperlink>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00" w:type="dxa"/>
            <w:vAlign w:val="bottom"/>
          </w:tcPr>
          <w:p>
            <w:pPr>
              <w:spacing w:after="0"/>
              <w:rPr>
                <w:sz w:val="24"/>
                <w:szCs w:val="24"/>
                <w:color w:val="auto"/>
              </w:rPr>
            </w:pPr>
          </w:p>
        </w:tc>
        <w:tc>
          <w:tcPr>
            <w:tcW w:w="41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XBRL Instance Document.</w:t>
            </w:r>
          </w:p>
        </w:tc>
        <w:tc>
          <w:tcPr>
            <w:tcW w:w="1140" w:type="dxa"/>
            <w:vAlign w:val="bottom"/>
            <w:gridSpan w:val="6"/>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90"/>
              </w:rPr>
              <w:t>101.SCH</w:t>
            </w:r>
          </w:p>
        </w:tc>
        <w:tc>
          <w:tcPr>
            <w:tcW w:w="300" w:type="dxa"/>
            <w:vAlign w:val="bottom"/>
          </w:tcPr>
          <w:p>
            <w:pPr>
              <w:spacing w:after="0"/>
              <w:rPr>
                <w:sz w:val="24"/>
                <w:szCs w:val="24"/>
                <w:color w:val="auto"/>
              </w:rPr>
            </w:pPr>
          </w:p>
        </w:tc>
        <w:tc>
          <w:tcPr>
            <w:tcW w:w="528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97"/>
              </w:rPr>
              <w:t>101.CAL</w:t>
            </w:r>
          </w:p>
        </w:tc>
        <w:tc>
          <w:tcPr>
            <w:tcW w:w="300" w:type="dxa"/>
            <w:vAlign w:val="bottom"/>
          </w:tcPr>
          <w:p>
            <w:pPr>
              <w:spacing w:after="0"/>
              <w:rPr>
                <w:sz w:val="24"/>
                <w:szCs w:val="24"/>
                <w:color w:val="auto"/>
              </w:rPr>
            </w:pPr>
          </w:p>
        </w:tc>
        <w:tc>
          <w:tcPr>
            <w:tcW w:w="528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92"/>
              </w:rPr>
              <w:t>101.DEF</w:t>
            </w:r>
          </w:p>
        </w:tc>
        <w:tc>
          <w:tcPr>
            <w:tcW w:w="300" w:type="dxa"/>
            <w:vAlign w:val="bottom"/>
          </w:tcPr>
          <w:p>
            <w:pPr>
              <w:spacing w:after="0"/>
              <w:rPr>
                <w:sz w:val="24"/>
                <w:szCs w:val="24"/>
                <w:color w:val="auto"/>
              </w:rPr>
            </w:pPr>
          </w:p>
        </w:tc>
        <w:tc>
          <w:tcPr>
            <w:tcW w:w="528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98"/>
              </w:rPr>
              <w:t>101.LAB</w:t>
            </w:r>
          </w:p>
        </w:tc>
        <w:tc>
          <w:tcPr>
            <w:tcW w:w="300" w:type="dxa"/>
            <w:vAlign w:val="bottom"/>
          </w:tcPr>
          <w:p>
            <w:pPr>
              <w:spacing w:after="0"/>
              <w:rPr>
                <w:sz w:val="24"/>
                <w:szCs w:val="24"/>
                <w:color w:val="auto"/>
              </w:rPr>
            </w:pPr>
          </w:p>
        </w:tc>
        <w:tc>
          <w:tcPr>
            <w:tcW w:w="528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88"/>
              </w:rPr>
              <w:t>101.PRE</w:t>
            </w:r>
          </w:p>
        </w:tc>
        <w:tc>
          <w:tcPr>
            <w:tcW w:w="300" w:type="dxa"/>
            <w:vAlign w:val="bottom"/>
          </w:tcPr>
          <w:p>
            <w:pPr>
              <w:spacing w:after="0"/>
              <w:rPr>
                <w:sz w:val="24"/>
                <w:szCs w:val="24"/>
                <w:color w:val="auto"/>
              </w:rPr>
            </w:pPr>
          </w:p>
        </w:tc>
        <w:tc>
          <w:tcPr>
            <w:tcW w:w="528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00" w:type="dxa"/>
            <w:vAlign w:val="bottom"/>
            <w:gridSpan w:val="8"/>
          </w:tcPr>
          <w:p>
            <w:pPr>
              <w:jc w:val="right"/>
              <w:ind w:right="340"/>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3500" w:type="dxa"/>
            <w:vAlign w:val="bottom"/>
          </w:tcPr>
          <w:p>
            <w:pPr>
              <w:jc w:val="center"/>
              <w:ind w:left="1750"/>
              <w:spacing w:after="0"/>
              <w:rPr>
                <w:sz w:val="20"/>
                <w:szCs w:val="20"/>
                <w:color w:val="auto"/>
              </w:rPr>
            </w:pPr>
            <w:r>
              <w:rPr>
                <w:rFonts w:ascii="Arial" w:cs="Arial" w:eastAsia="Arial" w:hAnsi="Arial"/>
                <w:sz w:val="18"/>
                <w:szCs w:val="18"/>
                <w:color w:val="auto"/>
                <w:w w:val="89"/>
              </w:rPr>
              <w:t>Soleno</w:t>
            </w:r>
          </w:p>
        </w:tc>
        <w:tc>
          <w:tcPr>
            <w:tcW w:w="43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3500" w:type="dxa"/>
            <w:vAlign w:val="bottom"/>
          </w:tcPr>
          <w:p>
            <w:pPr>
              <w:jc w:val="center"/>
              <w:ind w:left="1750"/>
              <w:spacing w:after="0"/>
              <w:rPr>
                <w:sz w:val="20"/>
                <w:szCs w:val="20"/>
                <w:color w:val="auto"/>
              </w:rPr>
            </w:pPr>
            <w:r>
              <w:rPr>
                <w:rFonts w:ascii="Arial" w:cs="Arial" w:eastAsia="Arial" w:hAnsi="Arial"/>
                <w:sz w:val="18"/>
                <w:szCs w:val="18"/>
                <w:color w:val="auto"/>
                <w:w w:val="90"/>
              </w:rPr>
              <w:t>Therapeutics, Inc.</w:t>
            </w:r>
          </w:p>
        </w:tc>
        <w:tc>
          <w:tcPr>
            <w:tcW w:w="43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3500" w:type="dxa"/>
            <w:vAlign w:val="bottom"/>
          </w:tcPr>
          <w:p>
            <w:pPr>
              <w:jc w:val="center"/>
              <w:ind w:left="1750"/>
              <w:spacing w:after="0"/>
              <w:rPr>
                <w:sz w:val="20"/>
                <w:szCs w:val="20"/>
                <w:color w:val="auto"/>
              </w:rPr>
            </w:pPr>
            <w:r>
              <w:rPr>
                <w:rFonts w:ascii="Arial" w:cs="Arial" w:eastAsia="Arial" w:hAnsi="Arial"/>
                <w:sz w:val="18"/>
                <w:szCs w:val="18"/>
                <w:color w:val="auto"/>
                <w:w w:val="94"/>
              </w:rPr>
              <w:t>(formerly Capnia,</w:t>
            </w:r>
          </w:p>
        </w:tc>
        <w:tc>
          <w:tcPr>
            <w:tcW w:w="4300" w:type="dxa"/>
            <w:vAlign w:val="bottom"/>
          </w:tcPr>
          <w:p>
            <w:pPr>
              <w:spacing w:after="0"/>
              <w:rPr>
                <w:sz w:val="18"/>
                <w:szCs w:val="18"/>
                <w:color w:val="auto"/>
              </w:rPr>
            </w:pPr>
          </w:p>
        </w:tc>
      </w:tr>
      <w:tr>
        <w:trPr>
          <w:trHeight w:val="230"/>
        </w:trPr>
        <w:tc>
          <w:tcPr>
            <w:tcW w:w="3240" w:type="dxa"/>
            <w:vAlign w:val="bottom"/>
          </w:tcPr>
          <w:p>
            <w:pPr>
              <w:spacing w:after="0"/>
              <w:rPr>
                <w:sz w:val="20"/>
                <w:szCs w:val="20"/>
                <w:color w:val="auto"/>
              </w:rPr>
            </w:pPr>
          </w:p>
        </w:tc>
        <w:tc>
          <w:tcPr>
            <w:tcW w:w="3500" w:type="dxa"/>
            <w:vAlign w:val="bottom"/>
          </w:tcPr>
          <w:p>
            <w:pPr>
              <w:jc w:val="center"/>
              <w:ind w:left="1750"/>
              <w:spacing w:after="0"/>
              <w:rPr>
                <w:sz w:val="20"/>
                <w:szCs w:val="20"/>
                <w:color w:val="auto"/>
              </w:rPr>
            </w:pPr>
            <w:r>
              <w:rPr>
                <w:rFonts w:ascii="Arial" w:cs="Arial" w:eastAsia="Arial" w:hAnsi="Arial"/>
                <w:sz w:val="18"/>
                <w:szCs w:val="18"/>
                <w:color w:val="auto"/>
                <w:w w:val="96"/>
              </w:rPr>
              <w:t>Inc.)</w:t>
            </w:r>
          </w:p>
        </w:tc>
        <w:tc>
          <w:tcPr>
            <w:tcW w:w="4300" w:type="dxa"/>
            <w:vAlign w:val="bottom"/>
          </w:tcPr>
          <w:p>
            <w:pPr>
              <w:spacing w:after="0"/>
              <w:rPr>
                <w:sz w:val="20"/>
                <w:szCs w:val="20"/>
                <w:color w:val="auto"/>
              </w:rPr>
            </w:pPr>
          </w:p>
        </w:tc>
      </w:tr>
      <w:tr>
        <w:trPr>
          <w:trHeight w:val="446"/>
        </w:trPr>
        <w:tc>
          <w:tcPr>
            <w:tcW w:w="3240" w:type="dxa"/>
            <w:vAlign w:val="bottom"/>
          </w:tcPr>
          <w:p>
            <w:pPr>
              <w:spacing w:after="0"/>
              <w:rPr>
                <w:sz w:val="20"/>
                <w:szCs w:val="20"/>
                <w:color w:val="auto"/>
              </w:rPr>
            </w:pPr>
            <w:r>
              <w:rPr>
                <w:rFonts w:ascii="Arial" w:cs="Arial" w:eastAsia="Arial" w:hAnsi="Arial"/>
                <w:sz w:val="18"/>
                <w:szCs w:val="18"/>
                <w:color w:val="auto"/>
              </w:rPr>
              <w:t>Date: April 2, 2018</w:t>
            </w:r>
          </w:p>
        </w:tc>
        <w:tc>
          <w:tcPr>
            <w:tcW w:w="3500" w:type="dxa"/>
            <w:vAlign w:val="bottom"/>
          </w:tcPr>
          <w:p>
            <w:pPr>
              <w:ind w:left="1840"/>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ANISH BHATNAGAR</w:t>
            </w:r>
          </w:p>
        </w:tc>
      </w:tr>
      <w:tr>
        <w:trPr>
          <w:trHeight w:val="224"/>
        </w:trPr>
        <w:tc>
          <w:tcPr>
            <w:tcW w:w="32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Each person whose individual signature appears below hereby authorizes and appoints Anish Bhatnagar, with full power of substitution and resubstitution and full power to act,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8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49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080" w:type="dxa"/>
            <w:vAlign w:val="bottom"/>
          </w:tcPr>
          <w:p>
            <w:pPr>
              <w:ind w:left="1840"/>
              <w:spacing w:after="0"/>
              <w:rPr>
                <w:sz w:val="20"/>
                <w:szCs w:val="20"/>
                <w:color w:val="auto"/>
              </w:rPr>
            </w:pPr>
            <w:r>
              <w:rPr>
                <w:rFonts w:ascii="Arial" w:cs="Arial" w:eastAsia="Arial" w:hAnsi="Arial"/>
                <w:sz w:val="14"/>
                <w:szCs w:val="14"/>
                <w:b w:val="1"/>
                <w:bCs w:val="1"/>
                <w:color w:val="auto"/>
              </w:rPr>
              <w:t>Title</w:t>
            </w:r>
          </w:p>
        </w:tc>
        <w:tc>
          <w:tcPr>
            <w:tcW w:w="1500" w:type="dxa"/>
            <w:vAlign w:val="bottom"/>
          </w:tcPr>
          <w:p>
            <w:pPr>
              <w:jc w:val="center"/>
              <w:ind w:left="452"/>
              <w:spacing w:after="0"/>
              <w:rPr>
                <w:sz w:val="20"/>
                <w:szCs w:val="20"/>
                <w:color w:val="auto"/>
              </w:rPr>
            </w:pPr>
            <w:r>
              <w:rPr>
                <w:rFonts w:ascii="Arial" w:cs="Arial" w:eastAsia="Arial" w:hAnsi="Arial"/>
                <w:sz w:val="14"/>
                <w:szCs w:val="14"/>
                <w:b w:val="1"/>
                <w:bCs w:val="1"/>
                <w:color w:val="auto"/>
                <w:w w:val="92"/>
              </w:rPr>
              <w:t>Date</w:t>
            </w:r>
          </w:p>
        </w:tc>
      </w:tr>
      <w:tr>
        <w:trPr>
          <w:trHeight w:val="417"/>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ANISH BHATNAGAR</w:t>
            </w:r>
          </w:p>
        </w:tc>
        <w:tc>
          <w:tcPr>
            <w:tcW w:w="4080" w:type="dxa"/>
            <w:vAlign w:val="bottom"/>
          </w:tcPr>
          <w:p>
            <w:pPr>
              <w:ind w:left="100"/>
              <w:spacing w:after="0"/>
              <w:rPr>
                <w:sz w:val="20"/>
                <w:szCs w:val="20"/>
                <w:color w:val="auto"/>
              </w:rPr>
            </w:pPr>
            <w:r>
              <w:rPr>
                <w:rFonts w:ascii="Arial" w:cs="Arial" w:eastAsia="Arial" w:hAnsi="Arial"/>
                <w:sz w:val="18"/>
                <w:szCs w:val="18"/>
                <w:color w:val="auto"/>
              </w:rPr>
              <w:t>President, Chief Executive Officer and Director</w:t>
            </w:r>
          </w:p>
        </w:tc>
        <w:tc>
          <w:tcPr>
            <w:tcW w:w="1500" w:type="dxa"/>
            <w:vAlign w:val="bottom"/>
          </w:tcPr>
          <w:p>
            <w:pPr>
              <w:jc w:val="center"/>
              <w:ind w:left="452"/>
              <w:spacing w:after="0"/>
              <w:rPr>
                <w:sz w:val="20"/>
                <w:szCs w:val="20"/>
                <w:color w:val="auto"/>
              </w:rPr>
            </w:pPr>
            <w:r>
              <w:rPr>
                <w:rFonts w:ascii="Arial" w:cs="Arial" w:eastAsia="Arial" w:hAnsi="Arial"/>
                <w:sz w:val="18"/>
                <w:szCs w:val="18"/>
                <w:color w:val="auto"/>
                <w:w w:val="94"/>
              </w:rPr>
              <w:t>April 2, 2018</w:t>
            </w:r>
          </w:p>
        </w:tc>
      </w:tr>
      <w:tr>
        <w:trPr>
          <w:trHeight w:val="182"/>
        </w:trPr>
        <w:tc>
          <w:tcPr>
            <w:tcW w:w="4900" w:type="dxa"/>
            <w:vAlign w:val="bottom"/>
          </w:tcPr>
          <w:p>
            <w:pPr>
              <w:jc w:val="center"/>
              <w:spacing w:after="0" w:line="182" w:lineRule="exact"/>
              <w:rPr>
                <w:sz w:val="20"/>
                <w:szCs w:val="20"/>
                <w:color w:val="auto"/>
              </w:rPr>
            </w:pPr>
            <w:r>
              <w:rPr>
                <w:rFonts w:ascii="Arial" w:cs="Arial" w:eastAsia="Arial" w:hAnsi="Arial"/>
                <w:sz w:val="18"/>
                <w:szCs w:val="18"/>
                <w:color w:val="auto"/>
                <w:w w:val="91"/>
              </w:rPr>
              <w:t>Anish Bhatnagar</w:t>
            </w:r>
          </w:p>
        </w:tc>
        <w:tc>
          <w:tcPr>
            <w:tcW w:w="4080" w:type="dxa"/>
            <w:vAlign w:val="bottom"/>
          </w:tcPr>
          <w:p>
            <w:pPr>
              <w:ind w:left="280"/>
              <w:spacing w:after="0" w:line="182" w:lineRule="exact"/>
              <w:rPr>
                <w:sz w:val="20"/>
                <w:szCs w:val="20"/>
                <w:color w:val="auto"/>
              </w:rPr>
            </w:pPr>
            <w:r>
              <w:rPr>
                <w:rFonts w:ascii="Arial" w:cs="Arial" w:eastAsia="Arial" w:hAnsi="Arial"/>
                <w:sz w:val="18"/>
                <w:szCs w:val="18"/>
                <w:color w:val="auto"/>
              </w:rPr>
              <w:t>(Principal Executive Officer and</w:t>
            </w:r>
          </w:p>
        </w:tc>
        <w:tc>
          <w:tcPr>
            <w:tcW w:w="1500" w:type="dxa"/>
            <w:vAlign w:val="bottom"/>
          </w:tcPr>
          <w:p>
            <w:pPr>
              <w:spacing w:after="0"/>
              <w:rPr>
                <w:sz w:val="15"/>
                <w:szCs w:val="15"/>
                <w:color w:val="auto"/>
              </w:rPr>
            </w:pPr>
          </w:p>
        </w:tc>
      </w:tr>
      <w:tr>
        <w:trPr>
          <w:trHeight w:val="230"/>
        </w:trPr>
        <w:tc>
          <w:tcPr>
            <w:tcW w:w="4900" w:type="dxa"/>
            <w:vAlign w:val="bottom"/>
          </w:tcPr>
          <w:p>
            <w:pPr>
              <w:spacing w:after="0"/>
              <w:rPr>
                <w:sz w:val="20"/>
                <w:szCs w:val="20"/>
                <w:color w:val="auto"/>
              </w:rPr>
            </w:pPr>
          </w:p>
        </w:tc>
        <w:tc>
          <w:tcPr>
            <w:tcW w:w="4080" w:type="dxa"/>
            <w:vAlign w:val="bottom"/>
          </w:tcPr>
          <w:p>
            <w:pPr>
              <w:ind w:left="280"/>
              <w:spacing w:after="0"/>
              <w:rPr>
                <w:sz w:val="20"/>
                <w:szCs w:val="20"/>
                <w:color w:val="auto"/>
              </w:rPr>
            </w:pPr>
            <w:r>
              <w:rPr>
                <w:rFonts w:ascii="Arial" w:cs="Arial" w:eastAsia="Arial" w:hAnsi="Arial"/>
                <w:sz w:val="18"/>
                <w:szCs w:val="18"/>
                <w:color w:val="auto"/>
              </w:rPr>
              <w:t>Principal Financial and Accounting Officer)</w:t>
            </w:r>
          </w:p>
        </w:tc>
        <w:tc>
          <w:tcPr>
            <w:tcW w:w="1500" w:type="dxa"/>
            <w:vAlign w:val="bottom"/>
          </w:tcPr>
          <w:p>
            <w:pPr>
              <w:spacing w:after="0"/>
              <w:rPr>
                <w:sz w:val="20"/>
                <w:szCs w:val="20"/>
                <w:color w:val="auto"/>
              </w:rPr>
            </w:pPr>
          </w:p>
        </w:tc>
      </w:tr>
      <w:tr>
        <w:trPr>
          <w:trHeight w:val="432"/>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ERNEST MARIO</w:t>
            </w:r>
          </w:p>
        </w:tc>
        <w:tc>
          <w:tcPr>
            <w:tcW w:w="4080" w:type="dxa"/>
            <w:vAlign w:val="bottom"/>
          </w:tcPr>
          <w:p>
            <w:pPr>
              <w:ind w:left="100"/>
              <w:spacing w:after="0"/>
              <w:rPr>
                <w:sz w:val="20"/>
                <w:szCs w:val="20"/>
                <w:color w:val="auto"/>
              </w:rPr>
            </w:pPr>
            <w:r>
              <w:rPr>
                <w:rFonts w:ascii="Arial" w:cs="Arial" w:eastAsia="Arial" w:hAnsi="Arial"/>
                <w:sz w:val="18"/>
                <w:szCs w:val="18"/>
                <w:color w:val="auto"/>
              </w:rPr>
              <w:t>Chairman</w:t>
            </w:r>
          </w:p>
        </w:tc>
        <w:tc>
          <w:tcPr>
            <w:tcW w:w="1500" w:type="dxa"/>
            <w:vAlign w:val="bottom"/>
          </w:tcPr>
          <w:p>
            <w:pPr>
              <w:jc w:val="center"/>
              <w:ind w:left="452"/>
              <w:spacing w:after="0"/>
              <w:rPr>
                <w:sz w:val="20"/>
                <w:szCs w:val="20"/>
                <w:color w:val="auto"/>
              </w:rPr>
            </w:pPr>
            <w:r>
              <w:rPr>
                <w:rFonts w:ascii="Arial" w:cs="Arial" w:eastAsia="Arial" w:hAnsi="Arial"/>
                <w:sz w:val="18"/>
                <w:szCs w:val="18"/>
                <w:color w:val="auto"/>
                <w:w w:val="94"/>
              </w:rPr>
              <w:t>April 2, 2018</w:t>
            </w:r>
          </w:p>
        </w:tc>
      </w:tr>
      <w:tr>
        <w:trPr>
          <w:trHeight w:val="224"/>
        </w:trPr>
        <w:tc>
          <w:tcPr>
            <w:tcW w:w="4900" w:type="dxa"/>
            <w:vAlign w:val="bottom"/>
          </w:tcPr>
          <w:p>
            <w:pPr>
              <w:jc w:val="center"/>
              <w:spacing w:after="0"/>
              <w:rPr>
                <w:sz w:val="20"/>
                <w:szCs w:val="20"/>
                <w:color w:val="auto"/>
              </w:rPr>
            </w:pPr>
            <w:r>
              <w:rPr>
                <w:rFonts w:ascii="Arial" w:cs="Arial" w:eastAsia="Arial" w:hAnsi="Arial"/>
                <w:sz w:val="18"/>
                <w:szCs w:val="18"/>
                <w:color w:val="auto"/>
                <w:w w:val="92"/>
              </w:rPr>
              <w:t>Ernest Mario</w:t>
            </w:r>
          </w:p>
        </w:tc>
        <w:tc>
          <w:tcPr>
            <w:tcW w:w="40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31"/>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RAJEN DALAL</w:t>
            </w:r>
          </w:p>
        </w:tc>
        <w:tc>
          <w:tcPr>
            <w:tcW w:w="40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ind w:left="452"/>
              <w:spacing w:after="0"/>
              <w:rPr>
                <w:sz w:val="20"/>
                <w:szCs w:val="20"/>
                <w:color w:val="auto"/>
              </w:rPr>
            </w:pPr>
            <w:r>
              <w:rPr>
                <w:rFonts w:ascii="Arial" w:cs="Arial" w:eastAsia="Arial" w:hAnsi="Arial"/>
                <w:sz w:val="18"/>
                <w:szCs w:val="18"/>
                <w:color w:val="auto"/>
                <w:w w:val="94"/>
              </w:rPr>
              <w:t>April 2, 2018</w:t>
            </w:r>
          </w:p>
        </w:tc>
      </w:tr>
      <w:tr>
        <w:trPr>
          <w:trHeight w:val="224"/>
        </w:trPr>
        <w:tc>
          <w:tcPr>
            <w:tcW w:w="4900" w:type="dxa"/>
            <w:vAlign w:val="bottom"/>
          </w:tcPr>
          <w:p>
            <w:pPr>
              <w:jc w:val="center"/>
              <w:spacing w:after="0"/>
              <w:rPr>
                <w:sz w:val="20"/>
                <w:szCs w:val="20"/>
                <w:color w:val="auto"/>
              </w:rPr>
            </w:pPr>
            <w:r>
              <w:rPr>
                <w:rFonts w:ascii="Arial" w:cs="Arial" w:eastAsia="Arial" w:hAnsi="Arial"/>
                <w:sz w:val="18"/>
                <w:szCs w:val="18"/>
                <w:color w:val="auto"/>
                <w:w w:val="92"/>
              </w:rPr>
              <w:t>Rajen Dalal</w:t>
            </w:r>
          </w:p>
        </w:tc>
        <w:tc>
          <w:tcPr>
            <w:tcW w:w="40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31"/>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WILLIAM G. HARRIS</w:t>
            </w:r>
          </w:p>
        </w:tc>
        <w:tc>
          <w:tcPr>
            <w:tcW w:w="40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ind w:left="452"/>
              <w:spacing w:after="0"/>
              <w:rPr>
                <w:sz w:val="20"/>
                <w:szCs w:val="20"/>
                <w:color w:val="auto"/>
              </w:rPr>
            </w:pPr>
            <w:r>
              <w:rPr>
                <w:rFonts w:ascii="Arial" w:cs="Arial" w:eastAsia="Arial" w:hAnsi="Arial"/>
                <w:sz w:val="18"/>
                <w:szCs w:val="18"/>
                <w:color w:val="auto"/>
                <w:w w:val="94"/>
              </w:rPr>
              <w:t>April 2, 2018</w:t>
            </w:r>
          </w:p>
        </w:tc>
      </w:tr>
      <w:tr>
        <w:trPr>
          <w:trHeight w:val="224"/>
        </w:trPr>
        <w:tc>
          <w:tcPr>
            <w:tcW w:w="4900" w:type="dxa"/>
            <w:vAlign w:val="bottom"/>
          </w:tcPr>
          <w:p>
            <w:pPr>
              <w:jc w:val="center"/>
              <w:spacing w:after="0"/>
              <w:rPr>
                <w:sz w:val="20"/>
                <w:szCs w:val="20"/>
                <w:color w:val="auto"/>
              </w:rPr>
            </w:pPr>
            <w:r>
              <w:rPr>
                <w:rFonts w:ascii="Arial" w:cs="Arial" w:eastAsia="Arial" w:hAnsi="Arial"/>
                <w:sz w:val="18"/>
                <w:szCs w:val="18"/>
                <w:color w:val="auto"/>
                <w:w w:val="96"/>
              </w:rPr>
              <w:t>William G. Harris</w:t>
            </w:r>
          </w:p>
        </w:tc>
        <w:tc>
          <w:tcPr>
            <w:tcW w:w="40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31"/>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MAHENDRA SHAH</w:t>
            </w:r>
          </w:p>
        </w:tc>
        <w:tc>
          <w:tcPr>
            <w:tcW w:w="40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ind w:left="452"/>
              <w:spacing w:after="0"/>
              <w:rPr>
                <w:sz w:val="20"/>
                <w:szCs w:val="20"/>
                <w:color w:val="auto"/>
              </w:rPr>
            </w:pPr>
            <w:r>
              <w:rPr>
                <w:rFonts w:ascii="Arial" w:cs="Arial" w:eastAsia="Arial" w:hAnsi="Arial"/>
                <w:sz w:val="18"/>
                <w:szCs w:val="18"/>
                <w:color w:val="auto"/>
                <w:w w:val="94"/>
              </w:rPr>
              <w:t>April 2, 2018</w:t>
            </w:r>
          </w:p>
        </w:tc>
      </w:tr>
      <w:tr>
        <w:trPr>
          <w:trHeight w:val="224"/>
        </w:trPr>
        <w:tc>
          <w:tcPr>
            <w:tcW w:w="4900" w:type="dxa"/>
            <w:vAlign w:val="bottom"/>
          </w:tcPr>
          <w:p>
            <w:pPr>
              <w:jc w:val="center"/>
              <w:spacing w:after="0"/>
              <w:rPr>
                <w:sz w:val="20"/>
                <w:szCs w:val="20"/>
                <w:color w:val="auto"/>
              </w:rPr>
            </w:pPr>
            <w:r>
              <w:rPr>
                <w:rFonts w:ascii="Arial" w:cs="Arial" w:eastAsia="Arial" w:hAnsi="Arial"/>
                <w:sz w:val="18"/>
                <w:szCs w:val="18"/>
                <w:color w:val="auto"/>
                <w:w w:val="88"/>
              </w:rPr>
              <w:t>Mahendra Shah</w:t>
            </w:r>
          </w:p>
        </w:tc>
        <w:tc>
          <w:tcPr>
            <w:tcW w:w="40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31"/>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JAMES GLASHEEN</w:t>
            </w:r>
          </w:p>
        </w:tc>
        <w:tc>
          <w:tcPr>
            <w:tcW w:w="40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ind w:left="452"/>
              <w:spacing w:after="0"/>
              <w:rPr>
                <w:sz w:val="20"/>
                <w:szCs w:val="20"/>
                <w:color w:val="auto"/>
              </w:rPr>
            </w:pPr>
            <w:r>
              <w:rPr>
                <w:rFonts w:ascii="Arial" w:cs="Arial" w:eastAsia="Arial" w:hAnsi="Arial"/>
                <w:sz w:val="18"/>
                <w:szCs w:val="18"/>
                <w:color w:val="auto"/>
                <w:w w:val="94"/>
              </w:rPr>
              <w:t>April 2, 2018</w:t>
            </w:r>
          </w:p>
        </w:tc>
      </w:tr>
      <w:tr>
        <w:trPr>
          <w:trHeight w:val="224"/>
        </w:trPr>
        <w:tc>
          <w:tcPr>
            <w:tcW w:w="4900" w:type="dxa"/>
            <w:vAlign w:val="bottom"/>
          </w:tcPr>
          <w:p>
            <w:pPr>
              <w:jc w:val="center"/>
              <w:spacing w:after="0"/>
              <w:rPr>
                <w:sz w:val="20"/>
                <w:szCs w:val="20"/>
                <w:color w:val="auto"/>
              </w:rPr>
            </w:pPr>
            <w:r>
              <w:rPr>
                <w:rFonts w:ascii="Arial" w:cs="Arial" w:eastAsia="Arial" w:hAnsi="Arial"/>
                <w:sz w:val="18"/>
                <w:szCs w:val="18"/>
                <w:color w:val="auto"/>
                <w:w w:val="85"/>
              </w:rPr>
              <w:t>James Glasheen</w:t>
            </w:r>
          </w:p>
        </w:tc>
        <w:tc>
          <w:tcPr>
            <w:tcW w:w="40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31"/>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STUART COLLINSON</w:t>
            </w:r>
          </w:p>
        </w:tc>
        <w:tc>
          <w:tcPr>
            <w:tcW w:w="40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ind w:left="452"/>
              <w:spacing w:after="0"/>
              <w:rPr>
                <w:sz w:val="20"/>
                <w:szCs w:val="20"/>
                <w:color w:val="auto"/>
              </w:rPr>
            </w:pPr>
            <w:r>
              <w:rPr>
                <w:rFonts w:ascii="Arial" w:cs="Arial" w:eastAsia="Arial" w:hAnsi="Arial"/>
                <w:sz w:val="18"/>
                <w:szCs w:val="18"/>
                <w:color w:val="auto"/>
                <w:w w:val="94"/>
              </w:rPr>
              <w:t>April 2, 2018</w:t>
            </w:r>
          </w:p>
        </w:tc>
      </w:tr>
      <w:tr>
        <w:trPr>
          <w:trHeight w:val="224"/>
        </w:trPr>
        <w:tc>
          <w:tcPr>
            <w:tcW w:w="4900" w:type="dxa"/>
            <w:vAlign w:val="bottom"/>
          </w:tcPr>
          <w:p>
            <w:pPr>
              <w:jc w:val="center"/>
              <w:spacing w:after="0"/>
              <w:rPr>
                <w:sz w:val="20"/>
                <w:szCs w:val="20"/>
                <w:color w:val="auto"/>
              </w:rPr>
            </w:pPr>
            <w:r>
              <w:rPr>
                <w:rFonts w:ascii="Arial" w:cs="Arial" w:eastAsia="Arial" w:hAnsi="Arial"/>
                <w:sz w:val="18"/>
                <w:szCs w:val="18"/>
                <w:color w:val="auto"/>
                <w:w w:val="92"/>
              </w:rPr>
              <w:t>Stuart Collinson</w:t>
            </w:r>
          </w:p>
        </w:tc>
        <w:tc>
          <w:tcPr>
            <w:tcW w:w="40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64"/>
        </w:trPr>
        <w:tc>
          <w:tcPr>
            <w:tcW w:w="4900" w:type="dxa"/>
            <w:vAlign w:val="bottom"/>
          </w:tcPr>
          <w:p>
            <w:pPr>
              <w:spacing w:after="0"/>
              <w:rPr>
                <w:sz w:val="24"/>
                <w:szCs w:val="24"/>
                <w:color w:val="auto"/>
              </w:rPr>
            </w:pPr>
          </w:p>
        </w:tc>
        <w:tc>
          <w:tcPr>
            <w:tcW w:w="4080" w:type="dxa"/>
            <w:vAlign w:val="bottom"/>
          </w:tcPr>
          <w:p>
            <w:pPr>
              <w:ind w:left="460"/>
              <w:spacing w:after="0"/>
              <w:rPr>
                <w:sz w:val="20"/>
                <w:szCs w:val="20"/>
                <w:color w:val="auto"/>
              </w:rPr>
            </w:pPr>
            <w:r>
              <w:rPr>
                <w:rFonts w:ascii="Arial" w:cs="Arial" w:eastAsia="Arial" w:hAnsi="Arial"/>
                <w:sz w:val="18"/>
                <w:szCs w:val="18"/>
                <w:color w:val="auto"/>
              </w:rPr>
              <w:t>125</w:t>
            </w:r>
          </w:p>
        </w:tc>
        <w:tc>
          <w:tcPr>
            <w:tcW w:w="150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Capnia, Inc.</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5360" w:type="dxa"/>
            <w:vAlign w:val="bottom"/>
          </w:tcPr>
          <w:p>
            <w:pPr>
              <w:spacing w:after="0"/>
              <w:rPr>
                <w:sz w:val="20"/>
                <w:szCs w:val="20"/>
                <w:color w:val="auto"/>
              </w:rPr>
            </w:pPr>
            <w:r>
              <w:rPr>
                <w:rFonts w:ascii="Arial" w:cs="Arial" w:eastAsia="Arial" w:hAnsi="Arial"/>
                <w:sz w:val="14"/>
                <w:szCs w:val="14"/>
                <w:b w:val="1"/>
                <w:bCs w:val="1"/>
                <w:color w:val="auto"/>
              </w:rPr>
              <w:t>Jurisdiction</w:t>
            </w:r>
          </w:p>
        </w:tc>
      </w:tr>
      <w:tr>
        <w:trPr>
          <w:trHeight w:val="195"/>
        </w:trPr>
        <w:tc>
          <w:tcPr>
            <w:tcW w:w="20" w:type="dxa"/>
            <w:vAlign w:val="bottom"/>
          </w:tcPr>
          <w:p>
            <w:pPr>
              <w:spacing w:after="0"/>
              <w:rPr>
                <w:sz w:val="16"/>
                <w:szCs w:val="16"/>
                <w:color w:val="auto"/>
              </w:rPr>
            </w:pPr>
          </w:p>
        </w:tc>
        <w:tc>
          <w:tcPr>
            <w:tcW w:w="5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Soleno Therapeutics UK Ltd. (formerly Capnia UK Limited), a wholly owned</w:t>
            </w:r>
          </w:p>
        </w:tc>
        <w:tc>
          <w:tcPr>
            <w:tcW w:w="24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foreign subsidiary in the United Kingdom</w:t>
            </w:r>
          </w:p>
        </w:tc>
        <w:tc>
          <w:tcPr>
            <w:tcW w:w="5360" w:type="dxa"/>
            <w:vAlign w:val="bottom"/>
          </w:tcPr>
          <w:p>
            <w:pPr>
              <w:spacing w:after="0"/>
              <w:rPr>
                <w:sz w:val="18"/>
                <w:szCs w:val="18"/>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Essentialis, Inc.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3"/>
          </w:tcPr>
          <w:p>
            <w:pPr>
              <w:spacing w:after="0"/>
              <w:rPr>
                <w:sz w:val="20"/>
                <w:szCs w:val="20"/>
                <w:color w:val="auto"/>
              </w:rPr>
            </w:pPr>
            <w:r>
              <w:rPr>
                <w:rFonts w:ascii="Arial" w:cs="Arial" w:eastAsia="Arial" w:hAnsi="Arial"/>
                <w:sz w:val="18"/>
                <w:szCs w:val="18"/>
                <w:color w:val="auto"/>
              </w:rPr>
              <w:t>Capnia, Inc.</w:t>
            </w: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INDEPENDENT REGISTERED PUBLIC ACCOUNTING FIRM’S CONSENT</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consent to the incorporation by reference in the Registration Statement of Soleno Therapeutics, Inc. (formerly known as Capnia, Inc.) on Form S-8 (File Nos. 333-200175, 333-210563 and 333-220056) of our report which includes an explanatory paragraph as to the Company’s ability to continue as a going concern dated April 2, 2018 with respect to our audits of the consolidated financial statements of Soleno Therapeutics, Inc. (formerly known as Capnia, Inc.) as of December 31, 2017 and 2016 and for each of the two years in the period ended December 31, 2017, which report is included in this Annual Report on Form 10-K of Soleno Therapeutics, Inc. (formerly known as Capnia, Inc.) for the year ended December 31,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 2018</w:t>
      </w:r>
    </w:p>
    <w:p>
      <w:pPr>
        <w:sectPr>
          <w:pgSz w:w="11900" w:h="16838" w:orient="portrait"/>
          <w:cols w:equalWidth="0" w:num="1">
            <w:col w:w="11420"/>
          </w:cols>
          <w:pgMar w:left="240" w:top="12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Anish Bhatnagar, M.D., certify that:</w:t>
      </w:r>
    </w:p>
    <w:p>
      <w:pPr>
        <w:spacing w:after="0" w:line="131"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Soleno Therapeutics, Inc. (formerly Capnia,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 and principal financial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420"/>
          </w:cols>
          <w:pgMar w:left="240" w:top="12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In connection with the Annual Report of Soleno Therapeutics, Inc. (formerly Capnia, Inc.) , Inc. (the “Company”) on Form 10-K for the fiscal year ended December 31, 2017, as filed with the Securities and Exchange Commission (the “Report”), Anish Bhatnagar, President, Chief Executive Officer of the Company, do hereby certify, pursuant to 18 U.S.C. Section 1350, as adopted pursuant to Section 906 of the Sarbanes-Oxley Act of 2002, that:</w:t>
      </w:r>
    </w:p>
    <w:p>
      <w:pPr>
        <w:spacing w:after="0" w:line="52"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information in the Report fairly presents, in all material respects, the financial condition and results of operations of the Company.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 and principal financial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898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decimal"/>
      <w:start w:val="650"/>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1)"/>
      <w:numFmt w:val="lowerRoman"/>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decimal"/>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55" Type="http://schemas.openxmlformats.org/officeDocument/2006/relationships/image" Target="media/image131.png"/><Relationship Id="rId176" Type="http://schemas.openxmlformats.org/officeDocument/2006/relationships/image" Target="media/image132.png"/><Relationship Id="rId192" Type="http://schemas.openxmlformats.org/officeDocument/2006/relationships/image" Target="media/image133.png"/><Relationship Id="rId207" Type="http://schemas.openxmlformats.org/officeDocument/2006/relationships/image" Target="media/image134.png"/><Relationship Id="rId222" Type="http://schemas.openxmlformats.org/officeDocument/2006/relationships/image" Target="media/image135.png"/><Relationship Id="rId223" Type="http://schemas.openxmlformats.org/officeDocument/2006/relationships/image" Target="media/image136.png"/><Relationship Id="rId224" Type="http://schemas.openxmlformats.org/officeDocument/2006/relationships/image" Target="media/image137.png"/><Relationship Id="rId225" Type="http://schemas.openxmlformats.org/officeDocument/2006/relationships/image" Target="media/image138.png"/><Relationship Id="rId226" Type="http://schemas.openxmlformats.org/officeDocument/2006/relationships/image" Target="media/image139.png"/><Relationship Id="rId227" Type="http://schemas.openxmlformats.org/officeDocument/2006/relationships/image" Target="media/image140.png"/><Relationship Id="rId138" Type="http://schemas.openxmlformats.org/officeDocument/2006/relationships/hyperlink" Target="http://www.sec.gov/Archives/edgar/data/1484565/000162828017007221/ehx21.htm" TargetMode="External"/><Relationship Id="rId139" Type="http://schemas.openxmlformats.org/officeDocument/2006/relationships/hyperlink" Target="http://www.sec.gov/Archives/edgar/data/1484565/000162828017012274/ex21soleno-captainjvagreem.htm" TargetMode="External"/><Relationship Id="rId140" Type="http://schemas.openxmlformats.org/officeDocument/2006/relationships/hyperlink" Target="http://www.sec.gov/Archives/edgar/data/1484565/000162828017012274/ex22ippurchaseagreement.htm" TargetMode="External"/><Relationship Id="rId141" Type="http://schemas.openxmlformats.org/officeDocument/2006/relationships/hyperlink" Target="http://www.sec.gov/Archives/edgar/data/1484565/000162828017012274/ex23soleno-transitionservi.htm" TargetMode="External"/><Relationship Id="rId142" Type="http://schemas.openxmlformats.org/officeDocument/2006/relationships/hyperlink" Target="http://www.sec.gov/Archives/edgar/data/1484565/000119312514300848/d711637dex32.htm" TargetMode="External"/><Relationship Id="rId143" Type="http://schemas.openxmlformats.org/officeDocument/2006/relationships/hyperlink" Target="http://www.sec.gov/Archives/edgar/data/1484565/000119312514256995/d711637dex34.htm" TargetMode="External"/><Relationship Id="rId144" Type="http://schemas.openxmlformats.org/officeDocument/2006/relationships/hyperlink" Target="http://www.sec.gov/Archives/edgar/data/1484565/000119312515344002/d67111dex31.htm" TargetMode="External"/><Relationship Id="rId145" Type="http://schemas.openxmlformats.org/officeDocument/2006/relationships/hyperlink" Target="http://www.sec.gov/Archives/edgar/data/1484565/000119312516642505/d221558dex31.htm" TargetMode="External"/><Relationship Id="rId146" Type="http://schemas.openxmlformats.org/officeDocument/2006/relationships/hyperlink" Target="http://www.sec.gov/Archives/edgar/data/1484565/000162828017005427/exhibit31.htm" TargetMode="External"/><Relationship Id="rId147" Type="http://schemas.openxmlformats.org/officeDocument/2006/relationships/hyperlink" Target="http://www.sec.gov/Archives/edgar/data/1484565/000162828017009761/soleno-certificateofamendm.htm" TargetMode="External"/><Relationship Id="rId148" Type="http://schemas.openxmlformats.org/officeDocument/2006/relationships/hyperlink" Target="http://www.sec.gov/Archives/edgar/data/1484565/000119312514293949/d711637dex41.htm" TargetMode="External"/><Relationship Id="rId149" Type="http://schemas.openxmlformats.org/officeDocument/2006/relationships/hyperlink" Target="http://www.sec.gov/Archives/edgar/data/1484565/000119312514256995/d711637dex42.htm" TargetMode="External"/><Relationship Id="rId150" Type="http://schemas.openxmlformats.org/officeDocument/2006/relationships/hyperlink" Target="http://www.sec.gov/Archives/edgar/data/1484565/000119312514293949/d711637dex43.htm" TargetMode="External"/><Relationship Id="rId151" Type="http://schemas.openxmlformats.org/officeDocument/2006/relationships/hyperlink" Target="http://www.sec.gov/Archives/edgar/data/1484565/000119312514293949/d711637dex44.htm" TargetMode="External"/><Relationship Id="rId152" Type="http://schemas.openxmlformats.org/officeDocument/2006/relationships/hyperlink" Target="http://www.sec.gov/Archives/edgar/data/1484565/000119312514293949/d711637dex45.htm" TargetMode="External"/><Relationship Id="rId153" Type="http://schemas.openxmlformats.org/officeDocument/2006/relationships/hyperlink" Target="http://www.sec.gov/Archives/edgar/data/1484565/000119312514231812/d711637dex46.htm" TargetMode="External"/><Relationship Id="rId154" Type="http://schemas.openxmlformats.org/officeDocument/2006/relationships/hyperlink" Target="http://www.sec.gov/Archives/edgar/data/1484565/000119312514231812/d711637dex47.htm" TargetMode="External"/><Relationship Id="rId156" Type="http://schemas.openxmlformats.org/officeDocument/2006/relationships/hyperlink" Target="http://www.sec.gov/Archives/edgar/data/1484565/000119312514231812/d711637dex48.htm" TargetMode="External"/><Relationship Id="rId157" Type="http://schemas.openxmlformats.org/officeDocument/2006/relationships/hyperlink" Target="http://www.sec.gov/Archives/edgar/data/1484565/000119312514231812/d711637dex49.htm" TargetMode="External"/><Relationship Id="rId158" Type="http://schemas.openxmlformats.org/officeDocument/2006/relationships/hyperlink" Target="http://www.sec.gov/Archives/edgar/data/1484565/000119312514231812/d711637dex410.htm" TargetMode="External"/><Relationship Id="rId159" Type="http://schemas.openxmlformats.org/officeDocument/2006/relationships/hyperlink" Target="http://www.sec.gov/Archives/edgar/data/1484565/000119312514231812/d711637dex411.htm" TargetMode="External"/><Relationship Id="rId160" Type="http://schemas.openxmlformats.org/officeDocument/2006/relationships/hyperlink" Target="http://www.sec.gov/Archives/edgar/data/1484565/000119312514231812/d711637dex412.htm" TargetMode="External"/><Relationship Id="rId161" Type="http://schemas.openxmlformats.org/officeDocument/2006/relationships/hyperlink" Target="http://www.sec.gov/Archives/edgar/data/1484565/000119312514231812/d711637dex413.htm" TargetMode="External"/><Relationship Id="rId162" Type="http://schemas.openxmlformats.org/officeDocument/2006/relationships/hyperlink" Target="http://www.sec.gov/Archives/edgar/data/1484565/000119312514231812/d711637dex414.htm" TargetMode="External"/><Relationship Id="rId163" Type="http://schemas.openxmlformats.org/officeDocument/2006/relationships/hyperlink" Target="http://www.sec.gov/Archives/edgar/data/1484565/000119312514231812/d711637dex415.htm" TargetMode="External"/><Relationship Id="rId164" Type="http://schemas.openxmlformats.org/officeDocument/2006/relationships/hyperlink" Target="http://www.sec.gov/Archives/edgar/data/1484565/000119312514293949/d711637dex416.htm" TargetMode="External"/><Relationship Id="rId165" Type="http://schemas.openxmlformats.org/officeDocument/2006/relationships/hyperlink" Target="http://www.sec.gov/Archives/edgar/data/1484565/000119312514396517/d711637dex417.htm" TargetMode="External"/><Relationship Id="rId166" Type="http://schemas.openxmlformats.org/officeDocument/2006/relationships/hyperlink" Target="http://www.sec.gov/Archives/edgar/data/1484565/000119312514396517/d711637dex418.htm" TargetMode="External"/><Relationship Id="rId167" Type="http://schemas.openxmlformats.org/officeDocument/2006/relationships/hyperlink" Target="http://www.sec.gov/Archives/edgar/data/1484565/000119312515114723/d893037dex419.htm" TargetMode="External"/><Relationship Id="rId168" Type="http://schemas.openxmlformats.org/officeDocument/2006/relationships/hyperlink" Target="http://www.sec.gov/Archives/edgar/data/1484565/000119312515114723/d893037dex420.htm" TargetMode="External"/><Relationship Id="rId169" Type="http://schemas.openxmlformats.org/officeDocument/2006/relationships/hyperlink" Target="http://www.sec.gov/Archives/edgar/data/1484565/000119312515344002/d67111dex41.htm" TargetMode="External"/><Relationship Id="rId170" Type="http://schemas.openxmlformats.org/officeDocument/2006/relationships/hyperlink" Target="http://www.sec.gov/Archives/edgar/data/1484565/000119312515344002/d67111dex42.htm" TargetMode="External"/><Relationship Id="rId171" Type="http://schemas.openxmlformats.org/officeDocument/2006/relationships/hyperlink" Target="http://www.sec.gov/Archives/edgar/data/1484565/000119312515344002/d67111dex43.htm" TargetMode="External"/><Relationship Id="rId172" Type="http://schemas.openxmlformats.org/officeDocument/2006/relationships/hyperlink" Target="http://www.sec.gov/Archives/edgar/data/1484565/000119312515344002/d67111dex44.htm" TargetMode="External"/><Relationship Id="rId173" Type="http://schemas.openxmlformats.org/officeDocument/2006/relationships/hyperlink" Target="http://www.sec.gov/Archives/edgar/data/1484565/000119312516642505/d221558dex41.htm" TargetMode="External"/><Relationship Id="rId174" Type="http://schemas.openxmlformats.org/officeDocument/2006/relationships/hyperlink" Target="http://www.sec.gov/Archives/edgar/data/1484565/000119312516642505/d221558dex42.htm" TargetMode="External"/><Relationship Id="rId175" Type="http://schemas.openxmlformats.org/officeDocument/2006/relationships/hyperlink" Target="http://www.sec.gov/Archives/edgar/data/1484565/000148456517000004/ex41commonstockwarrant.htm" TargetMode="External"/><Relationship Id="rId177" Type="http://schemas.openxmlformats.org/officeDocument/2006/relationships/hyperlink" Target="http://www.sec.gov/Archives/edgar/data/1484565/000119312515344002/d67111dex91.htm" TargetMode="External"/><Relationship Id="rId178" Type="http://schemas.openxmlformats.org/officeDocument/2006/relationships/hyperlink" Target="http://www.sec.gov/Archives/edgar/data/1484565/000148456517000004/ex101securitiespurchaseagr.htm" TargetMode="External"/><Relationship Id="rId179" Type="http://schemas.openxmlformats.org/officeDocument/2006/relationships/hyperlink" Target="http://www.sec.gov/Archives/edgar/data/1484565/000119312514231812/d711637dex101.htm" TargetMode="External"/><Relationship Id="rId180" Type="http://schemas.openxmlformats.org/officeDocument/2006/relationships/hyperlink" Target="http://www.sec.gov/Archives/edgar/data/1484565/000119312514231812/d711637dex103.htm" TargetMode="External"/><Relationship Id="rId181" Type="http://schemas.openxmlformats.org/officeDocument/2006/relationships/hyperlink" Target="http://www.sec.gov/Archives/edgar/data/1484565/000119312514256995/d711637dex104.htm" TargetMode="External"/><Relationship Id="rId182" Type="http://schemas.openxmlformats.org/officeDocument/2006/relationships/hyperlink" Target="http://www.sec.gov/Archives/edgar/data/1484565/000119312514256995/d711637dex105.htm" TargetMode="External"/><Relationship Id="rId183" Type="http://schemas.openxmlformats.org/officeDocument/2006/relationships/hyperlink" Target="http://www.sec.gov/Archives/edgar/data/1484565/000119312514231812/d711637dex106.htm" TargetMode="External"/><Relationship Id="rId184" Type="http://schemas.openxmlformats.org/officeDocument/2006/relationships/hyperlink" Target="http://www.sec.gov/Archives/edgar/data/1484565/000119312514231812/d711637dex107.htm" TargetMode="External"/><Relationship Id="rId185" Type="http://schemas.openxmlformats.org/officeDocument/2006/relationships/hyperlink" Target="http://www.sec.gov/Archives/edgar/data/1484565/000119312514231812/d711637dex108.htm" TargetMode="External"/><Relationship Id="rId186" Type="http://schemas.openxmlformats.org/officeDocument/2006/relationships/hyperlink" Target="http://www.sec.gov/Archives/edgar/data/1484565/000119312514231812/d711637dex109.htm" TargetMode="External"/><Relationship Id="rId187" Type="http://schemas.openxmlformats.org/officeDocument/2006/relationships/hyperlink" Target="http://www.sec.gov/Archives/edgar/data/1484565/000119312514231812/d711637dex1010.htm" TargetMode="External"/><Relationship Id="rId188" Type="http://schemas.openxmlformats.org/officeDocument/2006/relationships/hyperlink" Target="http://www.sec.gov/Archives/edgar/data/1484565/000119312514231812/d711637dex1011.htm" TargetMode="External"/><Relationship Id="rId189" Type="http://schemas.openxmlformats.org/officeDocument/2006/relationships/hyperlink" Target="http://www.sec.gov/Archives/edgar/data/1484565/000119312514231812/d711637dex1012.htm" TargetMode="External"/><Relationship Id="rId190" Type="http://schemas.openxmlformats.org/officeDocument/2006/relationships/hyperlink" Target="http://www.sec.gov/Archives/edgar/data/1484565/000119312514231812/d711637dex1013.htm" TargetMode="External"/><Relationship Id="rId191" Type="http://schemas.openxmlformats.org/officeDocument/2006/relationships/hyperlink" Target="http://www.sec.gov/Archives/edgar/data/1484565/000119312514231812/d711637dex1014.htm" TargetMode="External"/><Relationship Id="rId193" Type="http://schemas.openxmlformats.org/officeDocument/2006/relationships/hyperlink" Target="http://www.sec.gov/Archives/edgar/data/1484565/000119312514231812/d711637dex1015.htm" TargetMode="External"/><Relationship Id="rId194" Type="http://schemas.openxmlformats.org/officeDocument/2006/relationships/hyperlink" Target="http://www.sec.gov/Archives/edgar/data/1484565/000119312514231812/d711637dex1016.htm" TargetMode="External"/><Relationship Id="rId195" Type="http://schemas.openxmlformats.org/officeDocument/2006/relationships/hyperlink" Target="http://www.sec.gov/Archives/edgar/data/1484565/000119312514231812/d711637dex1017.htm" TargetMode="External"/><Relationship Id="rId196" Type="http://schemas.openxmlformats.org/officeDocument/2006/relationships/hyperlink" Target="http://www.sec.gov/Archives/edgar/data/1484565/000119312514231812/d711637dex1018.htm" TargetMode="External"/><Relationship Id="rId197" Type="http://schemas.openxmlformats.org/officeDocument/2006/relationships/hyperlink" Target="http://www.sec.gov/Archives/edgar/data/1484565/000119312514256995/d711637dex1019.htm" TargetMode="External"/><Relationship Id="rId198" Type="http://schemas.openxmlformats.org/officeDocument/2006/relationships/hyperlink" Target="http://www.sec.gov/Archives/edgar/data/1484565/000119312514274666/d711637dex1020.htm" TargetMode="External"/><Relationship Id="rId199" Type="http://schemas.openxmlformats.org/officeDocument/2006/relationships/hyperlink" Target="http://www.sec.gov/Archives/edgar/data/1484565/000119312514357384/d711637dex1021.htm" TargetMode="External"/><Relationship Id="rId200" Type="http://schemas.openxmlformats.org/officeDocument/2006/relationships/hyperlink" Target="http://www.sec.gov/Archives/edgar/data/1484565/000119312514396517/d711637dex1022.htm" TargetMode="External"/><Relationship Id="rId201" Type="http://schemas.openxmlformats.org/officeDocument/2006/relationships/hyperlink" Target="http://www.sec.gov/Archives/edgar/data/1484565/000119312514396517/d711637dex1023.htm" TargetMode="External"/><Relationship Id="rId202" Type="http://schemas.openxmlformats.org/officeDocument/2006/relationships/hyperlink" Target="http://www.sec.gov/Archives/edgar/data/1484565/000119312515078868/d886135dex101.htm" TargetMode="External"/><Relationship Id="rId203" Type="http://schemas.openxmlformats.org/officeDocument/2006/relationships/hyperlink" Target="http://www.sec.gov/Archives/edgar/data/1484565/000119312515114723/d893037dex1025.htm" TargetMode="External"/><Relationship Id="rId204" Type="http://schemas.openxmlformats.org/officeDocument/2006/relationships/hyperlink" Target="http://www.sec.gov/Archives/edgar/data/1484565/000119312515246752/d72536dex101.htm" TargetMode="External"/><Relationship Id="rId205" Type="http://schemas.openxmlformats.org/officeDocument/2006/relationships/hyperlink" Target="http://www.sec.gov/Archives/edgar/data/1484565/000119312515246752/d72536dex102.htm" TargetMode="External"/><Relationship Id="rId206" Type="http://schemas.openxmlformats.org/officeDocument/2006/relationships/hyperlink" Target="http://www.sec.gov/Archives/edgar/data/1484565/000119312515264172/d151899dex41.htm" TargetMode="External"/><Relationship Id="rId208" Type="http://schemas.openxmlformats.org/officeDocument/2006/relationships/hyperlink" Target="http://www.sec.gov/Archives/edgar/data/1484565/000119312515264172/d151899dex101.htm" TargetMode="External"/><Relationship Id="rId209" Type="http://schemas.openxmlformats.org/officeDocument/2006/relationships/hyperlink" Target="http://www.sec.gov/Archives/edgar/data/1484565/000119312515344002/d67111dex11.htm" TargetMode="External"/><Relationship Id="rId210" Type="http://schemas.openxmlformats.org/officeDocument/2006/relationships/hyperlink" Target="http://www.sec.gov/Archives/edgar/data/1484565/000119312515344002/d67111dex101.htm" TargetMode="External"/><Relationship Id="rId211" Type="http://schemas.openxmlformats.org/officeDocument/2006/relationships/hyperlink" Target="http://www.sec.gov/Archives/edgar/data/1484565/000119312515344002/d67111dex102.htm" TargetMode="External"/><Relationship Id="rId212" Type="http://schemas.openxmlformats.org/officeDocument/2006/relationships/hyperlink" Target="http://www.sec.gov/Archives/edgar/data/1484565/000119312515344002/d67111dex103.htm" TargetMode="External"/><Relationship Id="rId213" Type="http://schemas.openxmlformats.org/officeDocument/2006/relationships/hyperlink" Target="http://www.sec.gov/Archives/edgar/data/1484565/000119312515410913/d83264dex1033.htm" TargetMode="External"/><Relationship Id="rId214" Type="http://schemas.openxmlformats.org/officeDocument/2006/relationships/hyperlink" Target="http://www.sec.gov/Archives/edgar/data/1484565/000119312516441799/d77178dex101.htm" TargetMode="External"/><Relationship Id="rId215" Type="http://schemas.openxmlformats.org/officeDocument/2006/relationships/hyperlink" Target="http://www.sec.gov/Archives/edgar/data/1484565/000119312516642505/d221558dex11.htm" TargetMode="External"/><Relationship Id="rId216" Type="http://schemas.openxmlformats.org/officeDocument/2006/relationships/hyperlink" Target="http://www.sec.gov/Archives/edgar/data/1484565/000119312516642505/d221558dex101.htm" TargetMode="External"/><Relationship Id="rId217" Type="http://schemas.openxmlformats.org/officeDocument/2006/relationships/hyperlink" Target="http://www.sec.gov/Archives/edgar/data/1484565/000119312516642505/d221558dex102.htm" TargetMode="External"/><Relationship Id="rId218" Type="http://schemas.openxmlformats.org/officeDocument/2006/relationships/hyperlink" Target="http://www.sec.gov/Archives/edgar/data/1484565/000119312516714955/d217110dex1039.htm" TargetMode="External"/><Relationship Id="rId219" Type="http://schemas.openxmlformats.org/officeDocument/2006/relationships/hyperlink" Target="http://www.sec.gov/Archives/edgar/data/1484565/000119312516803934/d282262dex21.htm" TargetMode="External"/><Relationship Id="rId220" Type="http://schemas.openxmlformats.org/officeDocument/2006/relationships/hyperlink" Target="http://www.sec.gov/Archives/edgar/data/1484565/000119312517027623/d336318dex1051.htm" TargetMode="External"/><Relationship Id="rId221" Type="http://schemas.openxmlformats.org/officeDocument/2006/relationships/hyperlink" Target="http://www.sec.gov/Archives/edgar/data/1484565/000119312517027623/d336318dex105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2019-12-28T23:36:28Z</dcterms:created>
  <dcterms:modified xsi:type="dcterms:W3CDTF">2019-12-28T23:36:28Z</dcterms:modified>
</cp:coreProperties>
</file>