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151765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163195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41910</wp:posOffset>
            </wp:positionV>
            <wp:extent cx="14401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7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53340</wp:posOffset>
            </wp:positionV>
            <wp:extent cx="14401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11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19" w:lineRule="exact"/>
        <w:rPr>
          <w:sz w:val="24"/>
          <w:szCs w:val="24"/>
          <w:color w:val="auto"/>
        </w:rPr>
      </w:pPr>
    </w:p>
    <w:p>
      <w:pPr>
        <w:ind w:left="508" w:hanging="508"/>
        <w:spacing w:after="0"/>
        <w:tabs>
          <w:tab w:leader="none" w:pos="50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4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 the quarterly period ended September 30, 2020</w:t>
      </w:r>
    </w:p>
    <w:p>
      <w:pPr>
        <w:spacing w:after="0" w:line="5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55" w:lineRule="exact"/>
        <w:rPr>
          <w:sz w:val="24"/>
          <w:szCs w:val="24"/>
          <w:color w:val="auto"/>
        </w:rPr>
      </w:pPr>
    </w:p>
    <w:p>
      <w:pPr>
        <w:ind w:left="508" w:hanging="508"/>
        <w:spacing w:after="0"/>
        <w:tabs>
          <w:tab w:leader="none" w:pos="508"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4" w:lineRule="exact"/>
        <w:rPr>
          <w:sz w:val="24"/>
          <w:szCs w:val="24"/>
          <w:color w:val="auto"/>
        </w:rPr>
      </w:pPr>
    </w:p>
    <w:tbl>
      <w:tblPr>
        <w:tblLayout w:type="fixed"/>
        <w:tblInd w:w="4308" w:type="dxa"/>
        <w:tblCellMar>
          <w:top w:w="0" w:type="dxa"/>
          <w:left w:w="0" w:type="dxa"/>
          <w:bottom w:w="0" w:type="dxa"/>
          <w:right w:w="0" w:type="dxa"/>
        </w:tblCellMar>
      </w:tblPr>
      <w:tr>
        <w:trPr>
          <w:trHeight w:val="138"/>
        </w:trPr>
        <w:tc>
          <w:tcPr>
            <w:tcW w:w="1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tc>
        <w:tc>
          <w:tcPr>
            <w:tcW w:w="480" w:type="dxa"/>
            <w:vAlign w:val="bottom"/>
            <w:tcBorders>
              <w:bottom w:val="single" w:sz="8" w:color="auto"/>
            </w:tcBorders>
          </w:tcPr>
          <w:p>
            <w:pPr>
              <w:spacing w:after="0"/>
              <w:rPr>
                <w:sz w:val="12"/>
                <w:szCs w:val="1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w:t>
            </w:r>
          </w:p>
        </w:tc>
        <w:tc>
          <w:tcPr>
            <w:tcW w:w="480" w:type="dxa"/>
            <w:vAlign w:val="bottom"/>
            <w:tcBorders>
              <w:bottom w:val="single" w:sz="8" w:color="auto"/>
            </w:tcBorders>
          </w:tcPr>
          <w:p>
            <w:pPr>
              <w:spacing w:after="0"/>
              <w:rPr>
                <w:sz w:val="12"/>
                <w:szCs w:val="12"/>
                <w:color w:val="auto"/>
              </w:rPr>
            </w:pPr>
          </w:p>
        </w:tc>
      </w:tr>
      <w:tr>
        <w:trPr>
          <w:trHeight w:val="196"/>
        </w:trPr>
        <w:tc>
          <w:tcPr>
            <w:tcW w:w="2700" w:type="dxa"/>
            <w:vAlign w:val="bottom"/>
            <w:gridSpan w:val="4"/>
          </w:tcPr>
          <w:p>
            <w:pPr>
              <w:ind w:left="400"/>
              <w:spacing w:after="0"/>
              <w:rPr>
                <w:sz w:val="20"/>
                <w:szCs w:val="20"/>
                <w:color w:val="auto"/>
              </w:rPr>
            </w:pPr>
            <w:r>
              <w:rPr>
                <w:rFonts w:ascii="Times New Roman" w:cs="Times New Roman" w:eastAsia="Times New Roman" w:hAnsi="Times New Roman"/>
                <w:sz w:val="12"/>
                <w:szCs w:val="12"/>
                <w:b w:val="1"/>
                <w:bCs w:val="1"/>
                <w:color w:val="auto"/>
              </w:rPr>
              <w:t>Commission File Number: 001-36593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45720</wp:posOffset>
            </wp:positionV>
            <wp:extent cx="14401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72" w:lineRule="exact"/>
        <w:rPr>
          <w:sz w:val="24"/>
          <w:szCs w:val="24"/>
          <w:color w:val="auto"/>
        </w:rPr>
      </w:pPr>
    </w:p>
    <w:tbl>
      <w:tblPr>
        <w:tblLayout w:type="fixed"/>
        <w:tblInd w:w="18" w:type="dxa"/>
        <w:tblCellMar>
          <w:top w:w="0" w:type="dxa"/>
          <w:left w:w="0" w:type="dxa"/>
          <w:bottom w:w="0" w:type="dxa"/>
          <w:right w:w="0" w:type="dxa"/>
        </w:tblCellMar>
      </w:tblPr>
      <w:tr>
        <w:trPr>
          <w:trHeight w:val="352"/>
        </w:trPr>
        <w:tc>
          <w:tcPr>
            <w:tcW w:w="3480" w:type="dxa"/>
            <w:vAlign w:val="bottom"/>
          </w:tcPr>
          <w:p>
            <w:pPr>
              <w:spacing w:after="0"/>
              <w:rPr>
                <w:sz w:val="24"/>
                <w:szCs w:val="24"/>
                <w:color w:val="auto"/>
              </w:rPr>
            </w:pPr>
          </w:p>
        </w:tc>
        <w:tc>
          <w:tcPr>
            <w:tcW w:w="4400" w:type="dxa"/>
            <w:vAlign w:val="bottom"/>
            <w:gridSpan w:val="5"/>
          </w:tcPr>
          <w:p>
            <w:pPr>
              <w:jc w:val="center"/>
              <w:ind w:right="80"/>
              <w:spacing w:after="0"/>
              <w:rPr>
                <w:sz w:val="20"/>
                <w:szCs w:val="20"/>
                <w:color w:val="auto"/>
              </w:rPr>
            </w:pPr>
            <w:r>
              <w:rPr>
                <w:rFonts w:ascii="Times New Roman" w:cs="Times New Roman" w:eastAsia="Times New Roman" w:hAnsi="Times New Roman"/>
                <w:sz w:val="29"/>
                <w:szCs w:val="29"/>
                <w:b w:val="1"/>
                <w:bCs w:val="1"/>
                <w:color w:val="auto"/>
                <w:w w:val="99"/>
              </w:rPr>
              <w:t>SOLENO THERAPEUTICS, INC.</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4400" w:type="dxa"/>
            <w:vAlign w:val="bottom"/>
            <w:gridSpan w:val="5"/>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(Exact name of registrant as specified in its charter)</w:t>
            </w: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3480" w:type="dxa"/>
            <w:vAlign w:val="bottom"/>
            <w:vMerge w:val="restart"/>
          </w:tcPr>
          <w:p>
            <w:pPr>
              <w:jc w:val="center"/>
              <w:ind w:left="2089"/>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10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Pr>
          <w:p>
            <w:pPr>
              <w:spacing w:after="0"/>
              <w:rPr>
                <w:sz w:val="5"/>
                <w:szCs w:val="5"/>
                <w:color w:val="auto"/>
              </w:rPr>
            </w:pPr>
          </w:p>
        </w:tc>
        <w:tc>
          <w:tcPr>
            <w:tcW w:w="3440" w:type="dxa"/>
            <w:vAlign w:val="bottom"/>
            <w:vMerge w:val="restart"/>
          </w:tcPr>
          <w:p>
            <w:pPr>
              <w:jc w:val="center"/>
              <w:ind w:right="2209"/>
              <w:spacing w:after="0"/>
              <w:rPr>
                <w:sz w:val="20"/>
                <w:szCs w:val="20"/>
                <w:color w:val="auto"/>
              </w:rPr>
            </w:pPr>
            <w:r>
              <w:rPr>
                <w:rFonts w:ascii="Times New Roman" w:cs="Times New Roman" w:eastAsia="Times New Roman" w:hAnsi="Times New Roman"/>
                <w:sz w:val="11"/>
                <w:szCs w:val="11"/>
                <w:b w:val="1"/>
                <w:bCs w:val="1"/>
                <w:color w:val="auto"/>
              </w:rPr>
              <w:t>77-0523891</w:t>
            </w:r>
          </w:p>
        </w:tc>
        <w:tc>
          <w:tcPr>
            <w:tcW w:w="0" w:type="dxa"/>
            <w:vAlign w:val="bottom"/>
          </w:tcPr>
          <w:p>
            <w:pPr>
              <w:spacing w:after="0"/>
              <w:rPr>
                <w:sz w:val="1"/>
                <w:szCs w:val="1"/>
                <w:color w:val="auto"/>
              </w:rPr>
            </w:pPr>
          </w:p>
        </w:tc>
      </w:tr>
      <w:tr>
        <w:trPr>
          <w:trHeight w:val="162"/>
        </w:trPr>
        <w:tc>
          <w:tcPr>
            <w:tcW w:w="348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3480" w:type="dxa"/>
            <w:vAlign w:val="bottom"/>
          </w:tcPr>
          <w:p>
            <w:pPr>
              <w:jc w:val="center"/>
              <w:ind w:left="2109"/>
              <w:spacing w:after="0" w:line="99"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40" w:type="dxa"/>
            <w:vAlign w:val="bottom"/>
          </w:tcPr>
          <w:p>
            <w:pPr>
              <w:jc w:val="center"/>
              <w:ind w:right="2209"/>
              <w:spacing w:after="0" w:line="99" w:lineRule="exact"/>
              <w:rPr>
                <w:sz w:val="20"/>
                <w:szCs w:val="20"/>
                <w:color w:val="auto"/>
              </w:rPr>
            </w:pPr>
            <w:r>
              <w:rPr>
                <w:rFonts w:ascii="Times New Roman" w:cs="Times New Roman" w:eastAsia="Times New Roman" w:hAnsi="Times New Roman"/>
                <w:sz w:val="10"/>
                <w:szCs w:val="10"/>
                <w:b w:val="1"/>
                <w:bCs w:val="1"/>
                <w:color w:val="auto"/>
                <w:w w:val="96"/>
              </w:rPr>
              <w:t>(I.R.S. Employer</w:t>
            </w:r>
          </w:p>
        </w:tc>
        <w:tc>
          <w:tcPr>
            <w:tcW w:w="0" w:type="dxa"/>
            <w:vAlign w:val="bottom"/>
          </w:tcPr>
          <w:p>
            <w:pPr>
              <w:spacing w:after="0"/>
              <w:rPr>
                <w:sz w:val="1"/>
                <w:szCs w:val="1"/>
                <w:color w:val="auto"/>
              </w:rPr>
            </w:pPr>
          </w:p>
        </w:tc>
      </w:tr>
      <w:tr>
        <w:trPr>
          <w:trHeight w:val="125"/>
        </w:trPr>
        <w:tc>
          <w:tcPr>
            <w:tcW w:w="3480" w:type="dxa"/>
            <w:vAlign w:val="bottom"/>
          </w:tcPr>
          <w:p>
            <w:pPr>
              <w:jc w:val="center"/>
              <w:ind w:left="2109"/>
              <w:spacing w:after="0"/>
              <w:rPr>
                <w:sz w:val="20"/>
                <w:szCs w:val="20"/>
                <w:color w:val="auto"/>
              </w:rPr>
            </w:pPr>
            <w:r>
              <w:rPr>
                <w:rFonts w:ascii="Times New Roman" w:cs="Times New Roman" w:eastAsia="Times New Roman" w:hAnsi="Times New Roman"/>
                <w:sz w:val="10"/>
                <w:szCs w:val="10"/>
                <w:b w:val="1"/>
                <w:bCs w:val="1"/>
                <w:color w:val="auto"/>
                <w:w w:val="94"/>
              </w:rPr>
              <w:t>incorporation or organization)</w:t>
            </w: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40" w:type="dxa"/>
            <w:vAlign w:val="bottom"/>
          </w:tcPr>
          <w:p>
            <w:pPr>
              <w:jc w:val="center"/>
              <w:ind w:right="2209"/>
              <w:spacing w:after="0"/>
              <w:rPr>
                <w:sz w:val="20"/>
                <w:szCs w:val="20"/>
                <w:color w:val="auto"/>
              </w:rPr>
            </w:pPr>
            <w:r>
              <w:rPr>
                <w:rFonts w:ascii="Times New Roman" w:cs="Times New Roman" w:eastAsia="Times New Roman" w:hAnsi="Times New Roman"/>
                <w:sz w:val="10"/>
                <w:szCs w:val="10"/>
                <w:b w:val="1"/>
                <w:bCs w:val="1"/>
                <w:color w:val="auto"/>
                <w:w w:val="94"/>
              </w:rPr>
              <w:t>Identification No.)</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380" w:type="dxa"/>
            <w:vAlign w:val="bottom"/>
            <w:gridSpan w:val="4"/>
          </w:tcPr>
          <w:p>
            <w:pPr>
              <w:jc w:val="center"/>
              <w:ind w:right="1080"/>
              <w:spacing w:after="0"/>
              <w:rPr>
                <w:sz w:val="20"/>
                <w:szCs w:val="20"/>
                <w:color w:val="auto"/>
              </w:rPr>
            </w:pPr>
            <w:r>
              <w:rPr>
                <w:rFonts w:ascii="Times New Roman" w:cs="Times New Roman" w:eastAsia="Times New Roman" w:hAnsi="Times New Roman"/>
                <w:sz w:val="11"/>
                <w:szCs w:val="11"/>
                <w:b w:val="1"/>
                <w:bCs w:val="1"/>
                <w:color w:val="auto"/>
              </w:rPr>
              <w:t>203 Redwood Shores Parkway, Suite 500</w:t>
            </w: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900" w:type="dxa"/>
            <w:vAlign w:val="bottom"/>
            <w:gridSpan w:val="3"/>
          </w:tcPr>
          <w:p>
            <w:pPr>
              <w:jc w:val="center"/>
              <w:ind w:right="1580"/>
              <w:spacing w:after="0"/>
              <w:rPr>
                <w:sz w:val="20"/>
                <w:szCs w:val="20"/>
                <w:color w:val="auto"/>
              </w:rPr>
            </w:pPr>
            <w:r>
              <w:rPr>
                <w:rFonts w:ascii="Times New Roman" w:cs="Times New Roman" w:eastAsia="Times New Roman" w:hAnsi="Times New Roman"/>
                <w:sz w:val="11"/>
                <w:szCs w:val="11"/>
                <w:b w:val="1"/>
                <w:bCs w:val="1"/>
                <w:color w:val="auto"/>
              </w:rPr>
              <w:t>Redwood City, California</w:t>
            </w:r>
          </w:p>
        </w:tc>
        <w:tc>
          <w:tcPr>
            <w:tcW w:w="3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380" w:type="dxa"/>
            <w:vAlign w:val="bottom"/>
            <w:gridSpan w:val="4"/>
          </w:tcPr>
          <w:p>
            <w:pPr>
              <w:jc w:val="center"/>
              <w:ind w:right="1080"/>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w:t>
            </w:r>
          </w:p>
        </w:tc>
        <w:tc>
          <w:tcPr>
            <w:tcW w:w="3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480" w:type="dxa"/>
            <w:vAlign w:val="bottom"/>
          </w:tcPr>
          <w:p>
            <w:pPr>
              <w:spacing w:after="0"/>
              <w:rPr>
                <w:sz w:val="13"/>
                <w:szCs w:val="13"/>
                <w:color w:val="auto"/>
              </w:rPr>
            </w:pPr>
          </w:p>
        </w:tc>
        <w:tc>
          <w:tcPr>
            <w:tcW w:w="3100" w:type="dxa"/>
            <w:vAlign w:val="bottom"/>
            <w:gridSpan w:val="3"/>
          </w:tcPr>
          <w:p>
            <w:pPr>
              <w:jc w:val="right"/>
              <w:ind w:right="748"/>
              <w:spacing w:after="0"/>
              <w:rPr>
                <w:sz w:val="20"/>
                <w:szCs w:val="20"/>
                <w:color w:val="auto"/>
              </w:rPr>
            </w:pPr>
            <w:r>
              <w:rPr>
                <w:rFonts w:ascii="Times New Roman" w:cs="Times New Roman" w:eastAsia="Times New Roman" w:hAnsi="Times New Roman"/>
                <w:sz w:val="11"/>
                <w:szCs w:val="11"/>
                <w:b w:val="1"/>
                <w:bCs w:val="1"/>
                <w:color w:val="auto"/>
              </w:rPr>
              <w:t>94065</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900" w:type="dxa"/>
            <w:vAlign w:val="bottom"/>
            <w:gridSpan w:val="3"/>
          </w:tcPr>
          <w:p>
            <w:pPr>
              <w:jc w:val="center"/>
              <w:ind w:right="1580"/>
              <w:spacing w:after="0"/>
              <w:rPr>
                <w:sz w:val="20"/>
                <w:szCs w:val="20"/>
                <w:color w:val="auto"/>
              </w:rPr>
            </w:pPr>
            <w:r>
              <w:rPr>
                <w:rFonts w:ascii="Times New Roman" w:cs="Times New Roman" w:eastAsia="Times New Roman" w:hAnsi="Times New Roman"/>
                <w:sz w:val="10"/>
                <w:szCs w:val="10"/>
                <w:b w:val="1"/>
                <w:bCs w:val="1"/>
                <w:color w:val="auto"/>
                <w:w w:val="94"/>
              </w:rPr>
              <w:t>(Zip Code)</w:t>
            </w:r>
          </w:p>
        </w:tc>
        <w:tc>
          <w:tcPr>
            <w:tcW w:w="3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480" w:type="dxa"/>
            <w:vAlign w:val="bottom"/>
          </w:tcPr>
          <w:p>
            <w:pPr>
              <w:spacing w:after="0"/>
              <w:rPr>
                <w:sz w:val="14"/>
                <w:szCs w:val="14"/>
                <w:color w:val="auto"/>
              </w:rPr>
            </w:pPr>
          </w:p>
        </w:tc>
        <w:tc>
          <w:tcPr>
            <w:tcW w:w="3100" w:type="dxa"/>
            <w:vAlign w:val="bottom"/>
            <w:gridSpan w:val="3"/>
          </w:tcPr>
          <w:p>
            <w:pPr>
              <w:jc w:val="right"/>
              <w:ind w:right="528"/>
              <w:spacing w:after="0"/>
              <w:rPr>
                <w:sz w:val="20"/>
                <w:szCs w:val="20"/>
                <w:color w:val="auto"/>
              </w:rPr>
            </w:pPr>
            <w:r>
              <w:rPr>
                <w:rFonts w:ascii="Times New Roman" w:cs="Times New Roman" w:eastAsia="Times New Roman" w:hAnsi="Times New Roman"/>
                <w:sz w:val="11"/>
                <w:szCs w:val="11"/>
                <w:b w:val="1"/>
                <w:bCs w:val="1"/>
                <w:color w:val="auto"/>
              </w:rPr>
              <w:t>(650) 213-8444</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380" w:type="dxa"/>
            <w:vAlign w:val="bottom"/>
            <w:gridSpan w:val="4"/>
          </w:tcPr>
          <w:p>
            <w:pPr>
              <w:jc w:val="center"/>
              <w:ind w:right="1100"/>
              <w:spacing w:after="0"/>
              <w:rPr>
                <w:sz w:val="20"/>
                <w:szCs w:val="20"/>
                <w:color w:val="auto"/>
              </w:rPr>
            </w:pPr>
            <w:r>
              <w:rPr>
                <w:rFonts w:ascii="Times New Roman" w:cs="Times New Roman" w:eastAsia="Times New Roman" w:hAnsi="Times New Roman"/>
                <w:sz w:val="10"/>
                <w:szCs w:val="10"/>
                <w:b w:val="1"/>
                <w:bCs w:val="1"/>
                <w:color w:val="auto"/>
                <w:w w:val="95"/>
              </w:rPr>
              <w:t>(Registrant’s telephone number, including area code)</w:t>
            </w:r>
          </w:p>
        </w:tc>
        <w:tc>
          <w:tcPr>
            <w:tcW w:w="3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348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auto"/>
              </w:rPr>
              <w:t>Securities registered pursuant to Section 12(b) of the Act:</w:t>
            </w:r>
          </w:p>
        </w:tc>
        <w:tc>
          <w:tcPr>
            <w:tcW w:w="10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00" w:type="dxa"/>
            <w:vAlign w:val="bottom"/>
          </w:tcPr>
          <w:p>
            <w:pPr>
              <w:spacing w:after="0"/>
              <w:rPr>
                <w:sz w:val="4"/>
                <w:szCs w:val="4"/>
                <w:color w:val="auto"/>
              </w:rPr>
            </w:pPr>
          </w:p>
        </w:tc>
        <w:tc>
          <w:tcPr>
            <w:tcW w:w="3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4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4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480" w:type="dxa"/>
            <w:vAlign w:val="bottom"/>
            <w:tcBorders>
              <w:left w:val="single" w:sz="8" w:color="auto"/>
              <w:bottom w:val="single" w:sz="8" w:color="auto"/>
            </w:tcBorders>
          </w:tcPr>
          <w:p>
            <w:pPr>
              <w:jc w:val="center"/>
              <w:ind w:left="1429"/>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10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Trading Symbol(s)</w:t>
            </w: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3440" w:type="dxa"/>
            <w:vAlign w:val="bottom"/>
            <w:tcBorders>
              <w:bottom w:val="single" w:sz="8" w:color="auto"/>
              <w:right w:val="single" w:sz="8" w:color="auto"/>
            </w:tcBorders>
          </w:tcPr>
          <w:p>
            <w:pPr>
              <w:jc w:val="center"/>
              <w:ind w:right="1289"/>
              <w:spacing w:after="0"/>
              <w:rPr>
                <w:sz w:val="20"/>
                <w:szCs w:val="20"/>
                <w:color w:val="auto"/>
              </w:rPr>
            </w:pPr>
            <w:r>
              <w:rPr>
                <w:rFonts w:ascii="Times New Roman" w:cs="Times New Roman" w:eastAsia="Times New Roman" w:hAnsi="Times New Roman"/>
                <w:sz w:val="10"/>
                <w:szCs w:val="10"/>
                <w:b w:val="1"/>
                <w:bCs w:val="1"/>
                <w:color w:val="auto"/>
              </w:rPr>
              <w:t>Name of each exchange on which registered</w:t>
            </w:r>
          </w:p>
        </w:tc>
        <w:tc>
          <w:tcPr>
            <w:tcW w:w="0" w:type="dxa"/>
            <w:vAlign w:val="bottom"/>
          </w:tcPr>
          <w:p>
            <w:pPr>
              <w:spacing w:after="0"/>
              <w:rPr>
                <w:sz w:val="1"/>
                <w:szCs w:val="1"/>
                <w:color w:val="auto"/>
              </w:rPr>
            </w:pPr>
          </w:p>
        </w:tc>
      </w:tr>
      <w:tr>
        <w:trPr>
          <w:trHeight w:val="133"/>
        </w:trPr>
        <w:tc>
          <w:tcPr>
            <w:tcW w:w="3480" w:type="dxa"/>
            <w:vAlign w:val="bottom"/>
            <w:tcBorders>
              <w:left w:val="single" w:sz="8" w:color="auto"/>
              <w:bottom w:val="single" w:sz="8" w:color="auto"/>
            </w:tcBorders>
          </w:tcPr>
          <w:p>
            <w:pPr>
              <w:jc w:val="center"/>
              <w:ind w:left="1449"/>
              <w:spacing w:after="0"/>
              <w:rPr>
                <w:sz w:val="20"/>
                <w:szCs w:val="20"/>
                <w:color w:val="auto"/>
              </w:rPr>
            </w:pPr>
            <w:r>
              <w:rPr>
                <w:rFonts w:ascii="Times New Roman" w:cs="Times New Roman" w:eastAsia="Times New Roman" w:hAnsi="Times New Roman"/>
                <w:sz w:val="10"/>
                <w:szCs w:val="10"/>
                <w:color w:val="auto"/>
              </w:rPr>
              <w:t>Common Stock, $0.001 par value</w:t>
            </w:r>
          </w:p>
        </w:tc>
        <w:tc>
          <w:tcPr>
            <w:tcW w:w="10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SLNO</w:t>
            </w:r>
          </w:p>
        </w:tc>
        <w:tc>
          <w:tcPr>
            <w:tcW w:w="1300" w:type="dxa"/>
            <w:vAlign w:val="bottom"/>
            <w:tcBorders>
              <w:bottom w:val="single" w:sz="8" w:color="auto"/>
            </w:tcBorders>
            <w:gridSpan w:val="2"/>
          </w:tcPr>
          <w:p>
            <w:pPr>
              <w:spacing w:after="0"/>
              <w:rPr>
                <w:sz w:val="11"/>
                <w:szCs w:val="11"/>
                <w:color w:val="auto"/>
              </w:rPr>
            </w:pPr>
          </w:p>
        </w:tc>
        <w:tc>
          <w:tcPr>
            <w:tcW w:w="3440" w:type="dxa"/>
            <w:vAlign w:val="bottom"/>
            <w:tcBorders>
              <w:bottom w:val="single" w:sz="8" w:color="auto"/>
              <w:right w:val="single" w:sz="8" w:color="auto"/>
            </w:tcBorders>
          </w:tcPr>
          <w:p>
            <w:pPr>
              <w:jc w:val="center"/>
              <w:ind w:right="1289"/>
              <w:spacing w:after="0"/>
              <w:rPr>
                <w:sz w:val="20"/>
                <w:szCs w:val="20"/>
                <w:color w:val="auto"/>
              </w:rPr>
            </w:pPr>
            <w:r>
              <w:rPr>
                <w:rFonts w:ascii="Times New Roman" w:cs="Times New Roman" w:eastAsia="Times New Roman" w:hAnsi="Times New Roman"/>
                <w:sz w:val="10"/>
                <w:szCs w:val="10"/>
                <w:color w:val="auto"/>
              </w:rPr>
              <w:t>NASDAQ</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8" w:right="40" w:firstLine="513"/>
        <w:spacing w:after="0" w:line="130"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19" w:lineRule="exact"/>
        <w:rPr>
          <w:sz w:val="24"/>
          <w:szCs w:val="24"/>
          <w:color w:val="auto"/>
        </w:rPr>
      </w:pPr>
    </w:p>
    <w:p>
      <w:pPr>
        <w:ind w:left="8" w:right="120" w:firstLine="513"/>
        <w:spacing w:after="0" w:line="130"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19" w:lineRule="exact"/>
        <w:rPr>
          <w:sz w:val="24"/>
          <w:szCs w:val="24"/>
          <w:color w:val="auto"/>
        </w:rPr>
      </w:pPr>
    </w:p>
    <w:p>
      <w:pPr>
        <w:ind w:left="8" w:right="60" w:firstLine="513"/>
        <w:spacing w:after="0" w:line="258"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8" w:type="dxa"/>
        <w:tblCellMar>
          <w:top w:w="0" w:type="dxa"/>
          <w:left w:w="0" w:type="dxa"/>
          <w:bottom w:w="0" w:type="dxa"/>
          <w:right w:w="0" w:type="dxa"/>
        </w:tblCellMar>
      </w:tblPr>
      <w:tr>
        <w:trPr>
          <w:trHeight w:val="128"/>
        </w:trPr>
        <w:tc>
          <w:tcPr>
            <w:tcW w:w="1480" w:type="dxa"/>
            <w:vAlign w:val="bottom"/>
          </w:tcPr>
          <w:p>
            <w:pPr>
              <w:spacing w:after="0"/>
              <w:rPr>
                <w:sz w:val="20"/>
                <w:szCs w:val="20"/>
                <w:color w:val="auto"/>
              </w:rPr>
            </w:pPr>
            <w:r>
              <w:rPr>
                <w:rFonts w:ascii="Times New Roman" w:cs="Times New Roman" w:eastAsia="Times New Roman" w:hAnsi="Times New Roman"/>
                <w:sz w:val="10"/>
                <w:szCs w:val="10"/>
                <w:color w:val="auto"/>
              </w:rPr>
              <w:t>Large accelerated filer</w:t>
            </w:r>
          </w:p>
        </w:tc>
        <w:tc>
          <w:tcPr>
            <w:tcW w:w="3720" w:type="dxa"/>
            <w:vAlign w:val="bottom"/>
          </w:tcPr>
          <w:p>
            <w:pPr>
              <w:ind w:left="560"/>
              <w:spacing w:after="0" w:line="101" w:lineRule="exact"/>
              <w:rPr>
                <w:sz w:val="20"/>
                <w:szCs w:val="20"/>
                <w:color w:val="auto"/>
              </w:rPr>
            </w:pPr>
            <w:r>
              <w:rPr>
                <w:rFonts w:ascii="MS PGothic" w:cs="MS PGothic" w:eastAsia="MS PGothic" w:hAnsi="MS PGothic"/>
                <w:sz w:val="10"/>
                <w:szCs w:val="10"/>
                <w:color w:val="auto"/>
              </w:rPr>
              <w:t>☐</w:t>
            </w:r>
          </w:p>
        </w:tc>
        <w:tc>
          <w:tcPr>
            <w:tcW w:w="4980" w:type="dxa"/>
            <w:vAlign w:val="bottom"/>
          </w:tcPr>
          <w:p>
            <w:pPr>
              <w:ind w:left="3060"/>
              <w:spacing w:after="0"/>
              <w:rPr>
                <w:sz w:val="20"/>
                <w:szCs w:val="20"/>
                <w:color w:val="auto"/>
              </w:rPr>
            </w:pPr>
            <w:r>
              <w:rPr>
                <w:rFonts w:ascii="Times New Roman" w:cs="Times New Roman" w:eastAsia="Times New Roman" w:hAnsi="Times New Roman"/>
                <w:sz w:val="10"/>
                <w:szCs w:val="10"/>
                <w:color w:val="auto"/>
              </w:rPr>
              <w:t>Accelerated filer</w:t>
            </w:r>
          </w:p>
        </w:tc>
        <w:tc>
          <w:tcPr>
            <w:tcW w:w="880" w:type="dxa"/>
            <w:vAlign w:val="bottom"/>
          </w:tcPr>
          <w:p>
            <w:pPr>
              <w:ind w:left="78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35"/>
        </w:trPr>
        <w:tc>
          <w:tcPr>
            <w:tcW w:w="1480" w:type="dxa"/>
            <w:vAlign w:val="bottom"/>
          </w:tcPr>
          <w:p>
            <w:pPr>
              <w:spacing w:after="0"/>
              <w:rPr>
                <w:sz w:val="20"/>
                <w:szCs w:val="20"/>
                <w:color w:val="auto"/>
              </w:rPr>
            </w:pPr>
            <w:r>
              <w:rPr>
                <w:rFonts w:ascii="Times New Roman" w:cs="Times New Roman" w:eastAsia="Times New Roman" w:hAnsi="Times New Roman"/>
                <w:sz w:val="10"/>
                <w:szCs w:val="10"/>
                <w:color w:val="auto"/>
              </w:rPr>
              <w:t>Non-accelerated filer</w:t>
            </w:r>
          </w:p>
        </w:tc>
        <w:tc>
          <w:tcPr>
            <w:tcW w:w="3720" w:type="dxa"/>
            <w:vAlign w:val="bottom"/>
          </w:tcPr>
          <w:p>
            <w:pPr>
              <w:ind w:left="560"/>
              <w:spacing w:after="0" w:line="101" w:lineRule="exact"/>
              <w:rPr>
                <w:sz w:val="20"/>
                <w:szCs w:val="20"/>
                <w:color w:val="auto"/>
              </w:rPr>
            </w:pPr>
            <w:r>
              <w:rPr>
                <w:rFonts w:ascii="MS PGothic" w:cs="MS PGothic" w:eastAsia="MS PGothic" w:hAnsi="MS PGothic"/>
                <w:sz w:val="10"/>
                <w:szCs w:val="10"/>
                <w:color w:val="auto"/>
              </w:rPr>
              <w:t>☒</w:t>
            </w:r>
          </w:p>
        </w:tc>
        <w:tc>
          <w:tcPr>
            <w:tcW w:w="4980" w:type="dxa"/>
            <w:vAlign w:val="bottom"/>
          </w:tcPr>
          <w:p>
            <w:pPr>
              <w:ind w:left="3060"/>
              <w:spacing w:after="0"/>
              <w:rPr>
                <w:sz w:val="20"/>
                <w:szCs w:val="20"/>
                <w:color w:val="auto"/>
              </w:rPr>
            </w:pPr>
            <w:r>
              <w:rPr>
                <w:rFonts w:ascii="Times New Roman" w:cs="Times New Roman" w:eastAsia="Times New Roman" w:hAnsi="Times New Roman"/>
                <w:sz w:val="10"/>
                <w:szCs w:val="10"/>
                <w:color w:val="auto"/>
              </w:rPr>
              <w:t>Smaller reporting company</w:t>
            </w:r>
          </w:p>
        </w:tc>
        <w:tc>
          <w:tcPr>
            <w:tcW w:w="880" w:type="dxa"/>
            <w:vAlign w:val="bottom"/>
          </w:tcPr>
          <w:p>
            <w:pPr>
              <w:ind w:left="78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61"/>
        </w:trPr>
        <w:tc>
          <w:tcPr>
            <w:tcW w:w="14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4980" w:type="dxa"/>
            <w:vAlign w:val="bottom"/>
          </w:tcPr>
          <w:p>
            <w:pPr>
              <w:ind w:left="3060"/>
              <w:spacing w:after="0"/>
              <w:rPr>
                <w:sz w:val="20"/>
                <w:szCs w:val="20"/>
                <w:color w:val="auto"/>
              </w:rPr>
            </w:pPr>
            <w:r>
              <w:rPr>
                <w:rFonts w:ascii="Times New Roman" w:cs="Times New Roman" w:eastAsia="Times New Roman" w:hAnsi="Times New Roman"/>
                <w:sz w:val="10"/>
                <w:szCs w:val="10"/>
                <w:color w:val="auto"/>
              </w:rPr>
              <w:t>Emerging growth company</w:t>
            </w:r>
          </w:p>
        </w:tc>
        <w:tc>
          <w:tcPr>
            <w:tcW w:w="880" w:type="dxa"/>
            <w:vAlign w:val="bottom"/>
          </w:tcPr>
          <w:p>
            <w:pPr>
              <w:ind w:left="78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8" w:lineRule="exact"/>
        <w:rPr>
          <w:sz w:val="24"/>
          <w:szCs w:val="24"/>
          <w:color w:val="auto"/>
        </w:rPr>
      </w:pPr>
    </w:p>
    <w:p>
      <w:pPr>
        <w:ind w:left="508"/>
        <w:spacing w:after="0" w:line="115" w:lineRule="exact"/>
        <w:tabs>
          <w:tab w:leader="none" w:pos="10908" w:val="left"/>
        </w:tabs>
        <w:rPr>
          <w:sz w:val="20"/>
          <w:szCs w:val="20"/>
          <w:color w:val="auto"/>
        </w:rPr>
      </w:pPr>
      <w:r>
        <w:rPr>
          <w:rFonts w:ascii="Times New Roman" w:cs="Times New Roman" w:eastAsia="Times New Roman" w:hAnsi="Times New Roman"/>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sz w:val="20"/>
          <w:szCs w:val="20"/>
          <w:color w:val="auto"/>
        </w:rPr>
        <w:tab/>
      </w:r>
      <w:r>
        <w:rPr>
          <w:rFonts w:ascii="MS PGothic" w:cs="MS PGothic" w:eastAsia="MS PGothic" w:hAnsi="MS PGothic"/>
          <w:sz w:val="10"/>
          <w:szCs w:val="10"/>
          <w:color w:val="auto"/>
        </w:rPr>
        <w:t>☐</w:t>
      </w:r>
    </w:p>
    <w:p>
      <w:pPr>
        <w:spacing w:after="0" w:line="60" w:lineRule="exact"/>
        <w:rPr>
          <w:sz w:val="24"/>
          <w:szCs w:val="24"/>
          <w:color w:val="auto"/>
        </w:rPr>
      </w:pPr>
    </w:p>
    <w:p>
      <w:pPr>
        <w:ind w:left="508"/>
        <w:spacing w:after="0" w:line="115" w:lineRule="exact"/>
        <w:tabs>
          <w:tab w:leader="none" w:pos="4948" w:val="left"/>
          <w:tab w:leader="none" w:pos="5308" w:val="left"/>
        </w:tabs>
        <w:rPr>
          <w:sz w:val="20"/>
          <w:szCs w:val="20"/>
          <w:color w:val="auto"/>
        </w:rPr>
      </w:pPr>
      <w:r>
        <w:rPr>
          <w:rFonts w:ascii="Times New Roman" w:cs="Times New Roman" w:eastAsia="Times New Roman" w:hAnsi="Times New Roman"/>
          <w:sz w:val="10"/>
          <w:szCs w:val="10"/>
          <w:color w:val="auto"/>
        </w:rPr>
        <w:t>Indicate by check mark whether the registrant is a shell company (as defined in Rule 12b-2 of the Exchange Act).</w:t>
        <w:tab/>
        <w:t xml:space="preserve">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ab/>
        <w:t xml:space="preserve">No </w:t>
      </w:r>
      <w:r>
        <w:rPr>
          <w:rFonts w:ascii="MS PGothic" w:cs="MS PGothic" w:eastAsia="MS PGothic" w:hAnsi="MS PGothic"/>
          <w:sz w:val="10"/>
          <w:szCs w:val="10"/>
          <w:color w:val="auto"/>
        </w:rPr>
        <w:t>☒</w:t>
      </w:r>
    </w:p>
    <w:p>
      <w:pPr>
        <w:spacing w:after="0" w:line="77" w:lineRule="exact"/>
        <w:rPr>
          <w:sz w:val="24"/>
          <w:szCs w:val="24"/>
          <w:color w:val="auto"/>
        </w:rPr>
      </w:pPr>
    </w:p>
    <w:p>
      <w:pPr>
        <w:ind w:left="508"/>
        <w:spacing w:after="0"/>
        <w:rPr>
          <w:sz w:val="20"/>
          <w:szCs w:val="20"/>
          <w:color w:val="auto"/>
        </w:rPr>
      </w:pPr>
      <w:r>
        <w:rPr>
          <w:rFonts w:ascii="Times New Roman" w:cs="Times New Roman" w:eastAsia="Times New Roman" w:hAnsi="Times New Roman"/>
          <w:sz w:val="10"/>
          <w:szCs w:val="10"/>
          <w:color w:val="auto"/>
        </w:rPr>
        <w:t xml:space="preserve">As of November 6, 2020, there were </w:t>
      </w:r>
      <w:r>
        <w:rPr>
          <w:rFonts w:ascii="Times New Roman" w:cs="Times New Roman" w:eastAsia="Times New Roman" w:hAnsi="Times New Roman"/>
          <w:sz w:val="10"/>
          <w:szCs w:val="10"/>
          <w:u w:val="single" w:color="auto"/>
          <w:color w:val="auto"/>
        </w:rPr>
        <w:t>79,615,692</w:t>
      </w:r>
      <w:r>
        <w:rPr>
          <w:rFonts w:ascii="Times New Roman" w:cs="Times New Roman" w:eastAsia="Times New Roman" w:hAnsi="Times New Roman"/>
          <w:sz w:val="10"/>
          <w:szCs w:val="10"/>
          <w:color w:val="auto"/>
        </w:rPr>
        <w:t xml:space="preserve"> shares of the registrant’s Common Stock, par value $0.001 per share, outstanding</w:t>
      </w:r>
      <w:r>
        <w:rPr>
          <w:rFonts w:ascii="Times New Roman" w:cs="Times New Roman" w:eastAsia="Times New Roman" w:hAnsi="Times New Roman"/>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81915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276225</wp:posOffset>
            </wp:positionV>
            <wp:extent cx="718947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88"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8740" w:type="dxa"/>
            <w:vAlign w:val="bottom"/>
          </w:tcPr>
          <w:p>
            <w:pPr>
              <w:ind w:left="4760"/>
              <w:spacing w:after="0"/>
              <w:rPr>
                <w:sz w:val="20"/>
                <w:szCs w:val="20"/>
                <w:color w:val="auto"/>
              </w:rPr>
            </w:pPr>
            <w:r>
              <w:rPr>
                <w:rFonts w:ascii="Times New Roman" w:cs="Times New Roman" w:eastAsia="Times New Roman" w:hAnsi="Times New Roman"/>
                <w:sz w:val="12"/>
                <w:szCs w:val="12"/>
                <w:b w:val="1"/>
                <w:bCs w:val="1"/>
                <w:color w:val="auto"/>
              </w:rPr>
              <w:t>SOLENO THERAPEUTICS, INC.</w:t>
            </w: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8740" w:type="dxa"/>
            <w:vAlign w:val="bottom"/>
          </w:tcPr>
          <w:p>
            <w:pPr>
              <w:ind w:left="500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8740" w:type="dxa"/>
            <w:vAlign w:val="bottom"/>
            <w:vMerge w:val="restart"/>
          </w:tcPr>
          <w:p>
            <w:pPr>
              <w:spacing w:after="0"/>
              <w:rPr>
                <w:rFonts w:ascii="Times New Roman" w:cs="Times New Roman" w:eastAsia="Times New Roman" w:hAnsi="Times New Roman"/>
                <w:sz w:val="12"/>
                <w:szCs w:val="12"/>
                <w:b w:val="1"/>
                <w:bCs w:val="1"/>
                <w:u w:val="single" w:color="auto"/>
                <w:color w:val="0000EE"/>
              </w:rPr>
            </w:pPr>
            <w:hyperlink w:anchor="page3">
              <w:r>
                <w:rPr>
                  <w:rFonts w:ascii="Times New Roman" w:cs="Times New Roman" w:eastAsia="Times New Roman" w:hAnsi="Times New Roman"/>
                  <w:sz w:val="12"/>
                  <w:szCs w:val="12"/>
                  <w:b w:val="1"/>
                  <w:bCs w:val="1"/>
                  <w:u w:val="single" w:color="auto"/>
                  <w:color w:val="0000EE"/>
                </w:rPr>
                <w:t>PART I—FINANCIAL INFORMATION</w:t>
              </w:r>
            </w:hyperlink>
          </w:p>
        </w:tc>
        <w:tc>
          <w:tcPr>
            <w:tcW w:w="2580" w:type="dxa"/>
            <w:vAlign w:val="bottom"/>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Page</w:t>
            </w:r>
          </w:p>
        </w:tc>
        <w:tc>
          <w:tcPr>
            <w:tcW w:w="0" w:type="dxa"/>
            <w:vAlign w:val="bottom"/>
          </w:tcPr>
          <w:p>
            <w:pPr>
              <w:spacing w:after="0"/>
              <w:rPr>
                <w:sz w:val="1"/>
                <w:szCs w:val="1"/>
                <w:color w:val="auto"/>
              </w:rPr>
            </w:pPr>
          </w:p>
        </w:tc>
      </w:tr>
      <w:tr>
        <w:trPr>
          <w:trHeight w:val="144"/>
        </w:trPr>
        <w:tc>
          <w:tcPr>
            <w:tcW w:w="8740" w:type="dxa"/>
            <w:vAlign w:val="bottom"/>
            <w:vMerge w:val="continue"/>
          </w:tcPr>
          <w:p>
            <w:pPr>
              <w:spacing w:after="0"/>
              <w:rPr>
                <w:sz w:val="12"/>
                <w:szCs w:val="12"/>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44"/>
        </w:trPr>
        <w:tc>
          <w:tcPr>
            <w:tcW w:w="8740" w:type="dxa"/>
            <w:vAlign w:val="bottom"/>
          </w:tcPr>
          <w:p>
            <w:pPr>
              <w:ind w:left="280"/>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Item 1. Financial Statements</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44"/>
        </w:trPr>
        <w:tc>
          <w:tcPr>
            <w:tcW w:w="8740" w:type="dxa"/>
            <w:vAlign w:val="bottom"/>
          </w:tcPr>
          <w:p>
            <w:pPr>
              <w:ind w:left="560"/>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Condensed Consolidated Balance Sheets</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44"/>
        </w:trPr>
        <w:tc>
          <w:tcPr>
            <w:tcW w:w="8740" w:type="dxa"/>
            <w:vAlign w:val="bottom"/>
          </w:tcPr>
          <w:p>
            <w:pPr>
              <w:ind w:left="560"/>
              <w:spacing w:after="0"/>
              <w:rPr>
                <w:rFonts w:ascii="Times New Roman" w:cs="Times New Roman" w:eastAsia="Times New Roman" w:hAnsi="Times New Roman"/>
                <w:sz w:val="12"/>
                <w:szCs w:val="12"/>
                <w:u w:val="single" w:color="auto"/>
                <w:color w:val="0000EE"/>
              </w:rPr>
            </w:pPr>
            <w:hyperlink w:anchor="page4">
              <w:r>
                <w:rPr>
                  <w:rFonts w:ascii="Times New Roman" w:cs="Times New Roman" w:eastAsia="Times New Roman" w:hAnsi="Times New Roman"/>
                  <w:sz w:val="12"/>
                  <w:szCs w:val="12"/>
                  <w:u w:val="single" w:color="auto"/>
                  <w:color w:val="0000EE"/>
                </w:rPr>
                <w:t>Condensed Consolidated Statements of Operations (unaudited)</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44"/>
        </w:trPr>
        <w:tc>
          <w:tcPr>
            <w:tcW w:w="8740" w:type="dxa"/>
            <w:vAlign w:val="bottom"/>
          </w:tcPr>
          <w:p>
            <w:pPr>
              <w:ind w:left="56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Condensed Consolidated Statements of Stockholders’ Equity (unaudited)</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44"/>
        </w:trPr>
        <w:tc>
          <w:tcPr>
            <w:tcW w:w="8740" w:type="dxa"/>
            <w:vAlign w:val="bottom"/>
          </w:tcPr>
          <w:p>
            <w:pPr>
              <w:ind w:left="560"/>
              <w:spacing w:after="0"/>
              <w:rPr>
                <w:rFonts w:ascii="Times New Roman" w:cs="Times New Roman" w:eastAsia="Times New Roman" w:hAnsi="Times New Roman"/>
                <w:sz w:val="12"/>
                <w:szCs w:val="12"/>
                <w:u w:val="single" w:color="auto"/>
                <w:color w:val="0000EE"/>
              </w:rPr>
            </w:pPr>
            <w:hyperlink w:anchor="page6">
              <w:r>
                <w:rPr>
                  <w:rFonts w:ascii="Times New Roman" w:cs="Times New Roman" w:eastAsia="Times New Roman" w:hAnsi="Times New Roman"/>
                  <w:sz w:val="12"/>
                  <w:szCs w:val="12"/>
                  <w:u w:val="single" w:color="auto"/>
                  <w:color w:val="0000EE"/>
                </w:rPr>
                <w:t>Condensed Consolidated Statements of Cash Flows (unaudited)</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44"/>
        </w:trPr>
        <w:tc>
          <w:tcPr>
            <w:tcW w:w="8740" w:type="dxa"/>
            <w:vAlign w:val="bottom"/>
          </w:tcPr>
          <w:p>
            <w:pPr>
              <w:ind w:left="560"/>
              <w:spacing w:after="0"/>
              <w:rPr>
                <w:rFonts w:ascii="Times New Roman" w:cs="Times New Roman" w:eastAsia="Times New Roman" w:hAnsi="Times New Roman"/>
                <w:sz w:val="12"/>
                <w:szCs w:val="12"/>
                <w:u w:val="single" w:color="auto"/>
                <w:color w:val="0000EE"/>
              </w:rPr>
            </w:pPr>
            <w:hyperlink w:anchor="page7">
              <w:r>
                <w:rPr>
                  <w:rFonts w:ascii="Times New Roman" w:cs="Times New Roman" w:eastAsia="Times New Roman" w:hAnsi="Times New Roman"/>
                  <w:sz w:val="12"/>
                  <w:szCs w:val="12"/>
                  <w:u w:val="single" w:color="auto"/>
                  <w:color w:val="0000EE"/>
                </w:rPr>
                <w:t>Notes to Condensed Consolidated Financial Statements (unaudited)</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44"/>
        </w:trPr>
        <w:tc>
          <w:tcPr>
            <w:tcW w:w="8740" w:type="dxa"/>
            <w:vAlign w:val="bottom"/>
          </w:tcPr>
          <w:p>
            <w:pPr>
              <w:ind w:left="280"/>
              <w:spacing w:after="0"/>
              <w:rPr>
                <w:rFonts w:ascii="Times New Roman" w:cs="Times New Roman" w:eastAsia="Times New Roman" w:hAnsi="Times New Roman"/>
                <w:sz w:val="12"/>
                <w:szCs w:val="12"/>
                <w:u w:val="single" w:color="auto"/>
                <w:color w:val="0000EE"/>
              </w:rPr>
            </w:pPr>
            <w:hyperlink w:anchor="page18">
              <w:r>
                <w:rPr>
                  <w:rFonts w:ascii="Times New Roman" w:cs="Times New Roman" w:eastAsia="Times New Roman" w:hAnsi="Times New Roman"/>
                  <w:sz w:val="12"/>
                  <w:szCs w:val="12"/>
                  <w:u w:val="single" w:color="auto"/>
                  <w:color w:val="0000EE"/>
                </w:rPr>
                <w:t>Item 2. Management’s Discussion and Analysis of Financial Condition and Results of Operations</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44"/>
        </w:trPr>
        <w:tc>
          <w:tcPr>
            <w:tcW w:w="8740" w:type="dxa"/>
            <w:vAlign w:val="bottom"/>
          </w:tcPr>
          <w:p>
            <w:pPr>
              <w:ind w:left="280"/>
              <w:spacing w:after="0"/>
              <w:rPr>
                <w:rFonts w:ascii="Times New Roman" w:cs="Times New Roman" w:eastAsia="Times New Roman" w:hAnsi="Times New Roman"/>
                <w:sz w:val="12"/>
                <w:szCs w:val="12"/>
                <w:u w:val="single" w:color="auto"/>
                <w:color w:val="0000EE"/>
              </w:rPr>
            </w:pPr>
            <w:hyperlink w:anchor="page22">
              <w:r>
                <w:rPr>
                  <w:rFonts w:ascii="Times New Roman" w:cs="Times New Roman" w:eastAsia="Times New Roman" w:hAnsi="Times New Roman"/>
                  <w:sz w:val="12"/>
                  <w:szCs w:val="12"/>
                  <w:u w:val="single" w:color="auto"/>
                  <w:color w:val="0000EE"/>
                </w:rPr>
                <w:t>Item 3. Quantitative and Qualitative Disclosures About Market Risk</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140"/>
        </w:trPr>
        <w:tc>
          <w:tcPr>
            <w:tcW w:w="8740" w:type="dxa"/>
            <w:vAlign w:val="bottom"/>
          </w:tcPr>
          <w:p>
            <w:pPr>
              <w:ind w:left="280"/>
              <w:spacing w:after="0"/>
              <w:rPr>
                <w:rFonts w:ascii="Times New Roman" w:cs="Times New Roman" w:eastAsia="Times New Roman" w:hAnsi="Times New Roman"/>
                <w:sz w:val="12"/>
                <w:szCs w:val="12"/>
                <w:u w:val="single" w:color="auto"/>
                <w:color w:val="0000EE"/>
              </w:rPr>
            </w:pPr>
            <w:hyperlink w:anchor="page22">
              <w:r>
                <w:rPr>
                  <w:rFonts w:ascii="Times New Roman" w:cs="Times New Roman" w:eastAsia="Times New Roman" w:hAnsi="Times New Roman"/>
                  <w:sz w:val="12"/>
                  <w:szCs w:val="12"/>
                  <w:u w:val="single" w:color="auto"/>
                  <w:color w:val="0000EE"/>
                </w:rPr>
                <w:t>Item 4. Controls and Procedures</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148"/>
        </w:trPr>
        <w:tc>
          <w:tcPr>
            <w:tcW w:w="8740" w:type="dxa"/>
            <w:vAlign w:val="bottom"/>
          </w:tcPr>
          <w:p>
            <w:pPr>
              <w:spacing w:after="0"/>
              <w:rPr>
                <w:rFonts w:ascii="Times New Roman" w:cs="Times New Roman" w:eastAsia="Times New Roman" w:hAnsi="Times New Roman"/>
                <w:sz w:val="12"/>
                <w:szCs w:val="12"/>
                <w:b w:val="1"/>
                <w:bCs w:val="1"/>
                <w:u w:val="single" w:color="auto"/>
                <w:color w:val="0000EE"/>
              </w:rPr>
            </w:pPr>
            <w:hyperlink w:anchor="page23">
              <w:r>
                <w:rPr>
                  <w:rFonts w:ascii="Times New Roman" w:cs="Times New Roman" w:eastAsia="Times New Roman" w:hAnsi="Times New Roman"/>
                  <w:sz w:val="12"/>
                  <w:szCs w:val="12"/>
                  <w:b w:val="1"/>
                  <w:bCs w:val="1"/>
                  <w:u w:val="single" w:color="auto"/>
                  <w:color w:val="0000EE"/>
                </w:rPr>
                <w:t>PART II—OTHER INFORMATION</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144"/>
        </w:trPr>
        <w:tc>
          <w:tcPr>
            <w:tcW w:w="8740" w:type="dxa"/>
            <w:vAlign w:val="bottom"/>
          </w:tcPr>
          <w:p>
            <w:pPr>
              <w:ind w:left="280"/>
              <w:spacing w:after="0"/>
              <w:rPr>
                <w:rFonts w:ascii="Times New Roman" w:cs="Times New Roman" w:eastAsia="Times New Roman" w:hAnsi="Times New Roman"/>
                <w:sz w:val="12"/>
                <w:szCs w:val="12"/>
                <w:u w:val="single" w:color="auto"/>
                <w:color w:val="0000EE"/>
              </w:rPr>
            </w:pPr>
            <w:hyperlink w:anchor="page23">
              <w:r>
                <w:rPr>
                  <w:rFonts w:ascii="Times New Roman" w:cs="Times New Roman" w:eastAsia="Times New Roman" w:hAnsi="Times New Roman"/>
                  <w:sz w:val="12"/>
                  <w:szCs w:val="12"/>
                  <w:u w:val="single" w:color="auto"/>
                  <w:color w:val="0000EE"/>
                </w:rPr>
                <w:t>Item 1. Legal Proceedings</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144"/>
        </w:trPr>
        <w:tc>
          <w:tcPr>
            <w:tcW w:w="8740" w:type="dxa"/>
            <w:vAlign w:val="bottom"/>
          </w:tcPr>
          <w:p>
            <w:pPr>
              <w:ind w:left="280"/>
              <w:spacing w:after="0"/>
              <w:rPr>
                <w:rFonts w:ascii="Times New Roman" w:cs="Times New Roman" w:eastAsia="Times New Roman" w:hAnsi="Times New Roman"/>
                <w:sz w:val="12"/>
                <w:szCs w:val="12"/>
                <w:u w:val="single" w:color="auto"/>
                <w:color w:val="0000EE"/>
              </w:rPr>
            </w:pPr>
            <w:hyperlink w:anchor="page23">
              <w:r>
                <w:rPr>
                  <w:rFonts w:ascii="Times New Roman" w:cs="Times New Roman" w:eastAsia="Times New Roman" w:hAnsi="Times New Roman"/>
                  <w:sz w:val="12"/>
                  <w:szCs w:val="12"/>
                  <w:u w:val="single" w:color="auto"/>
                  <w:color w:val="0000EE"/>
                </w:rPr>
                <w:t>Item 1A. Risk Factors</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144"/>
        </w:trPr>
        <w:tc>
          <w:tcPr>
            <w:tcW w:w="8740" w:type="dxa"/>
            <w:vAlign w:val="bottom"/>
          </w:tcPr>
          <w:p>
            <w:pPr>
              <w:ind w:left="280"/>
              <w:spacing w:after="0"/>
              <w:rPr>
                <w:rFonts w:ascii="Times New Roman" w:cs="Times New Roman" w:eastAsia="Times New Roman" w:hAnsi="Times New Roman"/>
                <w:sz w:val="12"/>
                <w:szCs w:val="12"/>
                <w:u w:val="single" w:color="auto"/>
                <w:color w:val="0000EE"/>
              </w:rPr>
            </w:pPr>
            <w:hyperlink w:anchor="page52">
              <w:r>
                <w:rPr>
                  <w:rFonts w:ascii="Times New Roman" w:cs="Times New Roman" w:eastAsia="Times New Roman" w:hAnsi="Times New Roman"/>
                  <w:sz w:val="12"/>
                  <w:szCs w:val="12"/>
                  <w:u w:val="single" w:color="auto"/>
                  <w:color w:val="0000EE"/>
                </w:rPr>
                <w:t>Item 2. Unregistered Sales of Equity Securities and Use of Proceeds</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0" w:type="dxa"/>
            <w:vAlign w:val="bottom"/>
          </w:tcPr>
          <w:p>
            <w:pPr>
              <w:spacing w:after="0"/>
              <w:rPr>
                <w:sz w:val="1"/>
                <w:szCs w:val="1"/>
                <w:color w:val="auto"/>
              </w:rPr>
            </w:pPr>
          </w:p>
        </w:tc>
      </w:tr>
      <w:tr>
        <w:trPr>
          <w:trHeight w:val="144"/>
        </w:trPr>
        <w:tc>
          <w:tcPr>
            <w:tcW w:w="8740" w:type="dxa"/>
            <w:vAlign w:val="bottom"/>
          </w:tcPr>
          <w:p>
            <w:pPr>
              <w:ind w:left="280"/>
              <w:spacing w:after="0"/>
              <w:rPr>
                <w:rFonts w:ascii="Times New Roman" w:cs="Times New Roman" w:eastAsia="Times New Roman" w:hAnsi="Times New Roman"/>
                <w:sz w:val="12"/>
                <w:szCs w:val="12"/>
                <w:u w:val="single" w:color="auto"/>
                <w:color w:val="0000EE"/>
              </w:rPr>
            </w:pPr>
            <w:hyperlink w:anchor="page52">
              <w:r>
                <w:rPr>
                  <w:rFonts w:ascii="Times New Roman" w:cs="Times New Roman" w:eastAsia="Times New Roman" w:hAnsi="Times New Roman"/>
                  <w:sz w:val="12"/>
                  <w:szCs w:val="12"/>
                  <w:u w:val="single" w:color="auto"/>
                  <w:color w:val="0000EE"/>
                </w:rPr>
                <w:t>Item 3. Defaults Upon Senior Securities</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0" w:type="dxa"/>
            <w:vAlign w:val="bottom"/>
          </w:tcPr>
          <w:p>
            <w:pPr>
              <w:spacing w:after="0"/>
              <w:rPr>
                <w:sz w:val="1"/>
                <w:szCs w:val="1"/>
                <w:color w:val="auto"/>
              </w:rPr>
            </w:pPr>
          </w:p>
        </w:tc>
      </w:tr>
      <w:tr>
        <w:trPr>
          <w:trHeight w:val="144"/>
        </w:trPr>
        <w:tc>
          <w:tcPr>
            <w:tcW w:w="8740" w:type="dxa"/>
            <w:vAlign w:val="bottom"/>
          </w:tcPr>
          <w:p>
            <w:pPr>
              <w:ind w:left="280"/>
              <w:spacing w:after="0"/>
              <w:rPr>
                <w:rFonts w:ascii="Times New Roman" w:cs="Times New Roman" w:eastAsia="Times New Roman" w:hAnsi="Times New Roman"/>
                <w:sz w:val="12"/>
                <w:szCs w:val="12"/>
                <w:u w:val="single" w:color="auto"/>
                <w:color w:val="0000EE"/>
              </w:rPr>
            </w:pPr>
            <w:hyperlink w:anchor="page52">
              <w:r>
                <w:rPr>
                  <w:rFonts w:ascii="Times New Roman" w:cs="Times New Roman" w:eastAsia="Times New Roman" w:hAnsi="Times New Roman"/>
                  <w:sz w:val="12"/>
                  <w:szCs w:val="12"/>
                  <w:u w:val="single" w:color="auto"/>
                  <w:color w:val="0000EE"/>
                </w:rPr>
                <w:t>Item 4. Mine Safety Disclosures</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0" w:type="dxa"/>
            <w:vAlign w:val="bottom"/>
          </w:tcPr>
          <w:p>
            <w:pPr>
              <w:spacing w:after="0"/>
              <w:rPr>
                <w:sz w:val="1"/>
                <w:szCs w:val="1"/>
                <w:color w:val="auto"/>
              </w:rPr>
            </w:pPr>
          </w:p>
        </w:tc>
      </w:tr>
      <w:tr>
        <w:trPr>
          <w:trHeight w:val="144"/>
        </w:trPr>
        <w:tc>
          <w:tcPr>
            <w:tcW w:w="8740" w:type="dxa"/>
            <w:vAlign w:val="bottom"/>
          </w:tcPr>
          <w:p>
            <w:pPr>
              <w:ind w:left="280"/>
              <w:spacing w:after="0"/>
              <w:rPr>
                <w:rFonts w:ascii="Times New Roman" w:cs="Times New Roman" w:eastAsia="Times New Roman" w:hAnsi="Times New Roman"/>
                <w:sz w:val="12"/>
                <w:szCs w:val="12"/>
                <w:u w:val="single" w:color="auto"/>
                <w:color w:val="0000EE"/>
              </w:rPr>
            </w:pPr>
            <w:hyperlink w:anchor="page53">
              <w:r>
                <w:rPr>
                  <w:rFonts w:ascii="Times New Roman" w:cs="Times New Roman" w:eastAsia="Times New Roman" w:hAnsi="Times New Roman"/>
                  <w:sz w:val="12"/>
                  <w:szCs w:val="12"/>
                  <w:u w:val="single" w:color="auto"/>
                  <w:color w:val="0000EE"/>
                </w:rPr>
                <w:t>Item 5. Other Information</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0" w:type="dxa"/>
            <w:vAlign w:val="bottom"/>
          </w:tcPr>
          <w:p>
            <w:pPr>
              <w:spacing w:after="0"/>
              <w:rPr>
                <w:sz w:val="1"/>
                <w:szCs w:val="1"/>
                <w:color w:val="auto"/>
              </w:rPr>
            </w:pPr>
          </w:p>
        </w:tc>
      </w:tr>
      <w:tr>
        <w:trPr>
          <w:trHeight w:val="140"/>
        </w:trPr>
        <w:tc>
          <w:tcPr>
            <w:tcW w:w="8740" w:type="dxa"/>
            <w:vAlign w:val="bottom"/>
          </w:tcPr>
          <w:p>
            <w:pPr>
              <w:ind w:left="280"/>
              <w:spacing w:after="0"/>
              <w:rPr>
                <w:rFonts w:ascii="Times New Roman" w:cs="Times New Roman" w:eastAsia="Times New Roman" w:hAnsi="Times New Roman"/>
                <w:sz w:val="12"/>
                <w:szCs w:val="12"/>
                <w:u w:val="single" w:color="auto"/>
                <w:color w:val="0000EE"/>
              </w:rPr>
            </w:pPr>
            <w:hyperlink w:anchor="page53">
              <w:r>
                <w:rPr>
                  <w:rFonts w:ascii="Times New Roman" w:cs="Times New Roman" w:eastAsia="Times New Roman" w:hAnsi="Times New Roman"/>
                  <w:sz w:val="12"/>
                  <w:szCs w:val="12"/>
                  <w:u w:val="single" w:color="auto"/>
                  <w:color w:val="0000EE"/>
                </w:rPr>
                <w:t>Item 6. Exhibits</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0" w:type="dxa"/>
            <w:vAlign w:val="bottom"/>
          </w:tcPr>
          <w:p>
            <w:pPr>
              <w:spacing w:after="0"/>
              <w:rPr>
                <w:sz w:val="1"/>
                <w:szCs w:val="1"/>
                <w:color w:val="auto"/>
              </w:rPr>
            </w:pPr>
          </w:p>
        </w:tc>
      </w:tr>
      <w:tr>
        <w:trPr>
          <w:trHeight w:val="144"/>
        </w:trPr>
        <w:tc>
          <w:tcPr>
            <w:tcW w:w="8740" w:type="dxa"/>
            <w:vAlign w:val="bottom"/>
          </w:tcPr>
          <w:p>
            <w:pPr>
              <w:spacing w:after="0"/>
              <w:rPr>
                <w:rFonts w:ascii="Times New Roman" w:cs="Times New Roman" w:eastAsia="Times New Roman" w:hAnsi="Times New Roman"/>
                <w:sz w:val="12"/>
                <w:szCs w:val="12"/>
                <w:b w:val="1"/>
                <w:bCs w:val="1"/>
                <w:u w:val="single" w:color="auto"/>
                <w:color w:val="0000EE"/>
              </w:rPr>
            </w:pPr>
            <w:hyperlink w:anchor="page54">
              <w:r>
                <w:rPr>
                  <w:rFonts w:ascii="Times New Roman" w:cs="Times New Roman" w:eastAsia="Times New Roman" w:hAnsi="Times New Roman"/>
                  <w:sz w:val="12"/>
                  <w:szCs w:val="12"/>
                  <w:b w:val="1"/>
                  <w:bCs w:val="1"/>
                  <w:u w:val="single" w:color="auto"/>
                  <w:color w:val="0000EE"/>
                </w:rPr>
                <w:t>EXHIBIT INDEX</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59"/>
        </w:trPr>
        <w:tc>
          <w:tcPr>
            <w:tcW w:w="8740" w:type="dxa"/>
            <w:vAlign w:val="bottom"/>
          </w:tcPr>
          <w:p>
            <w:pPr>
              <w:spacing w:after="0"/>
              <w:rPr>
                <w:rFonts w:ascii="Times New Roman" w:cs="Times New Roman" w:eastAsia="Times New Roman" w:hAnsi="Times New Roman"/>
                <w:sz w:val="12"/>
                <w:szCs w:val="12"/>
                <w:b w:val="1"/>
                <w:bCs w:val="1"/>
                <w:u w:val="single" w:color="auto"/>
                <w:color w:val="0000EE"/>
              </w:rPr>
            </w:pPr>
            <w:hyperlink w:anchor="page55">
              <w:r>
                <w:rPr>
                  <w:rFonts w:ascii="Times New Roman" w:cs="Times New Roman" w:eastAsia="Times New Roman" w:hAnsi="Times New Roman"/>
                  <w:sz w:val="12"/>
                  <w:szCs w:val="12"/>
                  <w:b w:val="1"/>
                  <w:bCs w:val="1"/>
                  <w:u w:val="single" w:color="auto"/>
                  <w:color w:val="0000EE"/>
                </w:rPr>
                <w:t>SIGNATURES</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0" w:type="dxa"/>
            <w:vAlign w:val="bottom"/>
          </w:tcPr>
          <w:p>
            <w:pPr>
              <w:spacing w:after="0"/>
              <w:rPr>
                <w:sz w:val="1"/>
                <w:szCs w:val="1"/>
                <w:color w:val="auto"/>
              </w:rPr>
            </w:pPr>
          </w:p>
        </w:tc>
      </w:tr>
      <w:tr>
        <w:trPr>
          <w:trHeight w:val="504"/>
        </w:trPr>
        <w:tc>
          <w:tcPr>
            <w:tcW w:w="87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5"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9"/>
        </w:trPr>
        <w:tc>
          <w:tcPr>
            <w:tcW w:w="4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5040" w:type="dxa"/>
            <w:vAlign w:val="bottom"/>
            <w:gridSpan w:val="2"/>
          </w:tcPr>
          <w:p>
            <w:pPr>
              <w:jc w:val="center"/>
              <w:ind w:right="1326"/>
              <w:spacing w:after="0"/>
              <w:rPr>
                <w:sz w:val="20"/>
                <w:szCs w:val="20"/>
                <w:color w:val="auto"/>
              </w:rPr>
            </w:pPr>
            <w:r>
              <w:rPr>
                <w:rFonts w:ascii="Times New Roman" w:cs="Times New Roman" w:eastAsia="Times New Roman" w:hAnsi="Times New Roman"/>
                <w:sz w:val="12"/>
                <w:szCs w:val="12"/>
                <w:b w:val="1"/>
                <w:bCs w:val="1"/>
                <w:color w:val="auto"/>
                <w:w w:val="98"/>
              </w:rPr>
              <w:t>PART I—FINANCIAL INFORMATION</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1.</w:t>
            </w:r>
          </w:p>
        </w:tc>
        <w:tc>
          <w:tcPr>
            <w:tcW w:w="3400" w:type="dxa"/>
            <w:vAlign w:val="bottom"/>
          </w:tcPr>
          <w:p>
            <w:pPr>
              <w:ind w:left="580"/>
              <w:spacing w:after="0"/>
              <w:rPr>
                <w:sz w:val="20"/>
                <w:szCs w:val="20"/>
                <w:color w:val="auto"/>
              </w:rPr>
            </w:pPr>
            <w:r>
              <w:rPr>
                <w:rFonts w:ascii="Times New Roman" w:cs="Times New Roman" w:eastAsia="Times New Roman" w:hAnsi="Times New Roman"/>
                <w:sz w:val="12"/>
                <w:szCs w:val="12"/>
                <w:b w:val="1"/>
                <w:bCs w:val="1"/>
                <w:color w:val="auto"/>
              </w:rPr>
              <w:t>Financial Statements</w:t>
            </w:r>
          </w:p>
        </w:tc>
        <w:tc>
          <w:tcPr>
            <w:tcW w:w="3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1"/>
        </w:trPr>
        <w:tc>
          <w:tcPr>
            <w:tcW w:w="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5040" w:type="dxa"/>
            <w:vAlign w:val="bottom"/>
            <w:gridSpan w:val="2"/>
          </w:tcPr>
          <w:p>
            <w:pPr>
              <w:jc w:val="center"/>
              <w:ind w:right="1326"/>
              <w:spacing w:after="0"/>
              <w:rPr>
                <w:sz w:val="20"/>
                <w:szCs w:val="20"/>
                <w:color w:val="auto"/>
              </w:rPr>
            </w:pPr>
            <w:r>
              <w:rPr>
                <w:rFonts w:ascii="Times New Roman" w:cs="Times New Roman" w:eastAsia="Times New Roman" w:hAnsi="Times New Roman"/>
                <w:sz w:val="12"/>
                <w:szCs w:val="12"/>
                <w:b w:val="1"/>
                <w:bCs w:val="1"/>
                <w:color w:val="auto"/>
                <w:w w:val="99"/>
              </w:rPr>
              <w:t>Soleno Therapeutics, Inc.</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46"/>
        </w:trPr>
        <w:tc>
          <w:tcPr>
            <w:tcW w:w="4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040" w:type="dxa"/>
            <w:vAlign w:val="bottom"/>
            <w:gridSpan w:val="2"/>
          </w:tcPr>
          <w:p>
            <w:pPr>
              <w:jc w:val="center"/>
              <w:ind w:right="1326"/>
              <w:spacing w:after="0"/>
              <w:rPr>
                <w:sz w:val="20"/>
                <w:szCs w:val="20"/>
                <w:color w:val="auto"/>
              </w:rPr>
            </w:pPr>
            <w:r>
              <w:rPr>
                <w:rFonts w:ascii="Times New Roman" w:cs="Times New Roman" w:eastAsia="Times New Roman" w:hAnsi="Times New Roman"/>
                <w:sz w:val="12"/>
                <w:szCs w:val="12"/>
                <w:b w:val="1"/>
                <w:bCs w:val="1"/>
                <w:color w:val="auto"/>
                <w:w w:val="99"/>
              </w:rPr>
              <w:t>Condensed Consolidated Balance Sheets</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4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5040" w:type="dxa"/>
            <w:vAlign w:val="bottom"/>
            <w:gridSpan w:val="2"/>
          </w:tcPr>
          <w:p>
            <w:pPr>
              <w:jc w:val="center"/>
              <w:ind w:right="1326"/>
              <w:spacing w:after="0"/>
              <w:rPr>
                <w:sz w:val="20"/>
                <w:szCs w:val="20"/>
                <w:color w:val="auto"/>
              </w:rPr>
            </w:pPr>
            <w:r>
              <w:rPr>
                <w:rFonts w:ascii="Times New Roman" w:cs="Times New Roman" w:eastAsia="Times New Roman" w:hAnsi="Times New Roman"/>
                <w:sz w:val="12"/>
                <w:szCs w:val="12"/>
                <w:i w:val="1"/>
                <w:iCs w:val="1"/>
                <w:color w:val="auto"/>
                <w:w w:val="99"/>
              </w:rPr>
              <w:t>(In thousands except share and per share data)</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4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100" w:type="dxa"/>
            <w:vAlign w:val="bottom"/>
          </w:tcPr>
          <w:p>
            <w:pPr>
              <w:jc w:val="center"/>
              <w:ind w:left="406"/>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4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5040" w:type="dxa"/>
            <w:vAlign w:val="bottom"/>
            <w:gridSpan w:val="2"/>
          </w:tcPr>
          <w:p>
            <w:pPr>
              <w:jc w:val="center"/>
              <w:ind w:left="4342"/>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jc w:val="right"/>
              <w:ind w:right="641"/>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Pr>
          <w:p>
            <w:pPr>
              <w:spacing w:after="0"/>
              <w:rPr>
                <w:sz w:val="10"/>
                <w:szCs w:val="10"/>
                <w:color w:val="auto"/>
              </w:rPr>
            </w:pPr>
          </w:p>
        </w:tc>
      </w:tr>
      <w:tr>
        <w:trPr>
          <w:trHeight w:val="142"/>
        </w:trPr>
        <w:tc>
          <w:tcPr>
            <w:tcW w:w="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3400" w:type="dxa"/>
            <w:vAlign w:val="bottom"/>
            <w:tcBorders>
              <w:top w:val="single" w:sz="8" w:color="CFF0FC"/>
            </w:tcBorders>
            <w:shd w:val="clear" w:color="auto" w:fill="CFF0FC"/>
          </w:tcPr>
          <w:p>
            <w:pPr>
              <w:spacing w:after="0"/>
              <w:rPr>
                <w:sz w:val="12"/>
                <w:szCs w:val="12"/>
                <w:color w:val="auto"/>
              </w:rPr>
            </w:pPr>
          </w:p>
        </w:tc>
        <w:tc>
          <w:tcPr>
            <w:tcW w:w="394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center"/>
              <w:ind w:left="426"/>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4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20" w:type="dxa"/>
            <w:vAlign w:val="bottom"/>
            <w:shd w:val="clear" w:color="auto" w:fill="CFF0FC"/>
          </w:tcPr>
          <w:p>
            <w:pPr>
              <w:spacing w:after="0"/>
              <w:rPr>
                <w:sz w:val="13"/>
                <w:szCs w:val="13"/>
                <w:color w:val="auto"/>
              </w:rPr>
            </w:pPr>
          </w:p>
        </w:tc>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040" w:type="dxa"/>
            <w:vAlign w:val="bottom"/>
            <w:gridSpan w:val="2"/>
            <w:shd w:val="clear" w:color="auto" w:fill="CFF0FC"/>
          </w:tcPr>
          <w:p>
            <w:pPr>
              <w:jc w:val="right"/>
              <w:ind w:right="986"/>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56,137</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20,733</w:t>
            </w:r>
          </w:p>
        </w:tc>
        <w:tc>
          <w:tcPr>
            <w:tcW w:w="120" w:type="dxa"/>
            <w:vAlign w:val="bottom"/>
            <w:shd w:val="clear" w:color="auto" w:fill="CFF0FC"/>
          </w:tcPr>
          <w:p>
            <w:pPr>
              <w:spacing w:after="0"/>
              <w:rPr>
                <w:sz w:val="13"/>
                <w:szCs w:val="13"/>
                <w:color w:val="auto"/>
              </w:rPr>
            </w:pPr>
          </w:p>
        </w:tc>
      </w:tr>
      <w:tr>
        <w:trPr>
          <w:trHeight w:val="153"/>
        </w:trPr>
        <w:tc>
          <w:tcPr>
            <w:tcW w:w="420" w:type="dxa"/>
            <w:vAlign w:val="bottom"/>
            <w:tcBorders>
              <w:bottom w:val="single" w:sz="8" w:color="CFF0FC"/>
            </w:tcBorders>
          </w:tcPr>
          <w:p>
            <w:pPr>
              <w:spacing w:after="0"/>
              <w:rPr>
                <w:sz w:val="13"/>
                <w:szCs w:val="13"/>
                <w:color w:val="auto"/>
              </w:rPr>
            </w:pPr>
          </w:p>
        </w:tc>
        <w:tc>
          <w:tcPr>
            <w:tcW w:w="340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9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348</w:t>
            </w: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w:t>
            </w:r>
          </w:p>
        </w:tc>
        <w:tc>
          <w:tcPr>
            <w:tcW w:w="120" w:type="dxa"/>
            <w:vAlign w:val="bottom"/>
            <w:tcBorders>
              <w:bottom w:val="single" w:sz="8" w:color="CFF0FC"/>
            </w:tcBorders>
          </w:tcPr>
          <w:p>
            <w:pPr>
              <w:spacing w:after="0"/>
              <w:rPr>
                <w:sz w:val="13"/>
                <w:szCs w:val="13"/>
                <w:color w:val="auto"/>
              </w:rPr>
            </w:pPr>
          </w:p>
        </w:tc>
      </w:tr>
      <w:tr>
        <w:trPr>
          <w:trHeight w:val="142"/>
        </w:trPr>
        <w:tc>
          <w:tcPr>
            <w:tcW w:w="420" w:type="dxa"/>
            <w:vAlign w:val="bottom"/>
            <w:shd w:val="clear" w:color="auto" w:fill="CFF0FC"/>
          </w:tcPr>
          <w:p>
            <w:pPr>
              <w:spacing w:after="0"/>
              <w:rPr>
                <w:sz w:val="12"/>
                <w:szCs w:val="12"/>
                <w:color w:val="auto"/>
              </w:rPr>
            </w:pPr>
          </w:p>
        </w:tc>
        <w:tc>
          <w:tcPr>
            <w:tcW w:w="3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Total current assets</w:t>
            </w:r>
          </w:p>
        </w:tc>
        <w:tc>
          <w:tcPr>
            <w:tcW w:w="39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56,485</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21,144</w:t>
            </w:r>
          </w:p>
        </w:tc>
        <w:tc>
          <w:tcPr>
            <w:tcW w:w="120" w:type="dxa"/>
            <w:vAlign w:val="bottom"/>
            <w:shd w:val="clear" w:color="auto" w:fill="CFF0FC"/>
          </w:tcPr>
          <w:p>
            <w:pPr>
              <w:spacing w:after="0"/>
              <w:rPr>
                <w:sz w:val="12"/>
                <w:szCs w:val="12"/>
                <w:color w:val="auto"/>
              </w:rPr>
            </w:pPr>
          </w:p>
        </w:tc>
      </w:tr>
      <w:tr>
        <w:trPr>
          <w:trHeight w:val="153"/>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Long-term assets</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20" w:type="dxa"/>
            <w:vAlign w:val="bottom"/>
            <w:shd w:val="clear" w:color="auto" w:fill="CFF0FC"/>
          </w:tcPr>
          <w:p>
            <w:pPr>
              <w:spacing w:after="0"/>
              <w:rPr>
                <w:sz w:val="13"/>
                <w:szCs w:val="13"/>
                <w:color w:val="auto"/>
              </w:rPr>
            </w:pPr>
          </w:p>
        </w:tc>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39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20" w:type="dxa"/>
            <w:vAlign w:val="bottom"/>
            <w:shd w:val="clear" w:color="auto" w:fill="CFF0FC"/>
          </w:tcPr>
          <w:p>
            <w:pPr>
              <w:spacing w:after="0"/>
              <w:rPr>
                <w:sz w:val="13"/>
                <w:szCs w:val="13"/>
                <w:color w:val="auto"/>
              </w:rPr>
            </w:pPr>
          </w:p>
        </w:tc>
      </w:tr>
      <w:tr>
        <w:trPr>
          <w:trHeight w:val="153"/>
        </w:trPr>
        <w:tc>
          <w:tcPr>
            <w:tcW w:w="420" w:type="dxa"/>
            <w:vAlign w:val="bottom"/>
          </w:tcPr>
          <w:p>
            <w:pPr>
              <w:spacing w:after="0"/>
              <w:rPr>
                <w:sz w:val="13"/>
                <w:szCs w:val="13"/>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w:t>
            </w:r>
          </w:p>
        </w:tc>
        <w:tc>
          <w:tcPr>
            <w:tcW w:w="120" w:type="dxa"/>
            <w:vAlign w:val="bottom"/>
          </w:tcPr>
          <w:p>
            <w:pPr>
              <w:spacing w:after="0"/>
              <w:rPr>
                <w:sz w:val="13"/>
                <w:szCs w:val="13"/>
                <w:color w:val="auto"/>
              </w:rPr>
            </w:pPr>
          </w:p>
        </w:tc>
      </w:tr>
      <w:tr>
        <w:trPr>
          <w:trHeight w:val="153"/>
        </w:trPr>
        <w:tc>
          <w:tcPr>
            <w:tcW w:w="420" w:type="dxa"/>
            <w:vAlign w:val="bottom"/>
            <w:shd w:val="clear" w:color="auto" w:fill="CFF0FC"/>
          </w:tcPr>
          <w:p>
            <w:pPr>
              <w:spacing w:after="0"/>
              <w:rPr>
                <w:sz w:val="13"/>
                <w:szCs w:val="13"/>
                <w:color w:val="auto"/>
              </w:rPr>
            </w:pPr>
          </w:p>
        </w:tc>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Finance lease right-of-use assets</w:t>
            </w:r>
          </w:p>
        </w:tc>
        <w:tc>
          <w:tcPr>
            <w:tcW w:w="39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shd w:val="clear" w:color="auto" w:fill="CFF0FC"/>
          </w:tcPr>
          <w:p>
            <w:pPr>
              <w:spacing w:after="0"/>
              <w:rPr>
                <w:sz w:val="13"/>
                <w:szCs w:val="13"/>
                <w:color w:val="auto"/>
              </w:rPr>
            </w:pPr>
          </w:p>
        </w:tc>
      </w:tr>
      <w:tr>
        <w:trPr>
          <w:trHeight w:val="153"/>
        </w:trPr>
        <w:tc>
          <w:tcPr>
            <w:tcW w:w="420" w:type="dxa"/>
            <w:vAlign w:val="bottom"/>
          </w:tcPr>
          <w:p>
            <w:pPr>
              <w:spacing w:after="0"/>
              <w:rPr>
                <w:sz w:val="13"/>
                <w:szCs w:val="13"/>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Intangible assets, net</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15,067</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16,525</w:t>
            </w:r>
          </w:p>
        </w:tc>
        <w:tc>
          <w:tcPr>
            <w:tcW w:w="120" w:type="dxa"/>
            <w:vAlign w:val="bottom"/>
          </w:tcPr>
          <w:p>
            <w:pPr>
              <w:spacing w:after="0"/>
              <w:rPr>
                <w:sz w:val="13"/>
                <w:szCs w:val="13"/>
                <w:color w:val="auto"/>
              </w:rPr>
            </w:pPr>
          </w:p>
        </w:tc>
      </w:tr>
      <w:tr>
        <w:trPr>
          <w:trHeight w:val="153"/>
        </w:trPr>
        <w:tc>
          <w:tcPr>
            <w:tcW w:w="420" w:type="dxa"/>
            <w:vAlign w:val="bottom"/>
            <w:shd w:val="clear" w:color="auto" w:fill="CFF0FC"/>
          </w:tcPr>
          <w:p>
            <w:pPr>
              <w:spacing w:after="0"/>
              <w:rPr>
                <w:sz w:val="13"/>
                <w:szCs w:val="13"/>
                <w:color w:val="auto"/>
              </w:rPr>
            </w:pPr>
          </w:p>
        </w:tc>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Other long-term assets</w:t>
            </w:r>
          </w:p>
        </w:tc>
        <w:tc>
          <w:tcPr>
            <w:tcW w:w="39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20" w:type="dxa"/>
            <w:vAlign w:val="bottom"/>
            <w:shd w:val="clear" w:color="auto" w:fill="CFF0FC"/>
          </w:tcPr>
          <w:p>
            <w:pPr>
              <w:spacing w:after="0"/>
              <w:rPr>
                <w:sz w:val="13"/>
                <w:szCs w:val="13"/>
                <w:color w:val="auto"/>
              </w:rPr>
            </w:pPr>
          </w:p>
        </w:tc>
      </w:tr>
      <w:tr>
        <w:trPr>
          <w:trHeight w:val="149"/>
        </w:trPr>
        <w:tc>
          <w:tcPr>
            <w:tcW w:w="420" w:type="dxa"/>
            <w:vAlign w:val="bottom"/>
            <w:tcBorders>
              <w:bottom w:val="single" w:sz="8" w:color="CFF0FC"/>
            </w:tcBorders>
          </w:tcPr>
          <w:p>
            <w:pPr>
              <w:spacing w:after="0"/>
              <w:rPr>
                <w:sz w:val="12"/>
                <w:szCs w:val="12"/>
                <w:color w:val="auto"/>
              </w:rPr>
            </w:pPr>
          </w:p>
        </w:tc>
        <w:tc>
          <w:tcPr>
            <w:tcW w:w="340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2"/>
                <w:szCs w:val="12"/>
                <w:color w:val="auto"/>
              </w:rPr>
              <w:t>Total assets</w:t>
            </w:r>
          </w:p>
        </w:tc>
        <w:tc>
          <w:tcPr>
            <w:tcW w:w="3940" w:type="dxa"/>
            <w:vAlign w:val="bottom"/>
            <w:tcBorders>
              <w:bottom w:val="single" w:sz="8" w:color="CFF0FC"/>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71,784</w:t>
            </w:r>
          </w:p>
        </w:tc>
        <w:tc>
          <w:tcPr>
            <w:tcW w:w="30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38,172</w:t>
            </w:r>
          </w:p>
        </w:tc>
        <w:tc>
          <w:tcPr>
            <w:tcW w:w="120" w:type="dxa"/>
            <w:vAlign w:val="bottom"/>
            <w:tcBorders>
              <w:bottom w:val="single" w:sz="8" w:color="CFF0FC"/>
            </w:tcBorders>
          </w:tcPr>
          <w:p>
            <w:pPr>
              <w:spacing w:after="0"/>
              <w:rPr>
                <w:sz w:val="12"/>
                <w:szCs w:val="12"/>
                <w:color w:val="auto"/>
              </w:rPr>
            </w:pPr>
          </w:p>
        </w:tc>
      </w:tr>
      <w:tr>
        <w:trPr>
          <w:trHeight w:val="153"/>
        </w:trPr>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39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20" w:type="dxa"/>
            <w:vAlign w:val="bottom"/>
            <w:shd w:val="clear" w:color="auto" w:fill="CFF0FC"/>
          </w:tcPr>
          <w:p>
            <w:pPr>
              <w:spacing w:after="0"/>
              <w:rPr>
                <w:sz w:val="13"/>
                <w:szCs w:val="13"/>
                <w:color w:val="auto"/>
              </w:rPr>
            </w:pPr>
          </w:p>
        </w:tc>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Accounts payable</w:t>
            </w:r>
          </w:p>
        </w:tc>
        <w:tc>
          <w:tcPr>
            <w:tcW w:w="5040" w:type="dxa"/>
            <w:vAlign w:val="bottom"/>
            <w:gridSpan w:val="2"/>
            <w:shd w:val="clear" w:color="auto" w:fill="CFF0FC"/>
          </w:tcPr>
          <w:p>
            <w:pPr>
              <w:jc w:val="right"/>
              <w:ind w:right="986"/>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3,213</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1,995</w:t>
            </w:r>
          </w:p>
        </w:tc>
        <w:tc>
          <w:tcPr>
            <w:tcW w:w="120" w:type="dxa"/>
            <w:vAlign w:val="bottom"/>
            <w:shd w:val="clear" w:color="auto" w:fill="CFF0FC"/>
          </w:tcPr>
          <w:p>
            <w:pPr>
              <w:spacing w:after="0"/>
              <w:rPr>
                <w:sz w:val="13"/>
                <w:szCs w:val="13"/>
                <w:color w:val="auto"/>
              </w:rPr>
            </w:pPr>
          </w:p>
        </w:tc>
      </w:tr>
      <w:tr>
        <w:trPr>
          <w:trHeight w:val="153"/>
        </w:trPr>
        <w:tc>
          <w:tcPr>
            <w:tcW w:w="420" w:type="dxa"/>
            <w:vAlign w:val="bottom"/>
          </w:tcPr>
          <w:p>
            <w:pPr>
              <w:spacing w:after="0"/>
              <w:rPr>
                <w:sz w:val="13"/>
                <w:szCs w:val="13"/>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Accrued compensation</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756</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w:t>
            </w:r>
          </w:p>
        </w:tc>
        <w:tc>
          <w:tcPr>
            <w:tcW w:w="120" w:type="dxa"/>
            <w:vAlign w:val="bottom"/>
          </w:tcPr>
          <w:p>
            <w:pPr>
              <w:spacing w:after="0"/>
              <w:rPr>
                <w:sz w:val="13"/>
                <w:szCs w:val="13"/>
                <w:color w:val="auto"/>
              </w:rPr>
            </w:pPr>
          </w:p>
        </w:tc>
      </w:tr>
      <w:tr>
        <w:trPr>
          <w:trHeight w:val="153"/>
        </w:trPr>
        <w:tc>
          <w:tcPr>
            <w:tcW w:w="420" w:type="dxa"/>
            <w:vAlign w:val="bottom"/>
            <w:shd w:val="clear" w:color="auto" w:fill="CFF0FC"/>
          </w:tcPr>
          <w:p>
            <w:pPr>
              <w:spacing w:after="0"/>
              <w:rPr>
                <w:sz w:val="13"/>
                <w:szCs w:val="13"/>
                <w:color w:val="auto"/>
              </w:rPr>
            </w:pPr>
          </w:p>
        </w:tc>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Accrued clinical trial site costs</w:t>
            </w:r>
          </w:p>
        </w:tc>
        <w:tc>
          <w:tcPr>
            <w:tcW w:w="39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3,399</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1,999</w:t>
            </w:r>
          </w:p>
        </w:tc>
        <w:tc>
          <w:tcPr>
            <w:tcW w:w="120" w:type="dxa"/>
            <w:vAlign w:val="bottom"/>
            <w:shd w:val="clear" w:color="auto" w:fill="CFF0FC"/>
          </w:tcPr>
          <w:p>
            <w:pPr>
              <w:spacing w:after="0"/>
              <w:rPr>
                <w:sz w:val="13"/>
                <w:szCs w:val="13"/>
                <w:color w:val="auto"/>
              </w:rPr>
            </w:pPr>
          </w:p>
        </w:tc>
      </w:tr>
      <w:tr>
        <w:trPr>
          <w:trHeight w:val="153"/>
        </w:trPr>
        <w:tc>
          <w:tcPr>
            <w:tcW w:w="420" w:type="dxa"/>
            <w:vAlign w:val="bottom"/>
          </w:tcPr>
          <w:p>
            <w:pPr>
              <w:spacing w:after="0"/>
              <w:rPr>
                <w:sz w:val="13"/>
                <w:szCs w:val="13"/>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120" w:type="dxa"/>
            <w:vAlign w:val="bottom"/>
          </w:tcPr>
          <w:p>
            <w:pPr>
              <w:spacing w:after="0"/>
              <w:rPr>
                <w:sz w:val="13"/>
                <w:szCs w:val="13"/>
                <w:color w:val="auto"/>
              </w:rPr>
            </w:pPr>
          </w:p>
        </w:tc>
      </w:tr>
      <w:tr>
        <w:trPr>
          <w:trHeight w:val="153"/>
        </w:trPr>
        <w:tc>
          <w:tcPr>
            <w:tcW w:w="420" w:type="dxa"/>
            <w:vAlign w:val="bottom"/>
            <w:shd w:val="clear" w:color="auto" w:fill="CFF0FC"/>
          </w:tcPr>
          <w:p>
            <w:pPr>
              <w:spacing w:after="0"/>
              <w:rPr>
                <w:sz w:val="13"/>
                <w:szCs w:val="13"/>
                <w:color w:val="auto"/>
              </w:rPr>
            </w:pPr>
          </w:p>
        </w:tc>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3940" w:type="dxa"/>
            <w:vAlign w:val="bottom"/>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408</w:t>
            </w:r>
          </w:p>
        </w:tc>
        <w:tc>
          <w:tcPr>
            <w:tcW w:w="30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382</w:t>
            </w:r>
          </w:p>
        </w:tc>
        <w:tc>
          <w:tcPr>
            <w:tcW w:w="120" w:type="dxa"/>
            <w:vAlign w:val="bottom"/>
            <w:shd w:val="clear" w:color="auto" w:fill="CFF0FC"/>
          </w:tcPr>
          <w:p>
            <w:pPr>
              <w:spacing w:after="0"/>
              <w:rPr>
                <w:sz w:val="13"/>
                <w:szCs w:val="13"/>
                <w:color w:val="auto"/>
              </w:rPr>
            </w:pPr>
          </w:p>
        </w:tc>
      </w:tr>
      <w:tr>
        <w:trPr>
          <w:trHeight w:val="142"/>
        </w:trPr>
        <w:tc>
          <w:tcPr>
            <w:tcW w:w="420" w:type="dxa"/>
            <w:vAlign w:val="bottom"/>
          </w:tcPr>
          <w:p>
            <w:pPr>
              <w:spacing w:after="0"/>
              <w:rPr>
                <w:sz w:val="12"/>
                <w:szCs w:val="12"/>
                <w:color w:val="auto"/>
              </w:rPr>
            </w:pPr>
          </w:p>
        </w:tc>
        <w:tc>
          <w:tcPr>
            <w:tcW w:w="34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3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7,996</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4,964</w:t>
            </w:r>
          </w:p>
        </w:tc>
        <w:tc>
          <w:tcPr>
            <w:tcW w:w="120" w:type="dxa"/>
            <w:vAlign w:val="bottom"/>
          </w:tcPr>
          <w:p>
            <w:pPr>
              <w:spacing w:after="0"/>
              <w:rPr>
                <w:sz w:val="12"/>
                <w:szCs w:val="12"/>
                <w:color w:val="auto"/>
              </w:rPr>
            </w:pPr>
          </w:p>
        </w:tc>
      </w:tr>
      <w:tr>
        <w:trPr>
          <w:trHeight w:val="153"/>
        </w:trPr>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Long-term liabilities</w:t>
            </w:r>
          </w:p>
        </w:tc>
        <w:tc>
          <w:tcPr>
            <w:tcW w:w="39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20" w:type="dxa"/>
            <w:vAlign w:val="bottom"/>
          </w:tcPr>
          <w:p>
            <w:pPr>
              <w:spacing w:after="0"/>
              <w:rPr>
                <w:sz w:val="13"/>
                <w:szCs w:val="13"/>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2017 PIPE Warrant liability</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4,777</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10,822</w:t>
            </w:r>
          </w:p>
        </w:tc>
        <w:tc>
          <w:tcPr>
            <w:tcW w:w="120" w:type="dxa"/>
            <w:vAlign w:val="bottom"/>
          </w:tcPr>
          <w:p>
            <w:pPr>
              <w:spacing w:after="0"/>
              <w:rPr>
                <w:sz w:val="13"/>
                <w:szCs w:val="13"/>
                <w:color w:val="auto"/>
              </w:rPr>
            </w:pPr>
          </w:p>
        </w:tc>
      </w:tr>
      <w:tr>
        <w:trPr>
          <w:trHeight w:val="153"/>
        </w:trPr>
        <w:tc>
          <w:tcPr>
            <w:tcW w:w="420" w:type="dxa"/>
            <w:vAlign w:val="bottom"/>
            <w:shd w:val="clear" w:color="auto" w:fill="CFF0FC"/>
          </w:tcPr>
          <w:p>
            <w:pPr>
              <w:spacing w:after="0"/>
              <w:rPr>
                <w:sz w:val="13"/>
                <w:szCs w:val="13"/>
                <w:color w:val="auto"/>
              </w:rPr>
            </w:pPr>
          </w:p>
        </w:tc>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2018 PIPE Warrant liability</w:t>
            </w:r>
          </w:p>
        </w:tc>
        <w:tc>
          <w:tcPr>
            <w:tcW w:w="39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867</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1,354</w:t>
            </w:r>
          </w:p>
        </w:tc>
        <w:tc>
          <w:tcPr>
            <w:tcW w:w="120" w:type="dxa"/>
            <w:vAlign w:val="bottom"/>
            <w:shd w:val="clear" w:color="auto" w:fill="CFF0FC"/>
          </w:tcPr>
          <w:p>
            <w:pPr>
              <w:spacing w:after="0"/>
              <w:rPr>
                <w:sz w:val="13"/>
                <w:szCs w:val="13"/>
                <w:color w:val="auto"/>
              </w:rPr>
            </w:pPr>
          </w:p>
        </w:tc>
      </w:tr>
      <w:tr>
        <w:trPr>
          <w:trHeight w:val="153"/>
        </w:trPr>
        <w:tc>
          <w:tcPr>
            <w:tcW w:w="420" w:type="dxa"/>
            <w:vAlign w:val="bottom"/>
          </w:tcPr>
          <w:p>
            <w:pPr>
              <w:spacing w:after="0"/>
              <w:rPr>
                <w:sz w:val="13"/>
                <w:szCs w:val="13"/>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Contingent liability for Essentialis purchase price</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10,138</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5,938</w:t>
            </w:r>
          </w:p>
        </w:tc>
        <w:tc>
          <w:tcPr>
            <w:tcW w:w="120" w:type="dxa"/>
            <w:vAlign w:val="bottom"/>
          </w:tcPr>
          <w:p>
            <w:pPr>
              <w:spacing w:after="0"/>
              <w:rPr>
                <w:sz w:val="13"/>
                <w:szCs w:val="13"/>
                <w:color w:val="auto"/>
              </w:rPr>
            </w:pPr>
          </w:p>
        </w:tc>
      </w:tr>
      <w:tr>
        <w:trPr>
          <w:trHeight w:val="153"/>
        </w:trPr>
        <w:tc>
          <w:tcPr>
            <w:tcW w:w="420" w:type="dxa"/>
            <w:vAlign w:val="bottom"/>
            <w:shd w:val="clear" w:color="auto" w:fill="CFF0FC"/>
          </w:tcPr>
          <w:p>
            <w:pPr>
              <w:spacing w:after="0"/>
              <w:rPr>
                <w:sz w:val="13"/>
                <w:szCs w:val="13"/>
                <w:color w:val="auto"/>
              </w:rPr>
            </w:pPr>
          </w:p>
        </w:tc>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39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120" w:type="dxa"/>
            <w:vAlign w:val="bottom"/>
            <w:shd w:val="clear" w:color="auto" w:fill="CFF0FC"/>
          </w:tcPr>
          <w:p>
            <w:pPr>
              <w:spacing w:after="0"/>
              <w:rPr>
                <w:sz w:val="13"/>
                <w:szCs w:val="13"/>
                <w:color w:val="auto"/>
              </w:rPr>
            </w:pPr>
          </w:p>
        </w:tc>
      </w:tr>
      <w:tr>
        <w:trPr>
          <w:trHeight w:val="142"/>
        </w:trPr>
        <w:tc>
          <w:tcPr>
            <w:tcW w:w="420" w:type="dxa"/>
            <w:vAlign w:val="bottom"/>
            <w:tcBorders>
              <w:bottom w:val="single" w:sz="8" w:color="CFF0FC"/>
            </w:tcBorders>
          </w:tcPr>
          <w:p>
            <w:pPr>
              <w:spacing w:after="0"/>
              <w:rPr>
                <w:sz w:val="12"/>
                <w:szCs w:val="12"/>
                <w:color w:val="auto"/>
              </w:rPr>
            </w:pPr>
          </w:p>
        </w:tc>
        <w:tc>
          <w:tcPr>
            <w:tcW w:w="340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2"/>
                <w:szCs w:val="12"/>
                <w:color w:val="auto"/>
              </w:rPr>
              <w:t>Total liabilities</w:t>
            </w:r>
          </w:p>
        </w:tc>
        <w:tc>
          <w:tcPr>
            <w:tcW w:w="3940" w:type="dxa"/>
            <w:vAlign w:val="bottom"/>
            <w:tcBorders>
              <w:bottom w:val="single" w:sz="8" w:color="CFF0FC"/>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23,778</w:t>
            </w:r>
          </w:p>
        </w:tc>
        <w:tc>
          <w:tcPr>
            <w:tcW w:w="30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23,225</w:t>
            </w:r>
          </w:p>
        </w:tc>
        <w:tc>
          <w:tcPr>
            <w:tcW w:w="120" w:type="dxa"/>
            <w:vAlign w:val="bottom"/>
            <w:tcBorders>
              <w:bottom w:val="single" w:sz="8" w:color="CFF0FC"/>
            </w:tcBorders>
          </w:tcPr>
          <w:p>
            <w:pPr>
              <w:spacing w:after="0"/>
              <w:rPr>
                <w:sz w:val="12"/>
                <w:szCs w:val="12"/>
                <w:color w:val="auto"/>
              </w:rPr>
            </w:pPr>
          </w:p>
        </w:tc>
      </w:tr>
      <w:tr>
        <w:trPr>
          <w:trHeight w:val="142"/>
        </w:trPr>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Commitments and contingencies (Note 6)</w:t>
            </w:r>
          </w:p>
        </w:tc>
        <w:tc>
          <w:tcPr>
            <w:tcW w:w="39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Common stock, $0.001 par value, 100,000,000 shares authorized,</w:t>
            </w:r>
          </w:p>
        </w:tc>
        <w:tc>
          <w:tcPr>
            <w:tcW w:w="39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38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79,593,621 and 44,658,054 shares issued and outstanding at</w:t>
            </w:r>
          </w:p>
        </w:tc>
        <w:tc>
          <w:tcPr>
            <w:tcW w:w="39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5"/>
        </w:trPr>
        <w:tc>
          <w:tcPr>
            <w:tcW w:w="38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September 30, 2020 and December 31, 2019, respectively.</w:t>
            </w:r>
          </w:p>
        </w:tc>
        <w:tc>
          <w:tcPr>
            <w:tcW w:w="39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20" w:type="dxa"/>
            <w:vAlign w:val="bottom"/>
            <w:shd w:val="clear" w:color="auto" w:fill="CFF0FC"/>
          </w:tcPr>
          <w:p>
            <w:pPr>
              <w:spacing w:after="0"/>
              <w:rPr>
                <w:sz w:val="13"/>
                <w:szCs w:val="13"/>
                <w:color w:val="auto"/>
              </w:rPr>
            </w:pPr>
          </w:p>
        </w:tc>
      </w:tr>
      <w:tr>
        <w:trPr>
          <w:trHeight w:val="153"/>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Additional paid-in-capital</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227,519</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172,708</w:t>
            </w:r>
          </w:p>
        </w:tc>
        <w:tc>
          <w:tcPr>
            <w:tcW w:w="120" w:type="dxa"/>
            <w:vAlign w:val="bottom"/>
          </w:tcPr>
          <w:p>
            <w:pPr>
              <w:spacing w:after="0"/>
              <w:rPr>
                <w:sz w:val="13"/>
                <w:szCs w:val="13"/>
                <w:color w:val="auto"/>
              </w:rPr>
            </w:pPr>
          </w:p>
        </w:tc>
      </w:tr>
      <w:tr>
        <w:trPr>
          <w:trHeight w:val="153"/>
        </w:trPr>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39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(179,593)</w:t>
            </w:r>
          </w:p>
        </w:tc>
        <w:tc>
          <w:tcPr>
            <w:tcW w:w="28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(157,806)</w:t>
            </w:r>
          </w:p>
        </w:tc>
      </w:tr>
      <w:tr>
        <w:trPr>
          <w:trHeight w:val="142"/>
        </w:trPr>
        <w:tc>
          <w:tcPr>
            <w:tcW w:w="3820" w:type="dxa"/>
            <w:vAlign w:val="bottom"/>
            <w:tcBorders>
              <w:bottom w:val="single" w:sz="8" w:color="CFF0FC"/>
            </w:tcBorders>
            <w:gridSpan w:val="2"/>
          </w:tcPr>
          <w:p>
            <w:pPr>
              <w:ind w:left="32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3940" w:type="dxa"/>
            <w:vAlign w:val="bottom"/>
            <w:tcBorders>
              <w:bottom w:val="single" w:sz="8" w:color="CFF0FC"/>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48,006</w:t>
            </w:r>
          </w:p>
        </w:tc>
        <w:tc>
          <w:tcPr>
            <w:tcW w:w="30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14,947</w:t>
            </w:r>
          </w:p>
        </w:tc>
        <w:tc>
          <w:tcPr>
            <w:tcW w:w="120" w:type="dxa"/>
            <w:vAlign w:val="bottom"/>
            <w:tcBorders>
              <w:bottom w:val="single" w:sz="8" w:color="CFF0FC"/>
            </w:tcBorders>
          </w:tcPr>
          <w:p>
            <w:pPr>
              <w:spacing w:after="0"/>
              <w:rPr>
                <w:sz w:val="12"/>
                <w:szCs w:val="12"/>
                <w:color w:val="auto"/>
              </w:rPr>
            </w:pPr>
          </w:p>
        </w:tc>
      </w:tr>
      <w:tr>
        <w:trPr>
          <w:trHeight w:val="149"/>
        </w:trPr>
        <w:tc>
          <w:tcPr>
            <w:tcW w:w="3820" w:type="dxa"/>
            <w:vAlign w:val="bottom"/>
            <w:tcBorders>
              <w:bottom w:val="single" w:sz="8" w:color="CFF0FC"/>
            </w:tcBorders>
            <w:gridSpan w:val="2"/>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394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71,784</w:t>
            </w:r>
          </w:p>
        </w:tc>
        <w:tc>
          <w:tcPr>
            <w:tcW w:w="3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38,172</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See accompanying notes to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Soleno Therapeutics,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(In thousands except share and per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gridSpan w:val="4"/>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gridSpan w:val="4"/>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5"/>
        </w:trPr>
        <w:tc>
          <w:tcPr>
            <w:tcW w:w="5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7"/>
        </w:trPr>
        <w:tc>
          <w:tcPr>
            <w:tcW w:w="5720" w:type="dxa"/>
            <w:vAlign w:val="bottom"/>
            <w:tcBorders>
              <w:bottom w:val="single" w:sz="8" w:color="CFF0FC"/>
            </w:tcBorders>
          </w:tcPr>
          <w:p>
            <w:pPr>
              <w:spacing w:after="0"/>
              <w:rPr>
                <w:sz w:val="8"/>
                <w:szCs w:val="8"/>
                <w:color w:val="auto"/>
              </w:rPr>
            </w:pPr>
          </w:p>
        </w:tc>
        <w:tc>
          <w:tcPr>
            <w:tcW w:w="14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22"/>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20" w:type="dxa"/>
            <w:vAlign w:val="bottom"/>
            <w:tcBorders>
              <w:bottom w:val="single" w:sz="8" w:color="CFF0FC"/>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421"/>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Borders>
              <w:bottom w:val="single" w:sz="8" w:color="CFF0FC"/>
            </w:tcBorders>
          </w:tcPr>
          <w:p>
            <w:pPr>
              <w:spacing w:after="0"/>
              <w:rPr>
                <w:sz w:val="8"/>
                <w:szCs w:val="8"/>
                <w:color w:val="auto"/>
              </w:rPr>
            </w:pPr>
          </w:p>
        </w:tc>
        <w:tc>
          <w:tcPr>
            <w:tcW w:w="14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442"/>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Borders>
              <w:bottom w:val="single" w:sz="8" w:color="CFF0FC"/>
            </w:tcBorders>
          </w:tcPr>
          <w:p>
            <w:pPr>
              <w:spacing w:after="0"/>
              <w:rPr>
                <w:sz w:val="8"/>
                <w:szCs w:val="8"/>
                <w:color w:val="auto"/>
              </w:rPr>
            </w:pPr>
          </w:p>
        </w:tc>
        <w:tc>
          <w:tcPr>
            <w:tcW w:w="140" w:type="dxa"/>
            <w:vAlign w:val="bottom"/>
            <w:tcBorders>
              <w:bottom w:val="single" w:sz="8" w:color="CFF0FC"/>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421"/>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bottom w:val="single" w:sz="8" w:color="CFF0FC"/>
            </w:tcBorders>
          </w:tcPr>
          <w:p>
            <w:pPr>
              <w:spacing w:after="0"/>
              <w:rPr>
                <w:sz w:val="8"/>
                <w:szCs w:val="8"/>
                <w:color w:val="auto"/>
              </w:rPr>
            </w:pPr>
          </w:p>
        </w:tc>
      </w:tr>
      <w:tr>
        <w:trPr>
          <w:trHeight w:val="142"/>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5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Research and development</w:t>
            </w:r>
          </w:p>
        </w:tc>
        <w:tc>
          <w:tcPr>
            <w:tcW w:w="40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4,827</w:t>
            </w:r>
          </w:p>
        </w:tc>
        <w:tc>
          <w:tcPr>
            <w:tcW w:w="120" w:type="dxa"/>
            <w:vAlign w:val="bottom"/>
          </w:tcPr>
          <w:p>
            <w:pPr>
              <w:spacing w:after="0"/>
              <w:rPr>
                <w:sz w:val="13"/>
                <w:szCs w:val="13"/>
                <w:color w:val="auto"/>
              </w:rPr>
            </w:pPr>
          </w:p>
        </w:tc>
        <w:tc>
          <w:tcPr>
            <w:tcW w:w="520" w:type="dxa"/>
            <w:vAlign w:val="bottom"/>
            <w:gridSpan w:val="2"/>
          </w:tcPr>
          <w:p>
            <w:pPr>
              <w:jc w:val="right"/>
              <w:ind w:right="286"/>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4,490</w:t>
            </w:r>
          </w:p>
        </w:tc>
        <w:tc>
          <w:tcPr>
            <w:tcW w:w="100" w:type="dxa"/>
            <w:vAlign w:val="bottom"/>
          </w:tcPr>
          <w:p>
            <w:pPr>
              <w:spacing w:after="0"/>
              <w:rPr>
                <w:sz w:val="13"/>
                <w:szCs w:val="13"/>
                <w:color w:val="auto"/>
              </w:rPr>
            </w:pPr>
          </w:p>
        </w:tc>
        <w:tc>
          <w:tcPr>
            <w:tcW w:w="40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17,625</w:t>
            </w:r>
          </w:p>
        </w:tc>
        <w:tc>
          <w:tcPr>
            <w:tcW w:w="100" w:type="dxa"/>
            <w:vAlign w:val="bottom"/>
          </w:tcPr>
          <w:p>
            <w:pPr>
              <w:spacing w:after="0"/>
              <w:rPr>
                <w:sz w:val="13"/>
                <w:szCs w:val="13"/>
                <w:color w:val="auto"/>
              </w:rPr>
            </w:pPr>
          </w:p>
        </w:tc>
        <w:tc>
          <w:tcPr>
            <w:tcW w:w="520" w:type="dxa"/>
            <w:vAlign w:val="bottom"/>
            <w:gridSpan w:val="2"/>
          </w:tcPr>
          <w:p>
            <w:pPr>
              <w:jc w:val="right"/>
              <w:ind w:right="266"/>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10,995</w:t>
            </w:r>
          </w:p>
        </w:tc>
        <w:tc>
          <w:tcPr>
            <w:tcW w:w="120" w:type="dxa"/>
            <w:vAlign w:val="bottom"/>
          </w:tcPr>
          <w:p>
            <w:pPr>
              <w:spacing w:after="0"/>
              <w:rPr>
                <w:sz w:val="13"/>
                <w:szCs w:val="13"/>
                <w:color w:val="auto"/>
              </w:rPr>
            </w:pPr>
          </w:p>
        </w:tc>
      </w:tr>
      <w:tr>
        <w:trPr>
          <w:trHeight w:val="153"/>
        </w:trPr>
        <w:tc>
          <w:tcPr>
            <w:tcW w:w="5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2,256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1,615</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6,507</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5,322</w:t>
            </w:r>
          </w:p>
        </w:tc>
        <w:tc>
          <w:tcPr>
            <w:tcW w:w="120" w:type="dxa"/>
            <w:vAlign w:val="bottom"/>
            <w:shd w:val="clear" w:color="auto" w:fill="CFF0FC"/>
          </w:tcPr>
          <w:p>
            <w:pPr>
              <w:spacing w:after="0"/>
              <w:rPr>
                <w:sz w:val="13"/>
                <w:szCs w:val="13"/>
                <w:color w:val="auto"/>
              </w:rPr>
            </w:pPr>
          </w:p>
        </w:tc>
      </w:tr>
      <w:tr>
        <w:trPr>
          <w:trHeight w:val="153"/>
        </w:trPr>
        <w:tc>
          <w:tcPr>
            <w:tcW w:w="572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774</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4,200</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417</w:t>
            </w:r>
          </w:p>
        </w:tc>
        <w:tc>
          <w:tcPr>
            <w:tcW w:w="120" w:type="dxa"/>
            <w:vAlign w:val="bottom"/>
            <w:tcBorders>
              <w:bottom w:val="single" w:sz="8" w:color="CFF0FC"/>
            </w:tcBorders>
          </w:tcPr>
          <w:p>
            <w:pPr>
              <w:spacing w:after="0"/>
              <w:rPr>
                <w:sz w:val="13"/>
                <w:szCs w:val="13"/>
                <w:color w:val="auto"/>
              </w:rPr>
            </w:pPr>
          </w:p>
        </w:tc>
      </w:tr>
      <w:tr>
        <w:trPr>
          <w:trHeight w:val="142"/>
        </w:trPr>
        <w:tc>
          <w:tcPr>
            <w:tcW w:w="57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Total operating expenses</w:t>
            </w:r>
          </w:p>
        </w:tc>
        <w:tc>
          <w:tcPr>
            <w:tcW w:w="14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7,857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6,133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28,332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16,734</w:t>
            </w:r>
          </w:p>
        </w:tc>
        <w:tc>
          <w:tcPr>
            <w:tcW w:w="120" w:type="dxa"/>
            <w:vAlign w:val="bottom"/>
            <w:shd w:val="clear" w:color="auto" w:fill="CFF0FC"/>
          </w:tcPr>
          <w:p>
            <w:pPr>
              <w:spacing w:after="0"/>
              <w:rPr>
                <w:sz w:val="12"/>
                <w:szCs w:val="12"/>
                <w:color w:val="auto"/>
              </w:rPr>
            </w:pPr>
          </w:p>
        </w:tc>
      </w:tr>
      <w:tr>
        <w:trPr>
          <w:trHeight w:val="142"/>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1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(7,857)</w:t>
            </w:r>
          </w:p>
        </w:tc>
        <w:tc>
          <w:tcPr>
            <w:tcW w:w="1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(6,133)</w:t>
            </w:r>
          </w:p>
        </w:tc>
        <w:tc>
          <w:tcPr>
            <w:tcW w:w="1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(28,332)</w:t>
            </w:r>
          </w:p>
        </w:tc>
        <w:tc>
          <w:tcPr>
            <w:tcW w:w="1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(16,734)</w:t>
            </w:r>
          </w:p>
        </w:tc>
        <w:tc>
          <w:tcPr>
            <w:tcW w:w="120" w:type="dxa"/>
            <w:vAlign w:val="bottom"/>
            <w:tcBorders>
              <w:bottom w:val="single" w:sz="8" w:color="CFF0FC"/>
            </w:tcBorders>
          </w:tcPr>
          <w:p>
            <w:pPr>
              <w:spacing w:after="0"/>
              <w:rPr>
                <w:sz w:val="12"/>
                <w:szCs w:val="12"/>
                <w:color w:val="auto"/>
              </w:rPr>
            </w:pPr>
          </w:p>
        </w:tc>
      </w:tr>
      <w:tr>
        <w:trPr>
          <w:trHeight w:val="142"/>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income (expense)</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5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Change in fair value of warrants liabilities</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(689)</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7,116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930</w:t>
            </w:r>
          </w:p>
        </w:tc>
        <w:tc>
          <w:tcPr>
            <w:tcW w:w="120" w:type="dxa"/>
            <w:vAlign w:val="bottom"/>
          </w:tcPr>
          <w:p>
            <w:pPr>
              <w:spacing w:after="0"/>
              <w:rPr>
                <w:sz w:val="13"/>
                <w:szCs w:val="13"/>
                <w:color w:val="auto"/>
              </w:rPr>
            </w:pPr>
          </w:p>
        </w:tc>
      </w:tr>
      <w:tr>
        <w:trPr>
          <w:trHeight w:val="153"/>
        </w:trPr>
        <w:tc>
          <w:tcPr>
            <w:tcW w:w="5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Loss from minority interest investment</w:t>
            </w: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(123)</w:t>
            </w: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(478)</w:t>
            </w:r>
          </w:p>
        </w:tc>
      </w:tr>
      <w:tr>
        <w:trPr>
          <w:trHeight w:val="153"/>
        </w:trPr>
        <w:tc>
          <w:tcPr>
            <w:tcW w:w="572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2"/>
                <w:szCs w:val="12"/>
                <w:color w:val="auto"/>
              </w:rPr>
              <w:t>Interest income</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120" w:type="dxa"/>
            <w:vAlign w:val="bottom"/>
            <w:tcBorders>
              <w:bottom w:val="single" w:sz="8" w:color="CFF0FC"/>
            </w:tcBorders>
          </w:tcPr>
          <w:p>
            <w:pPr>
              <w:spacing w:after="0"/>
              <w:rPr>
                <w:sz w:val="13"/>
                <w:szCs w:val="13"/>
                <w:color w:val="auto"/>
              </w:rPr>
            </w:pPr>
          </w:p>
        </w:tc>
      </w:tr>
      <w:tr>
        <w:trPr>
          <w:trHeight w:val="142"/>
        </w:trPr>
        <w:tc>
          <w:tcPr>
            <w:tcW w:w="57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Total other income (expense)</w:t>
            </w:r>
          </w:p>
        </w:tc>
        <w:tc>
          <w:tcPr>
            <w:tcW w:w="14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7,022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6,545</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585</w:t>
            </w:r>
          </w:p>
        </w:tc>
        <w:tc>
          <w:tcPr>
            <w:tcW w:w="120" w:type="dxa"/>
            <w:vAlign w:val="bottom"/>
            <w:shd w:val="clear" w:color="auto" w:fill="CFF0FC"/>
          </w:tcPr>
          <w:p>
            <w:pPr>
              <w:spacing w:after="0"/>
              <w:rPr>
                <w:sz w:val="12"/>
                <w:szCs w:val="12"/>
                <w:color w:val="auto"/>
              </w:rPr>
            </w:pPr>
          </w:p>
        </w:tc>
      </w:tr>
      <w:tr>
        <w:trPr>
          <w:trHeight w:val="149"/>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1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(8,545)</w:t>
            </w:r>
          </w:p>
        </w:tc>
        <w:tc>
          <w:tcPr>
            <w:tcW w:w="1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889</w:t>
            </w:r>
          </w:p>
        </w:tc>
        <w:tc>
          <w:tcPr>
            <w:tcW w:w="1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(21,787)</w:t>
            </w:r>
          </w:p>
        </w:tc>
        <w:tc>
          <w:tcPr>
            <w:tcW w:w="1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(16,149)</w:t>
            </w:r>
          </w:p>
        </w:tc>
        <w:tc>
          <w:tcPr>
            <w:tcW w:w="120" w:type="dxa"/>
            <w:vAlign w:val="bottom"/>
            <w:tcBorders>
              <w:bottom w:val="single" w:sz="8" w:color="CFF0FC"/>
            </w:tcBorders>
          </w:tcPr>
          <w:p>
            <w:pPr>
              <w:spacing w:after="0"/>
              <w:rPr>
                <w:sz w:val="12"/>
                <w:szCs w:val="12"/>
                <w:color w:val="auto"/>
              </w:rPr>
            </w:pPr>
          </w:p>
        </w:tc>
      </w:tr>
      <w:tr>
        <w:trPr>
          <w:trHeight w:val="15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income (loss) per common share:</w:t>
            </w: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0"/>
        </w:trPr>
        <w:tc>
          <w:tcPr>
            <w:tcW w:w="5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Basic</w:t>
            </w:r>
          </w:p>
        </w:tc>
        <w:tc>
          <w:tcPr>
            <w:tcW w:w="40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(0.11)</w:t>
            </w:r>
          </w:p>
        </w:tc>
        <w:tc>
          <w:tcPr>
            <w:tcW w:w="520" w:type="dxa"/>
            <w:vAlign w:val="bottom"/>
            <w:gridSpan w:val="2"/>
          </w:tcPr>
          <w:p>
            <w:pPr>
              <w:jc w:val="right"/>
              <w:ind w:right="286"/>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100" w:type="dxa"/>
            <w:vAlign w:val="bottom"/>
          </w:tcPr>
          <w:p>
            <w:pPr>
              <w:spacing w:after="0"/>
              <w:rPr>
                <w:sz w:val="13"/>
                <w:szCs w:val="13"/>
                <w:color w:val="auto"/>
              </w:rPr>
            </w:pPr>
          </w:p>
        </w:tc>
        <w:tc>
          <w:tcPr>
            <w:tcW w:w="40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(0.38)</w:t>
            </w:r>
          </w:p>
        </w:tc>
        <w:tc>
          <w:tcPr>
            <w:tcW w:w="520" w:type="dxa"/>
            <w:vAlign w:val="bottom"/>
            <w:gridSpan w:val="2"/>
          </w:tcPr>
          <w:p>
            <w:pPr>
              <w:jc w:val="right"/>
              <w:ind w:right="26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(0.51)</w:t>
            </w:r>
          </w:p>
        </w:tc>
      </w:tr>
      <w:tr>
        <w:trPr>
          <w:trHeight w:val="173"/>
        </w:trPr>
        <w:tc>
          <w:tcPr>
            <w:tcW w:w="572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Diluted</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(0.11)</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400" w:type="dxa"/>
            <w:vAlign w:val="bottom"/>
            <w:tcBorders>
              <w:top w:val="single" w:sz="8" w:color="auto"/>
              <w:bottom w:val="single" w:sz="8" w:color="auto"/>
            </w:tcBorders>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(0.19)</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(0.38)</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auto"/>
            </w:tcBorders>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(0.53)</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140"/>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common shares outstanding used in per-share calculation:</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3"/>
        </w:trPr>
        <w:tc>
          <w:tcPr>
            <w:tcW w:w="5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Basic</w:t>
            </w:r>
          </w:p>
        </w:tc>
        <w:tc>
          <w:tcPr>
            <w:tcW w:w="140" w:type="dxa"/>
            <w:vAlign w:val="bottom"/>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79,583,254</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31,793,292</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56,916,137</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31,775,590</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47"/>
        </w:trPr>
        <w:tc>
          <w:tcPr>
            <w:tcW w:w="5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Diluted</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79,583,254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32,443,647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56,916,137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32,235,528</w:t>
            </w:r>
          </w:p>
        </w:tc>
        <w:tc>
          <w:tcPr>
            <w:tcW w:w="120" w:type="dxa"/>
            <w:vAlign w:val="bottom"/>
          </w:tcPr>
          <w:p>
            <w:pPr>
              <w:spacing w:after="0"/>
              <w:rPr>
                <w:sz w:val="12"/>
                <w:szCs w:val="12"/>
                <w:color w:val="auto"/>
              </w:rPr>
            </w:pPr>
          </w:p>
        </w:tc>
      </w:tr>
    </w:tbl>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See accompanying notes to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2"/>
          <w:szCs w:val="12"/>
          <w:b w:val="1"/>
          <w:bCs w:val="1"/>
          <w:color w:val="auto"/>
        </w:rPr>
        <w:t>Soleno Therapeutics,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Stockholders’ Equity</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 the Three and Nine Months Ended September 30, 2020 and 2019</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(In thousands except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20" w:type="dxa"/>
            <w:vAlign w:val="bottom"/>
          </w:tcPr>
          <w:p>
            <w:pPr>
              <w:spacing w:after="0"/>
              <w:rPr>
                <w:sz w:val="10"/>
                <w:szCs w:val="10"/>
                <w:color w:val="auto"/>
              </w:rPr>
            </w:pPr>
          </w:p>
        </w:tc>
        <w:tc>
          <w:tcPr>
            <w:tcW w:w="2020" w:type="dxa"/>
            <w:vAlign w:val="bottom"/>
            <w:gridSpan w:val="3"/>
            <w:vMerge w:val="restart"/>
          </w:tcPr>
          <w:p>
            <w:pPr>
              <w:jc w:val="right"/>
              <w:ind w:right="528"/>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60" w:type="dxa"/>
            <w:vAlign w:val="bottom"/>
          </w:tcPr>
          <w:p>
            <w:pPr>
              <w:spacing w:after="0"/>
              <w:rPr>
                <w:sz w:val="10"/>
                <w:szCs w:val="10"/>
                <w:color w:val="auto"/>
              </w:rPr>
            </w:pPr>
          </w:p>
        </w:tc>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140" w:type="dxa"/>
            <w:vAlign w:val="bottom"/>
          </w:tcPr>
          <w:p>
            <w:pPr>
              <w:spacing w:after="0"/>
              <w:rPr>
                <w:sz w:val="10"/>
                <w:szCs w:val="10"/>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15"/>
        </w:trPr>
        <w:tc>
          <w:tcPr>
            <w:tcW w:w="522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9"/>
              </w:rPr>
              <w:t>Paid-In</w:t>
            </w:r>
          </w:p>
        </w:tc>
        <w:tc>
          <w:tcPr>
            <w:tcW w:w="1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Stockholders’</w:t>
            </w:r>
          </w:p>
        </w:tc>
        <w:tc>
          <w:tcPr>
            <w:tcW w:w="0" w:type="dxa"/>
            <w:vAlign w:val="bottom"/>
          </w:tcPr>
          <w:p>
            <w:pPr>
              <w:spacing w:after="0"/>
              <w:rPr>
                <w:sz w:val="1"/>
                <w:szCs w:val="1"/>
                <w:color w:val="auto"/>
              </w:rPr>
            </w:pPr>
          </w:p>
        </w:tc>
      </w:tr>
      <w:tr>
        <w:trPr>
          <w:trHeight w:val="97"/>
        </w:trPr>
        <w:tc>
          <w:tcPr>
            <w:tcW w:w="5220" w:type="dxa"/>
            <w:vAlign w:val="bottom"/>
          </w:tcPr>
          <w:p>
            <w:pPr>
              <w:spacing w:after="0"/>
              <w:rPr>
                <w:sz w:val="8"/>
                <w:szCs w:val="8"/>
                <w:color w:val="auto"/>
              </w:rPr>
            </w:pPr>
          </w:p>
        </w:tc>
        <w:tc>
          <w:tcPr>
            <w:tcW w:w="1240" w:type="dxa"/>
            <w:vAlign w:val="bottom"/>
            <w:tcBorders>
              <w:top w:val="single" w:sz="8" w:color="auto"/>
            </w:tcBorders>
            <w:gridSpan w:val="2"/>
          </w:tcPr>
          <w:p>
            <w:pPr>
              <w:ind w:left="380"/>
              <w:spacing w:after="0" w:line="97" w:lineRule="exact"/>
              <w:rPr>
                <w:sz w:val="20"/>
                <w:szCs w:val="20"/>
                <w:color w:val="auto"/>
              </w:rPr>
            </w:pPr>
            <w:r>
              <w:rPr>
                <w:rFonts w:ascii="Times New Roman" w:cs="Times New Roman" w:eastAsia="Times New Roman" w:hAnsi="Times New Roman"/>
                <w:sz w:val="10"/>
                <w:szCs w:val="10"/>
                <w:b w:val="1"/>
                <w:bCs w:val="1"/>
                <w:color w:val="auto"/>
              </w:rPr>
              <w:t>Shares</w:t>
            </w:r>
          </w:p>
        </w:tc>
        <w:tc>
          <w:tcPr>
            <w:tcW w:w="780" w:type="dxa"/>
            <w:vAlign w:val="bottom"/>
            <w:tcBorders>
              <w:top w:val="single" w:sz="8" w:color="auto"/>
            </w:tcBorders>
          </w:tcPr>
          <w:p>
            <w:pPr>
              <w:jc w:val="right"/>
              <w:ind w:right="48"/>
              <w:spacing w:after="0" w:line="97" w:lineRule="exact"/>
              <w:rPr>
                <w:sz w:val="20"/>
                <w:szCs w:val="20"/>
                <w:color w:val="auto"/>
              </w:rPr>
            </w:pPr>
            <w:r>
              <w:rPr>
                <w:rFonts w:ascii="Times New Roman" w:cs="Times New Roman" w:eastAsia="Times New Roman" w:hAnsi="Times New Roman"/>
                <w:sz w:val="10"/>
                <w:szCs w:val="10"/>
                <w:b w:val="1"/>
                <w:bCs w:val="1"/>
                <w:color w:val="auto"/>
              </w:rPr>
              <w:t>Amount</w:t>
            </w:r>
          </w:p>
        </w:tc>
        <w:tc>
          <w:tcPr>
            <w:tcW w:w="2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center"/>
              <w:ind w:right="123"/>
              <w:spacing w:after="0" w:line="97" w:lineRule="exact"/>
              <w:rPr>
                <w:sz w:val="20"/>
                <w:szCs w:val="20"/>
                <w:color w:val="auto"/>
              </w:rPr>
            </w:pPr>
            <w:r>
              <w:rPr>
                <w:rFonts w:ascii="Times New Roman" w:cs="Times New Roman" w:eastAsia="Times New Roman" w:hAnsi="Times New Roman"/>
                <w:sz w:val="10"/>
                <w:szCs w:val="10"/>
                <w:b w:val="1"/>
                <w:bCs w:val="1"/>
                <w:color w:val="auto"/>
                <w:w w:val="94"/>
              </w:rPr>
              <w:t>Capital</w:t>
            </w:r>
          </w:p>
        </w:tc>
        <w:tc>
          <w:tcPr>
            <w:tcW w:w="2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center"/>
              <w:ind w:right="103"/>
              <w:spacing w:after="0" w:line="97" w:lineRule="exact"/>
              <w:rPr>
                <w:sz w:val="20"/>
                <w:szCs w:val="20"/>
                <w:color w:val="auto"/>
              </w:rPr>
            </w:pPr>
            <w:r>
              <w:rPr>
                <w:rFonts w:ascii="Times New Roman" w:cs="Times New Roman" w:eastAsia="Times New Roman" w:hAnsi="Times New Roman"/>
                <w:sz w:val="10"/>
                <w:szCs w:val="10"/>
                <w:b w:val="1"/>
                <w:bCs w:val="1"/>
                <w:color w:val="auto"/>
                <w:w w:val="91"/>
              </w:rPr>
              <w:t>Deficit</w:t>
            </w: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center"/>
              <w:ind w:right="82"/>
              <w:spacing w:after="0" w:line="97" w:lineRule="exact"/>
              <w:rPr>
                <w:sz w:val="20"/>
                <w:szCs w:val="20"/>
                <w:color w:val="auto"/>
              </w:rPr>
            </w:pPr>
            <w:r>
              <w:rPr>
                <w:rFonts w:ascii="Times New Roman" w:cs="Times New Roman" w:eastAsia="Times New Roman" w:hAnsi="Times New Roman"/>
                <w:sz w:val="10"/>
                <w:szCs w:val="10"/>
                <w:b w:val="1"/>
                <w:bCs w:val="1"/>
                <w:color w:val="auto"/>
                <w:w w:val="89"/>
              </w:rPr>
              <w:t>Equity</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Balances at January 1, 2020</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44,658,054</w:t>
            </w:r>
          </w:p>
        </w:tc>
        <w:tc>
          <w:tcPr>
            <w:tcW w:w="22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ind w:right="66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172,708</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(157,806)</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14,947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Stock-based compensation</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Issuance of common stock under equity incentive plan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28,757</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Net loss</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(5,858)</w:t>
            </w:r>
          </w:p>
        </w:tc>
        <w:tc>
          <w:tcPr>
            <w:tcW w:w="14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(5,858)</w:t>
            </w:r>
          </w:p>
        </w:tc>
        <w:tc>
          <w:tcPr>
            <w:tcW w:w="0" w:type="dxa"/>
            <w:vAlign w:val="bottom"/>
          </w:tcPr>
          <w:p>
            <w:pPr>
              <w:spacing w:after="0"/>
              <w:rPr>
                <w:sz w:val="1"/>
                <w:szCs w:val="1"/>
                <w:color w:val="auto"/>
              </w:rPr>
            </w:pPr>
          </w:p>
        </w:tc>
      </w:tr>
      <w:tr>
        <w:trPr>
          <w:trHeight w:val="142"/>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Balances at March 31, 2020</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44,686,811</w:t>
            </w:r>
          </w:p>
        </w:tc>
        <w:tc>
          <w:tcPr>
            <w:tcW w:w="22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173,100</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(163,664)</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9,481</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Stock-based compensation</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Issuance of common stock under equity incentive plan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24,979</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Sale of common stock in public offering, net of costs of $3,778</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34,848,484</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53,687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Net loss</w:t>
            </w: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(7,384)</w:t>
            </w: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(7,384)</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Balances at June 30, 2020</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79,560,274</w:t>
            </w: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227,145</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(171,048)</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56,177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Stock-based compensation</w:t>
            </w: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Issuance of common stock under equity incentive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33,347</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Net loss</w:t>
            </w: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(8,545)</w:t>
            </w: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(8,545)</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Balances at September 30, 2020</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79,593,621</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66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227,519</w:t>
            </w: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(179,593)</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51"/>
        </w:trPr>
        <w:tc>
          <w:tcPr>
            <w:tcW w:w="5220" w:type="dxa"/>
            <w:vAlign w:val="bottom"/>
          </w:tcPr>
          <w:p>
            <w:pPr>
              <w:spacing w:after="0"/>
              <w:rPr>
                <w:sz w:val="24"/>
                <w:szCs w:val="24"/>
                <w:color w:val="auto"/>
              </w:rPr>
            </w:pPr>
          </w:p>
        </w:tc>
        <w:tc>
          <w:tcPr>
            <w:tcW w:w="2020" w:type="dxa"/>
            <w:vAlign w:val="bottom"/>
            <w:gridSpan w:val="3"/>
            <w:vMerge w:val="restart"/>
          </w:tcPr>
          <w:p>
            <w:pPr>
              <w:jc w:val="right"/>
              <w:ind w:right="528"/>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60" w:type="dxa"/>
            <w:vAlign w:val="bottom"/>
          </w:tcPr>
          <w:p>
            <w:pPr>
              <w:spacing w:after="0"/>
              <w:rPr>
                <w:sz w:val="24"/>
                <w:szCs w:val="24"/>
                <w:color w:val="auto"/>
              </w:rPr>
            </w:pPr>
          </w:p>
        </w:tc>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140" w:type="dxa"/>
            <w:vAlign w:val="bottom"/>
          </w:tcPr>
          <w:p>
            <w:pPr>
              <w:spacing w:after="0"/>
              <w:rPr>
                <w:sz w:val="24"/>
                <w:szCs w:val="2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15"/>
        </w:trPr>
        <w:tc>
          <w:tcPr>
            <w:tcW w:w="5220" w:type="dxa"/>
            <w:vAlign w:val="bottom"/>
          </w:tcPr>
          <w:p>
            <w:pPr>
              <w:spacing w:after="0"/>
              <w:rPr>
                <w:sz w:val="10"/>
                <w:szCs w:val="10"/>
                <w:color w:val="auto"/>
              </w:rPr>
            </w:pPr>
          </w:p>
        </w:tc>
        <w:tc>
          <w:tcPr>
            <w:tcW w:w="202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9"/>
              </w:rPr>
              <w:t>Paid-In</w:t>
            </w:r>
          </w:p>
        </w:tc>
        <w:tc>
          <w:tcPr>
            <w:tcW w:w="1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Stockholders’</w:t>
            </w:r>
          </w:p>
        </w:tc>
        <w:tc>
          <w:tcPr>
            <w:tcW w:w="0" w:type="dxa"/>
            <w:vAlign w:val="bottom"/>
          </w:tcPr>
          <w:p>
            <w:pPr>
              <w:spacing w:after="0"/>
              <w:rPr>
                <w:sz w:val="1"/>
                <w:szCs w:val="1"/>
                <w:color w:val="auto"/>
              </w:rPr>
            </w:pPr>
          </w:p>
        </w:tc>
      </w:tr>
      <w:tr>
        <w:trPr>
          <w:trHeight w:val="97"/>
        </w:trPr>
        <w:tc>
          <w:tcPr>
            <w:tcW w:w="5220" w:type="dxa"/>
            <w:vAlign w:val="bottom"/>
          </w:tcPr>
          <w:p>
            <w:pPr>
              <w:spacing w:after="0"/>
              <w:rPr>
                <w:sz w:val="8"/>
                <w:szCs w:val="8"/>
                <w:color w:val="auto"/>
              </w:rPr>
            </w:pPr>
          </w:p>
        </w:tc>
        <w:tc>
          <w:tcPr>
            <w:tcW w:w="1240" w:type="dxa"/>
            <w:vAlign w:val="bottom"/>
            <w:gridSpan w:val="2"/>
          </w:tcPr>
          <w:p>
            <w:pPr>
              <w:ind w:left="380"/>
              <w:spacing w:after="0" w:line="97" w:lineRule="exact"/>
              <w:rPr>
                <w:sz w:val="20"/>
                <w:szCs w:val="20"/>
                <w:color w:val="auto"/>
              </w:rPr>
            </w:pPr>
            <w:r>
              <w:rPr>
                <w:rFonts w:ascii="Times New Roman" w:cs="Times New Roman" w:eastAsia="Times New Roman" w:hAnsi="Times New Roman"/>
                <w:sz w:val="10"/>
                <w:szCs w:val="10"/>
                <w:b w:val="1"/>
                <w:bCs w:val="1"/>
                <w:color w:val="auto"/>
              </w:rPr>
              <w:t>Shares</w:t>
            </w:r>
          </w:p>
        </w:tc>
        <w:tc>
          <w:tcPr>
            <w:tcW w:w="780" w:type="dxa"/>
            <w:vAlign w:val="bottom"/>
          </w:tcPr>
          <w:p>
            <w:pPr>
              <w:jc w:val="right"/>
              <w:ind w:right="48"/>
              <w:spacing w:after="0" w:line="97" w:lineRule="exact"/>
              <w:rPr>
                <w:sz w:val="20"/>
                <w:szCs w:val="20"/>
                <w:color w:val="auto"/>
              </w:rPr>
            </w:pPr>
            <w:r>
              <w:rPr>
                <w:rFonts w:ascii="Times New Roman" w:cs="Times New Roman" w:eastAsia="Times New Roman" w:hAnsi="Times New Roman"/>
                <w:sz w:val="10"/>
                <w:szCs w:val="10"/>
                <w:b w:val="1"/>
                <w:bCs w:val="1"/>
                <w:color w:val="auto"/>
              </w:rPr>
              <w:t>Amount</w:t>
            </w: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2"/>
          </w:tcPr>
          <w:p>
            <w:pPr>
              <w:jc w:val="center"/>
              <w:ind w:right="400"/>
              <w:spacing w:after="0" w:line="97" w:lineRule="exact"/>
              <w:rPr>
                <w:sz w:val="20"/>
                <w:szCs w:val="20"/>
                <w:color w:val="auto"/>
              </w:rPr>
            </w:pPr>
            <w:r>
              <w:rPr>
                <w:rFonts w:ascii="Times New Roman" w:cs="Times New Roman" w:eastAsia="Times New Roman" w:hAnsi="Times New Roman"/>
                <w:sz w:val="10"/>
                <w:szCs w:val="10"/>
                <w:b w:val="1"/>
                <w:bCs w:val="1"/>
                <w:color w:val="auto"/>
                <w:w w:val="94"/>
              </w:rPr>
              <w:t>Capital</w:t>
            </w:r>
          </w:p>
        </w:tc>
        <w:tc>
          <w:tcPr>
            <w:tcW w:w="160" w:type="dxa"/>
            <w:vAlign w:val="bottom"/>
          </w:tcPr>
          <w:p>
            <w:pPr>
              <w:spacing w:after="0"/>
              <w:rPr>
                <w:sz w:val="8"/>
                <w:szCs w:val="8"/>
                <w:color w:val="auto"/>
              </w:rPr>
            </w:pPr>
          </w:p>
        </w:tc>
        <w:tc>
          <w:tcPr>
            <w:tcW w:w="1080" w:type="dxa"/>
            <w:vAlign w:val="bottom"/>
            <w:gridSpan w:val="2"/>
          </w:tcPr>
          <w:p>
            <w:pPr>
              <w:jc w:val="center"/>
              <w:ind w:right="380"/>
              <w:spacing w:after="0" w:line="97" w:lineRule="exact"/>
              <w:rPr>
                <w:sz w:val="20"/>
                <w:szCs w:val="20"/>
                <w:color w:val="auto"/>
              </w:rPr>
            </w:pPr>
            <w:r>
              <w:rPr>
                <w:rFonts w:ascii="Times New Roman" w:cs="Times New Roman" w:eastAsia="Times New Roman" w:hAnsi="Times New Roman"/>
                <w:sz w:val="10"/>
                <w:szCs w:val="10"/>
                <w:b w:val="1"/>
                <w:bCs w:val="1"/>
                <w:color w:val="auto"/>
                <w:w w:val="91"/>
              </w:rPr>
              <w:t>Deficit</w:t>
            </w:r>
          </w:p>
        </w:tc>
        <w:tc>
          <w:tcPr>
            <w:tcW w:w="140" w:type="dxa"/>
            <w:vAlign w:val="bottom"/>
          </w:tcPr>
          <w:p>
            <w:pPr>
              <w:spacing w:after="0"/>
              <w:rPr>
                <w:sz w:val="8"/>
                <w:szCs w:val="8"/>
                <w:color w:val="auto"/>
              </w:rPr>
            </w:pPr>
          </w:p>
        </w:tc>
        <w:tc>
          <w:tcPr>
            <w:tcW w:w="1000" w:type="dxa"/>
            <w:vAlign w:val="bottom"/>
            <w:gridSpan w:val="2"/>
          </w:tcPr>
          <w:p>
            <w:pPr>
              <w:jc w:val="center"/>
              <w:ind w:right="260"/>
              <w:spacing w:after="0" w:line="97" w:lineRule="exact"/>
              <w:rPr>
                <w:sz w:val="20"/>
                <w:szCs w:val="20"/>
                <w:color w:val="auto"/>
              </w:rPr>
            </w:pPr>
            <w:r>
              <w:rPr>
                <w:rFonts w:ascii="Times New Roman" w:cs="Times New Roman" w:eastAsia="Times New Roman" w:hAnsi="Times New Roman"/>
                <w:sz w:val="10"/>
                <w:szCs w:val="10"/>
                <w:b w:val="1"/>
                <w:bCs w:val="1"/>
                <w:color w:val="auto"/>
                <w:w w:val="89"/>
              </w:rPr>
              <w:t>Equity</w:t>
            </w:r>
          </w:p>
        </w:tc>
        <w:tc>
          <w:tcPr>
            <w:tcW w:w="0" w:type="dxa"/>
            <w:vAlign w:val="bottom"/>
          </w:tcPr>
          <w:p>
            <w:pPr>
              <w:spacing w:after="0"/>
              <w:rPr>
                <w:sz w:val="1"/>
                <w:szCs w:val="1"/>
                <w:color w:val="auto"/>
              </w:rPr>
            </w:pPr>
          </w:p>
        </w:tc>
      </w:tr>
      <w:tr>
        <w:trPr>
          <w:trHeight w:val="142"/>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Balances at January 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31,755,169</w:t>
            </w:r>
          </w:p>
        </w:tc>
        <w:tc>
          <w:tcPr>
            <w:tcW w:w="22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ind w:right="66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157,413</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(127,032)</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30,413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Stock-based compensation</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Issuance of common stock under equity incentive plan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21,415</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Net loss</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(7,030)</w:t>
            </w:r>
          </w:p>
        </w:tc>
        <w:tc>
          <w:tcPr>
            <w:tcW w:w="14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(7,030)</w:t>
            </w:r>
          </w:p>
        </w:tc>
        <w:tc>
          <w:tcPr>
            <w:tcW w:w="0" w:type="dxa"/>
            <w:vAlign w:val="bottom"/>
          </w:tcPr>
          <w:p>
            <w:pPr>
              <w:spacing w:after="0"/>
              <w:rPr>
                <w:sz w:val="1"/>
                <w:szCs w:val="1"/>
                <w:color w:val="auto"/>
              </w:rPr>
            </w:pPr>
          </w:p>
        </w:tc>
      </w:tr>
      <w:tr>
        <w:trPr>
          <w:trHeight w:val="142"/>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Balances at March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31,776,584</w:t>
            </w:r>
          </w:p>
        </w:tc>
        <w:tc>
          <w:tcPr>
            <w:tcW w:w="22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157,661</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(134,062)</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23,631</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Stock-based compensation</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Issuance of common stock under equity incentive plan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16,708</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Net loss</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(10,008)</w:t>
            </w:r>
          </w:p>
        </w:tc>
        <w:tc>
          <w:tcPr>
            <w:tcW w:w="14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(10,008)</w:t>
            </w:r>
          </w:p>
        </w:tc>
        <w:tc>
          <w:tcPr>
            <w:tcW w:w="0" w:type="dxa"/>
            <w:vAlign w:val="bottom"/>
          </w:tcPr>
          <w:p>
            <w:pPr>
              <w:spacing w:after="0"/>
              <w:rPr>
                <w:sz w:val="1"/>
                <w:szCs w:val="1"/>
                <w:color w:val="auto"/>
              </w:rPr>
            </w:pPr>
          </w:p>
        </w:tc>
      </w:tr>
      <w:tr>
        <w:trPr>
          <w:trHeight w:val="142"/>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Balances at June 30,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31,793,292</w:t>
            </w:r>
          </w:p>
        </w:tc>
        <w:tc>
          <w:tcPr>
            <w:tcW w:w="22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157,881</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(144,070)</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13,843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Stock-based compensation</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Net loss</w:t>
            </w:r>
          </w:p>
        </w:tc>
        <w:tc>
          <w:tcPr>
            <w:tcW w:w="102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889</w:t>
            </w:r>
          </w:p>
        </w:tc>
        <w:tc>
          <w:tcPr>
            <w:tcW w:w="2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889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Balances at September 30, 2019</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31,793,292</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158,034</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(143,181)</w:t>
            </w:r>
          </w:p>
        </w:tc>
        <w:tc>
          <w:tcPr>
            <w:tcW w:w="22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See accompanying notes to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Soleno Therapeutics,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8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97"/>
              </w:rPr>
              <w:t>Nine Months Ended September 30,</w:t>
            </w:r>
          </w:p>
        </w:tc>
        <w:tc>
          <w:tcPr>
            <w:tcW w:w="9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7"/>
        </w:trPr>
        <w:tc>
          <w:tcPr>
            <w:tcW w:w="7780" w:type="dxa"/>
            <w:vAlign w:val="bottom"/>
          </w:tcPr>
          <w:p>
            <w:pPr>
              <w:spacing w:after="0"/>
              <w:rPr>
                <w:sz w:val="8"/>
                <w:szCs w:val="8"/>
                <w:color w:val="auto"/>
              </w:rPr>
            </w:pPr>
          </w:p>
        </w:tc>
        <w:tc>
          <w:tcPr>
            <w:tcW w:w="940" w:type="dxa"/>
            <w:vAlign w:val="bottom"/>
          </w:tcPr>
          <w:p>
            <w:pPr>
              <w:jc w:val="right"/>
              <w:ind w:right="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jc w:val="right"/>
              <w:ind w:right="62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Pr>
          <w:p>
            <w:pPr>
              <w:spacing w:after="0"/>
              <w:rPr>
                <w:sz w:val="8"/>
                <w:szCs w:val="8"/>
                <w:color w:val="auto"/>
              </w:rPr>
            </w:pPr>
          </w:p>
        </w:tc>
      </w:tr>
      <w:tr>
        <w:trPr>
          <w:trHeight w:val="15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9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940" w:type="dxa"/>
            <w:vAlign w:val="bottom"/>
          </w:tcPr>
          <w:p>
            <w:pPr>
              <w:jc w:val="right"/>
              <w:ind w:right="82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(21,787)</w:t>
            </w:r>
          </w:p>
        </w:tc>
        <w:tc>
          <w:tcPr>
            <w:tcW w:w="64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(16,149)</w:t>
            </w:r>
          </w:p>
        </w:tc>
      </w:tr>
      <w:tr>
        <w:trPr>
          <w:trHeight w:val="15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9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1,466</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1,468</w:t>
            </w: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Noncash lease expense</w:t>
            </w:r>
          </w:p>
        </w:tc>
        <w:tc>
          <w:tcPr>
            <w:tcW w:w="9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2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322</w:t>
            </w: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9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1,107</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Change in fair value of stock warrants</w:t>
            </w:r>
          </w:p>
        </w:tc>
        <w:tc>
          <w:tcPr>
            <w:tcW w:w="9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(6,532)</w:t>
            </w:r>
          </w:p>
        </w:tc>
        <w:tc>
          <w:tcPr>
            <w:tcW w:w="6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(930)</w:t>
            </w:r>
          </w:p>
        </w:tc>
      </w:tr>
      <w:tr>
        <w:trPr>
          <w:trHeight w:val="153"/>
        </w:trPr>
        <w:tc>
          <w:tcPr>
            <w:tcW w:w="7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9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4,200</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w:t>
            </w: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Operating loss on minority interest investment</w:t>
            </w:r>
          </w:p>
        </w:tc>
        <w:tc>
          <w:tcPr>
            <w:tcW w:w="9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478</w:t>
            </w: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Prepaid expenses, other current assets and other assets</w:t>
            </w:r>
          </w:p>
        </w:tc>
        <w:tc>
          <w:tcPr>
            <w:tcW w:w="9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2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Due from related party</w:t>
            </w:r>
          </w:p>
        </w:tc>
        <w:tc>
          <w:tcPr>
            <w:tcW w:w="94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Accounts payable</w:t>
            </w:r>
          </w:p>
        </w:tc>
        <w:tc>
          <w:tcPr>
            <w:tcW w:w="9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1,215</w:t>
            </w:r>
          </w:p>
        </w:tc>
        <w:tc>
          <w:tcPr>
            <w:tcW w:w="2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801</w:t>
            </w: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Accrued compensation</w:t>
            </w:r>
          </w:p>
        </w:tc>
        <w:tc>
          <w:tcPr>
            <w:tcW w:w="9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473</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Accrued clinical trial site costs</w:t>
            </w:r>
          </w:p>
        </w:tc>
        <w:tc>
          <w:tcPr>
            <w:tcW w:w="9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1,400</w:t>
            </w:r>
          </w:p>
        </w:tc>
        <w:tc>
          <w:tcPr>
            <w:tcW w:w="2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711</w:t>
            </w: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9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(224)</w:t>
            </w:r>
          </w:p>
        </w:tc>
        <w:tc>
          <w:tcPr>
            <w:tcW w:w="64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(318)</w:t>
            </w:r>
          </w:p>
        </w:tc>
      </w:tr>
      <w:tr>
        <w:trPr>
          <w:trHeight w:val="153"/>
        </w:trPr>
        <w:tc>
          <w:tcPr>
            <w:tcW w:w="77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Other liabilities</w:t>
            </w:r>
          </w:p>
        </w:tc>
        <w:tc>
          <w:tcPr>
            <w:tcW w:w="9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(7)</w:t>
            </w:r>
          </w:p>
        </w:tc>
        <w:tc>
          <w:tcPr>
            <w:tcW w:w="6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20" w:type="dxa"/>
            <w:vAlign w:val="bottom"/>
            <w:shd w:val="clear" w:color="auto" w:fill="CFF0FC"/>
          </w:tcPr>
          <w:p>
            <w:pPr>
              <w:spacing w:after="0"/>
              <w:rPr>
                <w:sz w:val="13"/>
                <w:szCs w:val="13"/>
                <w:color w:val="auto"/>
              </w:rPr>
            </w:pPr>
          </w:p>
        </w:tc>
      </w:tr>
      <w:tr>
        <w:trPr>
          <w:trHeight w:val="142"/>
        </w:trPr>
        <w:tc>
          <w:tcPr>
            <w:tcW w:w="778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2"/>
                <w:szCs w:val="12"/>
                <w:b w:val="1"/>
                <w:bCs w:val="1"/>
                <w:color w:val="auto"/>
              </w:rPr>
              <w:t>Net cash used in operating activities</w:t>
            </w:r>
          </w:p>
        </w:tc>
        <w:tc>
          <w:tcPr>
            <w:tcW w:w="9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(18,357)</w:t>
            </w:r>
          </w:p>
        </w:tc>
        <w:tc>
          <w:tcPr>
            <w:tcW w:w="280" w:type="dxa"/>
            <w:vAlign w:val="bottom"/>
            <w:tcBorders>
              <w:bottom w:val="single" w:sz="8" w:color="CFF0FC"/>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(12,299)</w:t>
            </w:r>
          </w:p>
        </w:tc>
        <w:tc>
          <w:tcPr>
            <w:tcW w:w="120" w:type="dxa"/>
            <w:vAlign w:val="bottom"/>
            <w:tcBorders>
              <w:bottom w:val="single" w:sz="8" w:color="CFF0FC"/>
            </w:tcBorders>
          </w:tcPr>
          <w:p>
            <w:pPr>
              <w:spacing w:after="0"/>
              <w:rPr>
                <w:sz w:val="12"/>
                <w:szCs w:val="12"/>
                <w:color w:val="auto"/>
              </w:rPr>
            </w:pPr>
          </w:p>
        </w:tc>
      </w:tr>
      <w:tr>
        <w:trPr>
          <w:trHeight w:val="142"/>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7780" w:type="dxa"/>
            <w:vAlign w:val="bottom"/>
          </w:tcPr>
          <w:p>
            <w:pPr>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9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w:t>
            </w:r>
          </w:p>
        </w:tc>
        <w:tc>
          <w:tcPr>
            <w:tcW w:w="64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w:t>
            </w:r>
          </w:p>
        </w:tc>
      </w:tr>
      <w:tr>
        <w:trPr>
          <w:trHeight w:val="15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Security deposit on sublease</w:t>
            </w:r>
          </w:p>
        </w:tc>
        <w:tc>
          <w:tcPr>
            <w:tcW w:w="9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(59)</w:t>
            </w:r>
          </w:p>
        </w:tc>
      </w:tr>
      <w:tr>
        <w:trPr>
          <w:trHeight w:val="153"/>
        </w:trPr>
        <w:tc>
          <w:tcPr>
            <w:tcW w:w="7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Proceeds from sale of minority interest investment in former subsidiary</w:t>
            </w:r>
          </w:p>
        </w:tc>
        <w:tc>
          <w:tcPr>
            <w:tcW w:w="9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120" w:type="dxa"/>
            <w:vAlign w:val="bottom"/>
            <w:tcBorders>
              <w:bottom w:val="single" w:sz="8" w:color="CFF0FC"/>
            </w:tcBorders>
          </w:tcPr>
          <w:p>
            <w:pPr>
              <w:spacing w:after="0"/>
              <w:rPr>
                <w:sz w:val="13"/>
                <w:szCs w:val="13"/>
                <w:color w:val="auto"/>
              </w:rPr>
            </w:pPr>
          </w:p>
        </w:tc>
      </w:tr>
      <w:tr>
        <w:trPr>
          <w:trHeight w:val="142"/>
        </w:trPr>
        <w:tc>
          <w:tcPr>
            <w:tcW w:w="7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2"/>
                <w:szCs w:val="12"/>
                <w:b w:val="1"/>
                <w:bCs w:val="1"/>
                <w:color w:val="auto"/>
              </w:rPr>
              <w:t>Net cash provided by (used in) investing activities</w:t>
            </w:r>
          </w:p>
        </w:tc>
        <w:tc>
          <w:tcPr>
            <w:tcW w:w="9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(3)</w:t>
            </w:r>
          </w:p>
        </w:tc>
        <w:tc>
          <w:tcPr>
            <w:tcW w:w="6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425</w:t>
            </w:r>
          </w:p>
        </w:tc>
        <w:tc>
          <w:tcPr>
            <w:tcW w:w="120" w:type="dxa"/>
            <w:vAlign w:val="bottom"/>
            <w:shd w:val="clear" w:color="auto" w:fill="CFF0FC"/>
          </w:tcPr>
          <w:p>
            <w:pPr>
              <w:spacing w:after="0"/>
              <w:rPr>
                <w:sz w:val="12"/>
                <w:szCs w:val="12"/>
                <w:color w:val="auto"/>
              </w:rPr>
            </w:pPr>
          </w:p>
        </w:tc>
      </w:tr>
      <w:tr>
        <w:trPr>
          <w:trHeight w:val="142"/>
        </w:trPr>
        <w:tc>
          <w:tcPr>
            <w:tcW w:w="7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9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Proceeds from sale of common stock, net of costs</w:t>
            </w:r>
          </w:p>
        </w:tc>
        <w:tc>
          <w:tcPr>
            <w:tcW w:w="9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53,760</w:t>
            </w:r>
          </w:p>
        </w:tc>
        <w:tc>
          <w:tcPr>
            <w:tcW w:w="2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778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stock option exercises</w:t>
            </w:r>
          </w:p>
        </w:tc>
        <w:tc>
          <w:tcPr>
            <w:tcW w:w="9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Principal paid on finance lease liabilities</w:t>
            </w:r>
          </w:p>
        </w:tc>
        <w:tc>
          <w:tcPr>
            <w:tcW w:w="9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(13)</w:t>
            </w:r>
          </w:p>
        </w:tc>
        <w:tc>
          <w:tcPr>
            <w:tcW w:w="6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778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9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53,764</w:t>
            </w:r>
          </w:p>
        </w:tc>
        <w:tc>
          <w:tcPr>
            <w:tcW w:w="280" w:type="dxa"/>
            <w:vAlign w:val="bottom"/>
            <w:tcBorders>
              <w:bottom w:val="single" w:sz="8" w:color="CFF0FC"/>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tcPr>
          <w:p>
            <w:pPr>
              <w:spacing w:after="0"/>
              <w:rPr>
                <w:sz w:val="12"/>
                <w:szCs w:val="12"/>
                <w:color w:val="auto"/>
              </w:rPr>
            </w:pPr>
          </w:p>
        </w:tc>
      </w:tr>
      <w:tr>
        <w:trPr>
          <w:trHeight w:val="142"/>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Net increase (decrease) in cash and cash equivalents</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35,404</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(11,874)</w:t>
            </w:r>
          </w:p>
        </w:tc>
        <w:tc>
          <w:tcPr>
            <w:tcW w:w="120" w:type="dxa"/>
            <w:vAlign w:val="bottom"/>
            <w:shd w:val="clear" w:color="auto" w:fill="CFF0FC"/>
          </w:tcPr>
          <w:p>
            <w:pPr>
              <w:spacing w:after="0"/>
              <w:rPr>
                <w:sz w:val="12"/>
                <w:szCs w:val="12"/>
                <w:color w:val="auto"/>
              </w:rPr>
            </w:pPr>
          </w:p>
        </w:tc>
      </w:tr>
      <w:tr>
        <w:trPr>
          <w:trHeight w:val="153"/>
        </w:trPr>
        <w:tc>
          <w:tcPr>
            <w:tcW w:w="7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beginning of period</w:t>
            </w:r>
          </w:p>
        </w:tc>
        <w:tc>
          <w:tcPr>
            <w:tcW w:w="9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20,733</w:t>
            </w:r>
          </w:p>
        </w:tc>
        <w:tc>
          <w:tcPr>
            <w:tcW w:w="28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23,099</w:t>
            </w:r>
          </w:p>
        </w:tc>
        <w:tc>
          <w:tcPr>
            <w:tcW w:w="120" w:type="dxa"/>
            <w:vAlign w:val="bottom"/>
            <w:tcBorders>
              <w:bottom w:val="single" w:sz="8" w:color="CFF0FC"/>
            </w:tcBorders>
          </w:tcPr>
          <w:p>
            <w:pPr>
              <w:spacing w:after="0"/>
              <w:rPr>
                <w:sz w:val="13"/>
                <w:szCs w:val="13"/>
                <w:color w:val="auto"/>
              </w:rPr>
            </w:pPr>
          </w:p>
        </w:tc>
      </w:tr>
      <w:tr>
        <w:trPr>
          <w:trHeight w:val="162"/>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end of period</w:t>
            </w:r>
          </w:p>
        </w:tc>
        <w:tc>
          <w:tcPr>
            <w:tcW w:w="940" w:type="dxa"/>
            <w:vAlign w:val="bottom"/>
            <w:tcBorders>
              <w:bottom w:val="single" w:sz="8" w:color="auto"/>
            </w:tcBorders>
            <w:shd w:val="clear" w:color="auto" w:fill="CFF0FC"/>
          </w:tcPr>
          <w:p>
            <w:pPr>
              <w:jc w:val="right"/>
              <w:ind w:right="82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56,137</w:t>
            </w:r>
          </w:p>
        </w:tc>
        <w:tc>
          <w:tcPr>
            <w:tcW w:w="28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11,225</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293"/>
        </w:trPr>
        <w:tc>
          <w:tcPr>
            <w:tcW w:w="7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Supplemental disclosure of non-cash investing and financing information</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Purchases of property and equipment in accounts payable</w:t>
            </w:r>
          </w:p>
        </w:tc>
        <w:tc>
          <w:tcPr>
            <w:tcW w:w="940" w:type="dxa"/>
            <w:vAlign w:val="bottom"/>
            <w:shd w:val="clear" w:color="auto" w:fill="CFF0FC"/>
          </w:tcPr>
          <w:p>
            <w:pPr>
              <w:jc w:val="right"/>
              <w:ind w:right="82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7"/>
        </w:trPr>
        <w:tc>
          <w:tcPr>
            <w:tcW w:w="7780" w:type="dxa"/>
            <w:vAlign w:val="bottom"/>
            <w:tcBorders>
              <w:top w:val="single" w:sz="8" w:color="CFF0FC"/>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Purchases of property and equipment with capital lease obligation</w:t>
            </w:r>
          </w:p>
        </w:tc>
        <w:tc>
          <w:tcPr>
            <w:tcW w:w="940" w:type="dxa"/>
            <w:vAlign w:val="bottom"/>
            <w:tcBorders>
              <w:top w:val="single" w:sz="8" w:color="auto"/>
              <w:bottom w:val="single" w:sz="8" w:color="auto"/>
            </w:tcBorders>
          </w:tcPr>
          <w:p>
            <w:pPr>
              <w:jc w:val="right"/>
              <w:ind w:right="82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top w:val="single" w:sz="8" w:color="CFF0FC"/>
              <w:bottom w:val="single" w:sz="8" w:color="CFF0FC"/>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20" w:type="dxa"/>
            <w:vAlign w:val="bottom"/>
            <w:tcBorders>
              <w:top w:val="single" w:sz="8" w:color="CFF0FC"/>
              <w:bottom w:val="single" w:sz="8" w:color="CFF0FC"/>
            </w:tcBorders>
          </w:tcPr>
          <w:p>
            <w:pPr>
              <w:spacing w:after="0"/>
              <w:rPr>
                <w:sz w:val="12"/>
                <w:szCs w:val="12"/>
                <w:color w:val="auto"/>
              </w:rPr>
            </w:pPr>
          </w:p>
        </w:tc>
      </w:tr>
      <w:tr>
        <w:trPr>
          <w:trHeight w:val="160"/>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Financing costs in accounts payable and accrued liabilities</w:t>
            </w:r>
          </w:p>
        </w:tc>
        <w:tc>
          <w:tcPr>
            <w:tcW w:w="940" w:type="dxa"/>
            <w:vAlign w:val="bottom"/>
            <w:tcBorders>
              <w:bottom w:val="single" w:sz="8" w:color="auto"/>
            </w:tcBorders>
            <w:shd w:val="clear" w:color="auto" w:fill="CFF0FC"/>
          </w:tcPr>
          <w:p>
            <w:pPr>
              <w:jc w:val="right"/>
              <w:ind w:right="82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28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3"/>
                <w:szCs w:val="13"/>
                <w:color w:val="auto"/>
              </w:rPr>
            </w:pPr>
          </w:p>
        </w:tc>
      </w:tr>
    </w:tbl>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See accompanying notes to condensed consolidated financial statements.</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1"/>
          <w:szCs w:val="11"/>
          <w:b w:val="1"/>
          <w:bCs w:val="1"/>
          <w:color w:val="auto"/>
        </w:rPr>
        <w:t>Soleno Therapeutics,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 Overview</w:t>
      </w:r>
    </w:p>
    <w:p>
      <w:pPr>
        <w:spacing w:after="0" w:line="154" w:lineRule="exact"/>
        <w:rPr>
          <w:sz w:val="20"/>
          <w:szCs w:val="20"/>
          <w:color w:val="auto"/>
        </w:rPr>
      </w:pPr>
    </w:p>
    <w:p>
      <w:pPr>
        <w:ind w:right="100" w:firstLine="513"/>
        <w:spacing w:after="0" w:line="260" w:lineRule="auto"/>
        <w:rPr>
          <w:sz w:val="20"/>
          <w:szCs w:val="20"/>
          <w:color w:val="auto"/>
        </w:rPr>
      </w:pPr>
      <w:r>
        <w:rPr>
          <w:rFonts w:ascii="Times New Roman" w:cs="Times New Roman" w:eastAsia="Times New Roman" w:hAnsi="Times New Roman"/>
          <w:sz w:val="12"/>
          <w:szCs w:val="12"/>
          <w:color w:val="auto"/>
        </w:rPr>
        <w:t>Soleno Therapeutics, Inc. (the Company or Soleno) was incorporated in the State of Delaware on August 25, 1999, and is located in Redwood City, California. The Company initially established its operations as Capnia, a diversified healthcare company that developed and commercialized innovative diagnostics, devices and therapeutics addressing unmet medical needs. During 2017, Soleno received stockholder approval to amend its Amended and Restated Certificate of Incorporation to change its name from “Capnia, Inc.” to “Soleno Therapeutics, Inc.” and merged with Essentialis, Inc. After the merger, the Company’s primary focus has been the development and commercialization of novel therapeutics for the treatment of rare diseases and the Company divested itself of its prior business efforts.</w:t>
      </w:r>
    </w:p>
    <w:p>
      <w:pPr>
        <w:spacing w:after="0" w:line="122" w:lineRule="exact"/>
        <w:rPr>
          <w:sz w:val="20"/>
          <w:szCs w:val="20"/>
          <w:color w:val="auto"/>
        </w:rPr>
      </w:pPr>
    </w:p>
    <w:p>
      <w:pPr>
        <w:ind w:firstLine="513"/>
        <w:spacing w:after="0" w:line="279" w:lineRule="auto"/>
        <w:rPr>
          <w:sz w:val="20"/>
          <w:szCs w:val="20"/>
          <w:color w:val="auto"/>
        </w:rPr>
      </w:pPr>
      <w:r>
        <w:rPr>
          <w:rFonts w:ascii="Times New Roman" w:cs="Times New Roman" w:eastAsia="Times New Roman" w:hAnsi="Times New Roman"/>
          <w:sz w:val="12"/>
          <w:szCs w:val="12"/>
          <w:color w:val="auto"/>
        </w:rPr>
        <w:t>The Company’s lead candidate is Diazoxide Choline Controlled Release tablets, or DCCR, once-daily oral tablets for the treatment of Prader-Willi Syndrome, or PWS. DCCR has orphan designation for the treatment of PWS in the United Statesas well as in the European Union.</w:t>
      </w:r>
    </w:p>
    <w:p>
      <w:pPr>
        <w:spacing w:after="0" w:line="111" w:lineRule="exact"/>
        <w:rPr>
          <w:sz w:val="20"/>
          <w:szCs w:val="20"/>
          <w:color w:val="auto"/>
        </w:rPr>
      </w:pPr>
    </w:p>
    <w:p>
      <w:pPr>
        <w:ind w:right="60" w:firstLine="513"/>
        <w:spacing w:after="0" w:line="260" w:lineRule="auto"/>
        <w:rPr>
          <w:sz w:val="20"/>
          <w:szCs w:val="20"/>
          <w:color w:val="auto"/>
        </w:rPr>
      </w:pPr>
      <w:r>
        <w:rPr>
          <w:rFonts w:ascii="Times New Roman" w:cs="Times New Roman" w:eastAsia="Times New Roman" w:hAnsi="Times New Roman"/>
          <w:sz w:val="12"/>
          <w:szCs w:val="12"/>
          <w:color w:val="auto"/>
        </w:rPr>
        <w:t>DCCR has been evaluated in a Phase III clinical development program (C601 or DESTINY PWS) with top line results announced in June 2020. Although the trial did not meet its primary endpoint of change from baseline in hyperphagia, significant improvements were observed in two of three key secondary endpoints and the Company is evaluating the data from the C601 and C602 studies to determine next steps. DESTINY PWS was a 3-month randomized, double-blind placebo-controlled study, which completed enrollment in January 2020, with 127 patients at 29 sites in the U.S. and U.K. Patients who complete treatment in DESTINY PWS are eligible to receive DCCR for up to 36 months in C602, an open-label extension study.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Liquidity</w:t>
      </w:r>
    </w:p>
    <w:p>
      <w:pPr>
        <w:spacing w:after="0" w:line="82" w:lineRule="exact"/>
        <w:rPr>
          <w:sz w:val="20"/>
          <w:szCs w:val="20"/>
          <w:color w:val="auto"/>
        </w:rPr>
      </w:pPr>
    </w:p>
    <w:p>
      <w:pPr>
        <w:ind w:right="80" w:firstLine="513"/>
        <w:spacing w:after="0" w:line="265" w:lineRule="auto"/>
        <w:rPr>
          <w:sz w:val="20"/>
          <w:szCs w:val="20"/>
          <w:color w:val="auto"/>
        </w:rPr>
      </w:pPr>
      <w:r>
        <w:rPr>
          <w:rFonts w:ascii="Times New Roman" w:cs="Times New Roman" w:eastAsia="Times New Roman" w:hAnsi="Times New Roman"/>
          <w:sz w:val="12"/>
          <w:szCs w:val="12"/>
          <w:color w:val="auto"/>
        </w:rPr>
        <w:t>The Company had a net loss of $21.8 million during the nine months ended September 30, 2020 and has an accumulated deficit of $179.6 million at September 30, 2020 resulting from having incurred losses since its inception. The Company had $56.1 million of cash and cash equivalents on hand at September 30, 2020 and used $18.4 million of cash in its operating activities during the nine months ended September 30, 2020. The Company has financed its operations principally through issuances of equity securities. On June 26, 2020, the Company sold 34,848,484 shares of common stock in an underwritten public offering at a price of $1.65 per share for net proceeds of $53.7 million. The Company expects to continue incurring losses for the foreseeable future. However, the Company expects that its current cash and cash equivalents balance are sufficient to enable the Company to meet its obligations for at least the next twelve months from the date of this filing.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3. Summary of Significant Accounting Policies</w:t>
      </w:r>
    </w:p>
    <w:p>
      <w:pPr>
        <w:spacing w:after="0" w:line="82" w:lineRule="exact"/>
        <w:rPr>
          <w:sz w:val="20"/>
          <w:szCs w:val="20"/>
          <w:color w:val="auto"/>
        </w:rPr>
      </w:pPr>
    </w:p>
    <w:p>
      <w:pPr>
        <w:ind w:right="580" w:firstLine="513"/>
        <w:spacing w:after="0" w:line="279" w:lineRule="auto"/>
        <w:rPr>
          <w:sz w:val="20"/>
          <w:szCs w:val="20"/>
          <w:color w:val="auto"/>
        </w:rPr>
      </w:pPr>
      <w:r>
        <w:rPr>
          <w:rFonts w:ascii="Times New Roman" w:cs="Times New Roman" w:eastAsia="Times New Roman" w:hAnsi="Times New Roman"/>
          <w:sz w:val="12"/>
          <w:szCs w:val="12"/>
          <w:color w:val="auto"/>
        </w:rPr>
        <w:t>There have been no material changes to the significant accounting policies during the nine months ended September 30, 2020 as compared to the significant accounting policies described in Note 3 of the “Notes to Consolidated Financial Statements” in the Company’s Annual Report on Form 10-K for the year ended December 31, 2019. Below are those policies with current period updates.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Basis of Presentation</w:t>
      </w:r>
    </w:p>
    <w:p>
      <w:pPr>
        <w:spacing w:after="0" w:line="82" w:lineRule="exact"/>
        <w:rPr>
          <w:sz w:val="20"/>
          <w:szCs w:val="20"/>
          <w:color w:val="auto"/>
        </w:rPr>
      </w:pPr>
    </w:p>
    <w:p>
      <w:pPr>
        <w:ind w:right="200" w:firstLine="513"/>
        <w:spacing w:after="0" w:line="255" w:lineRule="auto"/>
        <w:rPr>
          <w:sz w:val="20"/>
          <w:szCs w:val="20"/>
          <w:color w:val="auto"/>
        </w:rPr>
      </w:pPr>
      <w:r>
        <w:rPr>
          <w:rFonts w:ascii="Times New Roman" w:cs="Times New Roman" w:eastAsia="Times New Roman" w:hAnsi="Times New Roman"/>
          <w:sz w:val="12"/>
          <w:szCs w:val="12"/>
          <w:color w:val="auto"/>
        </w:rPr>
        <w:t>The accompanying unaudited condensed consolidated financial statements of the Company have been prepared on a going concern basis in accordance with accounting principles generally accepted in the United States of America (“GAAP”) for interim financial reporting and as required by Regulation S-X, Rule 10-01. Accordingly, they do not include all of the information and footnotes required by GAAP for complete financial statements. In the opinion of management, all adjustments (including those which are normal and recurring) considered necessary for a fair presentation of the interim financial information have been included. When preparing financial statements in conformity with GAAP, the Company must make estimates and assumptions that affect the reported amounts of assets, liabilities, revenues, expenses and related disclosures at the date of the financial statements. Actual results could differ from those estimates. Additionally, operating results for the three and nine months ended September 30, 2020, are not necessarily indicative of the results that may be expected for any other interim period or for the fiscal year ending December 31, 2020. For further information, refer to the financial statements and footnotes included in the Company’s annual financial statements for the fiscal year ended December 31, 2019, which are included in the Company’s annual report on Form 10-K filed with the SEC on March 4, 2020.</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2"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i w:val="1"/>
          <w:iCs w:val="1"/>
          <w:color w:val="auto"/>
        </w:rPr>
        <w:t>Use of Estimates</w:t>
      </w:r>
    </w:p>
    <w:p>
      <w:pPr>
        <w:spacing w:after="0" w:line="154" w:lineRule="exact"/>
        <w:rPr>
          <w:sz w:val="20"/>
          <w:szCs w:val="20"/>
          <w:color w:val="auto"/>
        </w:rPr>
      </w:pPr>
    </w:p>
    <w:p>
      <w:pPr>
        <w:ind w:firstLine="513"/>
        <w:spacing w:after="0" w:line="257" w:lineRule="auto"/>
        <w:rPr>
          <w:sz w:val="20"/>
          <w:szCs w:val="20"/>
          <w:color w:val="auto"/>
        </w:rPr>
      </w:pPr>
      <w:r>
        <w:rPr>
          <w:rFonts w:ascii="Times New Roman" w:cs="Times New Roman" w:eastAsia="Times New Roman" w:hAnsi="Times New Roman"/>
          <w:sz w:val="12"/>
          <w:szCs w:val="12"/>
          <w:color w:val="auto"/>
        </w:rPr>
        <w:t>The preparation of condensed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value and life of acquired intangibles, and the valuation of contingent liabilities. The contingent liability represents the fair value of the contingent consideration arising from the Company’s acquisition of Essentialis in 2017. As part of the purchase price, the Company is obligated to make cash earn out payments to Essentialis stockholders up to a maximum of $30 million upon the achievement of certain commercial milestones.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Standards</w:t>
      </w:r>
    </w:p>
    <w:p>
      <w:pPr>
        <w:spacing w:after="0" w:line="15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2"/>
          <w:szCs w:val="12"/>
          <w:color w:val="auto"/>
        </w:rPr>
        <w:t>From time to time, new accounting pronouncements are issued by the Financial Accounting Standards Board (“FASB”) or other standard setting bodies that are adopted by the Company as of the specified effective date.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Recently Adopted Accounting Standards</w:t>
      </w:r>
    </w:p>
    <w:p>
      <w:pPr>
        <w:spacing w:after="0" w:line="152" w:lineRule="exact"/>
        <w:rPr>
          <w:sz w:val="20"/>
          <w:szCs w:val="20"/>
          <w:color w:val="auto"/>
        </w:rPr>
      </w:pPr>
    </w:p>
    <w:p>
      <w:pPr>
        <w:ind w:right="20" w:firstLine="513"/>
        <w:spacing w:after="0" w:line="266" w:lineRule="auto"/>
        <w:rPr>
          <w:sz w:val="20"/>
          <w:szCs w:val="20"/>
          <w:color w:val="auto"/>
        </w:rPr>
      </w:pPr>
      <w:r>
        <w:rPr>
          <w:rFonts w:ascii="Times New Roman" w:cs="Times New Roman" w:eastAsia="Times New Roman" w:hAnsi="Times New Roman"/>
          <w:sz w:val="12"/>
          <w:szCs w:val="12"/>
          <w:color w:val="auto"/>
        </w:rPr>
        <w:t>In August 2018, the FASB issued ASU 2018-13, “</w:t>
      </w:r>
      <w:r>
        <w:rPr>
          <w:rFonts w:ascii="Times New Roman" w:cs="Times New Roman" w:eastAsia="Times New Roman" w:hAnsi="Times New Roman"/>
          <w:sz w:val="12"/>
          <w:szCs w:val="12"/>
          <w:i w:val="1"/>
          <w:iCs w:val="1"/>
          <w:color w:val="auto"/>
        </w:rPr>
        <w:t>Fair Value Measurement (Topic 820): Disclosure Framework—Changes to the Disclosure Requirements for Fair Value Measurement”.</w:t>
      </w:r>
      <w:r>
        <w:rPr>
          <w:rFonts w:ascii="Times New Roman" w:cs="Times New Roman" w:eastAsia="Times New Roman" w:hAnsi="Times New Roman"/>
          <w:sz w:val="12"/>
          <w:szCs w:val="12"/>
          <w:color w:val="auto"/>
        </w:rPr>
        <w:t xml:space="preserve"> The ASU modifies the disclosure requirements for fair value measurements by removing, modifying, or adding certain disclosures. The Company has adopted this ASU at the beginning of 2020. The adoption did not have a material impact on the Company’s condensed consolidated financial statements disclosures.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Recently Issued Accounting Standards</w:t>
      </w:r>
    </w:p>
    <w:p>
      <w:pPr>
        <w:spacing w:after="0" w:line="80" w:lineRule="exact"/>
        <w:rPr>
          <w:sz w:val="20"/>
          <w:szCs w:val="20"/>
          <w:color w:val="auto"/>
        </w:rPr>
      </w:pPr>
    </w:p>
    <w:p>
      <w:pPr>
        <w:ind w:right="40" w:firstLine="513"/>
        <w:spacing w:after="0" w:line="261" w:lineRule="auto"/>
        <w:rPr>
          <w:sz w:val="20"/>
          <w:szCs w:val="20"/>
          <w:color w:val="auto"/>
        </w:rPr>
      </w:pPr>
      <w:r>
        <w:rPr>
          <w:rFonts w:ascii="Times New Roman" w:cs="Times New Roman" w:eastAsia="Times New Roman" w:hAnsi="Times New Roman"/>
          <w:sz w:val="12"/>
          <w:szCs w:val="12"/>
          <w:color w:val="auto"/>
        </w:rPr>
        <w:t xml:space="preserve">In December 2019, the FASB issued ASU 2019-12: </w:t>
      </w:r>
      <w:r>
        <w:rPr>
          <w:rFonts w:ascii="Times New Roman" w:cs="Times New Roman" w:eastAsia="Times New Roman" w:hAnsi="Times New Roman"/>
          <w:sz w:val="12"/>
          <w:szCs w:val="12"/>
          <w:i w:val="1"/>
          <w:iCs w:val="1"/>
          <w:color w:val="auto"/>
        </w:rPr>
        <w:t>“Income Taxes (Topic 740): Simplifying the Accounting for Income Taxes”</w:t>
      </w:r>
      <w:r>
        <w:rPr>
          <w:rFonts w:ascii="Times New Roman" w:cs="Times New Roman" w:eastAsia="Times New Roman" w:hAnsi="Times New Roman"/>
          <w:sz w:val="12"/>
          <w:szCs w:val="12"/>
          <w:color w:val="auto"/>
        </w:rPr>
        <w:t>. The amendments in ASU 2019-12 simplify the accounting for income taxes by removing certain exceptions to the general principles in Topic 740. The amendments also improve consistent application of and simplify GAAP for other areas of Topic 740 by clarifying and amending existing guidance. The amendments in this Update are effective for public business entities for fiscal years, and interim periods within those fiscal years, beginning after December 15, 2020. The Company has not yet assessed the potential impact of adopting ASU 2019-12 on its condensed consolidated financial statements.</w:t>
      </w:r>
    </w:p>
    <w:p>
      <w:pPr>
        <w:spacing w:after="0" w:line="122" w:lineRule="exact"/>
        <w:rPr>
          <w:sz w:val="20"/>
          <w:szCs w:val="20"/>
          <w:color w:val="auto"/>
        </w:rPr>
      </w:pPr>
    </w:p>
    <w:p>
      <w:pPr>
        <w:ind w:right="60" w:firstLine="513"/>
        <w:spacing w:after="0" w:line="279" w:lineRule="auto"/>
        <w:rPr>
          <w:sz w:val="20"/>
          <w:szCs w:val="20"/>
          <w:color w:val="auto"/>
        </w:rPr>
      </w:pPr>
      <w:r>
        <w:rPr>
          <w:rFonts w:ascii="Times New Roman" w:cs="Times New Roman" w:eastAsia="Times New Roman" w:hAnsi="Times New Roman"/>
          <w:sz w:val="12"/>
          <w:szCs w:val="12"/>
          <w:color w:val="auto"/>
        </w:rPr>
        <w:t>During the nine months ended September 30, 2020, other than ASU 2019-12, there have been no new, or existing recently issued, accounting pronouncements that are of significance, or potential significance, that impact the Company’s condensed consolidated interim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4. Fair Value of Financial Instruments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carrying value of the Company’s cash, cash equivalents and accounts payable, approximate fair value due to the short-term nature of these items.</w:t>
      </w:r>
    </w:p>
    <w:p>
      <w:pPr>
        <w:spacing w:after="0" w:line="150" w:lineRule="exact"/>
        <w:rPr>
          <w:sz w:val="20"/>
          <w:szCs w:val="20"/>
          <w:color w:val="auto"/>
        </w:rPr>
      </w:pPr>
    </w:p>
    <w:p>
      <w:pPr>
        <w:ind w:right="80" w:firstLine="513"/>
        <w:spacing w:after="0" w:line="279" w:lineRule="auto"/>
        <w:rPr>
          <w:sz w:val="20"/>
          <w:szCs w:val="20"/>
          <w:color w:val="auto"/>
        </w:rPr>
      </w:pPr>
      <w:r>
        <w:rPr>
          <w:rFonts w:ascii="Times New Roman" w:cs="Times New Roman" w:eastAsia="Times New Roman" w:hAnsi="Times New Roman"/>
          <w:sz w:val="12"/>
          <w:szCs w:val="12"/>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fair value hierarchy defines a three-level valuation hierarchy for disclosure of fair value measurements as follows:</w:t>
      </w:r>
    </w:p>
    <w:p>
      <w:pPr>
        <w:spacing w:after="0" w:line="78" w:lineRule="exact"/>
        <w:rPr>
          <w:sz w:val="20"/>
          <w:szCs w:val="20"/>
          <w:color w:val="auto"/>
        </w:rPr>
      </w:pPr>
    </w:p>
    <w:p>
      <w:pPr>
        <w:ind w:left="880" w:hanging="375"/>
        <w:spacing w:after="0"/>
        <w:tabs>
          <w:tab w:leader="none" w:pos="8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I — Unadjusted quoted prices in active markets for identical assets or liabilities;</w:t>
      </w:r>
    </w:p>
    <w:p>
      <w:pPr>
        <w:spacing w:after="0" w:line="78" w:lineRule="exact"/>
        <w:rPr>
          <w:rFonts w:ascii="Times New Roman" w:cs="Times New Roman" w:eastAsia="Times New Roman" w:hAnsi="Times New Roman"/>
          <w:sz w:val="12"/>
          <w:szCs w:val="12"/>
          <w:color w:val="auto"/>
        </w:rPr>
      </w:pPr>
    </w:p>
    <w:p>
      <w:pPr>
        <w:ind w:left="880" w:right="80" w:hanging="375"/>
        <w:spacing w:after="0" w:line="279" w:lineRule="auto"/>
        <w:tabs>
          <w:tab w:leader="none" w:pos="8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39" w:lineRule="exact"/>
        <w:rPr>
          <w:rFonts w:ascii="Times New Roman" w:cs="Times New Roman" w:eastAsia="Times New Roman" w:hAnsi="Times New Roman"/>
          <w:sz w:val="12"/>
          <w:szCs w:val="12"/>
          <w:color w:val="auto"/>
        </w:rPr>
      </w:pPr>
    </w:p>
    <w:p>
      <w:pPr>
        <w:ind w:left="880" w:hanging="375"/>
        <w:spacing w:after="0"/>
        <w:tabs>
          <w:tab w:leader="none" w:pos="8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III — Unobservable inputs that are supported by little or no market activity for the related assets or liabilities.</w:t>
      </w:r>
    </w:p>
    <w:p>
      <w:pPr>
        <w:spacing w:after="0" w:line="1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categorization of a financial instrument within the valuation hierarchy is based upon the lowest level of input that is significant to the fair value measurement.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8" w:name="page9"/>
    <w:bookmarkEnd w:id="8"/>
    <w:p>
      <w:pPr>
        <w:ind w:left="500"/>
        <w:spacing w:after="0"/>
        <w:rPr>
          <w:sz w:val="20"/>
          <w:szCs w:val="20"/>
          <w:color w:val="auto"/>
        </w:rPr>
      </w:pPr>
      <w:r>
        <w:rPr>
          <w:rFonts w:ascii="Times New Roman" w:cs="Times New Roman" w:eastAsia="Times New Roman" w:hAnsi="Times New Roman"/>
          <w:sz w:val="12"/>
          <w:szCs w:val="12"/>
          <w:color w:val="auto"/>
        </w:rPr>
        <w:t>The following table sets forth the Company’s financial instruments that were measured at fair value on a recurring basis by level within the fair value hierarchy (in thousands).</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Fair Value Measurements at September 30, 2020</w:t>
            </w: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7"/>
        </w:trPr>
        <w:tc>
          <w:tcPr>
            <w:tcW w:w="5280" w:type="dxa"/>
            <w:vAlign w:val="bottom"/>
            <w:tcBorders>
              <w:bottom w:val="single" w:sz="8" w:color="CFF0FC"/>
            </w:tcBorders>
          </w:tcPr>
          <w:p>
            <w:pPr>
              <w:spacing w:after="0"/>
              <w:rPr>
                <w:sz w:val="8"/>
                <w:szCs w:val="8"/>
                <w:color w:val="auto"/>
              </w:rPr>
            </w:pPr>
          </w:p>
        </w:tc>
        <w:tc>
          <w:tcPr>
            <w:tcW w:w="6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Total</w:t>
            </w: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780" w:type="dxa"/>
            <w:vAlign w:val="bottom"/>
            <w:tcBorders>
              <w:bottom w:val="single" w:sz="8" w:color="auto"/>
            </w:tcBorders>
          </w:tcPr>
          <w:p>
            <w:pPr>
              <w:jc w:val="right"/>
              <w:ind w:right="69"/>
              <w:spacing w:after="0" w:line="97" w:lineRule="exact"/>
              <w:rPr>
                <w:sz w:val="20"/>
                <w:szCs w:val="20"/>
                <w:color w:val="auto"/>
              </w:rPr>
            </w:pPr>
            <w:r>
              <w:rPr>
                <w:rFonts w:ascii="Times New Roman" w:cs="Times New Roman" w:eastAsia="Times New Roman" w:hAnsi="Times New Roman"/>
                <w:sz w:val="10"/>
                <w:szCs w:val="10"/>
                <w:b w:val="1"/>
                <w:bCs w:val="1"/>
                <w:color w:val="auto"/>
              </w:rPr>
              <w:t>Level 1</w:t>
            </w: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900" w:type="dxa"/>
            <w:vAlign w:val="bottom"/>
            <w:tcBorders>
              <w:bottom w:val="single" w:sz="8" w:color="auto"/>
            </w:tcBorders>
          </w:tcPr>
          <w:p>
            <w:pPr>
              <w:jc w:val="right"/>
              <w:ind w:right="188"/>
              <w:spacing w:after="0" w:line="97" w:lineRule="exact"/>
              <w:rPr>
                <w:sz w:val="20"/>
                <w:szCs w:val="20"/>
                <w:color w:val="auto"/>
              </w:rPr>
            </w:pPr>
            <w:r>
              <w:rPr>
                <w:rFonts w:ascii="Times New Roman" w:cs="Times New Roman" w:eastAsia="Times New Roman" w:hAnsi="Times New Roman"/>
                <w:sz w:val="10"/>
                <w:szCs w:val="10"/>
                <w:b w:val="1"/>
                <w:bCs w:val="1"/>
                <w:color w:val="auto"/>
              </w:rPr>
              <w:t>Level 2</w:t>
            </w: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302"/>
              <w:spacing w:after="0" w:line="97" w:lineRule="exact"/>
              <w:rPr>
                <w:sz w:val="20"/>
                <w:szCs w:val="20"/>
                <w:color w:val="auto"/>
              </w:rPr>
            </w:pPr>
            <w:r>
              <w:rPr>
                <w:rFonts w:ascii="Times New Roman" w:cs="Times New Roman" w:eastAsia="Times New Roman" w:hAnsi="Times New Roman"/>
                <w:sz w:val="10"/>
                <w:szCs w:val="10"/>
                <w:b w:val="1"/>
                <w:bCs w:val="1"/>
                <w:color w:val="auto"/>
              </w:rPr>
              <w:t>Level 3</w:t>
            </w:r>
          </w:p>
        </w:tc>
        <w:tc>
          <w:tcPr>
            <w:tcW w:w="100" w:type="dxa"/>
            <w:vAlign w:val="bottom"/>
            <w:tcBorders>
              <w:bottom w:val="single" w:sz="8" w:color="CFF0FC"/>
            </w:tcBorders>
          </w:tcPr>
          <w:p>
            <w:pPr>
              <w:spacing w:after="0"/>
              <w:rPr>
                <w:sz w:val="8"/>
                <w:szCs w:val="8"/>
                <w:color w:val="auto"/>
              </w:rPr>
            </w:pPr>
          </w:p>
        </w:tc>
      </w:tr>
      <w:tr>
        <w:trPr>
          <w:trHeight w:val="142"/>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3"/>
        </w:trPr>
        <w:tc>
          <w:tcPr>
            <w:tcW w:w="5280" w:type="dxa"/>
            <w:vAlign w:val="bottom"/>
          </w:tcPr>
          <w:p>
            <w:pPr>
              <w:spacing w:after="0"/>
              <w:rPr>
                <w:sz w:val="20"/>
                <w:szCs w:val="20"/>
                <w:color w:val="auto"/>
              </w:rPr>
            </w:pPr>
            <w:r>
              <w:rPr>
                <w:rFonts w:ascii="Times New Roman" w:cs="Times New Roman" w:eastAsia="Times New Roman" w:hAnsi="Times New Roman"/>
                <w:sz w:val="12"/>
                <w:szCs w:val="12"/>
                <w:color w:val="auto"/>
              </w:rPr>
              <w:t>2017 PIPE warrant liability</w:t>
            </w:r>
          </w:p>
        </w:tc>
        <w:tc>
          <w:tcPr>
            <w:tcW w:w="660" w:type="dxa"/>
            <w:vAlign w:val="bottom"/>
          </w:tcPr>
          <w:p>
            <w:pPr>
              <w:jc w:val="right"/>
              <w:ind w:right="54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4,777</w:t>
            </w:r>
          </w:p>
        </w:tc>
        <w:tc>
          <w:tcPr>
            <w:tcW w:w="220" w:type="dxa"/>
            <w:vAlign w:val="bottom"/>
          </w:tcPr>
          <w:p>
            <w:pPr>
              <w:spacing w:after="0"/>
              <w:rPr>
                <w:sz w:val="13"/>
                <w:szCs w:val="13"/>
                <w:color w:val="auto"/>
              </w:rPr>
            </w:pPr>
          </w:p>
        </w:tc>
        <w:tc>
          <w:tcPr>
            <w:tcW w:w="780" w:type="dxa"/>
            <w:vAlign w:val="bottom"/>
          </w:tcPr>
          <w:p>
            <w:pPr>
              <w:jc w:val="right"/>
              <w:ind w:right="669"/>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4,777</w:t>
            </w:r>
          </w:p>
        </w:tc>
        <w:tc>
          <w:tcPr>
            <w:tcW w:w="100" w:type="dxa"/>
            <w:vAlign w:val="bottom"/>
          </w:tcPr>
          <w:p>
            <w:pPr>
              <w:spacing w:after="0"/>
              <w:rPr>
                <w:sz w:val="13"/>
                <w:szCs w:val="13"/>
                <w:color w:val="auto"/>
              </w:rPr>
            </w:pPr>
          </w:p>
        </w:tc>
      </w:tr>
      <w:tr>
        <w:trPr>
          <w:trHeight w:val="15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2018 PIPE warrant liability</w:t>
            </w:r>
          </w:p>
        </w:tc>
        <w:tc>
          <w:tcPr>
            <w:tcW w:w="66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867</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spacing w:after="0"/>
              <w:rPr>
                <w:sz w:val="13"/>
                <w:szCs w:val="13"/>
                <w:color w:val="auto"/>
              </w:rPr>
            </w:pPr>
          </w:p>
        </w:tc>
        <w:tc>
          <w:tcPr>
            <w:tcW w:w="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867</w:t>
            </w:r>
          </w:p>
        </w:tc>
        <w:tc>
          <w:tcPr>
            <w:tcW w:w="100" w:type="dxa"/>
            <w:vAlign w:val="bottom"/>
            <w:shd w:val="clear" w:color="auto" w:fill="CFF0FC"/>
          </w:tcPr>
          <w:p>
            <w:pPr>
              <w:spacing w:after="0"/>
              <w:rPr>
                <w:sz w:val="13"/>
                <w:szCs w:val="13"/>
                <w:color w:val="auto"/>
              </w:rPr>
            </w:pPr>
          </w:p>
        </w:tc>
      </w:tr>
      <w:tr>
        <w:trPr>
          <w:trHeight w:val="153"/>
        </w:trPr>
        <w:tc>
          <w:tcPr>
            <w:tcW w:w="5280" w:type="dxa"/>
            <w:vAlign w:val="bottom"/>
          </w:tcPr>
          <w:p>
            <w:pPr>
              <w:spacing w:after="0"/>
              <w:rPr>
                <w:sz w:val="20"/>
                <w:szCs w:val="20"/>
                <w:color w:val="auto"/>
              </w:rPr>
            </w:pPr>
            <w:r>
              <w:rPr>
                <w:rFonts w:ascii="Times New Roman" w:cs="Times New Roman" w:eastAsia="Times New Roman" w:hAnsi="Times New Roman"/>
                <w:sz w:val="12"/>
                <w:szCs w:val="12"/>
                <w:color w:val="auto"/>
              </w:rPr>
              <w:t>Essentialis purchase price contingency liability</w:t>
            </w: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10,138</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10,138</w:t>
            </w:r>
          </w:p>
        </w:tc>
        <w:tc>
          <w:tcPr>
            <w:tcW w:w="100" w:type="dxa"/>
            <w:vAlign w:val="bottom"/>
          </w:tcPr>
          <w:p>
            <w:pPr>
              <w:spacing w:after="0"/>
              <w:rPr>
                <w:sz w:val="13"/>
                <w:szCs w:val="13"/>
                <w:color w:val="auto"/>
              </w:rPr>
            </w:pPr>
          </w:p>
        </w:tc>
      </w:tr>
      <w:tr>
        <w:trPr>
          <w:trHeight w:val="131"/>
        </w:trPr>
        <w:tc>
          <w:tcPr>
            <w:tcW w:w="5280" w:type="dxa"/>
            <w:vAlign w:val="bottom"/>
            <w:tcBorders>
              <w:top w:val="single" w:sz="8" w:color="CFF0FC"/>
            </w:tcBorders>
            <w:shd w:val="clear" w:color="auto" w:fill="CFF0FC"/>
          </w:tcPr>
          <w:p>
            <w:pPr>
              <w:ind w:left="160"/>
              <w:spacing w:after="0" w:line="132" w:lineRule="exact"/>
              <w:rPr>
                <w:sz w:val="20"/>
                <w:szCs w:val="20"/>
                <w:color w:val="auto"/>
              </w:rPr>
            </w:pPr>
            <w:r>
              <w:rPr>
                <w:rFonts w:ascii="Times New Roman" w:cs="Times New Roman" w:eastAsia="Times New Roman" w:hAnsi="Times New Roman"/>
                <w:sz w:val="12"/>
                <w:szCs w:val="12"/>
                <w:color w:val="auto"/>
              </w:rPr>
              <w:t>Total common stock warrant and contingent</w:t>
            </w:r>
          </w:p>
        </w:tc>
        <w:tc>
          <w:tcPr>
            <w:tcW w:w="66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55"/>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consideration liability</w:t>
            </w:r>
          </w:p>
        </w:tc>
        <w:tc>
          <w:tcPr>
            <w:tcW w:w="66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15,782</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9"/>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15,782</w:t>
            </w:r>
          </w:p>
        </w:tc>
        <w:tc>
          <w:tcPr>
            <w:tcW w:w="100" w:type="dxa"/>
            <w:vAlign w:val="bottom"/>
            <w:shd w:val="clear" w:color="auto" w:fill="CFF0FC"/>
          </w:tcPr>
          <w:p>
            <w:pPr>
              <w:spacing w:after="0"/>
              <w:rPr>
                <w:sz w:val="13"/>
                <w:szCs w:val="13"/>
                <w:color w:val="auto"/>
              </w:rPr>
            </w:pPr>
          </w:p>
        </w:tc>
      </w:tr>
      <w:tr>
        <w:trPr>
          <w:trHeight w:val="27"/>
        </w:trPr>
        <w:tc>
          <w:tcPr>
            <w:tcW w:w="5280" w:type="dxa"/>
            <w:vAlign w:val="bottom"/>
            <w:shd w:val="clear" w:color="auto" w:fill="CFF0F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306"/>
        </w:trPr>
        <w:tc>
          <w:tcPr>
            <w:tcW w:w="52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Fair Value Measurements at December 31, 2019</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97"/>
        </w:trPr>
        <w:tc>
          <w:tcPr>
            <w:tcW w:w="5280" w:type="dxa"/>
            <w:vAlign w:val="bottom"/>
            <w:tcBorders>
              <w:bottom w:val="single" w:sz="8" w:color="CFF0FC"/>
            </w:tcBorders>
          </w:tcPr>
          <w:p>
            <w:pPr>
              <w:spacing w:after="0"/>
              <w:rPr>
                <w:sz w:val="8"/>
                <w:szCs w:val="8"/>
                <w:color w:val="auto"/>
              </w:rPr>
            </w:pPr>
          </w:p>
        </w:tc>
        <w:tc>
          <w:tcPr>
            <w:tcW w:w="6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Total</w:t>
            </w: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780" w:type="dxa"/>
            <w:vAlign w:val="bottom"/>
            <w:tcBorders>
              <w:bottom w:val="single" w:sz="8" w:color="auto"/>
            </w:tcBorders>
          </w:tcPr>
          <w:p>
            <w:pPr>
              <w:jc w:val="right"/>
              <w:ind w:right="69"/>
              <w:spacing w:after="0" w:line="97" w:lineRule="exact"/>
              <w:rPr>
                <w:sz w:val="20"/>
                <w:szCs w:val="20"/>
                <w:color w:val="auto"/>
              </w:rPr>
            </w:pPr>
            <w:r>
              <w:rPr>
                <w:rFonts w:ascii="Times New Roman" w:cs="Times New Roman" w:eastAsia="Times New Roman" w:hAnsi="Times New Roman"/>
                <w:sz w:val="10"/>
                <w:szCs w:val="10"/>
                <w:b w:val="1"/>
                <w:bCs w:val="1"/>
                <w:color w:val="auto"/>
              </w:rPr>
              <w:t>Level 1</w:t>
            </w: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900" w:type="dxa"/>
            <w:vAlign w:val="bottom"/>
            <w:tcBorders>
              <w:bottom w:val="single" w:sz="8" w:color="auto"/>
            </w:tcBorders>
          </w:tcPr>
          <w:p>
            <w:pPr>
              <w:jc w:val="right"/>
              <w:ind w:right="188"/>
              <w:spacing w:after="0" w:line="97" w:lineRule="exact"/>
              <w:rPr>
                <w:sz w:val="20"/>
                <w:szCs w:val="20"/>
                <w:color w:val="auto"/>
              </w:rPr>
            </w:pPr>
            <w:r>
              <w:rPr>
                <w:rFonts w:ascii="Times New Roman" w:cs="Times New Roman" w:eastAsia="Times New Roman" w:hAnsi="Times New Roman"/>
                <w:sz w:val="10"/>
                <w:szCs w:val="10"/>
                <w:b w:val="1"/>
                <w:bCs w:val="1"/>
                <w:color w:val="auto"/>
              </w:rPr>
              <w:t>Level 2</w:t>
            </w: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302"/>
              <w:spacing w:after="0" w:line="97" w:lineRule="exact"/>
              <w:rPr>
                <w:sz w:val="20"/>
                <w:szCs w:val="20"/>
                <w:color w:val="auto"/>
              </w:rPr>
            </w:pPr>
            <w:r>
              <w:rPr>
                <w:rFonts w:ascii="Times New Roman" w:cs="Times New Roman" w:eastAsia="Times New Roman" w:hAnsi="Times New Roman"/>
                <w:sz w:val="10"/>
                <w:szCs w:val="10"/>
                <w:b w:val="1"/>
                <w:bCs w:val="1"/>
                <w:color w:val="auto"/>
              </w:rPr>
              <w:t>Level 3</w:t>
            </w:r>
          </w:p>
        </w:tc>
        <w:tc>
          <w:tcPr>
            <w:tcW w:w="100" w:type="dxa"/>
            <w:vAlign w:val="bottom"/>
            <w:tcBorders>
              <w:bottom w:val="single" w:sz="8" w:color="CFF0FC"/>
            </w:tcBorders>
          </w:tcPr>
          <w:p>
            <w:pPr>
              <w:spacing w:after="0"/>
              <w:rPr>
                <w:sz w:val="8"/>
                <w:szCs w:val="8"/>
                <w:color w:val="auto"/>
              </w:rPr>
            </w:pPr>
          </w:p>
        </w:tc>
      </w:tr>
      <w:tr>
        <w:trPr>
          <w:trHeight w:val="142"/>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3"/>
        </w:trPr>
        <w:tc>
          <w:tcPr>
            <w:tcW w:w="5280" w:type="dxa"/>
            <w:vAlign w:val="bottom"/>
          </w:tcPr>
          <w:p>
            <w:pPr>
              <w:spacing w:after="0"/>
              <w:rPr>
                <w:sz w:val="20"/>
                <w:szCs w:val="20"/>
                <w:color w:val="auto"/>
              </w:rPr>
            </w:pPr>
            <w:r>
              <w:rPr>
                <w:rFonts w:ascii="Times New Roman" w:cs="Times New Roman" w:eastAsia="Times New Roman" w:hAnsi="Times New Roman"/>
                <w:sz w:val="12"/>
                <w:szCs w:val="12"/>
                <w:color w:val="auto"/>
              </w:rPr>
              <w:t>2017 PIPE warrant liability</w:t>
            </w:r>
          </w:p>
        </w:tc>
        <w:tc>
          <w:tcPr>
            <w:tcW w:w="660" w:type="dxa"/>
            <w:vAlign w:val="bottom"/>
          </w:tcPr>
          <w:p>
            <w:pPr>
              <w:jc w:val="right"/>
              <w:ind w:right="54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10,822</w:t>
            </w:r>
          </w:p>
        </w:tc>
        <w:tc>
          <w:tcPr>
            <w:tcW w:w="220" w:type="dxa"/>
            <w:vAlign w:val="bottom"/>
          </w:tcPr>
          <w:p>
            <w:pPr>
              <w:spacing w:after="0"/>
              <w:rPr>
                <w:sz w:val="13"/>
                <w:szCs w:val="13"/>
                <w:color w:val="auto"/>
              </w:rPr>
            </w:pPr>
          </w:p>
        </w:tc>
        <w:tc>
          <w:tcPr>
            <w:tcW w:w="780" w:type="dxa"/>
            <w:vAlign w:val="bottom"/>
          </w:tcPr>
          <w:p>
            <w:pPr>
              <w:jc w:val="right"/>
              <w:ind w:right="669"/>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10,822</w:t>
            </w:r>
          </w:p>
        </w:tc>
        <w:tc>
          <w:tcPr>
            <w:tcW w:w="100" w:type="dxa"/>
            <w:vAlign w:val="bottom"/>
          </w:tcPr>
          <w:p>
            <w:pPr>
              <w:spacing w:after="0"/>
              <w:rPr>
                <w:sz w:val="13"/>
                <w:szCs w:val="13"/>
                <w:color w:val="auto"/>
              </w:rPr>
            </w:pPr>
          </w:p>
        </w:tc>
      </w:tr>
      <w:tr>
        <w:trPr>
          <w:trHeight w:val="15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2018 PIPE warrant liability</w:t>
            </w:r>
          </w:p>
        </w:tc>
        <w:tc>
          <w:tcPr>
            <w:tcW w:w="66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1,354</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spacing w:after="0"/>
              <w:rPr>
                <w:sz w:val="13"/>
                <w:szCs w:val="13"/>
                <w:color w:val="auto"/>
              </w:rPr>
            </w:pPr>
          </w:p>
        </w:tc>
        <w:tc>
          <w:tcPr>
            <w:tcW w:w="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1,354</w:t>
            </w:r>
          </w:p>
        </w:tc>
        <w:tc>
          <w:tcPr>
            <w:tcW w:w="100" w:type="dxa"/>
            <w:vAlign w:val="bottom"/>
            <w:shd w:val="clear" w:color="auto" w:fill="CFF0FC"/>
          </w:tcPr>
          <w:p>
            <w:pPr>
              <w:spacing w:after="0"/>
              <w:rPr>
                <w:sz w:val="13"/>
                <w:szCs w:val="13"/>
                <w:color w:val="auto"/>
              </w:rPr>
            </w:pPr>
          </w:p>
        </w:tc>
      </w:tr>
      <w:tr>
        <w:trPr>
          <w:trHeight w:val="153"/>
        </w:trPr>
        <w:tc>
          <w:tcPr>
            <w:tcW w:w="5280" w:type="dxa"/>
            <w:vAlign w:val="bottom"/>
          </w:tcPr>
          <w:p>
            <w:pPr>
              <w:spacing w:after="0"/>
              <w:rPr>
                <w:sz w:val="20"/>
                <w:szCs w:val="20"/>
                <w:color w:val="auto"/>
              </w:rPr>
            </w:pPr>
            <w:r>
              <w:rPr>
                <w:rFonts w:ascii="Times New Roman" w:cs="Times New Roman" w:eastAsia="Times New Roman" w:hAnsi="Times New Roman"/>
                <w:sz w:val="12"/>
                <w:szCs w:val="12"/>
                <w:color w:val="auto"/>
              </w:rPr>
              <w:t>Essentialis purchase price contingency liability</w:t>
            </w: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5,938</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5,938</w:t>
            </w:r>
          </w:p>
        </w:tc>
        <w:tc>
          <w:tcPr>
            <w:tcW w:w="100" w:type="dxa"/>
            <w:vAlign w:val="bottom"/>
          </w:tcPr>
          <w:p>
            <w:pPr>
              <w:spacing w:after="0"/>
              <w:rPr>
                <w:sz w:val="13"/>
                <w:szCs w:val="13"/>
                <w:color w:val="auto"/>
              </w:rPr>
            </w:pPr>
          </w:p>
        </w:tc>
      </w:tr>
      <w:tr>
        <w:trPr>
          <w:trHeight w:val="131"/>
        </w:trPr>
        <w:tc>
          <w:tcPr>
            <w:tcW w:w="5280" w:type="dxa"/>
            <w:vAlign w:val="bottom"/>
            <w:tcBorders>
              <w:top w:val="single" w:sz="8" w:color="CFF0FC"/>
            </w:tcBorders>
            <w:shd w:val="clear" w:color="auto" w:fill="CFF0FC"/>
          </w:tcPr>
          <w:p>
            <w:pPr>
              <w:ind w:left="160"/>
              <w:spacing w:after="0" w:line="132" w:lineRule="exact"/>
              <w:rPr>
                <w:sz w:val="20"/>
                <w:szCs w:val="20"/>
                <w:color w:val="auto"/>
              </w:rPr>
            </w:pPr>
            <w:r>
              <w:rPr>
                <w:rFonts w:ascii="Times New Roman" w:cs="Times New Roman" w:eastAsia="Times New Roman" w:hAnsi="Times New Roman"/>
                <w:sz w:val="12"/>
                <w:szCs w:val="12"/>
                <w:color w:val="auto"/>
              </w:rPr>
              <w:t>Total common stock warrant and contingent</w:t>
            </w:r>
          </w:p>
        </w:tc>
        <w:tc>
          <w:tcPr>
            <w:tcW w:w="66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55"/>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consideration liability</w:t>
            </w:r>
          </w:p>
        </w:tc>
        <w:tc>
          <w:tcPr>
            <w:tcW w:w="66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18,114</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9"/>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18,114</w:t>
            </w:r>
          </w:p>
        </w:tc>
        <w:tc>
          <w:tcPr>
            <w:tcW w:w="100" w:type="dxa"/>
            <w:vAlign w:val="bottom"/>
            <w:shd w:val="clear" w:color="auto" w:fill="CFF0FC"/>
          </w:tcPr>
          <w:p>
            <w:pPr>
              <w:spacing w:after="0"/>
              <w:rPr>
                <w:sz w:val="13"/>
                <w:szCs w:val="13"/>
                <w:color w:val="auto"/>
              </w:rPr>
            </w:pPr>
          </w:p>
        </w:tc>
      </w:tr>
      <w:tr>
        <w:trPr>
          <w:trHeight w:val="27"/>
        </w:trPr>
        <w:tc>
          <w:tcPr>
            <w:tcW w:w="5280" w:type="dxa"/>
            <w:vAlign w:val="bottom"/>
            <w:shd w:val="clear" w:color="auto" w:fill="CFF0F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160" w:lineRule="exact"/>
        <w:rPr>
          <w:sz w:val="20"/>
          <w:szCs w:val="20"/>
          <w:color w:val="auto"/>
        </w:rPr>
      </w:pPr>
    </w:p>
    <w:p>
      <w:pPr>
        <w:ind w:right="240" w:firstLine="513"/>
        <w:spacing w:after="0" w:line="260" w:lineRule="auto"/>
        <w:rPr>
          <w:sz w:val="20"/>
          <w:szCs w:val="20"/>
          <w:color w:val="auto"/>
        </w:rPr>
      </w:pPr>
      <w:r>
        <w:rPr>
          <w:rFonts w:ascii="Times New Roman" w:cs="Times New Roman" w:eastAsia="Times New Roman" w:hAnsi="Times New Roman"/>
          <w:sz w:val="12"/>
          <w:szCs w:val="12"/>
          <w:color w:val="auto"/>
        </w:rPr>
        <w:t>The Company’s estimated fair value of the 2017 PIPE Warrants and the 2018 PIPE Warrants was calculated using a Black-Scholes pricing model. The Black-Scholes pricing model requires the input of highly subjective assumptions including the expected stock price volatility, the expected term, the expected dividend yield and the risk-free interest rate. Through March 31, 2020 the Company had previously used the Monte Carlo simulation of a geometric Brownian motion model to estimate the fair value of the 2017 PIPE Warrants and the 2018 PIPE Warrant as this model allows for determining path-dependent outcomes. The difference in valuation as a result of using the Black-Scholes pricing model compared to the Monte Carlo simulation model is not significant.</w:t>
      </w:r>
    </w:p>
    <w:p>
      <w:pPr>
        <w:spacing w:after="0" w:line="167" w:lineRule="exact"/>
        <w:rPr>
          <w:sz w:val="20"/>
          <w:szCs w:val="20"/>
          <w:color w:val="auto"/>
        </w:rPr>
      </w:pPr>
    </w:p>
    <w:p>
      <w:pPr>
        <w:jc w:val="both"/>
        <w:ind w:right="300" w:firstLine="513"/>
        <w:spacing w:after="0" w:line="265" w:lineRule="auto"/>
        <w:rPr>
          <w:sz w:val="20"/>
          <w:szCs w:val="20"/>
          <w:color w:val="auto"/>
        </w:rPr>
      </w:pPr>
      <w:r>
        <w:rPr>
          <w:rFonts w:ascii="Times New Roman" w:cs="Times New Roman" w:eastAsia="Times New Roman" w:hAnsi="Times New Roman"/>
          <w:sz w:val="12"/>
          <w:szCs w:val="12"/>
          <w:color w:val="auto"/>
        </w:rPr>
        <w:t>The fair value of the Essentialis purchase price contingent liability is estimated using scenario-based methods based upon the Company’s analysis of the likelihood of obtaining specified approvals from the Federal Drug Administration as well as reaching cumulative revenue milestones. The Level 3 estimates are based, in part, on subjective assumptions. During the periods presented, the Company has not changed the manner in which it values its Essentialis purchase price contingent liability.</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There were no transfers between levels within the hierarchy during the periods presented.</w:t>
      </w:r>
    </w:p>
    <w:p>
      <w:pPr>
        <w:spacing w:after="0" w:line="1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following table sets forth a summary of the changes in the fair value of the Company’s Level 3 liabilities (dollars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00" w:type="dxa"/>
            <w:vAlign w:val="bottom"/>
          </w:tcPr>
          <w:p>
            <w:pPr>
              <w:spacing w:after="0"/>
              <w:rPr>
                <w:sz w:val="10"/>
                <w:szCs w:val="10"/>
                <w:color w:val="auto"/>
              </w:rPr>
            </w:pPr>
          </w:p>
        </w:tc>
        <w:tc>
          <w:tcPr>
            <w:tcW w:w="188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0"/>
                <w:szCs w:val="10"/>
                <w:b w:val="1"/>
                <w:bCs w:val="1"/>
                <w:color w:val="auto"/>
              </w:rPr>
              <w:t>Series C Warrants</w:t>
            </w:r>
          </w:p>
        </w:tc>
        <w:tc>
          <w:tcPr>
            <w:tcW w:w="2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120" w:type="dxa"/>
            <w:vAlign w:val="bottom"/>
            <w:tcBorders>
              <w:bottom w:val="single" w:sz="8" w:color="auto"/>
            </w:tcBorders>
            <w:gridSpan w:val="4"/>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2017 PIPE Warrants</w:t>
            </w:r>
          </w:p>
        </w:tc>
        <w:tc>
          <w:tcPr>
            <w:tcW w:w="220" w:type="dxa"/>
            <w:vAlign w:val="bottom"/>
          </w:tcPr>
          <w:p>
            <w:pPr>
              <w:spacing w:after="0"/>
              <w:rPr>
                <w:sz w:val="10"/>
                <w:szCs w:val="10"/>
                <w:color w:val="auto"/>
              </w:rPr>
            </w:pPr>
          </w:p>
        </w:tc>
        <w:tc>
          <w:tcPr>
            <w:tcW w:w="184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0"/>
                <w:szCs w:val="10"/>
                <w:b w:val="1"/>
                <w:bCs w:val="1"/>
                <w:color w:val="auto"/>
              </w:rPr>
              <w:t>2018 PIPE Warrants</w:t>
            </w:r>
          </w:p>
        </w:tc>
        <w:tc>
          <w:tcPr>
            <w:tcW w:w="3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Purchase Price</w:t>
            </w: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1160" w:type="dxa"/>
            <w:vAlign w:val="bottom"/>
            <w:gridSpan w:val="2"/>
          </w:tcPr>
          <w:p>
            <w:pPr>
              <w:jc w:val="right"/>
              <w:ind w:right="480"/>
              <w:spacing w:after="0" w:line="81" w:lineRule="exact"/>
              <w:rPr>
                <w:sz w:val="20"/>
                <w:szCs w:val="20"/>
                <w:color w:val="auto"/>
              </w:rPr>
            </w:pPr>
            <w:r>
              <w:rPr>
                <w:rFonts w:ascii="Times New Roman" w:cs="Times New Roman" w:eastAsia="Times New Roman" w:hAnsi="Times New Roman"/>
                <w:sz w:val="8"/>
                <w:szCs w:val="8"/>
                <w:b w:val="1"/>
                <w:bCs w:val="1"/>
                <w:color w:val="auto"/>
              </w:rPr>
              <w:t>Number of</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Liability</w:t>
            </w: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gridSpan w:val="2"/>
          </w:tcPr>
          <w:p>
            <w:pPr>
              <w:jc w:val="center"/>
              <w:ind w:right="220"/>
              <w:spacing w:after="0" w:line="81" w:lineRule="exact"/>
              <w:rPr>
                <w:sz w:val="20"/>
                <w:szCs w:val="20"/>
                <w:color w:val="auto"/>
              </w:rPr>
            </w:pPr>
            <w:r>
              <w:rPr>
                <w:rFonts w:ascii="Times New Roman" w:cs="Times New Roman" w:eastAsia="Times New Roman" w:hAnsi="Times New Roman"/>
                <w:sz w:val="8"/>
                <w:szCs w:val="8"/>
                <w:b w:val="1"/>
                <w:bCs w:val="1"/>
                <w:color w:val="auto"/>
              </w:rPr>
              <w:t>Number of</w:t>
            </w:r>
          </w:p>
        </w:tc>
        <w:tc>
          <w:tcPr>
            <w:tcW w:w="180" w:type="dxa"/>
            <w:vAlign w:val="bottom"/>
          </w:tcPr>
          <w:p>
            <w:pPr>
              <w:spacing w:after="0"/>
              <w:rPr>
                <w:sz w:val="7"/>
                <w:szCs w:val="7"/>
                <w:color w:val="auto"/>
              </w:rPr>
            </w:pPr>
          </w:p>
        </w:tc>
        <w:tc>
          <w:tcPr>
            <w:tcW w:w="10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Liability</w:t>
            </w:r>
          </w:p>
        </w:tc>
        <w:tc>
          <w:tcPr>
            <w:tcW w:w="1160" w:type="dxa"/>
            <w:vAlign w:val="bottom"/>
            <w:gridSpan w:val="2"/>
          </w:tcPr>
          <w:p>
            <w:pPr>
              <w:jc w:val="center"/>
              <w:ind w:right="220"/>
              <w:spacing w:after="0" w:line="81" w:lineRule="exact"/>
              <w:rPr>
                <w:sz w:val="20"/>
                <w:szCs w:val="20"/>
                <w:color w:val="auto"/>
              </w:rPr>
            </w:pPr>
            <w:r>
              <w:rPr>
                <w:rFonts w:ascii="Times New Roman" w:cs="Times New Roman" w:eastAsia="Times New Roman" w:hAnsi="Times New Roman"/>
                <w:sz w:val="8"/>
                <w:szCs w:val="8"/>
                <w:b w:val="1"/>
                <w:bCs w:val="1"/>
                <w:color w:val="auto"/>
              </w:rPr>
              <w:t>Number of</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Liability</w:t>
            </w: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tcPr>
          <w:p>
            <w:pPr>
              <w:jc w:val="center"/>
              <w:ind w:right="240"/>
              <w:spacing w:after="0" w:line="81" w:lineRule="exact"/>
              <w:rPr>
                <w:sz w:val="20"/>
                <w:szCs w:val="20"/>
                <w:color w:val="auto"/>
              </w:rPr>
            </w:pPr>
            <w:r>
              <w:rPr>
                <w:rFonts w:ascii="Times New Roman" w:cs="Times New Roman" w:eastAsia="Times New Roman" w:hAnsi="Times New Roman"/>
                <w:sz w:val="8"/>
                <w:szCs w:val="8"/>
                <w:b w:val="1"/>
                <w:bCs w:val="1"/>
                <w:color w:val="auto"/>
              </w:rPr>
              <w:t>Contingent</w:t>
            </w:r>
          </w:p>
        </w:tc>
        <w:tc>
          <w:tcPr>
            <w:tcW w:w="0" w:type="dxa"/>
            <w:vAlign w:val="bottom"/>
          </w:tcPr>
          <w:p>
            <w:pPr>
              <w:spacing w:after="0"/>
              <w:rPr>
                <w:sz w:val="1"/>
                <w:szCs w:val="1"/>
                <w:color w:val="auto"/>
              </w:rPr>
            </w:pPr>
          </w:p>
        </w:tc>
      </w:tr>
      <w:tr>
        <w:trPr>
          <w:trHeight w:val="115"/>
        </w:trPr>
        <w:tc>
          <w:tcPr>
            <w:tcW w:w="3200" w:type="dxa"/>
            <w:vAlign w:val="bottom"/>
          </w:tcPr>
          <w:p>
            <w:pPr>
              <w:spacing w:after="0"/>
              <w:rPr>
                <w:sz w:val="10"/>
                <w:szCs w:val="1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Warrants</w:t>
            </w:r>
          </w:p>
        </w:tc>
        <w:tc>
          <w:tcPr>
            <w:tcW w:w="7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1"/>
              </w:rPr>
              <w:t>Warrants</w:t>
            </w:r>
          </w:p>
        </w:tc>
        <w:tc>
          <w:tcPr>
            <w:tcW w:w="1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1"/>
              </w:rPr>
              <w:t>Warrants</w:t>
            </w:r>
          </w:p>
        </w:tc>
        <w:tc>
          <w:tcPr>
            <w:tcW w:w="6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2"/>
              </w:rPr>
              <w:t>Liability</w:t>
            </w:r>
          </w:p>
        </w:tc>
        <w:tc>
          <w:tcPr>
            <w:tcW w:w="0" w:type="dxa"/>
            <w:vAlign w:val="bottom"/>
          </w:tcPr>
          <w:p>
            <w:pPr>
              <w:spacing w:after="0"/>
              <w:rPr>
                <w:sz w:val="1"/>
                <w:szCs w:val="1"/>
                <w:color w:val="auto"/>
              </w:rPr>
            </w:pPr>
          </w:p>
        </w:tc>
      </w:tr>
      <w:tr>
        <w:trPr>
          <w:trHeight w:val="142"/>
        </w:trPr>
        <w:tc>
          <w:tcPr>
            <w:tcW w:w="3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at December 31, 2019</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118,083</w:t>
            </w:r>
          </w:p>
        </w:tc>
        <w:tc>
          <w:tcPr>
            <w:tcW w:w="2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ind w:right="608"/>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Borders>
              <w:top w:val="single" w:sz="8" w:color="CFF0FC"/>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6,024,425</w:t>
            </w: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10,822</w:t>
            </w:r>
          </w:p>
        </w:tc>
        <w:tc>
          <w:tcPr>
            <w:tcW w:w="220" w:type="dxa"/>
            <w:vAlign w:val="bottom"/>
            <w:tcBorders>
              <w:top w:val="single" w:sz="8" w:color="CFF0FC"/>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513,617</w:t>
            </w:r>
          </w:p>
        </w:tc>
        <w:tc>
          <w:tcPr>
            <w:tcW w:w="20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ind w:right="568"/>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6"/>
              </w:rPr>
              <w:t>1,354</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5,938</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Expiration of Series C Warrants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(118,083)</w:t>
            </w:r>
          </w:p>
        </w:tc>
        <w:tc>
          <w:tcPr>
            <w:tcW w:w="720" w:type="dxa"/>
            <w:vAlign w:val="bottom"/>
          </w:tcPr>
          <w:p>
            <w:pPr>
              <w:spacing w:after="0"/>
              <w:rPr>
                <w:sz w:val="13"/>
                <w:szCs w:val="13"/>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spacing w:after="0"/>
              <w:rPr>
                <w:sz w:val="13"/>
                <w:szCs w:val="13"/>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Change in value of 2017 PIPE Warrants</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FF0FC"/>
          </w:tcPr>
          <w:p>
            <w:pPr>
              <w:spacing w:after="0"/>
              <w:rPr>
                <w:sz w:val="13"/>
                <w:szCs w:val="13"/>
                <w:color w:val="auto"/>
              </w:rPr>
            </w:pPr>
          </w:p>
        </w:tc>
        <w:tc>
          <w:tcPr>
            <w:tcW w:w="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(6,045)</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Change in value of 2018 PIPE Warrants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13"/>
                <w:szCs w:val="13"/>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(487)</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Change in value of contingent liability</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FF0FC"/>
          </w:tcPr>
          <w:p>
            <w:pPr>
              <w:spacing w:after="0"/>
              <w:rPr>
                <w:sz w:val="13"/>
                <w:szCs w:val="13"/>
                <w:color w:val="auto"/>
              </w:rPr>
            </w:pPr>
          </w:p>
        </w:tc>
        <w:tc>
          <w:tcPr>
            <w:tcW w:w="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Balance at September 30, 2020</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6,024,425</w:t>
            </w:r>
          </w:p>
        </w:tc>
        <w:tc>
          <w:tcPr>
            <w:tcW w:w="2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4,777</w:t>
            </w:r>
          </w:p>
        </w:tc>
        <w:tc>
          <w:tcPr>
            <w:tcW w:w="2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513,617</w:t>
            </w:r>
          </w:p>
        </w:tc>
        <w:tc>
          <w:tcPr>
            <w:tcW w:w="2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867</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5. Warrant Liabilities</w:t>
      </w:r>
    </w:p>
    <w:p>
      <w:pPr>
        <w:spacing w:after="0" w:line="80" w:lineRule="exact"/>
        <w:rPr>
          <w:sz w:val="20"/>
          <w:szCs w:val="20"/>
          <w:color w:val="auto"/>
        </w:rPr>
      </w:pPr>
    </w:p>
    <w:p>
      <w:pPr>
        <w:jc w:val="both"/>
        <w:ind w:right="120" w:firstLine="513"/>
        <w:spacing w:after="0" w:line="283" w:lineRule="auto"/>
        <w:rPr>
          <w:sz w:val="20"/>
          <w:szCs w:val="20"/>
          <w:color w:val="auto"/>
        </w:rPr>
      </w:pPr>
      <w:r>
        <w:rPr>
          <w:rFonts w:ascii="Times New Roman" w:cs="Times New Roman" w:eastAsia="Times New Roman" w:hAnsi="Times New Roman"/>
          <w:sz w:val="12"/>
          <w:szCs w:val="12"/>
          <w:color w:val="auto"/>
        </w:rPr>
        <w:t xml:space="preserve">The Company has issued the following warrant series that are considered liabilities pursuant to the guidance established by </w:t>
      </w:r>
      <w:r>
        <w:rPr>
          <w:rFonts w:ascii="Times New Roman" w:cs="Times New Roman" w:eastAsia="Times New Roman" w:hAnsi="Times New Roman"/>
          <w:sz w:val="12"/>
          <w:szCs w:val="12"/>
          <w:i w:val="1"/>
          <w:iCs w:val="1"/>
          <w:color w:val="auto"/>
        </w:rPr>
        <w:t>ASC 815 Derivatives and Hedging:</w:t>
      </w:r>
      <w:r>
        <w:rPr>
          <w:rFonts w:ascii="Times New Roman" w:cs="Times New Roman" w:eastAsia="Times New Roman" w:hAnsi="Times New Roman"/>
          <w:sz w:val="12"/>
          <w:szCs w:val="12"/>
          <w:color w:val="auto"/>
        </w:rPr>
        <w:t xml:space="preserve"> Series C Warrants, the 2017 PIPE Warrants and the 2018 PIPE Warrants. The 2017 PIPE Warrants and the 2018 PIPE Warrants (the “Warrants”) remain outstanding at September 30, 2020.</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i w:val="1"/>
          <w:iCs w:val="1"/>
          <w:color w:val="auto"/>
        </w:rPr>
        <w:t>Accounting Treatment</w:t>
      </w:r>
    </w:p>
    <w:p>
      <w:pPr>
        <w:spacing w:after="0" w:line="80" w:lineRule="exact"/>
        <w:rPr>
          <w:sz w:val="20"/>
          <w:szCs w:val="20"/>
          <w:color w:val="auto"/>
        </w:rPr>
      </w:pPr>
    </w:p>
    <w:p>
      <w:pPr>
        <w:ind w:right="140" w:firstLine="513"/>
        <w:spacing w:after="0" w:line="266" w:lineRule="auto"/>
        <w:rPr>
          <w:sz w:val="20"/>
          <w:szCs w:val="20"/>
          <w:color w:val="auto"/>
        </w:rPr>
      </w:pPr>
      <w:r>
        <w:rPr>
          <w:rFonts w:ascii="Times New Roman" w:cs="Times New Roman" w:eastAsia="Times New Roman" w:hAnsi="Times New Roman"/>
          <w:sz w:val="12"/>
          <w:szCs w:val="12"/>
          <w:color w:val="auto"/>
        </w:rPr>
        <w:t xml:space="preserve">The Company accounts for the Warrants in accordance with the guidance in </w:t>
      </w:r>
      <w:r>
        <w:rPr>
          <w:rFonts w:ascii="Times New Roman" w:cs="Times New Roman" w:eastAsia="Times New Roman" w:hAnsi="Times New Roman"/>
          <w:sz w:val="12"/>
          <w:szCs w:val="12"/>
          <w:i w:val="1"/>
          <w:iCs w:val="1"/>
          <w:color w:val="auto"/>
        </w:rPr>
        <w:t>ASC 815</w:t>
      </w:r>
      <w:r>
        <w:rPr>
          <w:rFonts w:ascii="Times New Roman" w:cs="Times New Roman" w:eastAsia="Times New Roman" w:hAnsi="Times New Roman"/>
          <w:sz w:val="12"/>
          <w:szCs w:val="12"/>
          <w:color w:val="auto"/>
        </w:rPr>
        <w:t>. As indicated below, the Company may be obligated to settle Warrants in cash. The Company classified the Warrants as long-term liabilities at their fair value and will re-measure the warrants at each balance sheet date until they are exercised or expire. Any change in the fair value is recognized as other income (expense) in the Company’s condensed consolidated statements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Series C Warrants</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As of September 30, 2020, the fair value of the Series C Warrants was zero as the warrants had expired. This balance is consistent with the balance as of December 31, 2019.</w:t>
      </w:r>
    </w:p>
    <w:p>
      <w:pPr>
        <w:spacing w:after="0" w:line="150" w:lineRule="exact"/>
        <w:rPr>
          <w:sz w:val="20"/>
          <w:szCs w:val="20"/>
          <w:color w:val="auto"/>
        </w:rPr>
      </w:pPr>
    </w:p>
    <w:p>
      <w:pPr>
        <w:ind w:right="100" w:firstLine="513"/>
        <w:spacing w:after="0" w:line="279" w:lineRule="auto"/>
        <w:rPr>
          <w:sz w:val="20"/>
          <w:szCs w:val="20"/>
          <w:color w:val="auto"/>
        </w:rPr>
      </w:pPr>
      <w:r>
        <w:rPr>
          <w:rFonts w:ascii="Times New Roman" w:cs="Times New Roman" w:eastAsia="Times New Roman" w:hAnsi="Times New Roman"/>
          <w:sz w:val="12"/>
          <w:szCs w:val="12"/>
          <w:color w:val="auto"/>
        </w:rPr>
        <w:t>The Company calculated the fair value of the Series C Warrants as of December 31, 2019 using a Black-Scholes pricing model. The Black-Scholes pricing model requires the input of highly subjective assumptions including the expected stock price volatility. The Company used the following inputs.</w:t>
      </w:r>
    </w:p>
    <w:p>
      <w:pPr>
        <w:spacing w:after="0" w:line="99"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20" w:type="dxa"/>
            <w:vAlign w:val="bottom"/>
          </w:tcPr>
          <w:p>
            <w:pPr>
              <w:spacing w:after="0"/>
              <w:rPr>
                <w:sz w:val="10"/>
                <w:szCs w:val="10"/>
                <w:color w:val="auto"/>
              </w:rPr>
            </w:pPr>
          </w:p>
        </w:tc>
        <w:tc>
          <w:tcPr>
            <w:tcW w:w="6460" w:type="dxa"/>
            <w:vAlign w:val="bottom"/>
            <w:tcBorders>
              <w:bottom w:val="single" w:sz="8" w:color="CFF0FC"/>
            </w:tcBorders>
          </w:tcPr>
          <w:p>
            <w:pPr>
              <w:spacing w:after="0"/>
              <w:rPr>
                <w:sz w:val="10"/>
                <w:szCs w:val="10"/>
                <w:color w:val="auto"/>
              </w:rPr>
            </w:pPr>
          </w:p>
        </w:tc>
        <w:tc>
          <w:tcPr>
            <w:tcW w:w="13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bottom w:val="single" w:sz="8" w:color="CFF0FC"/>
            </w:tcBorders>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Volatility</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90%</w:t>
            </w:r>
          </w:p>
        </w:tc>
      </w:tr>
      <w:tr>
        <w:trPr>
          <w:trHeight w:val="153"/>
        </w:trPr>
        <w:tc>
          <w:tcPr>
            <w:tcW w:w="20" w:type="dxa"/>
            <w:vAlign w:val="bottom"/>
          </w:tcPr>
          <w:p>
            <w:pPr>
              <w:spacing w:after="0"/>
              <w:rPr>
                <w:sz w:val="13"/>
                <w:szCs w:val="13"/>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2"/>
                <w:szCs w:val="12"/>
                <w:color w:val="auto"/>
              </w:rPr>
              <w:t>Contractual term (years)</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0.17</w:t>
            </w:r>
          </w:p>
        </w:tc>
        <w:tc>
          <w:tcPr>
            <w:tcW w:w="12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Expected dividend yield</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20" w:type="dxa"/>
            <w:vAlign w:val="bottom"/>
          </w:tcPr>
          <w:p>
            <w:pPr>
              <w:spacing w:after="0"/>
              <w:rPr>
                <w:sz w:val="13"/>
                <w:szCs w:val="13"/>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2"/>
                <w:szCs w:val="12"/>
                <w:color w:val="auto"/>
              </w:rPr>
              <w:t>Risk-free rate</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1.52%</w:t>
            </w: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Warrants Issued as Part of the Units in the 2017 PIPE Offering</w:t>
      </w:r>
    </w:p>
    <w:p>
      <w:pPr>
        <w:spacing w:after="0" w:line="82" w:lineRule="exact"/>
        <w:rPr>
          <w:sz w:val="20"/>
          <w:szCs w:val="20"/>
          <w:color w:val="auto"/>
        </w:rPr>
      </w:pPr>
    </w:p>
    <w:p>
      <w:pPr>
        <w:jc w:val="both"/>
        <w:ind w:right="140" w:firstLine="513"/>
        <w:spacing w:after="0" w:line="265" w:lineRule="auto"/>
        <w:rPr>
          <w:sz w:val="20"/>
          <w:szCs w:val="20"/>
          <w:color w:val="auto"/>
        </w:rPr>
      </w:pPr>
      <w:r>
        <w:rPr>
          <w:rFonts w:ascii="Times New Roman" w:cs="Times New Roman" w:eastAsia="Times New Roman" w:hAnsi="Times New Roman"/>
          <w:sz w:val="12"/>
          <w:szCs w:val="12"/>
          <w:color w:val="auto"/>
        </w:rPr>
        <w:t>The 2017 PIPE Warrants were issued on December 15, 2017 in the 2017 PIPE Offering, pursuant to a Warrant Agreement with each of the investors in the 2017 PIPE Offering, and entitle the holder of each of the 8,141,116 units to purchase 0.74 shares of the Company’s common stock at an exercise price equal to $2.00 per share, subject to adjustment as discussed below, at any time commencing upon issuance of the 2017 PIPE Warrants and terminating on December 15, 2020.</w:t>
      </w:r>
    </w:p>
    <w:p>
      <w:pPr>
        <w:spacing w:after="0" w:line="119" w:lineRule="exact"/>
        <w:rPr>
          <w:sz w:val="20"/>
          <w:szCs w:val="20"/>
          <w:color w:val="auto"/>
        </w:rPr>
      </w:pPr>
    </w:p>
    <w:p>
      <w:pPr>
        <w:ind w:right="420" w:firstLine="513"/>
        <w:spacing w:after="0" w:line="279" w:lineRule="auto"/>
        <w:rPr>
          <w:sz w:val="20"/>
          <w:szCs w:val="20"/>
          <w:color w:val="auto"/>
        </w:rPr>
      </w:pPr>
      <w:r>
        <w:rPr>
          <w:rFonts w:ascii="Times New Roman" w:cs="Times New Roman" w:eastAsia="Times New Roman" w:hAnsi="Times New Roman"/>
          <w:sz w:val="12"/>
          <w:szCs w:val="12"/>
          <w:color w:val="auto"/>
        </w:rPr>
        <w:t>The exercise price and number of shares of common stock issuable upon exercise of the 2017 PIPE Warrants may be adjusted in certain circumstances, including the event of a stock split, stock dividend, extraordinary dividend, or recapitalization, reorganization, merger or consolidation. However, the exercise price of the 2017 PIPE Warrants will not be reduced below $1.72.</w:t>
      </w:r>
    </w:p>
    <w:p>
      <w:pPr>
        <w:spacing w:after="0" w:line="111" w:lineRule="exact"/>
        <w:rPr>
          <w:sz w:val="20"/>
          <w:szCs w:val="20"/>
          <w:color w:val="auto"/>
        </w:rPr>
      </w:pPr>
    </w:p>
    <w:p>
      <w:pPr>
        <w:ind w:right="400" w:firstLine="513"/>
        <w:spacing w:after="0" w:line="279" w:lineRule="auto"/>
        <w:rPr>
          <w:sz w:val="20"/>
          <w:szCs w:val="20"/>
          <w:color w:val="auto"/>
        </w:rPr>
      </w:pPr>
      <w:r>
        <w:rPr>
          <w:rFonts w:ascii="Times New Roman" w:cs="Times New Roman" w:eastAsia="Times New Roman" w:hAnsi="Times New Roman"/>
          <w:sz w:val="12"/>
          <w:szCs w:val="12"/>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11" w:lineRule="exact"/>
        <w:rPr>
          <w:sz w:val="20"/>
          <w:szCs w:val="20"/>
          <w:color w:val="auto"/>
        </w:rPr>
      </w:pPr>
    </w:p>
    <w:p>
      <w:pPr>
        <w:ind w:right="360" w:firstLine="513"/>
        <w:spacing w:after="0" w:line="279" w:lineRule="auto"/>
        <w:rPr>
          <w:sz w:val="20"/>
          <w:szCs w:val="20"/>
          <w:color w:val="auto"/>
        </w:rPr>
      </w:pPr>
      <w:r>
        <w:rPr>
          <w:rFonts w:ascii="Times New Roman" w:cs="Times New Roman" w:eastAsia="Times New Roman" w:hAnsi="Times New Roman"/>
          <w:sz w:val="12"/>
          <w:szCs w:val="12"/>
          <w:color w:val="auto"/>
        </w:rPr>
        <w:t>As of September 30, 2020, the fair value of the 2017 PIPE Warrants was estimated at $4.8 million. The increase in the fair value of the liability for the 2017 PIPE Warrants of $0.5 million during the three months ended September 30, 2020 and the decrease in the fair value of $6.0 million during the nine months ended September 30, 2020 were recorded as other income (expense) in the condensed consolidated statements of operations.</w:t>
      </w:r>
    </w:p>
    <w:p>
      <w:pPr>
        <w:spacing w:after="0" w:line="111" w:lineRule="exact"/>
        <w:rPr>
          <w:sz w:val="20"/>
          <w:szCs w:val="20"/>
          <w:color w:val="auto"/>
        </w:rPr>
      </w:pPr>
    </w:p>
    <w:p>
      <w:pPr>
        <w:ind w:right="260" w:firstLine="513"/>
        <w:spacing w:after="0" w:line="327" w:lineRule="auto"/>
        <w:rPr>
          <w:sz w:val="20"/>
          <w:szCs w:val="20"/>
          <w:color w:val="auto"/>
        </w:rPr>
      </w:pPr>
      <w:r>
        <w:rPr>
          <w:rFonts w:ascii="Times New Roman" w:cs="Times New Roman" w:eastAsia="Times New Roman" w:hAnsi="Times New Roman"/>
          <w:sz w:val="11"/>
          <w:szCs w:val="11"/>
          <w:color w:val="auto"/>
        </w:rPr>
        <w:t>The Company has calculated the fair value of the 2017 PIPE Warrants as of September 30, 2020 using a Black-Scholes pricing model, and the fair value as of December 31, 2019 using a Monte Carlo simulation of a geometric Brownian motion model. Both models require the input of highly subjective assumptions including the expected stock price volatility. The following summarizes certain key assumptions used in estimating the fair values.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840" w:type="dxa"/>
            <w:vAlign w:val="bottom"/>
          </w:tcPr>
          <w:p>
            <w:pPr>
              <w:jc w:val="center"/>
              <w:ind w:left="172"/>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720" w:type="dxa"/>
            <w:vAlign w:val="bottom"/>
          </w:tcPr>
          <w:p>
            <w:pPr>
              <w:spacing w:after="0"/>
              <w:rPr>
                <w:sz w:val="10"/>
                <w:szCs w:val="10"/>
                <w:color w:val="auto"/>
              </w:rPr>
            </w:pPr>
          </w:p>
        </w:tc>
      </w:tr>
      <w:tr>
        <w:trPr>
          <w:trHeight w:val="115"/>
        </w:trPr>
        <w:tc>
          <w:tcPr>
            <w:tcW w:w="1700" w:type="dxa"/>
            <w:vAlign w:val="bottom"/>
          </w:tcPr>
          <w:p>
            <w:pPr>
              <w:spacing w:after="0"/>
              <w:rPr>
                <w:sz w:val="10"/>
                <w:szCs w:val="10"/>
                <w:color w:val="auto"/>
              </w:rPr>
            </w:pPr>
          </w:p>
        </w:tc>
        <w:tc>
          <w:tcPr>
            <w:tcW w:w="5320" w:type="dxa"/>
            <w:vAlign w:val="bottom"/>
            <w:tcBorders>
              <w:bottom w:val="single" w:sz="8" w:color="CFF0FC"/>
            </w:tcBorders>
          </w:tcPr>
          <w:p>
            <w:pPr>
              <w:spacing w:after="0"/>
              <w:rPr>
                <w:sz w:val="10"/>
                <w:szCs w:val="10"/>
                <w:color w:val="auto"/>
              </w:rPr>
            </w:pPr>
          </w:p>
        </w:tc>
        <w:tc>
          <w:tcPr>
            <w:tcW w:w="8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2020</w:t>
            </w: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10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Borders>
              <w:bottom w:val="single" w:sz="8" w:color="CFF0FC"/>
            </w:tcBorders>
          </w:tcPr>
          <w:p>
            <w:pPr>
              <w:spacing w:after="0"/>
              <w:rPr>
                <w:sz w:val="10"/>
                <w:szCs w:val="10"/>
                <w:color w:val="auto"/>
              </w:rPr>
            </w:pPr>
          </w:p>
        </w:tc>
        <w:tc>
          <w:tcPr>
            <w:tcW w:w="1720" w:type="dxa"/>
            <w:vAlign w:val="bottom"/>
          </w:tcPr>
          <w:p>
            <w:pPr>
              <w:spacing w:after="0"/>
              <w:rPr>
                <w:sz w:val="10"/>
                <w:szCs w:val="10"/>
                <w:color w:val="auto"/>
              </w:rPr>
            </w:pPr>
          </w:p>
        </w:tc>
      </w:tr>
      <w:tr>
        <w:trPr>
          <w:trHeight w:val="142"/>
        </w:trPr>
        <w:tc>
          <w:tcPr>
            <w:tcW w:w="1700" w:type="dxa"/>
            <w:vAlign w:val="bottom"/>
          </w:tcPr>
          <w:p>
            <w:pPr>
              <w:spacing w:after="0"/>
              <w:rPr>
                <w:sz w:val="12"/>
                <w:szCs w:val="12"/>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Volatility</w:t>
            </w:r>
          </w:p>
        </w:tc>
        <w:tc>
          <w:tcPr>
            <w:tcW w:w="84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123%</w:t>
            </w: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99%</w:t>
            </w:r>
          </w:p>
        </w:tc>
        <w:tc>
          <w:tcPr>
            <w:tcW w:w="1720" w:type="dxa"/>
            <w:vAlign w:val="bottom"/>
          </w:tcPr>
          <w:p>
            <w:pPr>
              <w:spacing w:after="0"/>
              <w:rPr>
                <w:sz w:val="12"/>
                <w:szCs w:val="12"/>
                <w:color w:val="auto"/>
              </w:rPr>
            </w:pPr>
          </w:p>
        </w:tc>
      </w:tr>
      <w:tr>
        <w:trPr>
          <w:trHeight w:val="153"/>
        </w:trPr>
        <w:tc>
          <w:tcPr>
            <w:tcW w:w="1700" w:type="dxa"/>
            <w:vAlign w:val="bottom"/>
          </w:tcPr>
          <w:p>
            <w:pPr>
              <w:spacing w:after="0"/>
              <w:rPr>
                <w:sz w:val="13"/>
                <w:szCs w:val="13"/>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Contractual term (years)</w:t>
            </w:r>
          </w:p>
        </w:tc>
        <w:tc>
          <w:tcPr>
            <w:tcW w:w="4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0.2</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8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53"/>
        </w:trPr>
        <w:tc>
          <w:tcPr>
            <w:tcW w:w="1700" w:type="dxa"/>
            <w:vAlign w:val="bottom"/>
          </w:tcPr>
          <w:p>
            <w:pPr>
              <w:spacing w:after="0"/>
              <w:rPr>
                <w:sz w:val="13"/>
                <w:szCs w:val="13"/>
                <w:color w:val="auto"/>
              </w:rPr>
            </w:pPr>
          </w:p>
        </w:tc>
        <w:tc>
          <w:tcPr>
            <w:tcW w:w="6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Expected dividend yield</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Risk-free rate</w:t>
            </w:r>
          </w:p>
        </w:tc>
        <w:tc>
          <w:tcPr>
            <w:tcW w:w="4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0.10%</w:t>
            </w:r>
          </w:p>
        </w:tc>
        <w:tc>
          <w:tcPr>
            <w:tcW w:w="10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1.60%</w:t>
            </w:r>
          </w:p>
        </w:tc>
        <w:tc>
          <w:tcPr>
            <w:tcW w:w="1720" w:type="dxa"/>
            <w:vAlign w:val="bottom"/>
          </w:tcPr>
          <w:p>
            <w:pPr>
              <w:spacing w:after="0"/>
              <w:rPr>
                <w:sz w:val="13"/>
                <w:szCs w:val="13"/>
                <w:color w:val="auto"/>
              </w:rPr>
            </w:pPr>
          </w:p>
        </w:tc>
      </w:tr>
      <w:tr>
        <w:trPr>
          <w:trHeight w:val="430"/>
        </w:trPr>
        <w:tc>
          <w:tcPr>
            <w:tcW w:w="7020" w:type="dxa"/>
            <w:vAlign w:val="bottom"/>
            <w:gridSpan w:val="2"/>
          </w:tcPr>
          <w:p>
            <w:pPr>
              <w:jc w:val="right"/>
              <w:ind w:right="1260"/>
              <w:spacing w:after="0"/>
              <w:rPr>
                <w:sz w:val="20"/>
                <w:szCs w:val="20"/>
                <w:color w:val="auto"/>
              </w:rPr>
            </w:pPr>
            <w:r>
              <w:rPr>
                <w:rFonts w:ascii="Times New Roman" w:cs="Times New Roman" w:eastAsia="Times New Roman" w:hAnsi="Times New Roman"/>
                <w:sz w:val="12"/>
                <w:szCs w:val="12"/>
                <w:color w:val="auto"/>
              </w:rPr>
              <w:t>10</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72"/>
        </w:trPr>
        <w:tc>
          <w:tcPr>
            <w:tcW w:w="1700" w:type="dxa"/>
            <w:vAlign w:val="bottom"/>
            <w:tcBorders>
              <w:bottom w:val="single" w:sz="8" w:color="9A9A9A"/>
            </w:tcBorders>
          </w:tcPr>
          <w:p>
            <w:pPr>
              <w:spacing w:after="0"/>
              <w:rPr>
                <w:sz w:val="6"/>
                <w:szCs w:val="6"/>
                <w:color w:val="auto"/>
              </w:rPr>
            </w:pPr>
          </w:p>
        </w:tc>
        <w:tc>
          <w:tcPr>
            <w:tcW w:w="53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485" w:right="2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i w:val="1"/>
          <w:iCs w:val="1"/>
          <w:color w:val="auto"/>
        </w:rPr>
        <w:t>Warrants Issued as Part of the Units in the 2018 PIPE Offering</w:t>
      </w:r>
    </w:p>
    <w:p>
      <w:pPr>
        <w:spacing w:after="0" w:line="82" w:lineRule="exact"/>
        <w:rPr>
          <w:sz w:val="20"/>
          <w:szCs w:val="20"/>
          <w:color w:val="auto"/>
        </w:rPr>
      </w:pPr>
    </w:p>
    <w:p>
      <w:pPr>
        <w:ind w:firstLine="513"/>
        <w:spacing w:after="0" w:line="265" w:lineRule="auto"/>
        <w:rPr>
          <w:sz w:val="20"/>
          <w:szCs w:val="20"/>
          <w:color w:val="auto"/>
        </w:rPr>
      </w:pPr>
      <w:r>
        <w:rPr>
          <w:rFonts w:ascii="Times New Roman" w:cs="Times New Roman" w:eastAsia="Times New Roman" w:hAnsi="Times New Roman"/>
          <w:sz w:val="12"/>
          <w:szCs w:val="12"/>
          <w:color w:val="auto"/>
        </w:rPr>
        <w:t>The 2018 PIPE Warrants were issued on December 19, 2018 in the 2018 PIPE Offering, pursuant to a Warrant Agreement with each of the investors in the 2018 PIPE Offering, and entitle the holders of each of the 10,272,375 units to purchase 0.05 shares of the Company’s common stock at an exercise price equal to $2.00 per share, subject to adjustment as discussed below, at any time commencing upon issuance of the 2018 PIPE Warrants and terminating on December 21, 2023.</w:t>
      </w:r>
    </w:p>
    <w:p>
      <w:pPr>
        <w:spacing w:after="0" w:line="119" w:lineRule="exact"/>
        <w:rPr>
          <w:sz w:val="20"/>
          <w:szCs w:val="20"/>
          <w:color w:val="auto"/>
        </w:rPr>
      </w:pPr>
    </w:p>
    <w:p>
      <w:pPr>
        <w:ind w:right="380" w:firstLine="513"/>
        <w:spacing w:after="0" w:line="279" w:lineRule="auto"/>
        <w:rPr>
          <w:sz w:val="20"/>
          <w:szCs w:val="20"/>
          <w:color w:val="auto"/>
        </w:rPr>
      </w:pPr>
      <w:r>
        <w:rPr>
          <w:rFonts w:ascii="Times New Roman" w:cs="Times New Roman" w:eastAsia="Times New Roman" w:hAnsi="Times New Roman"/>
          <w:sz w:val="12"/>
          <w:szCs w:val="12"/>
          <w:color w:val="auto"/>
        </w:rPr>
        <w:t>The exercise price and number of shares of common stock issuable upon exercise of the 2018 PIPE Warrants may be adjusted in certain circumstances, including the event of a stock split, stock dividend, extraordinary dividend, or recapitalization, reorganization, merger or consolidation. However, the exercise price of the 2018 PIPE Warrants will not be reduced below $2.00.</w:t>
      </w:r>
    </w:p>
    <w:p>
      <w:pPr>
        <w:spacing w:after="0" w:line="111" w:lineRule="exact"/>
        <w:rPr>
          <w:sz w:val="20"/>
          <w:szCs w:val="20"/>
          <w:color w:val="auto"/>
        </w:rPr>
      </w:pPr>
    </w:p>
    <w:p>
      <w:pPr>
        <w:ind w:right="360" w:firstLine="513"/>
        <w:spacing w:after="0" w:line="279" w:lineRule="auto"/>
        <w:rPr>
          <w:sz w:val="20"/>
          <w:szCs w:val="20"/>
          <w:color w:val="auto"/>
        </w:rPr>
      </w:pPr>
      <w:r>
        <w:rPr>
          <w:rFonts w:ascii="Times New Roman" w:cs="Times New Roman" w:eastAsia="Times New Roman" w:hAnsi="Times New Roman"/>
          <w:sz w:val="12"/>
          <w:szCs w:val="12"/>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11" w:lineRule="exact"/>
        <w:rPr>
          <w:sz w:val="20"/>
          <w:szCs w:val="20"/>
          <w:color w:val="auto"/>
        </w:rPr>
      </w:pPr>
    </w:p>
    <w:p>
      <w:pPr>
        <w:ind w:right="460" w:firstLine="513"/>
        <w:spacing w:after="0" w:line="279" w:lineRule="auto"/>
        <w:rPr>
          <w:sz w:val="20"/>
          <w:szCs w:val="20"/>
          <w:color w:val="auto"/>
        </w:rPr>
      </w:pPr>
      <w:r>
        <w:rPr>
          <w:rFonts w:ascii="Times New Roman" w:cs="Times New Roman" w:eastAsia="Times New Roman" w:hAnsi="Times New Roman"/>
          <w:sz w:val="12"/>
          <w:szCs w:val="12"/>
          <w:color w:val="auto"/>
        </w:rPr>
        <w:t>As of September 30, 2020, the fair value of the 2018 PIPE Warrants was estimated at $0.9 million. The $0.1 million increase in the fair value of the liability for the 2018 PIPE Warrants during the three months ended September 30, 2020 and the decrease in the fair value of $0.5 million during the nine months ended September 30, 2020 were recorded as other income (expense) in the condensed consolidated statements of operations.</w:t>
      </w:r>
    </w:p>
    <w:p>
      <w:pPr>
        <w:spacing w:after="0" w:line="111" w:lineRule="exact"/>
        <w:rPr>
          <w:sz w:val="20"/>
          <w:szCs w:val="20"/>
          <w:color w:val="auto"/>
        </w:rPr>
      </w:pPr>
    </w:p>
    <w:p>
      <w:pPr>
        <w:ind w:right="220" w:firstLine="513"/>
        <w:spacing w:after="0" w:line="327" w:lineRule="auto"/>
        <w:rPr>
          <w:sz w:val="20"/>
          <w:szCs w:val="20"/>
          <w:color w:val="auto"/>
        </w:rPr>
      </w:pPr>
      <w:r>
        <w:rPr>
          <w:rFonts w:ascii="Times New Roman" w:cs="Times New Roman" w:eastAsia="Times New Roman" w:hAnsi="Times New Roman"/>
          <w:sz w:val="11"/>
          <w:szCs w:val="11"/>
          <w:color w:val="auto"/>
        </w:rPr>
        <w:t>The Company has calculated the fair value of the 2018 PIPE Warrants as of September 30, 2020 using a Black-Scholes pricing model, and the fair value as of December 31, 2019 using a Monte Carlo simulation of a geometric Brownian motion model. Both models require the input of highly subjective assumptions including the expected stock price volatility. The following summarizes certain key assumptions used in estimating the fair values.</w:t>
      </w:r>
    </w:p>
    <w:p>
      <w:pPr>
        <w:spacing w:after="0" w:line="75"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840" w:type="dxa"/>
            <w:vAlign w:val="bottom"/>
          </w:tcPr>
          <w:p>
            <w:pPr>
              <w:jc w:val="center"/>
              <w:ind w:left="172"/>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20" w:type="dxa"/>
            <w:vAlign w:val="bottom"/>
          </w:tcPr>
          <w:p>
            <w:pPr>
              <w:spacing w:after="0"/>
              <w:rPr>
                <w:sz w:val="10"/>
                <w:szCs w:val="10"/>
                <w:color w:val="auto"/>
              </w:rPr>
            </w:pPr>
          </w:p>
        </w:tc>
        <w:tc>
          <w:tcPr>
            <w:tcW w:w="5320" w:type="dxa"/>
            <w:vAlign w:val="bottom"/>
            <w:tcBorders>
              <w:bottom w:val="single" w:sz="8" w:color="CFF0FC"/>
            </w:tcBorders>
          </w:tcPr>
          <w:p>
            <w:pPr>
              <w:spacing w:after="0"/>
              <w:rPr>
                <w:sz w:val="10"/>
                <w:szCs w:val="10"/>
                <w:color w:val="auto"/>
              </w:rPr>
            </w:pPr>
          </w:p>
        </w:tc>
        <w:tc>
          <w:tcPr>
            <w:tcW w:w="8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2020</w:t>
            </w: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10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Borders>
              <w:bottom w:val="single" w:sz="8" w:color="CFF0FC"/>
            </w:tcBorders>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Volatility</w:t>
            </w:r>
          </w:p>
        </w:tc>
        <w:tc>
          <w:tcPr>
            <w:tcW w:w="84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100%</w:t>
            </w: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99%</w:t>
            </w:r>
          </w:p>
        </w:tc>
      </w:tr>
      <w:tr>
        <w:trPr>
          <w:trHeight w:val="153"/>
        </w:trPr>
        <w:tc>
          <w:tcPr>
            <w:tcW w:w="20" w:type="dxa"/>
            <w:vAlign w:val="bottom"/>
          </w:tcPr>
          <w:p>
            <w:pPr>
              <w:spacing w:after="0"/>
              <w:rPr>
                <w:sz w:val="13"/>
                <w:szCs w:val="13"/>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Contractual term (years)</w:t>
            </w:r>
          </w:p>
        </w:tc>
        <w:tc>
          <w:tcPr>
            <w:tcW w:w="4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8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6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Expected dividend yield</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20" w:type="dxa"/>
            <w:vAlign w:val="bottom"/>
          </w:tcPr>
          <w:p>
            <w:pPr>
              <w:spacing w:after="0"/>
              <w:rPr>
                <w:sz w:val="13"/>
                <w:szCs w:val="13"/>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Risk-free rate</w:t>
            </w:r>
          </w:p>
        </w:tc>
        <w:tc>
          <w:tcPr>
            <w:tcW w:w="4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0.17%</w:t>
            </w:r>
          </w:p>
        </w:tc>
        <w:tc>
          <w:tcPr>
            <w:tcW w:w="10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1.56%</w:t>
            </w:r>
          </w:p>
        </w:tc>
      </w:tr>
    </w:tbl>
    <w:p>
      <w:pPr>
        <w:spacing w:after="0" w:line="158" w:lineRule="exact"/>
        <w:rPr>
          <w:sz w:val="20"/>
          <w:szCs w:val="20"/>
          <w:color w:val="auto"/>
        </w:rPr>
      </w:pPr>
    </w:p>
    <w:p>
      <w:pPr>
        <w:ind w:right="60" w:firstLine="513"/>
        <w:spacing w:after="0" w:line="279" w:lineRule="auto"/>
        <w:rPr>
          <w:sz w:val="20"/>
          <w:szCs w:val="20"/>
          <w:color w:val="auto"/>
        </w:rPr>
      </w:pPr>
      <w:r>
        <w:rPr>
          <w:rFonts w:ascii="Times New Roman" w:cs="Times New Roman" w:eastAsia="Times New Roman" w:hAnsi="Times New Roman"/>
          <w:sz w:val="12"/>
          <w:szCs w:val="12"/>
          <w:color w:val="auto"/>
        </w:rPr>
        <w:t>The Black-Scholes pricing model and the Monte Carlo simulation of a geometric Brownian motion model require the use of highly subjective assumptions to estimate the fair value of stock-based awards. These assumptions include the following estimates.</w:t>
      </w:r>
    </w:p>
    <w:p>
      <w:pPr>
        <w:spacing w:after="0" w:line="37" w:lineRule="exact"/>
        <w:rPr>
          <w:sz w:val="20"/>
          <w:szCs w:val="20"/>
          <w:color w:val="auto"/>
        </w:rPr>
      </w:pPr>
    </w:p>
    <w:p>
      <w:pPr>
        <w:ind w:left="880" w:hanging="375"/>
        <w:spacing w:after="0"/>
        <w:tabs>
          <w:tab w:leader="none" w:pos="8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Volatility: </w:t>
      </w:r>
      <w:r>
        <w:rPr>
          <w:rFonts w:ascii="Times New Roman" w:cs="Times New Roman" w:eastAsia="Times New Roman" w:hAnsi="Times New Roman"/>
          <w:sz w:val="12"/>
          <w:szCs w:val="12"/>
          <w:color w:val="auto"/>
        </w:rPr>
        <w:t>The Company calculates the estimated volatility rate based on the volatilities of common stock of comparable companies in its industry together with the volatility of its own stock.</w:t>
      </w:r>
    </w:p>
    <w:p>
      <w:pPr>
        <w:spacing w:after="0" w:line="78" w:lineRule="exact"/>
        <w:rPr>
          <w:rFonts w:ascii="Times New Roman" w:cs="Times New Roman" w:eastAsia="Times New Roman" w:hAnsi="Times New Roman"/>
          <w:sz w:val="12"/>
          <w:szCs w:val="12"/>
          <w:color w:val="auto"/>
        </w:rPr>
      </w:pPr>
    </w:p>
    <w:p>
      <w:pPr>
        <w:ind w:left="880" w:hanging="375"/>
        <w:spacing w:after="0"/>
        <w:tabs>
          <w:tab w:leader="none" w:pos="8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Expected life: </w:t>
      </w:r>
      <w:r>
        <w:rPr>
          <w:rFonts w:ascii="Times New Roman" w:cs="Times New Roman" w:eastAsia="Times New Roman" w:hAnsi="Times New Roman"/>
          <w:sz w:val="12"/>
          <w:szCs w:val="12"/>
          <w:color w:val="auto"/>
        </w:rPr>
        <w:t>The expected life of the warrants is based on the contractual term of the warrants.</w:t>
      </w:r>
    </w:p>
    <w:p>
      <w:pPr>
        <w:spacing w:after="0" w:line="78" w:lineRule="exact"/>
        <w:rPr>
          <w:rFonts w:ascii="Times New Roman" w:cs="Times New Roman" w:eastAsia="Times New Roman" w:hAnsi="Times New Roman"/>
          <w:sz w:val="12"/>
          <w:szCs w:val="12"/>
          <w:color w:val="auto"/>
        </w:rPr>
      </w:pPr>
    </w:p>
    <w:p>
      <w:pPr>
        <w:ind w:left="880" w:right="400" w:hanging="375"/>
        <w:spacing w:after="0" w:line="283" w:lineRule="auto"/>
        <w:tabs>
          <w:tab w:leader="none" w:pos="8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Expected dividend yield: </w:t>
      </w:r>
      <w:r>
        <w:rPr>
          <w:rFonts w:ascii="Times New Roman" w:cs="Times New Roman" w:eastAsia="Times New Roman" w:hAnsi="Times New Roman"/>
          <w:sz w:val="12"/>
          <w:szCs w:val="12"/>
          <w:color w:val="auto"/>
        </w:rPr>
        <w:t>The Company has never declared or paid any cash dividends and does not currently plan to pay cash dividends in the foreseeable future. Consequently, the Company used an expected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dividend yield of zero.</w:t>
      </w:r>
    </w:p>
    <w:p>
      <w:pPr>
        <w:spacing w:after="0" w:line="34" w:lineRule="exact"/>
        <w:rPr>
          <w:rFonts w:ascii="Times New Roman" w:cs="Times New Roman" w:eastAsia="Times New Roman" w:hAnsi="Times New Roman"/>
          <w:sz w:val="12"/>
          <w:szCs w:val="12"/>
          <w:color w:val="auto"/>
        </w:rPr>
      </w:pPr>
    </w:p>
    <w:p>
      <w:pPr>
        <w:ind w:left="880" w:hanging="375"/>
        <w:spacing w:after="0"/>
        <w:tabs>
          <w:tab w:leader="none" w:pos="8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Risk-free rate: </w:t>
      </w:r>
      <w:r>
        <w:rPr>
          <w:rFonts w:ascii="Times New Roman" w:cs="Times New Roman" w:eastAsia="Times New Roman" w:hAnsi="Times New Roman"/>
          <w:sz w:val="12"/>
          <w:szCs w:val="12"/>
          <w:color w:val="auto"/>
        </w:rPr>
        <w:t>The risk-free interest rate is based on the U.S. Treasury rate for similar periods as those of expected volatility.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6. Commitments and Contingencies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Facility Leases</w:t>
      </w:r>
    </w:p>
    <w:p>
      <w:pPr>
        <w:spacing w:after="0" w:line="82" w:lineRule="exact"/>
        <w:rPr>
          <w:sz w:val="20"/>
          <w:szCs w:val="20"/>
          <w:color w:val="auto"/>
        </w:rPr>
      </w:pPr>
    </w:p>
    <w:p>
      <w:pPr>
        <w:ind w:right="40" w:firstLine="513"/>
        <w:spacing w:after="0" w:line="279" w:lineRule="auto"/>
        <w:rPr>
          <w:sz w:val="20"/>
          <w:szCs w:val="20"/>
          <w:color w:val="auto"/>
        </w:rPr>
      </w:pPr>
      <w:r>
        <w:rPr>
          <w:rFonts w:ascii="Times New Roman" w:cs="Times New Roman" w:eastAsia="Times New Roman" w:hAnsi="Times New Roman"/>
          <w:sz w:val="12"/>
          <w:szCs w:val="12"/>
          <w:color w:val="auto"/>
        </w:rPr>
        <w:t>The Company’s previous operating lease for its headquarters facility office space in Redwood City, California, terminated in August 2019, along with the related subleases. One of the subleases was with Capnia, of which the Company was a joint owner until September 2019. Sublease income received from Capnia during the three and nine months ended September 30, 2019 was approximately $16,000 and $65,000, respectively.</w:t>
      </w:r>
    </w:p>
    <w:p>
      <w:pPr>
        <w:spacing w:after="0" w:line="39" w:lineRule="exact"/>
        <w:rPr>
          <w:sz w:val="20"/>
          <w:szCs w:val="20"/>
          <w:color w:val="auto"/>
        </w:rPr>
      </w:pPr>
    </w:p>
    <w:p>
      <w:pPr>
        <w:ind w:right="40" w:firstLine="513"/>
        <w:spacing w:after="0" w:line="260" w:lineRule="auto"/>
        <w:rPr>
          <w:sz w:val="20"/>
          <w:szCs w:val="20"/>
          <w:color w:val="auto"/>
        </w:rPr>
      </w:pPr>
      <w:r>
        <w:rPr>
          <w:rFonts w:ascii="Times New Roman" w:cs="Times New Roman" w:eastAsia="Times New Roman" w:hAnsi="Times New Roman"/>
          <w:sz w:val="12"/>
          <w:szCs w:val="12"/>
          <w:color w:val="auto"/>
        </w:rPr>
        <w:t>In July 2019, the Company executed a non-cancellable lease agreement for 6,368 square feet of new space in Redwood City, California, which began in September 2019 and expires in May 2021. The lease also provides the Company with the right to use office furniture in the space and allows the purchase of this furniture at the end of the lease term for $1. The lease agreement requires monthly lease payments of approximately $29,000 beginning in November of 2019, with an increase to approximately $30,000 per month in September of 2020. The Company has accounted for the new lease as an operating lease for the office space and a finance lease for the office furniture, based on their relative standalone prices.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1" w:right="319" w:bottom="1440" w:gutter="0" w:footer="0" w:header="0"/>
        </w:sectPr>
      </w:pPr>
    </w:p>
    <w:bookmarkStart w:id="11" w:name="page12"/>
    <w:bookmarkEnd w:id="11"/>
    <w:p>
      <w:pPr>
        <w:ind w:left="500"/>
        <w:spacing w:after="0"/>
        <w:rPr>
          <w:sz w:val="20"/>
          <w:szCs w:val="20"/>
          <w:color w:val="auto"/>
        </w:rPr>
      </w:pPr>
      <w:r>
        <w:rPr>
          <w:rFonts w:ascii="Times New Roman" w:cs="Times New Roman" w:eastAsia="Times New Roman" w:hAnsi="Times New Roman"/>
          <w:sz w:val="12"/>
          <w:szCs w:val="12"/>
          <w:color w:val="auto"/>
        </w:rPr>
        <w:t>The components of lease expense during the three and nine months ended September 30, 2020 and 2019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gridSpan w:val="3"/>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5"/>
        </w:trPr>
        <w:tc>
          <w:tcPr>
            <w:tcW w:w="57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7"/>
        </w:trPr>
        <w:tc>
          <w:tcPr>
            <w:tcW w:w="5780" w:type="dxa"/>
            <w:vAlign w:val="bottom"/>
            <w:tcBorders>
              <w:bottom w:val="single" w:sz="8" w:color="CFF0FC"/>
            </w:tcBorders>
          </w:tcPr>
          <w:p>
            <w:pPr>
              <w:spacing w:after="0"/>
              <w:rPr>
                <w:sz w:val="8"/>
                <w:szCs w:val="8"/>
                <w:color w:val="auto"/>
              </w:rPr>
            </w:pPr>
          </w:p>
        </w:tc>
        <w:tc>
          <w:tcPr>
            <w:tcW w:w="740" w:type="dxa"/>
            <w:vAlign w:val="bottom"/>
            <w:tcBorders>
              <w:bottom w:val="single" w:sz="8" w:color="auto"/>
            </w:tcBorders>
          </w:tcPr>
          <w:p>
            <w:pPr>
              <w:jc w:val="right"/>
              <w:ind w:right="4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CFF0FC"/>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382"/>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34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404"/>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340" w:type="dxa"/>
            <w:vAlign w:val="bottom"/>
            <w:tcBorders>
              <w:bottom w:val="single" w:sz="8" w:color="CFF0FC"/>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402"/>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bottom w:val="single" w:sz="8" w:color="CFF0FC"/>
            </w:tcBorders>
          </w:tcPr>
          <w:p>
            <w:pPr>
              <w:spacing w:after="0"/>
              <w:rPr>
                <w:sz w:val="8"/>
                <w:szCs w:val="8"/>
                <w:color w:val="auto"/>
              </w:rPr>
            </w:pPr>
          </w:p>
        </w:tc>
      </w:tr>
      <w:tr>
        <w:trPr>
          <w:trHeight w:val="142"/>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lease cost:</w:t>
            </w:r>
          </w:p>
        </w:tc>
        <w:tc>
          <w:tcPr>
            <w:tcW w:w="7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5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Operating lease cost</w:t>
            </w:r>
          </w:p>
        </w:tc>
        <w:tc>
          <w:tcPr>
            <w:tcW w:w="740" w:type="dxa"/>
            <w:vAlign w:val="bottom"/>
          </w:tcPr>
          <w:p>
            <w:pPr>
              <w:jc w:val="right"/>
              <w:ind w:right="627"/>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32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34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34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w:t>
            </w:r>
          </w:p>
        </w:tc>
        <w:tc>
          <w:tcPr>
            <w:tcW w:w="120" w:type="dxa"/>
            <w:vAlign w:val="bottom"/>
          </w:tcPr>
          <w:p>
            <w:pPr>
              <w:spacing w:after="0"/>
              <w:rPr>
                <w:sz w:val="13"/>
                <w:szCs w:val="13"/>
                <w:color w:val="auto"/>
              </w:rPr>
            </w:pPr>
          </w:p>
        </w:tc>
      </w:tr>
      <w:tr>
        <w:trPr>
          <w:trHeight w:val="153"/>
        </w:trPr>
        <w:tc>
          <w:tcPr>
            <w:tcW w:w="5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Sublease income</w:t>
            </w:r>
          </w:p>
        </w:tc>
        <w:tc>
          <w:tcPr>
            <w:tcW w:w="7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(43)</w:t>
            </w:r>
          </w:p>
        </w:tc>
        <w:tc>
          <w:tcPr>
            <w:tcW w:w="26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(173)</w:t>
            </w:r>
          </w:p>
        </w:tc>
      </w:tr>
      <w:tr>
        <w:trPr>
          <w:trHeight w:val="149"/>
        </w:trPr>
        <w:tc>
          <w:tcPr>
            <w:tcW w:w="5780" w:type="dxa"/>
            <w:vAlign w:val="bottom"/>
          </w:tcPr>
          <w:p>
            <w:pPr>
              <w:spacing w:after="0"/>
              <w:rPr>
                <w:sz w:val="20"/>
                <w:szCs w:val="20"/>
                <w:color w:val="auto"/>
              </w:rPr>
            </w:pPr>
            <w:r>
              <w:rPr>
                <w:rFonts w:ascii="Times New Roman" w:cs="Times New Roman" w:eastAsia="Times New Roman" w:hAnsi="Times New Roman"/>
                <w:sz w:val="12"/>
                <w:szCs w:val="12"/>
                <w:color w:val="auto"/>
              </w:rPr>
              <w:t>Total operating lease cost</w:t>
            </w:r>
          </w:p>
        </w:tc>
        <w:tc>
          <w:tcPr>
            <w:tcW w:w="740" w:type="dxa"/>
            <w:vAlign w:val="bottom"/>
            <w:tcBorders>
              <w:top w:val="single" w:sz="8" w:color="auto"/>
              <w:bottom w:val="single" w:sz="8" w:color="auto"/>
            </w:tcBorders>
          </w:tcPr>
          <w:p>
            <w:pPr>
              <w:jc w:val="right"/>
              <w:ind w:right="627"/>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3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34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3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120" w:type="dxa"/>
            <w:vAlign w:val="bottom"/>
          </w:tcPr>
          <w:p>
            <w:pPr>
              <w:spacing w:after="0"/>
              <w:rPr>
                <w:sz w:val="12"/>
                <w:szCs w:val="12"/>
                <w:color w:val="auto"/>
              </w:rPr>
            </w:pPr>
          </w:p>
        </w:tc>
      </w:tr>
      <w:tr>
        <w:trPr>
          <w:trHeight w:val="153"/>
        </w:trPr>
        <w:tc>
          <w:tcPr>
            <w:tcW w:w="5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Finance lease cost:</w:t>
            </w:r>
          </w:p>
        </w:tc>
        <w:tc>
          <w:tcPr>
            <w:tcW w:w="7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5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Amortization of right-of-use assets</w:t>
            </w:r>
          </w:p>
        </w:tc>
        <w:tc>
          <w:tcPr>
            <w:tcW w:w="740" w:type="dxa"/>
            <w:vAlign w:val="bottom"/>
          </w:tcPr>
          <w:p>
            <w:pPr>
              <w:jc w:val="right"/>
              <w:ind w:right="627"/>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2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34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34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3"/>
                <w:szCs w:val="13"/>
                <w:color w:val="auto"/>
              </w:rPr>
            </w:pPr>
          </w:p>
        </w:tc>
      </w:tr>
      <w:tr>
        <w:trPr>
          <w:trHeight w:val="153"/>
        </w:trPr>
        <w:tc>
          <w:tcPr>
            <w:tcW w:w="5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Interest on lease liabilities</w:t>
            </w:r>
          </w:p>
        </w:tc>
        <w:tc>
          <w:tcPr>
            <w:tcW w:w="7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3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5780" w:type="dxa"/>
            <w:vAlign w:val="bottom"/>
          </w:tcPr>
          <w:p>
            <w:pPr>
              <w:spacing w:after="0"/>
              <w:rPr>
                <w:sz w:val="20"/>
                <w:szCs w:val="20"/>
                <w:color w:val="auto"/>
              </w:rPr>
            </w:pPr>
            <w:r>
              <w:rPr>
                <w:rFonts w:ascii="Times New Roman" w:cs="Times New Roman" w:eastAsia="Times New Roman" w:hAnsi="Times New Roman"/>
                <w:sz w:val="12"/>
                <w:szCs w:val="12"/>
                <w:color w:val="auto"/>
              </w:rPr>
              <w:t>Total finance lease cost</w:t>
            </w:r>
          </w:p>
        </w:tc>
        <w:tc>
          <w:tcPr>
            <w:tcW w:w="740" w:type="dxa"/>
            <w:vAlign w:val="bottom"/>
            <w:tcBorders>
              <w:top w:val="single" w:sz="8" w:color="auto"/>
              <w:bottom w:val="single" w:sz="8" w:color="auto"/>
            </w:tcBorders>
          </w:tcPr>
          <w:p>
            <w:pPr>
              <w:jc w:val="right"/>
              <w:ind w:right="627"/>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34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3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2"/>
                <w:szCs w:val="12"/>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Contingencies</w:t>
      </w:r>
    </w:p>
    <w:p>
      <w:pPr>
        <w:spacing w:after="0" w:line="82" w:lineRule="exact"/>
        <w:rPr>
          <w:sz w:val="20"/>
          <w:szCs w:val="20"/>
          <w:color w:val="auto"/>
        </w:rPr>
      </w:pPr>
    </w:p>
    <w:p>
      <w:pPr>
        <w:ind w:right="100" w:firstLine="513"/>
        <w:spacing w:after="0" w:line="265" w:lineRule="auto"/>
        <w:rPr>
          <w:sz w:val="20"/>
          <w:szCs w:val="20"/>
          <w:color w:val="auto"/>
        </w:rPr>
      </w:pPr>
      <w:r>
        <w:rPr>
          <w:rFonts w:ascii="Times New Roman" w:cs="Times New Roman" w:eastAsia="Times New Roman" w:hAnsi="Times New Roman"/>
          <w:sz w:val="12"/>
          <w:szCs w:val="12"/>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7. CoSense Joint Venture Agreement and Discontinued Operations</w:t>
      </w:r>
    </w:p>
    <w:p>
      <w:pPr>
        <w:spacing w:after="0" w:line="154" w:lineRule="exact"/>
        <w:rPr>
          <w:sz w:val="20"/>
          <w:szCs w:val="20"/>
          <w:color w:val="auto"/>
        </w:rPr>
      </w:pPr>
    </w:p>
    <w:p>
      <w:pPr>
        <w:ind w:right="20" w:firstLine="513"/>
        <w:spacing w:after="0" w:line="256" w:lineRule="auto"/>
        <w:rPr>
          <w:sz w:val="20"/>
          <w:szCs w:val="20"/>
          <w:color w:val="auto"/>
        </w:rPr>
      </w:pPr>
      <w:r>
        <w:rPr>
          <w:rFonts w:ascii="Times New Roman" w:cs="Times New Roman" w:eastAsia="Times New Roman" w:hAnsi="Times New Roman"/>
          <w:sz w:val="12"/>
          <w:szCs w:val="12"/>
          <w:color w:val="auto"/>
        </w:rPr>
        <w:t>In December 2017, the Company entered into a joint venture with OptAsia Healthcare Limited, or OAHL, with respect to its CoSense product by agreeing to sell shares of Capnia, its then wholly-owned subsidiary, to OAHL. CoSense was Soleno’s first Sensalyze Technology Platform product to receive 510(k) clearances from the FDA and CE Mark certification. The Company’s entry into the joint venture resulted from a comprehensive review of strategic alternatives for its legacy products and product candidates following its transition to a primarily therapeutic drug product company. The terms of the Joint Venture Agreement provided that OAHL would invest up to a total of $2.2 million in Capnia’s common shares on an incremental quarterly basis commencing in December 2017. OAHL was also responsible for funding a portion of the Capnia operations. The Joint Venture Agreement provided that Capnia would issue shares of common stock to OAHL based on a negotiated price of $1.00 per share when the cumulative investment made by OAHL equaled or exceeded $1.2 million. For financial reporting purposes, Capnia’s assets, liabilities and results of operations had historically been consolidated with those of the Company.</w:t>
      </w:r>
    </w:p>
    <w:p>
      <w:pPr>
        <w:spacing w:after="0" w:line="125" w:lineRule="exact"/>
        <w:rPr>
          <w:sz w:val="20"/>
          <w:szCs w:val="20"/>
          <w:color w:val="auto"/>
        </w:rPr>
      </w:pPr>
    </w:p>
    <w:p>
      <w:pPr>
        <w:ind w:right="40" w:firstLine="513"/>
        <w:spacing w:after="0" w:line="256" w:lineRule="auto"/>
        <w:rPr>
          <w:sz w:val="20"/>
          <w:szCs w:val="20"/>
          <w:color w:val="auto"/>
        </w:rPr>
      </w:pPr>
      <w:r>
        <w:rPr>
          <w:rFonts w:ascii="Times New Roman" w:cs="Times New Roman" w:eastAsia="Times New Roman" w:hAnsi="Times New Roman"/>
          <w:sz w:val="12"/>
          <w:szCs w:val="12"/>
          <w:color w:val="auto"/>
        </w:rPr>
        <w:t>During October 2018, the Company and OAHL determined and agreed that the cumulative investment made by OAHL exceeded $1.2 million during the quarter ended September 30, 2018. Accordingly, on October 16, 2018, Capnia issued 1,690,322 shares of its common stock to OAHL, representing 53% of its outstanding shares. After the share issuance the Company no longer held a controlling interest in Capnia and resulted in the deconsolidation of Capnia’s financial statements from those of the Company. The remaining 47% investment in Capnia was classified as an equity method investment and was presented as a Minority interest investment in former subsidiary in the condensed consolidated balance sheet. The Company’s share of Capnia’s net losses during the three and nine months ended September 30, 2019 are recorded in the condensed consolidated statements of operations in the line titled “Loss from minority interest investment”. During September 2019, the Company sold its remaining 47% investment in Capnia. Following the transaction, the Company has no interest remaining in Capnia and the previous joint venture agreement with OAHL has been terminated.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8. Stockholders’ Equity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Equity Incentive Plans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2014 Plan</w:t>
      </w:r>
    </w:p>
    <w:p>
      <w:pPr>
        <w:spacing w:after="0" w:line="82" w:lineRule="exact"/>
        <w:rPr>
          <w:sz w:val="20"/>
          <w:szCs w:val="20"/>
          <w:color w:val="auto"/>
        </w:rPr>
      </w:pPr>
    </w:p>
    <w:p>
      <w:pPr>
        <w:ind w:right="100" w:firstLine="513"/>
        <w:spacing w:after="0" w:line="265" w:lineRule="auto"/>
        <w:rPr>
          <w:sz w:val="20"/>
          <w:szCs w:val="20"/>
          <w:color w:val="auto"/>
        </w:rPr>
      </w:pPr>
      <w:r>
        <w:rPr>
          <w:rFonts w:ascii="Times New Roman" w:cs="Times New Roman" w:eastAsia="Times New Roman" w:hAnsi="Times New Roman"/>
          <w:sz w:val="12"/>
          <w:szCs w:val="12"/>
          <w:color w:val="auto"/>
        </w:rPr>
        <w:t>The Company has adopted the 2014 Equity Incentive Plan, or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12" w:name="page13"/>
    <w:bookmarkEnd w:id="12"/>
    <w:p>
      <w:pPr>
        <w:ind w:right="20" w:firstLine="513"/>
        <w:spacing w:after="0" w:line="260" w:lineRule="auto"/>
        <w:rPr>
          <w:sz w:val="20"/>
          <w:szCs w:val="20"/>
          <w:color w:val="auto"/>
        </w:rPr>
      </w:pPr>
      <w:r>
        <w:rPr>
          <w:rFonts w:ascii="Times New Roman" w:cs="Times New Roman" w:eastAsia="Times New Roman" w:hAnsi="Times New Roman"/>
          <w:sz w:val="12"/>
          <w:szCs w:val="12"/>
          <w:color w:val="auto"/>
        </w:rPr>
        <w:t>The Company’s Board of Directors (the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is normally monthly over a period of 4 years from the vesting date.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As of September 30, 2020, a total of 1,780,797 shares are available for future grant under the 2014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Inducement Plan</w:t>
      </w:r>
    </w:p>
    <w:p>
      <w:pPr>
        <w:spacing w:after="0" w:line="82" w:lineRule="exact"/>
        <w:rPr>
          <w:sz w:val="20"/>
          <w:szCs w:val="20"/>
          <w:color w:val="auto"/>
        </w:rPr>
      </w:pPr>
    </w:p>
    <w:p>
      <w:pPr>
        <w:ind w:right="500" w:firstLine="513"/>
        <w:spacing w:after="0" w:line="279" w:lineRule="auto"/>
        <w:rPr>
          <w:sz w:val="20"/>
          <w:szCs w:val="20"/>
          <w:color w:val="auto"/>
        </w:rPr>
      </w:pPr>
      <w:r>
        <w:rPr>
          <w:rFonts w:ascii="Times New Roman" w:cs="Times New Roman" w:eastAsia="Times New Roman" w:hAnsi="Times New Roman"/>
          <w:sz w:val="12"/>
          <w:szCs w:val="12"/>
          <w:color w:val="auto"/>
        </w:rPr>
        <w:t>On September 28, 2020, the Company adopted the 2020 Inducement Equity Incentive Plan (the “Inducement Plan”) and, subject to the adjustment provisions of the Inducement Plan, reserved 1,500,000 shares of the Company’s common stock for issuance pursuant to equity awards granted under the Inducement Plan.</w:t>
      </w:r>
    </w:p>
    <w:p>
      <w:pPr>
        <w:spacing w:after="0" w:line="111" w:lineRule="exact"/>
        <w:rPr>
          <w:sz w:val="20"/>
          <w:szCs w:val="20"/>
          <w:color w:val="auto"/>
        </w:rPr>
      </w:pPr>
    </w:p>
    <w:p>
      <w:pPr>
        <w:ind w:right="180" w:firstLine="513"/>
        <w:spacing w:after="0" w:line="279" w:lineRule="auto"/>
        <w:rPr>
          <w:sz w:val="20"/>
          <w:szCs w:val="20"/>
          <w:color w:val="auto"/>
        </w:rPr>
      </w:pPr>
      <w:r>
        <w:rPr>
          <w:rFonts w:ascii="Times New Roman" w:cs="Times New Roman" w:eastAsia="Times New Roman" w:hAnsi="Times New Roman"/>
          <w:sz w:val="12"/>
          <w:szCs w:val="12"/>
          <w:color w:val="auto"/>
        </w:rPr>
        <w:t>The Inducement Plan was adopted without stockholder approval pursuant to Rule 5635(c)(4) and Rule 5635(c)(3) of the Nasdaq Listing Rules. The Inducement Plan provides for the grant of equity-based awards, including nonstatutory stock options, restricted stock units, restricted stock, stock appreciation rights, performance shares and performance units, and its terms are substantially similar to the 2014 Plan.</w:t>
      </w:r>
    </w:p>
    <w:p>
      <w:pPr>
        <w:spacing w:after="0" w:line="111" w:lineRule="exact"/>
        <w:rPr>
          <w:sz w:val="20"/>
          <w:szCs w:val="20"/>
          <w:color w:val="auto"/>
        </w:rPr>
      </w:pPr>
    </w:p>
    <w:p>
      <w:pPr>
        <w:ind w:right="60" w:firstLine="513"/>
        <w:spacing w:after="0" w:line="265" w:lineRule="auto"/>
        <w:rPr>
          <w:sz w:val="20"/>
          <w:szCs w:val="20"/>
          <w:color w:val="auto"/>
        </w:rPr>
      </w:pPr>
      <w:r>
        <w:rPr>
          <w:rFonts w:ascii="Times New Roman" w:cs="Times New Roman" w:eastAsia="Times New Roman" w:hAnsi="Times New Roman"/>
          <w:sz w:val="12"/>
          <w:szCs w:val="12"/>
          <w:color w:val="auto"/>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 There have been no awards granted under the Inducement Plan as of September 30, 2020.</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Stock-based compensation expense</w:t>
      </w:r>
    </w:p>
    <w:p>
      <w:pPr>
        <w:spacing w:after="0" w:line="154" w:lineRule="exact"/>
        <w:rPr>
          <w:sz w:val="20"/>
          <w:szCs w:val="20"/>
          <w:color w:val="auto"/>
        </w:rPr>
      </w:pPr>
    </w:p>
    <w:p>
      <w:pPr>
        <w:ind w:right="60" w:firstLine="513"/>
        <w:spacing w:after="0" w:line="279" w:lineRule="auto"/>
        <w:rPr>
          <w:sz w:val="20"/>
          <w:szCs w:val="20"/>
          <w:color w:val="auto"/>
        </w:rPr>
      </w:pPr>
      <w:r>
        <w:rPr>
          <w:rFonts w:ascii="Times New Roman" w:cs="Times New Roman" w:eastAsia="Times New Roman" w:hAnsi="Times New Roman"/>
          <w:sz w:val="12"/>
          <w:szCs w:val="12"/>
          <w:color w:val="auto"/>
        </w:rPr>
        <w:t>The Company recognizes stock-based compensation expense related to options and restricted stock units granted to employees, directors and consultants. The compensation expense is allocated on a departmental basis, based on the classification of the award holder. No income tax benefits have been recognized in the statements of operations for stock-based compensation arrangements during any of the periods presented</w:t>
      </w:r>
    </w:p>
    <w:p>
      <w:pPr>
        <w:spacing w:after="0" w:line="1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Stock-based compensation expense was recognized in the condensed consolidated statements of operations as follows (in thousands).</w:t>
      </w:r>
    </w:p>
    <w:p>
      <w:pPr>
        <w:spacing w:after="0" w:line="20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920" w:type="dxa"/>
            <w:vAlign w:val="bottom"/>
            <w:gridSpan w:val="4"/>
          </w:tcPr>
          <w:p>
            <w:pPr>
              <w:jc w:val="right"/>
              <w:ind w:right="76"/>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gridSpan w:val="5"/>
          </w:tcPr>
          <w:p>
            <w:pPr>
              <w:ind w:left="160"/>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97"/>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Borders>
              <w:top w:val="single" w:sz="8" w:color="auto"/>
            </w:tcBorders>
          </w:tcPr>
          <w:p>
            <w:pPr>
              <w:jc w:val="right"/>
              <w:ind w:right="69"/>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3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jc w:val="right"/>
              <w:ind w:right="116"/>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ind w:right="365"/>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ind w:right="363"/>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Pr>
          <w:p>
            <w:pPr>
              <w:spacing w:after="0"/>
              <w:rPr>
                <w:sz w:val="8"/>
                <w:szCs w:val="8"/>
                <w:color w:val="auto"/>
              </w:rPr>
            </w:pPr>
          </w:p>
        </w:tc>
      </w:tr>
      <w:tr>
        <w:trPr>
          <w:trHeight w:val="142"/>
        </w:trPr>
        <w:tc>
          <w:tcPr>
            <w:tcW w:w="20" w:type="dxa"/>
            <w:vAlign w:val="bottom"/>
          </w:tcPr>
          <w:p>
            <w:pPr>
              <w:spacing w:after="0"/>
              <w:rPr>
                <w:sz w:val="12"/>
                <w:szCs w:val="12"/>
                <w:color w:val="auto"/>
              </w:rPr>
            </w:pPr>
          </w:p>
        </w:tc>
        <w:tc>
          <w:tcPr>
            <w:tcW w:w="2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98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ind w:right="589"/>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2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2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60" w:type="dxa"/>
            <w:vAlign w:val="bottom"/>
            <w:tcBorders>
              <w:top w:val="single" w:sz="8" w:color="CFF0FC"/>
            </w:tcBorders>
            <w:shd w:val="clear" w:color="auto" w:fill="CFF0FC"/>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2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9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283</w:t>
            </w:r>
          </w:p>
        </w:tc>
        <w:tc>
          <w:tcPr>
            <w:tcW w:w="2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855</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489</w:t>
            </w:r>
          </w:p>
        </w:tc>
        <w:tc>
          <w:tcPr>
            <w:tcW w:w="60" w:type="dxa"/>
            <w:vAlign w:val="bottom"/>
            <w:tcBorders>
              <w:bottom w:val="single" w:sz="8" w:color="CFF0FC"/>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2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Total</w:t>
            </w:r>
          </w:p>
        </w:tc>
        <w:tc>
          <w:tcPr>
            <w:tcW w:w="98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ind w:right="589"/>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20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1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1,107</w:t>
            </w:r>
          </w:p>
        </w:tc>
        <w:tc>
          <w:tcPr>
            <w:tcW w:w="2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60" w:type="dxa"/>
            <w:vAlign w:val="bottom"/>
            <w:tcBorders>
              <w:bottom w:val="single" w:sz="8" w:color="CFF0FC"/>
            </w:tcBorders>
            <w:shd w:val="clear" w:color="auto" w:fill="CFF0FC"/>
          </w:tcPr>
          <w:p>
            <w:pPr>
              <w:spacing w:after="0"/>
              <w:rPr>
                <w:sz w:val="12"/>
                <w:szCs w:val="12"/>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 Options</w:t>
      </w:r>
    </w:p>
    <w:p>
      <w:pPr>
        <w:spacing w:after="0" w:line="82" w:lineRule="exact"/>
        <w:rPr>
          <w:sz w:val="20"/>
          <w:szCs w:val="20"/>
          <w:color w:val="auto"/>
        </w:rPr>
      </w:pPr>
    </w:p>
    <w:p>
      <w:pPr>
        <w:ind w:right="240" w:firstLine="513"/>
        <w:spacing w:after="0" w:line="265" w:lineRule="auto"/>
        <w:rPr>
          <w:sz w:val="20"/>
          <w:szCs w:val="20"/>
          <w:color w:val="auto"/>
        </w:rPr>
      </w:pPr>
      <w:r>
        <w:rPr>
          <w:rFonts w:ascii="Times New Roman" w:cs="Times New Roman" w:eastAsia="Times New Roman" w:hAnsi="Times New Roman"/>
          <w:sz w:val="12"/>
          <w:szCs w:val="12"/>
          <w:color w:val="auto"/>
        </w:rPr>
        <w:t>The Company granted options to purchase 47,500 and zero shares of the Company’s common stock during the three months ended September 30, 2020 and 2019, respectively, and 500,150 and 565,785 shares of the Company’s common stock during the nine months ended September 30, 2020 and 2019, respectively. The fair value of each award was estimated on the date of grant using the Black-Scholes option pricing model with the following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296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1720" w:type="dxa"/>
            <w:vAlign w:val="bottom"/>
          </w:tcPr>
          <w:p>
            <w:pPr>
              <w:spacing w:after="0"/>
              <w:rPr>
                <w:sz w:val="10"/>
                <w:szCs w:val="10"/>
                <w:color w:val="auto"/>
              </w:rPr>
            </w:pPr>
          </w:p>
        </w:tc>
      </w:tr>
      <w:tr>
        <w:trPr>
          <w:trHeight w:val="142"/>
        </w:trPr>
        <w:tc>
          <w:tcPr>
            <w:tcW w:w="17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80" w:type="dxa"/>
            <w:vAlign w:val="bottom"/>
            <w:gridSpan w:val="2"/>
          </w:tcPr>
          <w:p>
            <w:pPr>
              <w:ind w:left="640"/>
              <w:spacing w:after="0"/>
              <w:rPr>
                <w:sz w:val="20"/>
                <w:szCs w:val="20"/>
                <w:color w:val="auto"/>
              </w:rPr>
            </w:pPr>
            <w:r>
              <w:rPr>
                <w:rFonts w:ascii="Times New Roman" w:cs="Times New Roman" w:eastAsia="Times New Roman" w:hAnsi="Times New Roman"/>
                <w:sz w:val="10"/>
                <w:szCs w:val="10"/>
                <w:b w:val="1"/>
                <w:bCs w:val="1"/>
                <w:color w:val="auto"/>
              </w:rPr>
              <w:t>September 30, 2020</w:t>
            </w:r>
          </w:p>
        </w:tc>
        <w:tc>
          <w:tcPr>
            <w:tcW w:w="1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2020</w:t>
            </w:r>
          </w:p>
        </w:tc>
        <w:tc>
          <w:tcPr>
            <w:tcW w:w="16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2019</w:t>
            </w:r>
          </w:p>
        </w:tc>
        <w:tc>
          <w:tcPr>
            <w:tcW w:w="1720" w:type="dxa"/>
            <w:vAlign w:val="bottom"/>
          </w:tcPr>
          <w:p>
            <w:pPr>
              <w:spacing w:after="0"/>
              <w:rPr>
                <w:sz w:val="12"/>
                <w:szCs w:val="12"/>
                <w:color w:val="auto"/>
              </w:rPr>
            </w:pPr>
          </w:p>
        </w:tc>
      </w:tr>
      <w:tr>
        <w:trPr>
          <w:trHeight w:val="142"/>
        </w:trPr>
        <w:tc>
          <w:tcPr>
            <w:tcW w:w="1700" w:type="dxa"/>
            <w:vAlign w:val="bottom"/>
          </w:tcPr>
          <w:p>
            <w:pPr>
              <w:spacing w:after="0"/>
              <w:rPr>
                <w:sz w:val="12"/>
                <w:szCs w:val="12"/>
                <w:color w:val="auto"/>
              </w:rPr>
            </w:pPr>
          </w:p>
        </w:tc>
        <w:tc>
          <w:tcPr>
            <w:tcW w:w="3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Expected life (years)</w:t>
            </w:r>
          </w:p>
        </w:tc>
        <w:tc>
          <w:tcPr>
            <w:tcW w:w="14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6.0</w:t>
            </w:r>
          </w:p>
        </w:tc>
        <w:tc>
          <w:tcPr>
            <w:tcW w:w="240" w:type="dxa"/>
            <w:vAlign w:val="bottom"/>
            <w:tcBorders>
              <w:top w:val="single" w:sz="8" w:color="CFF0FC"/>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5.5-6.0</w:t>
            </w:r>
          </w:p>
        </w:tc>
        <w:tc>
          <w:tcPr>
            <w:tcW w:w="160" w:type="dxa"/>
            <w:vAlign w:val="bottom"/>
            <w:tcBorders>
              <w:top w:val="single" w:sz="8" w:color="CFF0FC"/>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5.5-6.1</w:t>
            </w:r>
          </w:p>
        </w:tc>
        <w:tc>
          <w:tcPr>
            <w:tcW w:w="1720" w:type="dxa"/>
            <w:vAlign w:val="bottom"/>
          </w:tcPr>
          <w:p>
            <w:pPr>
              <w:spacing w:after="0"/>
              <w:rPr>
                <w:sz w:val="12"/>
                <w:szCs w:val="12"/>
                <w:color w:val="auto"/>
              </w:rPr>
            </w:pPr>
          </w:p>
        </w:tc>
      </w:tr>
      <w:tr>
        <w:trPr>
          <w:trHeight w:val="153"/>
        </w:trPr>
        <w:tc>
          <w:tcPr>
            <w:tcW w:w="170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0.4%</w:t>
            </w:r>
          </w:p>
        </w:tc>
        <w:tc>
          <w:tcPr>
            <w:tcW w:w="24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0.4%-0.5%</w:t>
            </w:r>
          </w:p>
        </w:tc>
        <w:tc>
          <w:tcPr>
            <w:tcW w:w="16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1.9%-2.6%</w:t>
            </w:r>
          </w:p>
        </w:tc>
        <w:tc>
          <w:tcPr>
            <w:tcW w:w="1720" w:type="dxa"/>
            <w:vAlign w:val="bottom"/>
          </w:tcPr>
          <w:p>
            <w:pPr>
              <w:spacing w:after="0"/>
              <w:rPr>
                <w:sz w:val="13"/>
                <w:szCs w:val="13"/>
                <w:color w:val="auto"/>
              </w:rPr>
            </w:pPr>
          </w:p>
        </w:tc>
      </w:tr>
      <w:tr>
        <w:trPr>
          <w:trHeight w:val="153"/>
        </w:trPr>
        <w:tc>
          <w:tcPr>
            <w:tcW w:w="1700" w:type="dxa"/>
            <w:vAlign w:val="bottom"/>
          </w:tcPr>
          <w:p>
            <w:pPr>
              <w:spacing w:after="0"/>
              <w:rPr>
                <w:sz w:val="13"/>
                <w:szCs w:val="13"/>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Volatility</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84%</w:t>
            </w:r>
          </w:p>
        </w:tc>
        <w:tc>
          <w:tcPr>
            <w:tcW w:w="240" w:type="dxa"/>
            <w:vAlign w:val="bottom"/>
            <w:shd w:val="clear" w:color="auto" w:fill="CFF0FC"/>
          </w:tcPr>
          <w:p>
            <w:pPr>
              <w:spacing w:after="0"/>
              <w:rPr>
                <w:sz w:val="13"/>
                <w:szCs w:val="13"/>
                <w:color w:val="auto"/>
              </w:rPr>
            </w:pP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64%-84%</w:t>
            </w: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70%-71%</w:t>
            </w:r>
          </w:p>
        </w:tc>
        <w:tc>
          <w:tcPr>
            <w:tcW w:w="172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Dividend rate</w:t>
            </w: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 %</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 %</w:t>
            </w: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 %</w:t>
            </w:r>
          </w:p>
        </w:tc>
        <w:tc>
          <w:tcPr>
            <w:tcW w:w="1720" w:type="dxa"/>
            <w:vAlign w:val="bottom"/>
          </w:tcPr>
          <w:p>
            <w:pPr>
              <w:spacing w:after="0"/>
              <w:rPr>
                <w:sz w:val="13"/>
                <w:szCs w:val="13"/>
                <w:color w:val="auto"/>
              </w:rPr>
            </w:pPr>
          </w:p>
        </w:tc>
      </w:tr>
      <w:tr>
        <w:trPr>
          <w:trHeight w:val="430"/>
        </w:trPr>
        <w:tc>
          <w:tcPr>
            <w:tcW w:w="17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4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13</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72"/>
        </w:trPr>
        <w:tc>
          <w:tcPr>
            <w:tcW w:w="1700" w:type="dxa"/>
            <w:vAlign w:val="bottom"/>
            <w:tcBorders>
              <w:bottom w:val="single" w:sz="8" w:color="9A9A9A"/>
            </w:tcBorders>
          </w:tcPr>
          <w:p>
            <w:pPr>
              <w:spacing w:after="0"/>
              <w:rPr>
                <w:sz w:val="6"/>
                <w:szCs w:val="6"/>
                <w:color w:val="auto"/>
              </w:rPr>
            </w:pPr>
          </w:p>
        </w:tc>
        <w:tc>
          <w:tcPr>
            <w:tcW w:w="326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417" w:right="279" w:bottom="1440" w:gutter="0" w:footer="0" w:header="0"/>
        </w:sectPr>
      </w:pPr>
    </w:p>
    <w:bookmarkStart w:id="13" w:name="page14"/>
    <w:bookmarkEnd w:id="13"/>
    <w:p>
      <w:pPr>
        <w:ind w:left="500"/>
        <w:spacing w:after="0"/>
        <w:rPr>
          <w:sz w:val="20"/>
          <w:szCs w:val="20"/>
          <w:color w:val="auto"/>
        </w:rPr>
      </w:pPr>
      <w:r>
        <w:rPr>
          <w:rFonts w:ascii="Times New Roman" w:cs="Times New Roman" w:eastAsia="Times New Roman" w:hAnsi="Times New Roman"/>
          <w:sz w:val="12"/>
          <w:szCs w:val="12"/>
          <w:color w:val="auto"/>
        </w:rPr>
        <w:t>The Black-Scholes option-pricing model requires the use of highly subjective assumptions to estimate the fair value of stock-based awards. These assumptions include the following estimates:</w:t>
      </w:r>
    </w:p>
    <w:p>
      <w:pPr>
        <w:spacing w:after="0" w:line="76" w:lineRule="exact"/>
        <w:rPr>
          <w:sz w:val="20"/>
          <w:szCs w:val="20"/>
          <w:color w:val="auto"/>
        </w:rPr>
      </w:pPr>
    </w:p>
    <w:p>
      <w:pPr>
        <w:ind w:left="880" w:right="20" w:hanging="375"/>
        <w:spacing w:after="0" w:line="266" w:lineRule="auto"/>
        <w:tabs>
          <w:tab w:leader="none" w:pos="8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Expected life: </w:t>
      </w:r>
      <w:r>
        <w:rPr>
          <w:rFonts w:ascii="Times New Roman" w:cs="Times New Roman" w:eastAsia="Times New Roman" w:hAnsi="Times New Roman"/>
          <w:sz w:val="12"/>
          <w:szCs w:val="12"/>
          <w:color w:val="auto"/>
        </w:rPr>
        <w:t>The expected life of stock options represents the average of the contractual term of the options and the weighted-average vesting period, as permitted under the simplified method. The Company does not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believe it is able to rely on historical exercise and post-vesting termination activity to provide accurate data for estimating the expected term for use in estimating the fair value-based measurement of stock options. Therefore, it has opted to use the “simplified method” for estimating the expected term of options.</w:t>
      </w:r>
    </w:p>
    <w:p>
      <w:pPr>
        <w:spacing w:after="0" w:line="45" w:lineRule="exact"/>
        <w:rPr>
          <w:rFonts w:ascii="Times New Roman" w:cs="Times New Roman" w:eastAsia="Times New Roman" w:hAnsi="Times New Roman"/>
          <w:sz w:val="12"/>
          <w:szCs w:val="12"/>
          <w:color w:val="auto"/>
        </w:rPr>
      </w:pPr>
    </w:p>
    <w:p>
      <w:pPr>
        <w:ind w:left="880" w:hanging="375"/>
        <w:spacing w:after="0"/>
        <w:tabs>
          <w:tab w:leader="none" w:pos="8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Risk-free interest rate: </w:t>
      </w:r>
      <w:r>
        <w:rPr>
          <w:rFonts w:ascii="Times New Roman" w:cs="Times New Roman" w:eastAsia="Times New Roman" w:hAnsi="Times New Roman"/>
          <w:sz w:val="12"/>
          <w:szCs w:val="12"/>
          <w:color w:val="auto"/>
        </w:rPr>
        <w:t>The risk-free interest rate is based on the yields of U.S. Treasury securities with maturities similar to the expected time to liquidity.</w:t>
      </w:r>
    </w:p>
    <w:p>
      <w:pPr>
        <w:spacing w:after="0" w:line="78" w:lineRule="exact"/>
        <w:rPr>
          <w:rFonts w:ascii="Times New Roman" w:cs="Times New Roman" w:eastAsia="Times New Roman" w:hAnsi="Times New Roman"/>
          <w:sz w:val="12"/>
          <w:szCs w:val="12"/>
          <w:color w:val="auto"/>
        </w:rPr>
      </w:pPr>
    </w:p>
    <w:p>
      <w:pPr>
        <w:ind w:left="880" w:hanging="375"/>
        <w:spacing w:after="0"/>
        <w:tabs>
          <w:tab w:leader="none" w:pos="8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Volatility: </w:t>
      </w:r>
      <w:r>
        <w:rPr>
          <w:rFonts w:ascii="Times New Roman" w:cs="Times New Roman" w:eastAsia="Times New Roman" w:hAnsi="Times New Roman"/>
          <w:sz w:val="12"/>
          <w:szCs w:val="12"/>
          <w:color w:val="auto"/>
        </w:rPr>
        <w:t>The estimated volatility rate is based on the volatilities of the Company’s common stock together with comparable companies in the Company’s industry.</w:t>
      </w:r>
    </w:p>
    <w:p>
      <w:pPr>
        <w:spacing w:after="0" w:line="78" w:lineRule="exact"/>
        <w:rPr>
          <w:rFonts w:ascii="Times New Roman" w:cs="Times New Roman" w:eastAsia="Times New Roman" w:hAnsi="Times New Roman"/>
          <w:sz w:val="12"/>
          <w:szCs w:val="12"/>
          <w:color w:val="auto"/>
        </w:rPr>
      </w:pPr>
    </w:p>
    <w:p>
      <w:pPr>
        <w:ind w:left="880" w:right="80" w:hanging="375"/>
        <w:spacing w:after="0" w:line="283" w:lineRule="auto"/>
        <w:tabs>
          <w:tab w:leader="none" w:pos="8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Dividend rate: </w:t>
      </w:r>
      <w:r>
        <w:rPr>
          <w:rFonts w:ascii="Times New Roman" w:cs="Times New Roman" w:eastAsia="Times New Roman" w:hAnsi="Times New Roman"/>
          <w:sz w:val="12"/>
          <w:szCs w:val="12"/>
          <w:color w:val="auto"/>
        </w:rPr>
        <w:t>The Company has never declared or paid any cash dividends and does not presently plan to pay cash dividends in the foreseeable future. Consequently, the Company used an expected dividend yield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zero.</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following table summarizes stock option transactions for the nine months ended September 30, 2020 as issued under the 2014 Plan: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vMerge w:val="restart"/>
          </w:tcPr>
          <w:p>
            <w:pPr>
              <w:jc w:val="center"/>
              <w:ind w:left="289"/>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7"/>
              </w:rPr>
              <w:t>Weighted</w:t>
            </w:r>
          </w:p>
        </w:tc>
        <w:tc>
          <w:tcPr>
            <w:tcW w:w="0" w:type="dxa"/>
            <w:vAlign w:val="bottom"/>
          </w:tcPr>
          <w:p>
            <w:pPr>
              <w:spacing w:after="0"/>
              <w:rPr>
                <w:sz w:val="1"/>
                <w:szCs w:val="1"/>
                <w:color w:val="auto"/>
              </w:rPr>
            </w:pPr>
          </w:p>
        </w:tc>
      </w:tr>
      <w:tr>
        <w:trPr>
          <w:trHeight w:val="99"/>
        </w:trPr>
        <w:tc>
          <w:tcPr>
            <w:tcW w:w="66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0" w:type="dxa"/>
            <w:vAlign w:val="bottom"/>
          </w:tcPr>
          <w:p>
            <w:pPr>
              <w:spacing w:after="0"/>
              <w:rPr>
                <w:sz w:val="1"/>
                <w:szCs w:val="1"/>
                <w:color w:val="auto"/>
              </w:rPr>
            </w:pPr>
          </w:p>
        </w:tc>
      </w:tr>
      <w:tr>
        <w:trPr>
          <w:trHeight w:val="99"/>
        </w:trPr>
        <w:tc>
          <w:tcPr>
            <w:tcW w:w="6680" w:type="dxa"/>
            <w:vAlign w:val="bottom"/>
          </w:tcPr>
          <w:p>
            <w:pPr>
              <w:spacing w:after="0"/>
              <w:rPr>
                <w:sz w:val="8"/>
                <w:szCs w:val="8"/>
                <w:color w:val="auto"/>
              </w:rPr>
            </w:pPr>
          </w:p>
        </w:tc>
        <w:tc>
          <w:tcPr>
            <w:tcW w:w="15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1000" w:type="dxa"/>
            <w:vAlign w:val="bottom"/>
          </w:tcPr>
          <w:p>
            <w:pPr>
              <w:jc w:val="center"/>
              <w:ind w:left="289"/>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4"/>
              </w:rPr>
              <w:t>Remaining</w:t>
            </w:r>
          </w:p>
        </w:tc>
        <w:tc>
          <w:tcPr>
            <w:tcW w:w="0" w:type="dxa"/>
            <w:vAlign w:val="bottom"/>
          </w:tcPr>
          <w:p>
            <w:pPr>
              <w:spacing w:after="0"/>
              <w:rPr>
                <w:sz w:val="1"/>
                <w:szCs w:val="1"/>
                <w:color w:val="auto"/>
              </w:rPr>
            </w:pPr>
          </w:p>
        </w:tc>
      </w:tr>
      <w:tr>
        <w:trPr>
          <w:trHeight w:val="99"/>
        </w:trPr>
        <w:tc>
          <w:tcPr>
            <w:tcW w:w="668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000" w:type="dxa"/>
            <w:vAlign w:val="bottom"/>
          </w:tcPr>
          <w:p>
            <w:pPr>
              <w:jc w:val="center"/>
              <w:ind w:left="289"/>
              <w:spacing w:after="0" w:line="99" w:lineRule="exact"/>
              <w:rPr>
                <w:sz w:val="20"/>
                <w:szCs w:val="20"/>
                <w:color w:val="auto"/>
              </w:rPr>
            </w:pPr>
            <w:r>
              <w:rPr>
                <w:rFonts w:ascii="Times New Roman" w:cs="Times New Roman" w:eastAsia="Times New Roman" w:hAnsi="Times New Roman"/>
                <w:sz w:val="10"/>
                <w:szCs w:val="10"/>
                <w:b w:val="1"/>
                <w:bCs w:val="1"/>
                <w:color w:val="auto"/>
                <w:w w:val="94"/>
              </w:rPr>
              <w:t>Exercise</w:t>
            </w: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6"/>
              </w:rPr>
              <w:t>Contractual</w:t>
            </w:r>
          </w:p>
        </w:tc>
        <w:tc>
          <w:tcPr>
            <w:tcW w:w="0" w:type="dxa"/>
            <w:vAlign w:val="bottom"/>
          </w:tcPr>
          <w:p>
            <w:pPr>
              <w:spacing w:after="0"/>
              <w:rPr>
                <w:sz w:val="1"/>
                <w:szCs w:val="1"/>
                <w:color w:val="auto"/>
              </w:rPr>
            </w:pPr>
          </w:p>
        </w:tc>
      </w:tr>
      <w:tr>
        <w:trPr>
          <w:trHeight w:val="108"/>
        </w:trPr>
        <w:tc>
          <w:tcPr>
            <w:tcW w:w="6680" w:type="dxa"/>
            <w:vAlign w:val="bottom"/>
          </w:tcPr>
          <w:p>
            <w:pPr>
              <w:spacing w:after="0"/>
              <w:rPr>
                <w:sz w:val="9"/>
                <w:szCs w:val="9"/>
                <w:color w:val="auto"/>
              </w:rPr>
            </w:pPr>
          </w:p>
        </w:tc>
        <w:tc>
          <w:tcPr>
            <w:tcW w:w="158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0"/>
                <w:szCs w:val="10"/>
                <w:b w:val="1"/>
                <w:bCs w:val="1"/>
                <w:color w:val="auto"/>
                <w:w w:val="94"/>
              </w:rPr>
              <w:t>Options</w:t>
            </w:r>
          </w:p>
        </w:tc>
        <w:tc>
          <w:tcPr>
            <w:tcW w:w="1000" w:type="dxa"/>
            <w:vAlign w:val="bottom"/>
          </w:tcPr>
          <w:p>
            <w:pPr>
              <w:jc w:val="center"/>
              <w:ind w:left="289"/>
              <w:spacing w:after="0" w:line="108" w:lineRule="exact"/>
              <w:rPr>
                <w:sz w:val="20"/>
                <w:szCs w:val="20"/>
                <w:color w:val="auto"/>
              </w:rPr>
            </w:pPr>
            <w:r>
              <w:rPr>
                <w:rFonts w:ascii="Times New Roman" w:cs="Times New Roman" w:eastAsia="Times New Roman" w:hAnsi="Times New Roman"/>
                <w:sz w:val="10"/>
                <w:szCs w:val="10"/>
                <w:b w:val="1"/>
                <w:bCs w:val="1"/>
                <w:color w:val="auto"/>
                <w:w w:val="96"/>
              </w:rPr>
              <w:t>Price per</w:t>
            </w: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0"/>
                <w:szCs w:val="10"/>
                <w:b w:val="1"/>
                <w:bCs w:val="1"/>
                <w:color w:val="auto"/>
                <w:w w:val="91"/>
              </w:rPr>
              <w:t>Term</w:t>
            </w:r>
          </w:p>
        </w:tc>
        <w:tc>
          <w:tcPr>
            <w:tcW w:w="0" w:type="dxa"/>
            <w:vAlign w:val="bottom"/>
          </w:tcPr>
          <w:p>
            <w:pPr>
              <w:spacing w:after="0"/>
              <w:rPr>
                <w:sz w:val="1"/>
                <w:szCs w:val="1"/>
                <w:color w:val="auto"/>
              </w:rPr>
            </w:pPr>
          </w:p>
        </w:tc>
      </w:tr>
      <w:tr>
        <w:trPr>
          <w:trHeight w:val="115"/>
        </w:trPr>
        <w:tc>
          <w:tcPr>
            <w:tcW w:w="6680" w:type="dxa"/>
            <w:vAlign w:val="bottom"/>
          </w:tcPr>
          <w:p>
            <w:pPr>
              <w:spacing w:after="0"/>
              <w:rPr>
                <w:sz w:val="10"/>
                <w:szCs w:val="1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7"/>
              </w:rPr>
              <w:t>Outstanding</w:t>
            </w:r>
          </w:p>
        </w:tc>
        <w:tc>
          <w:tcPr>
            <w:tcW w:w="1000" w:type="dxa"/>
            <w:vAlign w:val="bottom"/>
          </w:tcPr>
          <w:p>
            <w:pPr>
              <w:jc w:val="center"/>
              <w:ind w:left="269"/>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9"/>
              </w:rPr>
              <w:t>(in years)</w:t>
            </w:r>
          </w:p>
        </w:tc>
        <w:tc>
          <w:tcPr>
            <w:tcW w:w="0" w:type="dxa"/>
            <w:vAlign w:val="bottom"/>
          </w:tcPr>
          <w:p>
            <w:pPr>
              <w:spacing w:after="0"/>
              <w:rPr>
                <w:sz w:val="1"/>
                <w:szCs w:val="1"/>
                <w:color w:val="auto"/>
              </w:rPr>
            </w:pPr>
          </w:p>
        </w:tc>
      </w:tr>
      <w:tr>
        <w:trPr>
          <w:trHeight w:val="142"/>
        </w:trPr>
        <w:tc>
          <w:tcPr>
            <w:tcW w:w="6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at January 1, 2020</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2,123,117</w:t>
            </w:r>
          </w:p>
        </w:tc>
        <w:tc>
          <w:tcPr>
            <w:tcW w:w="26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4.62</w:t>
            </w:r>
          </w:p>
        </w:tc>
        <w:tc>
          <w:tcPr>
            <w:tcW w:w="260" w:type="dxa"/>
            <w:vAlign w:val="bottom"/>
            <w:tcBorders>
              <w:top w:val="single" w:sz="8" w:color="CFF0FC"/>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Options 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500,150</w:t>
            </w:r>
          </w:p>
        </w:tc>
        <w:tc>
          <w:tcPr>
            <w:tcW w:w="260" w:type="dxa"/>
            <w:vAlign w:val="bottom"/>
          </w:tcPr>
          <w:p>
            <w:pPr>
              <w:spacing w:after="0"/>
              <w:rPr>
                <w:sz w:val="13"/>
                <w:szCs w:val="13"/>
                <w:color w:val="auto"/>
              </w:rPr>
            </w:pPr>
          </w:p>
        </w:tc>
        <w:tc>
          <w:tcPr>
            <w:tcW w:w="1000" w:type="dxa"/>
            <w:vAlign w:val="bottom"/>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Options exercised</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(8,518)</w:t>
            </w:r>
          </w:p>
        </w:tc>
        <w:tc>
          <w:tcPr>
            <w:tcW w:w="1000" w:type="dxa"/>
            <w:vAlign w:val="bottom"/>
            <w:shd w:val="clear" w:color="auto" w:fill="CFF0FC"/>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Options canceled/forfeited</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(101,010)</w:t>
            </w:r>
          </w:p>
        </w:tc>
        <w:tc>
          <w:tcPr>
            <w:tcW w:w="1000" w:type="dxa"/>
            <w:vAlign w:val="bottom"/>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at September 30, 2020</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2,513,739</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4.45</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7.58</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Options vested at September 30, 2020</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1,447,808</w:t>
            </w:r>
          </w:p>
        </w:tc>
        <w:tc>
          <w:tcPr>
            <w:tcW w:w="26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5.95</w:t>
            </w:r>
          </w:p>
        </w:tc>
        <w:tc>
          <w:tcPr>
            <w:tcW w:w="260" w:type="dxa"/>
            <w:vAlign w:val="bottom"/>
            <w:tcBorders>
              <w:bottom w:val="single" w:sz="8" w:color="CFF0FC"/>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Options vested and expected to vest at September 30, 2020</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2,513,739</w:t>
            </w:r>
          </w:p>
        </w:tc>
        <w:tc>
          <w:tcPr>
            <w:tcW w:w="26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4.45</w:t>
            </w:r>
          </w:p>
        </w:tc>
        <w:tc>
          <w:tcPr>
            <w:tcW w:w="2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7.58</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80" w:firstLine="513"/>
        <w:spacing w:after="0" w:line="265" w:lineRule="auto"/>
        <w:rPr>
          <w:sz w:val="20"/>
          <w:szCs w:val="20"/>
          <w:color w:val="auto"/>
        </w:rPr>
      </w:pPr>
      <w:r>
        <w:rPr>
          <w:rFonts w:ascii="Times New Roman" w:cs="Times New Roman" w:eastAsia="Times New Roman" w:hAnsi="Times New Roman"/>
          <w:sz w:val="12"/>
          <w:szCs w:val="12"/>
          <w:color w:val="auto"/>
        </w:rPr>
        <w:t>The weighted-average grant date fair value of options granted was $1.89 and $1.17 per share for the nine months ended September 30, 2020 and 2019, respectively. At September 30, 2020 total unrecognized employee stock-based compensation related to stock options was $1.6 million, which is expected to be recognized over the weighted-average remaining vesting period of 2.5 years. As of September 30, 2020, the outstanding stock options had an intrinsic value of $1.0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Restricted Stock Units</w:t>
      </w:r>
    </w:p>
    <w:p>
      <w:pPr>
        <w:spacing w:after="0" w:line="82" w:lineRule="exact"/>
        <w:rPr>
          <w:sz w:val="20"/>
          <w:szCs w:val="20"/>
          <w:color w:val="auto"/>
        </w:rPr>
      </w:pPr>
    </w:p>
    <w:p>
      <w:pPr>
        <w:ind w:right="260" w:firstLine="513"/>
        <w:spacing w:after="0" w:line="265" w:lineRule="auto"/>
        <w:rPr>
          <w:sz w:val="20"/>
          <w:szCs w:val="20"/>
          <w:color w:val="auto"/>
        </w:rPr>
      </w:pPr>
      <w:r>
        <w:rPr>
          <w:rFonts w:ascii="Times New Roman" w:cs="Times New Roman" w:eastAsia="Times New Roman" w:hAnsi="Times New Roman"/>
          <w:sz w:val="12"/>
          <w:szCs w:val="12"/>
          <w:color w:val="auto"/>
        </w:rPr>
        <w:t>There were 23,347 and zero restricted stock units granted by the Company during the three months ended September 30, 2020 and 2019, respectively, and 727,065 and 38,123 restricted stock units granted during the nine months ended September 30, 2020 and 2019, respectively, to employees and directors. The shares granted to directors were 100% vested on the grant date and represent compensation for past board services. The shares granted to employees typically vest annually over a period of four years. The shares were valued based on the Company’s common stock price on the grant date.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following table summarizes restricted stock unit transactions for the nine months ended September 30, 2020 as issued under the 2014 Plan:</w:t>
      </w:r>
    </w:p>
    <w:tbl>
      <w:tblPr>
        <w:tblLayout w:type="fixed"/>
        <w:tblInd w:w="0" w:type="dxa"/>
        <w:tblCellMar>
          <w:top w:w="0" w:type="dxa"/>
          <w:left w:w="0" w:type="dxa"/>
          <w:bottom w:w="0" w:type="dxa"/>
          <w:right w:w="0" w:type="dxa"/>
        </w:tblCellMar>
      </w:tblPr>
      <w:tr>
        <w:trPr>
          <w:trHeight w:val="108"/>
        </w:trPr>
        <w:tc>
          <w:tcPr>
            <w:tcW w:w="364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jc w:val="center"/>
              <w:ind w:right="340"/>
              <w:spacing w:after="0" w:line="109" w:lineRule="exact"/>
              <w:rPr>
                <w:sz w:val="20"/>
                <w:szCs w:val="20"/>
                <w:color w:val="auto"/>
              </w:rPr>
            </w:pPr>
            <w:r>
              <w:rPr>
                <w:rFonts w:ascii="Times New Roman" w:cs="Times New Roman" w:eastAsia="Times New Roman" w:hAnsi="Times New Roman"/>
                <w:sz w:val="10"/>
                <w:szCs w:val="10"/>
                <w:b w:val="1"/>
                <w:bCs w:val="1"/>
                <w:color w:val="auto"/>
                <w:w w:val="94"/>
              </w:rPr>
              <w:t>Weighted-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364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4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200" w:type="dxa"/>
            <w:vAlign w:val="bottom"/>
          </w:tcPr>
          <w:p>
            <w:pPr>
              <w:spacing w:after="0"/>
              <w:rPr>
                <w:sz w:val="8"/>
                <w:szCs w:val="8"/>
                <w:color w:val="auto"/>
              </w:rPr>
            </w:pPr>
          </w:p>
        </w:tc>
        <w:tc>
          <w:tcPr>
            <w:tcW w:w="104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64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240" w:type="dxa"/>
            <w:vAlign w:val="bottom"/>
            <w:gridSpan w:val="3"/>
          </w:tcPr>
          <w:p>
            <w:pPr>
              <w:ind w:left="20"/>
              <w:spacing w:after="0" w:line="99" w:lineRule="exact"/>
              <w:rPr>
                <w:sz w:val="20"/>
                <w:szCs w:val="20"/>
                <w:color w:val="auto"/>
              </w:rPr>
            </w:pPr>
            <w:r>
              <w:rPr>
                <w:rFonts w:ascii="Times New Roman" w:cs="Times New Roman" w:eastAsia="Times New Roman" w:hAnsi="Times New Roman"/>
                <w:sz w:val="10"/>
                <w:szCs w:val="10"/>
                <w:b w:val="1"/>
                <w:bCs w:val="1"/>
                <w:color w:val="auto"/>
              </w:rPr>
              <w:t>Grant-Date Fair Value per</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64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Restricted Stock Units</w:t>
            </w:r>
          </w:p>
        </w:tc>
        <w:tc>
          <w:tcPr>
            <w:tcW w:w="200" w:type="dxa"/>
            <w:vAlign w:val="bottom"/>
          </w:tcPr>
          <w:p>
            <w:pPr>
              <w:spacing w:after="0"/>
              <w:rPr>
                <w:sz w:val="10"/>
                <w:szCs w:val="1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Outstanding at January 1, 2020</w:t>
            </w:r>
          </w:p>
        </w:tc>
        <w:tc>
          <w:tcPr>
            <w:tcW w:w="500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Restricted stock units granted</w:t>
            </w:r>
          </w:p>
        </w:tc>
        <w:tc>
          <w:tcPr>
            <w:tcW w:w="6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727,065</w:t>
            </w:r>
          </w:p>
        </w:tc>
        <w:tc>
          <w:tcPr>
            <w:tcW w:w="30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Restricted stock units vested</w:t>
            </w:r>
          </w:p>
        </w:tc>
        <w:tc>
          <w:tcPr>
            <w:tcW w:w="64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(78,565)</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2.87</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Restricted stock units cancelled</w:t>
            </w:r>
          </w:p>
        </w:tc>
        <w:tc>
          <w:tcPr>
            <w:tcW w:w="642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(67,500)</w:t>
            </w: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Outstanding at September 30, 2020</w:t>
            </w:r>
          </w:p>
        </w:tc>
        <w:tc>
          <w:tcPr>
            <w:tcW w:w="5000" w:type="dxa"/>
            <w:vAlign w:val="bottom"/>
            <w:tcBorders>
              <w:top w:val="single" w:sz="8" w:color="CFF0FC"/>
              <w:bottom w:val="single" w:sz="8" w:color="CFF0FC"/>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581,000</w:t>
            </w:r>
          </w:p>
        </w:tc>
        <w:tc>
          <w:tcPr>
            <w:tcW w:w="30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3.85</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3640" w:type="dxa"/>
            <w:vAlign w:val="bottom"/>
          </w:tcPr>
          <w:p>
            <w:pPr>
              <w:spacing w:after="0"/>
              <w:rPr>
                <w:sz w:val="23"/>
                <w:szCs w:val="23"/>
                <w:color w:val="auto"/>
              </w:rPr>
            </w:pPr>
          </w:p>
        </w:tc>
        <w:tc>
          <w:tcPr>
            <w:tcW w:w="5000" w:type="dxa"/>
            <w:vAlign w:val="bottom"/>
          </w:tcPr>
          <w:p>
            <w:pPr>
              <w:jc w:val="right"/>
              <w:ind w:right="2880"/>
              <w:spacing w:after="0"/>
              <w:rPr>
                <w:sz w:val="20"/>
                <w:szCs w:val="20"/>
                <w:color w:val="auto"/>
              </w:rPr>
            </w:pPr>
            <w:r>
              <w:rPr>
                <w:rFonts w:ascii="Times New Roman" w:cs="Times New Roman" w:eastAsia="Times New Roman" w:hAnsi="Times New Roman"/>
                <w:sz w:val="12"/>
                <w:szCs w:val="12"/>
                <w:color w:val="auto"/>
              </w:rPr>
              <w:t>14</w:t>
            </w: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3640" w:type="dxa"/>
            <w:vAlign w:val="bottom"/>
            <w:tcBorders>
              <w:bottom w:val="single" w:sz="8" w:color="9A9A9A"/>
            </w:tcBorders>
          </w:tcPr>
          <w:p>
            <w:pPr>
              <w:spacing w:after="0"/>
              <w:rPr>
                <w:sz w:val="6"/>
                <w:szCs w:val="6"/>
                <w:color w:val="auto"/>
              </w:rPr>
            </w:pPr>
          </w:p>
        </w:tc>
        <w:tc>
          <w:tcPr>
            <w:tcW w:w="500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300" w:right="279" w:bottom="1440" w:gutter="0" w:footer="0" w:header="0"/>
        </w:sectPr>
      </w:pPr>
    </w:p>
    <w:bookmarkStart w:id="14" w:name="page15"/>
    <w:bookmarkEnd w:id="14"/>
    <w:p>
      <w:pPr>
        <w:ind w:firstLine="513"/>
        <w:spacing w:after="0" w:line="265" w:lineRule="auto"/>
        <w:rPr>
          <w:sz w:val="20"/>
          <w:szCs w:val="20"/>
          <w:color w:val="auto"/>
        </w:rPr>
      </w:pPr>
      <w:r>
        <w:rPr>
          <w:rFonts w:ascii="Times New Roman" w:cs="Times New Roman" w:eastAsia="Times New Roman" w:hAnsi="Times New Roman"/>
          <w:sz w:val="12"/>
          <w:szCs w:val="12"/>
          <w:color w:val="auto"/>
        </w:rPr>
        <w:t>The weighted-average grant-date fair value of all restricted stock units granted during the nine months ended September 30, 2020 and 2019 was $3.74 and $2.42, respectively. The fair value of all restricted stock units vested during the nine months ended September 30, 2020 and 2019 was $0.2 million and approximately $92,000, respectively. At September 30, 2020 total unrecognized employee stock-based compensation related to restricted stock units was $1.9 million, which is expected to be recognized over the weighted-average remaining vesting period of 3.3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2014 Employee Stock Purchase Plan</w:t>
      </w:r>
    </w:p>
    <w:p>
      <w:pPr>
        <w:spacing w:after="0" w:line="82" w:lineRule="exact"/>
        <w:rPr>
          <w:sz w:val="20"/>
          <w:szCs w:val="20"/>
          <w:color w:val="auto"/>
        </w:rPr>
      </w:pPr>
    </w:p>
    <w:p>
      <w:pPr>
        <w:ind w:right="40" w:firstLine="513"/>
        <w:spacing w:after="0" w:line="265" w:lineRule="auto"/>
        <w:rPr>
          <w:sz w:val="20"/>
          <w:szCs w:val="20"/>
          <w:color w:val="auto"/>
        </w:rPr>
      </w:pPr>
      <w:r>
        <w:rPr>
          <w:rFonts w:ascii="Times New Roman" w:cs="Times New Roman" w:eastAsia="Times New Roman" w:hAnsi="Times New Roman"/>
          <w:sz w:val="12"/>
          <w:szCs w:val="12"/>
          <w:color w:val="auto"/>
        </w:rPr>
        <w:t>The Company’s Board and stockholders have adopted the 2014 Employee Stock Purchase Plan, or the ESPP. The ESPP has become effective, and the Board will implement commencement of offers thereunder in its discretion. A total of 27,967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authorizes commencement, equal to the least of:</w:t>
      </w:r>
    </w:p>
    <w:p>
      <w:pPr>
        <w:spacing w:after="0" w:line="47" w:lineRule="exact"/>
        <w:rPr>
          <w:sz w:val="20"/>
          <w:szCs w:val="20"/>
          <w:color w:val="auto"/>
        </w:rPr>
      </w:pPr>
    </w:p>
    <w:p>
      <w:pPr>
        <w:ind w:left="880" w:hanging="375"/>
        <w:spacing w:after="0"/>
        <w:tabs>
          <w:tab w:leader="none" w:pos="8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 of the outstanding shares of the Company’s common stock on the first day of such year;</w:t>
      </w:r>
    </w:p>
    <w:p>
      <w:pPr>
        <w:spacing w:after="0" w:line="78" w:lineRule="exact"/>
        <w:rPr>
          <w:rFonts w:ascii="Times New Roman" w:cs="Times New Roman" w:eastAsia="Times New Roman" w:hAnsi="Times New Roman"/>
          <w:sz w:val="12"/>
          <w:szCs w:val="12"/>
          <w:color w:val="auto"/>
        </w:rPr>
      </w:pPr>
    </w:p>
    <w:p>
      <w:pPr>
        <w:ind w:left="880" w:hanging="375"/>
        <w:spacing w:after="0"/>
        <w:tabs>
          <w:tab w:leader="none" w:pos="8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55,936 shares; or</w:t>
      </w:r>
    </w:p>
    <w:p>
      <w:pPr>
        <w:spacing w:after="0" w:line="78" w:lineRule="exact"/>
        <w:rPr>
          <w:rFonts w:ascii="Times New Roman" w:cs="Times New Roman" w:eastAsia="Times New Roman" w:hAnsi="Times New Roman"/>
          <w:sz w:val="12"/>
          <w:szCs w:val="12"/>
          <w:color w:val="auto"/>
        </w:rPr>
      </w:pPr>
    </w:p>
    <w:p>
      <w:pPr>
        <w:ind w:left="880" w:hanging="375"/>
        <w:spacing w:after="0"/>
        <w:tabs>
          <w:tab w:leader="none" w:pos="8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amount as determined by the Board.</w:t>
      </w:r>
    </w:p>
    <w:p>
      <w:pPr>
        <w:spacing w:after="0" w:line="1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As of September 30, 2020, there were no purchases by employees under this plan.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Series D Warrants</w:t>
      </w:r>
    </w:p>
    <w:p>
      <w:pPr>
        <w:spacing w:after="0" w:line="82" w:lineRule="exact"/>
        <w:rPr>
          <w:sz w:val="20"/>
          <w:szCs w:val="20"/>
          <w:color w:val="auto"/>
        </w:rPr>
      </w:pPr>
    </w:p>
    <w:p>
      <w:pPr>
        <w:ind w:right="20" w:firstLine="513"/>
        <w:spacing w:after="0" w:line="254" w:lineRule="auto"/>
        <w:rPr>
          <w:sz w:val="20"/>
          <w:szCs w:val="20"/>
          <w:color w:val="auto"/>
        </w:rPr>
      </w:pPr>
      <w:r>
        <w:rPr>
          <w:rFonts w:ascii="Times New Roman" w:cs="Times New Roman" w:eastAsia="Times New Roman" w:hAnsi="Times New Roman"/>
          <w:sz w:val="12"/>
          <w:szCs w:val="12"/>
          <w:color w:val="auto"/>
        </w:rPr>
        <w:t>The Company issued 270,270 Series D Warrants in October 2015, which are exercisable into 540,540 shares of the Company’s common stock, with an exercise price of $8.75 and a term of five years, expiring on October 15, 2020. The Company’s Series D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requirements to cause or maintain the effectiveness of a registration statement for the offer and sale of these securities. The Series D Warrant agreement further provides for the payment of liquidated damages at an amount per month equal to 1% of the aggregate VWAP of the shares into which each Series D Warrant is convertible in the event that the Company is unable to maintain the effectiveness of a registration statement as described herein. The Company evaluated the registration payment arrangement stipulated in the terms of this securities agreement and determined that it is probable that the Company will maintain an effective registration statement and has therefore not allocated any portion of the proceeds to the registration payment arrangement. The Series D Warrant agreement specifically provides that under no circumstances will the Company be required to settle any Series D Warrant exercise for cash, whether by net settlement or otherwise.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Accounting Treatment</w:t>
      </w:r>
    </w:p>
    <w:p>
      <w:pPr>
        <w:spacing w:after="0" w:line="80" w:lineRule="exact"/>
        <w:rPr>
          <w:sz w:val="20"/>
          <w:szCs w:val="20"/>
          <w:color w:val="auto"/>
        </w:rPr>
      </w:pPr>
    </w:p>
    <w:p>
      <w:pPr>
        <w:ind w:right="380" w:firstLine="513"/>
        <w:spacing w:after="0" w:line="283" w:lineRule="auto"/>
        <w:rPr>
          <w:sz w:val="20"/>
          <w:szCs w:val="20"/>
          <w:color w:val="auto"/>
        </w:rPr>
      </w:pPr>
      <w:r>
        <w:rPr>
          <w:rFonts w:ascii="Times New Roman" w:cs="Times New Roman" w:eastAsia="Times New Roman" w:hAnsi="Times New Roman"/>
          <w:sz w:val="12"/>
          <w:szCs w:val="12"/>
          <w:color w:val="auto"/>
        </w:rPr>
        <w:t xml:space="preserve">The Company accounts for the Series D Warrants in accordance with the guidance in ASC 815 </w:t>
      </w:r>
      <w:r>
        <w:rPr>
          <w:rFonts w:ascii="Times New Roman" w:cs="Times New Roman" w:eastAsia="Times New Roman" w:hAnsi="Times New Roman"/>
          <w:sz w:val="12"/>
          <w:szCs w:val="12"/>
          <w:i w:val="1"/>
          <w:iCs w:val="1"/>
          <w:color w:val="auto"/>
        </w:rPr>
        <w:t>Derivatives and Hedging.</w:t>
      </w:r>
      <w:r>
        <w:rPr>
          <w:rFonts w:ascii="Times New Roman" w:cs="Times New Roman" w:eastAsia="Times New Roman" w:hAnsi="Times New Roman"/>
          <w:sz w:val="12"/>
          <w:szCs w:val="12"/>
          <w:color w:val="auto"/>
        </w:rPr>
        <w:t xml:space="preserve"> As indicated above, the Company is not required under any circumstance to settle any Series D Warrant exercise for cash. The Company has therefore classified the value of the Series D Warrants as permanent equity.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Common Stock Warrants</w:t>
      </w:r>
    </w:p>
    <w:p>
      <w:pPr>
        <w:spacing w:after="0" w:line="82" w:lineRule="exact"/>
        <w:rPr>
          <w:sz w:val="20"/>
          <w:szCs w:val="20"/>
          <w:color w:val="auto"/>
        </w:rPr>
      </w:pPr>
    </w:p>
    <w:p>
      <w:pPr>
        <w:ind w:right="300" w:firstLine="513"/>
        <w:spacing w:after="0" w:line="279" w:lineRule="auto"/>
        <w:rPr>
          <w:sz w:val="20"/>
          <w:szCs w:val="20"/>
          <w:color w:val="auto"/>
        </w:rPr>
      </w:pPr>
      <w:r>
        <w:rPr>
          <w:rFonts w:ascii="Times New Roman" w:cs="Times New Roman" w:eastAsia="Times New Roman" w:hAnsi="Times New Roman"/>
          <w:sz w:val="12"/>
          <w:szCs w:val="12"/>
          <w:color w:val="auto"/>
        </w:rPr>
        <w:t>As of September 30, 2020, the Company had 102,070 common stock warrants outstanding from the 2010/2012 convertible notes, with an exercise price of $24.35 and a term of 10 years expiring in November 2024. The Company also had 16,500 common stock warrants issued to the underwriter in the Company’s IPO, with an exercise price of $35.70 and a term of 10 years, expiring in November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9. Net loss per share</w:t>
      </w:r>
    </w:p>
    <w:p>
      <w:pPr>
        <w:spacing w:after="0" w:line="82" w:lineRule="exact"/>
        <w:rPr>
          <w:sz w:val="20"/>
          <w:szCs w:val="20"/>
          <w:color w:val="auto"/>
        </w:rPr>
      </w:pPr>
    </w:p>
    <w:p>
      <w:pPr>
        <w:ind w:right="60" w:firstLine="513"/>
        <w:spacing w:after="0" w:line="279" w:lineRule="auto"/>
        <w:rPr>
          <w:sz w:val="20"/>
          <w:szCs w:val="20"/>
          <w:color w:val="auto"/>
        </w:rPr>
      </w:pPr>
      <w:r>
        <w:rPr>
          <w:rFonts w:ascii="Times New Roman" w:cs="Times New Roman" w:eastAsia="Times New Roman" w:hAnsi="Times New Roman"/>
          <w:sz w:val="12"/>
          <w:szCs w:val="12"/>
          <w:color w:val="auto"/>
        </w:rPr>
        <w:t>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of common stock options and warrants.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15" w:name="page16"/>
    <w:bookmarkEnd w:id="15"/>
    <w:p>
      <w:pPr>
        <w:ind w:left="500"/>
        <w:spacing w:after="0"/>
        <w:rPr>
          <w:sz w:val="20"/>
          <w:szCs w:val="20"/>
          <w:color w:val="auto"/>
        </w:rPr>
      </w:pPr>
      <w:r>
        <w:rPr>
          <w:rFonts w:ascii="Times New Roman" w:cs="Times New Roman" w:eastAsia="Times New Roman" w:hAnsi="Times New Roman"/>
          <w:sz w:val="12"/>
          <w:szCs w:val="12"/>
          <w:color w:val="auto"/>
        </w:rPr>
        <w:t>The following table presents the calculation of basic and diluted earnings per share (in thousands, except per-share amounts):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gridSpan w:val="3"/>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gridSpan w:val="3"/>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5"/>
        </w:trPr>
        <w:tc>
          <w:tcPr>
            <w:tcW w:w="55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3"/>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55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0"/>
                <w:szCs w:val="10"/>
                <w:b w:val="1"/>
                <w:bCs w:val="1"/>
                <w:color w:val="auto"/>
              </w:rPr>
              <w:t>2020</w:t>
            </w:r>
          </w:p>
        </w:tc>
        <w:tc>
          <w:tcPr>
            <w:tcW w:w="2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0"/>
                <w:szCs w:val="10"/>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0"/>
                <w:szCs w:val="10"/>
                <w:b w:val="1"/>
                <w:bCs w:val="1"/>
                <w:color w:val="auto"/>
              </w:rPr>
              <w:t>2020</w:t>
            </w:r>
          </w:p>
        </w:tc>
        <w:tc>
          <w:tcPr>
            <w:tcW w:w="3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142"/>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Numerator:</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 - basic</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(8,545)</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889</w:t>
            </w:r>
          </w:p>
        </w:tc>
        <w:tc>
          <w:tcPr>
            <w:tcW w:w="28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(21,787)</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(16,149)</w:t>
            </w:r>
          </w:p>
        </w:tc>
      </w:tr>
      <w:tr>
        <w:trPr>
          <w:trHeight w:val="15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Less: noncash income from change in fair value of warrants</w:t>
            </w:r>
          </w:p>
        </w:tc>
        <w:tc>
          <w:tcPr>
            <w:tcW w:w="2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7,090</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906</w:t>
            </w:r>
          </w:p>
        </w:tc>
        <w:tc>
          <w:tcPr>
            <w:tcW w:w="120" w:type="dxa"/>
            <w:vAlign w:val="bottom"/>
            <w:shd w:val="clear" w:color="auto" w:fill="CFF0FC"/>
          </w:tcPr>
          <w:p>
            <w:pPr>
              <w:spacing w:after="0"/>
              <w:rPr>
                <w:sz w:val="13"/>
                <w:szCs w:val="13"/>
                <w:color w:val="auto"/>
              </w:rPr>
            </w:pPr>
          </w:p>
        </w:tc>
      </w:tr>
      <w:tr>
        <w:trPr>
          <w:trHeight w:val="149"/>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Net loss - diluted</w:t>
            </w: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(8,545)</w:t>
            </w:r>
          </w:p>
        </w:tc>
        <w:tc>
          <w:tcPr>
            <w:tcW w:w="2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(6,201)</w:t>
            </w:r>
          </w:p>
        </w:tc>
        <w:tc>
          <w:tcPr>
            <w:tcW w:w="2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(21,787)</w:t>
            </w:r>
          </w:p>
        </w:tc>
        <w:tc>
          <w:tcPr>
            <w:tcW w:w="30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(17,055)</w:t>
            </w:r>
          </w:p>
        </w:tc>
        <w:tc>
          <w:tcPr>
            <w:tcW w:w="120" w:type="dxa"/>
            <w:vAlign w:val="bottom"/>
          </w:tcPr>
          <w:p>
            <w:pPr>
              <w:spacing w:after="0"/>
              <w:rPr>
                <w:sz w:val="12"/>
                <w:szCs w:val="12"/>
                <w:color w:val="auto"/>
              </w:rPr>
            </w:pPr>
          </w:p>
        </w:tc>
      </w:tr>
      <w:tr>
        <w:trPr>
          <w:trHeight w:val="153"/>
        </w:trPr>
        <w:tc>
          <w:tcPr>
            <w:tcW w:w="5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Denominator:</w:t>
            </w: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5"/>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Basic weighted-average common shares outstanding</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79,583,254</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31,793,292</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56,916,137</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31,775,590</w:t>
            </w:r>
          </w:p>
        </w:tc>
        <w:tc>
          <w:tcPr>
            <w:tcW w:w="120" w:type="dxa"/>
            <w:vAlign w:val="bottom"/>
          </w:tcPr>
          <w:p>
            <w:pPr>
              <w:spacing w:after="0"/>
              <w:rPr>
                <w:sz w:val="13"/>
                <w:szCs w:val="13"/>
                <w:color w:val="auto"/>
              </w:rPr>
            </w:pPr>
          </w:p>
        </w:tc>
      </w:tr>
      <w:tr>
        <w:trPr>
          <w:trHeight w:val="151"/>
        </w:trPr>
        <w:tc>
          <w:tcPr>
            <w:tcW w:w="5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Effect of dilutive securities:</w:t>
            </w: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5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Options to purchase common stock</w:t>
            </w:r>
          </w:p>
        </w:tc>
        <w:tc>
          <w:tcPr>
            <w:tcW w:w="280" w:type="dxa"/>
            <w:vAlign w:val="bottom"/>
          </w:tcPr>
          <w:p>
            <w:pPr>
              <w:spacing w:after="0"/>
              <w:rPr>
                <w:sz w:val="13"/>
                <w:szCs w:val="13"/>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260,882</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236,395</w:t>
            </w:r>
          </w:p>
        </w:tc>
        <w:tc>
          <w:tcPr>
            <w:tcW w:w="120" w:type="dxa"/>
            <w:vAlign w:val="bottom"/>
          </w:tcPr>
          <w:p>
            <w:pPr>
              <w:spacing w:after="0"/>
              <w:rPr>
                <w:sz w:val="13"/>
                <w:szCs w:val="13"/>
                <w:color w:val="auto"/>
              </w:rPr>
            </w:pPr>
          </w:p>
        </w:tc>
      </w:tr>
      <w:tr>
        <w:trPr>
          <w:trHeight w:val="153"/>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Warrants</w:t>
            </w:r>
          </w:p>
        </w:tc>
        <w:tc>
          <w:tcPr>
            <w:tcW w:w="2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389,473</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223,543</w:t>
            </w:r>
          </w:p>
        </w:tc>
        <w:tc>
          <w:tcPr>
            <w:tcW w:w="120" w:type="dxa"/>
            <w:vAlign w:val="bottom"/>
            <w:shd w:val="clear" w:color="auto" w:fill="CFF0FC"/>
          </w:tcPr>
          <w:p>
            <w:pPr>
              <w:spacing w:after="0"/>
              <w:rPr>
                <w:sz w:val="13"/>
                <w:szCs w:val="13"/>
                <w:color w:val="auto"/>
              </w:rPr>
            </w:pPr>
          </w:p>
        </w:tc>
      </w:tr>
      <w:tr>
        <w:trPr>
          <w:trHeight w:val="149"/>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Diluted weighted-average common shares outstanding</w:t>
            </w: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79,583,254</w:t>
            </w:r>
          </w:p>
        </w:tc>
        <w:tc>
          <w:tcPr>
            <w:tcW w:w="28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32,443,647</w:t>
            </w:r>
          </w:p>
        </w:tc>
        <w:tc>
          <w:tcPr>
            <w:tcW w:w="2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56,916,137</w:t>
            </w:r>
          </w:p>
        </w:tc>
        <w:tc>
          <w:tcPr>
            <w:tcW w:w="30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32,235,528</w:t>
            </w:r>
          </w:p>
        </w:tc>
        <w:tc>
          <w:tcPr>
            <w:tcW w:w="120" w:type="dxa"/>
            <w:vAlign w:val="bottom"/>
          </w:tcPr>
          <w:p>
            <w:pPr>
              <w:spacing w:after="0"/>
              <w:rPr>
                <w:sz w:val="12"/>
                <w:szCs w:val="12"/>
                <w:color w:val="auto"/>
              </w:rPr>
            </w:pPr>
          </w:p>
        </w:tc>
      </w:tr>
      <w:tr>
        <w:trPr>
          <w:trHeight w:val="162"/>
        </w:trPr>
        <w:tc>
          <w:tcPr>
            <w:tcW w:w="5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income (loss) per common share:</w:t>
            </w: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0"/>
        </w:trPr>
        <w:tc>
          <w:tcPr>
            <w:tcW w:w="5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Basic</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(0.11)</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28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(0.38)</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(0.51)</w:t>
            </w:r>
          </w:p>
        </w:tc>
      </w:tr>
      <w:tr>
        <w:trPr>
          <w:trHeight w:val="160"/>
        </w:trPr>
        <w:tc>
          <w:tcPr>
            <w:tcW w:w="550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Diluted</w:t>
            </w:r>
          </w:p>
        </w:tc>
        <w:tc>
          <w:tcPr>
            <w:tcW w:w="280" w:type="dxa"/>
            <w:vAlign w:val="bottom"/>
            <w:tcBorders>
              <w:top w:val="single" w:sz="8" w:color="auto"/>
              <w:bottom w:val="single" w:sz="8" w:color="auto"/>
            </w:tcBorders>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(0.11)</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400" w:type="dxa"/>
            <w:vAlign w:val="bottom"/>
            <w:tcBorders>
              <w:top w:val="single" w:sz="8" w:color="auto"/>
              <w:bottom w:val="single" w:sz="8" w:color="auto"/>
            </w:tcBorders>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(0.19)</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(0.38)</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380" w:type="dxa"/>
            <w:vAlign w:val="bottom"/>
            <w:tcBorders>
              <w:top w:val="single" w:sz="8" w:color="auto"/>
              <w:bottom w:val="single" w:sz="8" w:color="auto"/>
            </w:tcBorders>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(0.53)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bl>
    <w:p>
      <w:pPr>
        <w:spacing w:after="0" w:line="133" w:lineRule="exact"/>
        <w:rPr>
          <w:sz w:val="20"/>
          <w:szCs w:val="20"/>
          <w:color w:val="auto"/>
        </w:rPr>
      </w:pPr>
    </w:p>
    <w:p>
      <w:pPr>
        <w:ind w:right="380" w:firstLine="513"/>
        <w:spacing w:after="0" w:line="279" w:lineRule="auto"/>
        <w:rPr>
          <w:sz w:val="20"/>
          <w:szCs w:val="20"/>
          <w:color w:val="auto"/>
        </w:rPr>
      </w:pPr>
      <w:r>
        <w:rPr>
          <w:rFonts w:ascii="Times New Roman" w:cs="Times New Roman" w:eastAsia="Times New Roman" w:hAnsi="Times New Roman"/>
          <w:sz w:val="12"/>
          <w:szCs w:val="12"/>
          <w:color w:val="auto"/>
        </w:rPr>
        <w:t>The following potentially dilutive securities outstanding have been excluded from the computations of diluted weighted-average shares outstanding for the periods presented because such securities have an antidilutive impact, either due to the losses reported or because the exercise price was greater than the average market price of the shares of common stock during the period.</w:t>
      </w:r>
    </w:p>
    <w:p>
      <w:pPr>
        <w:spacing w:after="0" w:line="171"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920" w:type="dxa"/>
            <w:vAlign w:val="bottom"/>
            <w:gridSpan w:val="5"/>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1860" w:type="dxa"/>
            <w:vAlign w:val="bottom"/>
            <w:gridSpan w:val="5"/>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Nine Months Ended</w:t>
            </w:r>
          </w:p>
        </w:tc>
      </w:tr>
      <w:tr>
        <w:trPr>
          <w:trHeight w:val="115"/>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220" w:type="dxa"/>
            <w:vAlign w:val="bottom"/>
            <w:tcBorders>
              <w:bottom w:val="single" w:sz="8" w:color="auto"/>
            </w:tcBorders>
            <w:gridSpan w:val="3"/>
          </w:tcPr>
          <w:p>
            <w:pPr>
              <w:jc w:val="center"/>
              <w:ind w:left="483"/>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5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Borders>
              <w:bottom w:val="single" w:sz="8" w:color="auto"/>
            </w:tcBorders>
            <w:gridSpan w:val="3"/>
          </w:tcPr>
          <w:p>
            <w:pPr>
              <w:jc w:val="center"/>
              <w:ind w:left="483"/>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5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97"/>
        </w:trPr>
        <w:tc>
          <w:tcPr>
            <w:tcW w:w="20" w:type="dxa"/>
            <w:vAlign w:val="bottom"/>
          </w:tcPr>
          <w:p>
            <w:pPr>
              <w:spacing w:after="0"/>
              <w:rPr>
                <w:sz w:val="8"/>
                <w:szCs w:val="8"/>
                <w:color w:val="auto"/>
              </w:rPr>
            </w:pPr>
          </w:p>
        </w:tc>
        <w:tc>
          <w:tcPr>
            <w:tcW w:w="4120" w:type="dxa"/>
            <w:vAlign w:val="bottom"/>
            <w:tcBorders>
              <w:bottom w:val="single" w:sz="8" w:color="CFF0FC"/>
            </w:tcBorders>
          </w:tcPr>
          <w:p>
            <w:pPr>
              <w:spacing w:after="0"/>
              <w:rPr>
                <w:sz w:val="8"/>
                <w:szCs w:val="8"/>
                <w:color w:val="auto"/>
              </w:rPr>
            </w:pPr>
          </w:p>
        </w:tc>
        <w:tc>
          <w:tcPr>
            <w:tcW w:w="800" w:type="dxa"/>
            <w:vAlign w:val="bottom"/>
            <w:tcBorders>
              <w:bottom w:val="single" w:sz="8" w:color="auto"/>
            </w:tcBorders>
          </w:tcPr>
          <w:p>
            <w:pPr>
              <w:jc w:val="right"/>
              <w:ind w:right="243"/>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241"/>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60" w:type="dxa"/>
            <w:vAlign w:val="bottom"/>
            <w:tcBorders>
              <w:bottom w:val="single" w:sz="8" w:color="CFF0FC"/>
            </w:tcBorders>
          </w:tcPr>
          <w:p>
            <w:pPr>
              <w:spacing w:after="0"/>
              <w:rPr>
                <w:sz w:val="8"/>
                <w:szCs w:val="8"/>
                <w:color w:val="auto"/>
              </w:rPr>
            </w:pPr>
          </w:p>
        </w:tc>
        <w:tc>
          <w:tcPr>
            <w:tcW w:w="820" w:type="dxa"/>
            <w:vAlign w:val="bottom"/>
            <w:tcBorders>
              <w:bottom w:val="single" w:sz="8" w:color="auto"/>
            </w:tcBorders>
          </w:tcPr>
          <w:p>
            <w:pPr>
              <w:jc w:val="right"/>
              <w:ind w:right="263"/>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61"/>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Borders>
              <w:bottom w:val="single" w:sz="8" w:color="CFF0FC"/>
            </w:tcBorders>
          </w:tcPr>
          <w:p>
            <w:pPr>
              <w:spacing w:after="0"/>
              <w:rPr>
                <w:sz w:val="8"/>
                <w:szCs w:val="8"/>
                <w:color w:val="auto"/>
              </w:rPr>
            </w:pPr>
          </w:p>
        </w:tc>
      </w:tr>
      <w:tr>
        <w:trPr>
          <w:trHeight w:val="131"/>
        </w:trPr>
        <w:tc>
          <w:tcPr>
            <w:tcW w:w="20" w:type="dxa"/>
            <w:vAlign w:val="bottom"/>
          </w:tcPr>
          <w:p>
            <w:pPr>
              <w:spacing w:after="0"/>
              <w:rPr>
                <w:sz w:val="11"/>
                <w:szCs w:val="11"/>
                <w:color w:val="auto"/>
              </w:rPr>
            </w:pPr>
          </w:p>
        </w:tc>
        <w:tc>
          <w:tcPr>
            <w:tcW w:w="41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Warrants issued to 2010/2012 convertible note</w:t>
            </w: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holders to purchase common stock</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102,070</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102,070</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102,070</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102,070</w:t>
            </w:r>
          </w:p>
        </w:tc>
        <w:tc>
          <w:tcPr>
            <w:tcW w:w="60" w:type="dxa"/>
            <w:vAlign w:val="bottom"/>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Options to purchase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2,513,739</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1,875,442</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2,513,739</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1,899,930</w:t>
            </w:r>
          </w:p>
        </w:tc>
        <w:tc>
          <w:tcPr>
            <w:tcW w:w="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Outstanding restricted stock units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581,000</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581,000</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2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Warrants issued to underwriter to purchase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16,500</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16,500</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16,500</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16,500</w:t>
            </w:r>
          </w:p>
        </w:tc>
        <w:tc>
          <w:tcPr>
            <w:tcW w:w="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Series A warrants to purchase common stock</w:t>
            </w:r>
          </w:p>
        </w:tc>
        <w:tc>
          <w:tcPr>
            <w:tcW w:w="12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485,121</w:t>
            </w:r>
          </w:p>
        </w:tc>
        <w:tc>
          <w:tcPr>
            <w:tcW w:w="16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485,121</w:t>
            </w:r>
          </w:p>
        </w:tc>
        <w:tc>
          <w:tcPr>
            <w:tcW w:w="60" w:type="dxa"/>
            <w:vAlign w:val="bottom"/>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Series C warrants to purchase common stock</w:t>
            </w:r>
          </w:p>
        </w:tc>
        <w:tc>
          <w:tcPr>
            <w:tcW w:w="122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118,083</w:t>
            </w:r>
          </w:p>
        </w:tc>
        <w:tc>
          <w:tcPr>
            <w:tcW w:w="160" w:type="dxa"/>
            <w:vAlign w:val="bottom"/>
          </w:tcPr>
          <w:p>
            <w:pPr>
              <w:spacing w:after="0"/>
              <w:rPr>
                <w:sz w:val="13"/>
                <w:szCs w:val="13"/>
                <w:color w:val="auto"/>
              </w:rPr>
            </w:pPr>
          </w:p>
        </w:tc>
        <w:tc>
          <w:tcPr>
            <w:tcW w:w="1240" w:type="dxa"/>
            <w:vAlign w:val="bottom"/>
            <w:gridSpan w:val="3"/>
          </w:tcPr>
          <w:p>
            <w:pPr>
              <w:jc w:val="right"/>
              <w:ind w:right="4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118,083</w:t>
            </w:r>
          </w:p>
        </w:tc>
        <w:tc>
          <w:tcPr>
            <w:tcW w:w="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Series D warrants to purchase common stock</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540,540</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540,540</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540,540</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540,540</w:t>
            </w:r>
          </w:p>
        </w:tc>
        <w:tc>
          <w:tcPr>
            <w:tcW w:w="60" w:type="dxa"/>
            <w:vAlign w:val="bottom"/>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2017 PIPE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6,024,425</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5,665,548</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6,024,425</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5,818,443</w:t>
            </w:r>
          </w:p>
        </w:tc>
        <w:tc>
          <w:tcPr>
            <w:tcW w:w="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2018 PIPE warrants</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513,617</w:t>
            </w:r>
          </w:p>
        </w:tc>
        <w:tc>
          <w:tcPr>
            <w:tcW w:w="16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483,021</w:t>
            </w:r>
          </w:p>
        </w:tc>
        <w:tc>
          <w:tcPr>
            <w:tcW w:w="160" w:type="dxa"/>
            <w:vAlign w:val="bottom"/>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513,617</w:t>
            </w:r>
          </w:p>
        </w:tc>
        <w:tc>
          <w:tcPr>
            <w:tcW w:w="16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496,056</w:t>
            </w:r>
          </w:p>
        </w:tc>
        <w:tc>
          <w:tcPr>
            <w:tcW w:w="60" w:type="dxa"/>
            <w:vAlign w:val="bottom"/>
            <w:shd w:val="clear" w:color="auto" w:fill="CFF0FC"/>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1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10,291,891</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9,286,325</w:t>
            </w:r>
          </w:p>
        </w:tc>
        <w:tc>
          <w:tcPr>
            <w:tcW w:w="160" w:type="dxa"/>
            <w:vAlign w:val="bottom"/>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10,291,891</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9,476,743</w:t>
            </w:r>
          </w:p>
        </w:tc>
        <w:tc>
          <w:tcPr>
            <w:tcW w:w="60" w:type="dxa"/>
            <w:vAlign w:val="bottom"/>
          </w:tcPr>
          <w:p>
            <w:pPr>
              <w:spacing w:after="0"/>
              <w:rPr>
                <w:sz w:val="12"/>
                <w:szCs w:val="12"/>
                <w:color w:val="auto"/>
              </w:rPr>
            </w:pPr>
          </w:p>
        </w:tc>
      </w:tr>
    </w:tbl>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10. Subsequent Events</w:t>
      </w:r>
    </w:p>
    <w:p>
      <w:pPr>
        <w:spacing w:after="0" w:line="154" w:lineRule="exact"/>
        <w:rPr>
          <w:sz w:val="20"/>
          <w:szCs w:val="20"/>
          <w:color w:val="auto"/>
        </w:rPr>
      </w:pPr>
    </w:p>
    <w:p>
      <w:pPr>
        <w:ind w:right="80" w:firstLine="582"/>
        <w:spacing w:after="0" w:line="279" w:lineRule="auto"/>
        <w:rPr>
          <w:sz w:val="20"/>
          <w:szCs w:val="20"/>
          <w:color w:val="auto"/>
        </w:rPr>
      </w:pPr>
      <w:r>
        <w:rPr>
          <w:rFonts w:ascii="Times New Roman" w:cs="Times New Roman" w:eastAsia="Times New Roman" w:hAnsi="Times New Roman"/>
          <w:sz w:val="12"/>
          <w:szCs w:val="12"/>
          <w:color w:val="auto"/>
        </w:rPr>
        <w:t>The Company has evaluated its subsequent events from September 30, 2020 through the date these condensed consolidated financial statements were issued and has determined that there are no subsequent events requiring disclosure in these condensed consolidated financial statements other than the item noted below.</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561"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i w:val="1"/>
          <w:iCs w:val="1"/>
          <w:color w:val="auto"/>
        </w:rPr>
        <w:t>Series D Warrants</w:t>
      </w:r>
    </w:p>
    <w:p>
      <w:pPr>
        <w:spacing w:after="0" w:line="154" w:lineRule="exact"/>
        <w:rPr>
          <w:sz w:val="20"/>
          <w:szCs w:val="20"/>
          <w:color w:val="auto"/>
        </w:rPr>
      </w:pPr>
    </w:p>
    <w:p>
      <w:pPr>
        <w:ind w:right="480" w:firstLine="582"/>
        <w:spacing w:after="0" w:line="279" w:lineRule="auto"/>
        <w:rPr>
          <w:sz w:val="20"/>
          <w:szCs w:val="20"/>
          <w:color w:val="auto"/>
        </w:rPr>
      </w:pPr>
      <w:r>
        <w:rPr>
          <w:rFonts w:ascii="Times New Roman" w:cs="Times New Roman" w:eastAsia="Times New Roman" w:hAnsi="Times New Roman"/>
          <w:sz w:val="12"/>
          <w:szCs w:val="12"/>
          <w:color w:val="auto"/>
        </w:rPr>
        <w:t>The Company issued 270,270 Series D Warrants in October 2015, which are exercisable into 540,540 shares of the Company’s common stock, with an exercise price of $8.75 and a term of five years, expiring on October 15, 2020. These warrants subsequently expired without being exercised.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Increase in Authorized Shares of Common Stock</w:t>
      </w:r>
    </w:p>
    <w:p>
      <w:pPr>
        <w:spacing w:after="0" w:line="154" w:lineRule="exact"/>
        <w:rPr>
          <w:sz w:val="20"/>
          <w:szCs w:val="20"/>
          <w:color w:val="auto"/>
        </w:rPr>
      </w:pPr>
    </w:p>
    <w:p>
      <w:pPr>
        <w:ind w:firstLine="582"/>
        <w:spacing w:after="0" w:line="265" w:lineRule="auto"/>
        <w:rPr>
          <w:sz w:val="20"/>
          <w:szCs w:val="20"/>
          <w:color w:val="auto"/>
        </w:rPr>
      </w:pPr>
      <w:r>
        <w:rPr>
          <w:rFonts w:ascii="Times New Roman" w:cs="Times New Roman" w:eastAsia="Times New Roman" w:hAnsi="Times New Roman"/>
          <w:sz w:val="12"/>
          <w:szCs w:val="12"/>
          <w:color w:val="auto"/>
        </w:rPr>
        <w:t>On September 28, 2020, the Board approved an amendment to the Company’s Amended and Restated Certificate of Incorporation to increase the number of authorized shares of common stock from 100,000,000 to 250,000,000 shares and recommended that the Company’s stockholders approve such amendment. Subsequently, on November 10, 2020 a special meeting of the Company’s stockholders was held where the amendment was approved by the stockholders. Following the special meeting and obtaining the requisite vote of the stockholders, the amendment was filed with the Delaware Secretary of State on November 10, 2020.</w:t>
      </w:r>
    </w:p>
    <w:p>
      <w:pPr>
        <w:spacing w:after="0" w:line="3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00"/>
          </w:cols>
          <w:pgMar w:left="300" w:top="413" w:right="399" w:bottom="1440" w:gutter="0" w:footer="0" w:header="0"/>
        </w:sectPr>
      </w:pPr>
    </w:p>
    <w:bookmarkStart w:id="17" w:name="page18"/>
    <w:bookmarkEnd w:id="17"/>
    <w:p>
      <w:pPr>
        <w:spacing w:after="0"/>
        <w:tabs>
          <w:tab w:leader="none" w:pos="98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2"/>
          <w:szCs w:val="12"/>
          <w:b w:val="1"/>
          <w:bCs w:val="1"/>
          <w:color w:val="auto"/>
        </w:rPr>
        <w:t>Management’s Discussion and Analysis of Financial Condition and Results of Operation</w:t>
      </w:r>
    </w:p>
    <w:p>
      <w:pPr>
        <w:spacing w:after="0" w:line="80" w:lineRule="exact"/>
        <w:rPr>
          <w:sz w:val="20"/>
          <w:szCs w:val="20"/>
          <w:color w:val="auto"/>
        </w:rPr>
      </w:pPr>
    </w:p>
    <w:p>
      <w:pPr>
        <w:ind w:right="20" w:firstLine="513"/>
        <w:spacing w:after="0" w:line="258" w:lineRule="auto"/>
        <w:rPr>
          <w:sz w:val="20"/>
          <w:szCs w:val="20"/>
          <w:color w:val="auto"/>
        </w:rPr>
      </w:pPr>
      <w:r>
        <w:rPr>
          <w:rFonts w:ascii="Times New Roman" w:cs="Times New Roman" w:eastAsia="Times New Roman" w:hAnsi="Times New Roman"/>
          <w:sz w:val="12"/>
          <w:szCs w:val="12"/>
          <w:i w:val="1"/>
          <w:iCs w:val="1"/>
          <w:color w:val="auto"/>
        </w:rPr>
        <w:t>The interim consolidated financial statements included in this Quarterly Report on Form 10-Q and this Management’s Discussion and Analysis of Financial Condition and Results of Operations should be read in conjunction with the financial statements and notes thereto for the year ended December 31, 2019, and the related Management’s Discussion and Analysis of Financial Condition and Results of Operations, contained in the Company’s Form 10-K for the year ended December 31, 2019.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These forward-looking statements are subject to risks and uncertainties, including those set forth in Part II – Other Information, Item 1A. Risk Factors below and elsewhere in this report that could cause actual results to differ materially from historical results or anticipated results.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54" w:lineRule="exact"/>
        <w:rPr>
          <w:sz w:val="20"/>
          <w:szCs w:val="20"/>
          <w:color w:val="auto"/>
        </w:rPr>
      </w:pPr>
    </w:p>
    <w:p>
      <w:pPr>
        <w:ind w:right="40" w:firstLine="513"/>
        <w:spacing w:after="0" w:line="260" w:lineRule="auto"/>
        <w:rPr>
          <w:sz w:val="20"/>
          <w:szCs w:val="20"/>
          <w:color w:val="auto"/>
        </w:rPr>
      </w:pPr>
      <w:r>
        <w:rPr>
          <w:rFonts w:ascii="Times New Roman" w:cs="Times New Roman" w:eastAsia="Times New Roman" w:hAnsi="Times New Roman"/>
          <w:sz w:val="12"/>
          <w:szCs w:val="12"/>
          <w:color w:val="auto"/>
        </w:rPr>
        <w:t>We were incorporated in the State of Delaware on August 25, 1999, and are located in Redwood City, California. We initially established our operations as Capnia, a diversified healthcare company that developed and commercialized innovative diagnostics, devices and therapeutics addressing unmet medical needs. During 2017, we merged with Essentialis, Inc and subsequently received stockholder approval to amend our Amended and Restated Certificate of Incorporation to change our name from “Capnia, Inc.” to “Soleno Therapeutics, Inc.” After the merger, our primary focus has been the development and commercialization of novel therapeutics for the treatment of rare diseases and we divested all prior business efforts.</w:t>
      </w:r>
    </w:p>
    <w:p>
      <w:pPr>
        <w:spacing w:after="0" w:line="122" w:lineRule="exact"/>
        <w:rPr>
          <w:sz w:val="20"/>
          <w:szCs w:val="20"/>
          <w:color w:val="auto"/>
        </w:rPr>
      </w:pPr>
    </w:p>
    <w:p>
      <w:pPr>
        <w:ind w:right="200" w:firstLine="513"/>
        <w:spacing w:after="0" w:line="279" w:lineRule="auto"/>
        <w:rPr>
          <w:sz w:val="20"/>
          <w:szCs w:val="20"/>
          <w:color w:val="auto"/>
        </w:rPr>
      </w:pPr>
      <w:r>
        <w:rPr>
          <w:rFonts w:ascii="Times New Roman" w:cs="Times New Roman" w:eastAsia="Times New Roman" w:hAnsi="Times New Roman"/>
          <w:sz w:val="12"/>
          <w:szCs w:val="12"/>
          <w:color w:val="auto"/>
        </w:rPr>
        <w:t>Our lead candidate is Diazoxide Choline Controlled Release tablets, or DCCR, once-daily oral tablets for the treatment of Prader-Willi Syndrome, or PWS. DCCR has orphan designation for the treatment of PWS in the United States as well as in the European Union.</w:t>
      </w:r>
    </w:p>
    <w:p>
      <w:pPr>
        <w:spacing w:after="0" w:line="111" w:lineRule="exact"/>
        <w:rPr>
          <w:sz w:val="20"/>
          <w:szCs w:val="20"/>
          <w:color w:val="auto"/>
        </w:rPr>
      </w:pPr>
    </w:p>
    <w:p>
      <w:pPr>
        <w:ind w:right="80" w:firstLine="513"/>
        <w:spacing w:after="0" w:line="260" w:lineRule="auto"/>
        <w:rPr>
          <w:sz w:val="20"/>
          <w:szCs w:val="20"/>
          <w:color w:val="auto"/>
        </w:rPr>
      </w:pPr>
      <w:r>
        <w:rPr>
          <w:rFonts w:ascii="Times New Roman" w:cs="Times New Roman" w:eastAsia="Times New Roman" w:hAnsi="Times New Roman"/>
          <w:sz w:val="12"/>
          <w:szCs w:val="12"/>
          <w:color w:val="auto"/>
        </w:rPr>
        <w:t>DCCR has been evaluated in a Phase III clinical development program (C601 or DESTINY PWS) with top line results announced in June 2020. Although the trial did not meet its primary endpoint of change from baseline in hyperphagia, significant improvements were observed in two of three key secondary endpoints and we are evaluating the data from the C601 and C602 studies to determine next steps. DESTINY PWS was a 3-month randomized, double-blind placebo-controlled study, which completed enrollment in January 2020, with 127 patients at 29 sites in the U.S. and U.K. Patients who complete treatment in DESTINY PWS are eligible to receive DCCR for up to 36 months in C602, an open-label extension study.</w:t>
      </w:r>
    </w:p>
    <w:p>
      <w:pPr>
        <w:spacing w:after="0" w:line="122" w:lineRule="exact"/>
        <w:rPr>
          <w:sz w:val="20"/>
          <w:szCs w:val="20"/>
          <w:color w:val="auto"/>
        </w:rPr>
      </w:pPr>
    </w:p>
    <w:p>
      <w:pPr>
        <w:ind w:right="20" w:firstLine="513"/>
        <w:spacing w:after="0" w:line="265" w:lineRule="auto"/>
        <w:rPr>
          <w:sz w:val="20"/>
          <w:szCs w:val="20"/>
          <w:color w:val="auto"/>
        </w:rPr>
      </w:pPr>
      <w:r>
        <w:rPr>
          <w:rFonts w:ascii="Times New Roman" w:cs="Times New Roman" w:eastAsia="Times New Roman" w:hAnsi="Times New Roman"/>
          <w:sz w:val="12"/>
          <w:szCs w:val="12"/>
          <w:color w:val="auto"/>
        </w:rPr>
        <w:t>The spread of the COVID-19 virus during 2020 has caused an economic downturn on a global scale, as well as significant volatility in the financial markets. In March 2020, the World Health Organization declared the spread of the COVID-19 virus a pandemic. Due to stay at home orders both in the U.S. and U.K., we have instituted a work from home policy for all of our employees to protect their health and well-being. We have ensured that all of our employees have essential materials to work comfortably and efficiently from home during this time.</w:t>
      </w:r>
    </w:p>
    <w:p>
      <w:pPr>
        <w:spacing w:after="0" w:line="119" w:lineRule="exact"/>
        <w:rPr>
          <w:sz w:val="20"/>
          <w:szCs w:val="20"/>
          <w:color w:val="auto"/>
        </w:rPr>
      </w:pPr>
    </w:p>
    <w:p>
      <w:pPr>
        <w:ind w:right="20" w:firstLine="582"/>
        <w:spacing w:after="0" w:line="257" w:lineRule="auto"/>
        <w:rPr>
          <w:sz w:val="20"/>
          <w:szCs w:val="20"/>
          <w:color w:val="auto"/>
        </w:rPr>
      </w:pPr>
      <w:r>
        <w:rPr>
          <w:rFonts w:ascii="Times New Roman" w:cs="Times New Roman" w:eastAsia="Times New Roman" w:hAnsi="Times New Roman"/>
          <w:sz w:val="12"/>
          <w:szCs w:val="12"/>
          <w:color w:val="auto"/>
        </w:rPr>
        <w:t>We have not experienced a significant financial impact directly related to the COVID-19 pandemic. In June 2020, subsequent to the announcement of top line results from DESTINY PWS, we completed a public offering of shares of our common stock and raised $53.7 million in net proceeds. As of September 30, 2020, we have cash and cash equivalents of $56.1 million, which management believes is sufficient to enable us to meet our obligations for at least the next twelve months from the date of this filing. As of September 30, 2020, we had an accumulated deficit of $179.6 million, primarily as a result of research and development and general and administrative expenses. We may never be successful in commercializing our novel therapeutic-lead candidate DCCR. Accordingly, we expect to incur significant losses from operations for the foreseeable future, and there can be no assurance that we will ever generate significant revenue or profits.</w:t>
      </w:r>
    </w:p>
    <w:p>
      <w:pPr>
        <w:spacing w:after="0" w:line="19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While there was no meaningful impact on the timelines for top line data for the DESTINY PWS program, there have been certain changes in the conduct of our clinical trials depending on institution-, state- and country-specific restrictions such as stay at home requirements. The changes are consistent with the FDA’s and the U.K.’s Medicines and Healthcare products Regulatory Agency’s guidance regarding the conduct of clinical trials during the COVID-19 public health emergency. However, the changes in the way the trial was conducted may impact the quality and quantity of the overall data being collected, which may have implications for our future plans. For example, certain study related procedures which need to be conducted at a clinical trial site may not be performed or be delayed.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Significant Judgments and Estimates</w:t>
      </w:r>
    </w:p>
    <w:p>
      <w:pPr>
        <w:spacing w:after="0" w:line="82" w:lineRule="exact"/>
        <w:rPr>
          <w:sz w:val="20"/>
          <w:szCs w:val="20"/>
          <w:color w:val="auto"/>
        </w:rPr>
      </w:pPr>
    </w:p>
    <w:p>
      <w:pPr>
        <w:ind w:firstLine="513"/>
        <w:spacing w:after="0" w:line="279" w:lineRule="auto"/>
        <w:rPr>
          <w:sz w:val="20"/>
          <w:szCs w:val="20"/>
          <w:color w:val="auto"/>
        </w:rPr>
      </w:pPr>
      <w:r>
        <w:rPr>
          <w:rFonts w:ascii="Times New Roman" w:cs="Times New Roman" w:eastAsia="Times New Roman" w:hAnsi="Times New Roman"/>
          <w:sz w:val="12"/>
          <w:szCs w:val="12"/>
          <w:color w:val="auto"/>
        </w:rPr>
        <w:t>Our management’s discussion and analysis of financial condition and results of operations are based upon our unaudited condensed consolidated financial statements, which have been prepared in accordance with GAAP. The preparation of these</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18" w:name="page19"/>
    <w:bookmarkEnd w:id="18"/>
    <w:p>
      <w:pPr>
        <w:ind w:right="120"/>
        <w:spacing w:after="0" w:line="260" w:lineRule="auto"/>
        <w:rPr>
          <w:sz w:val="20"/>
          <w:szCs w:val="20"/>
          <w:color w:val="auto"/>
        </w:rPr>
      </w:pPr>
      <w:r>
        <w:rPr>
          <w:rFonts w:ascii="Times New Roman" w:cs="Times New Roman" w:eastAsia="Times New Roman" w:hAnsi="Times New Roman"/>
          <w:sz w:val="12"/>
          <w:szCs w:val="12"/>
          <w:color w:val="auto"/>
        </w:rPr>
        <w:t>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our most recent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Comparison of the three months ended September 30, 2020 and 2019</w:t>
      </w:r>
    </w:p>
    <w:p>
      <w:pPr>
        <w:sectPr>
          <w:pgSz w:w="11900" w:h="16838" w:orient="portrait"/>
          <w:cols w:equalWidth="0" w:num="1">
            <w:col w:w="11300"/>
          </w:cols>
          <w:pgMar w:left="300" w:top="345" w:right="299" w:bottom="1440" w:gutter="0" w:footer="0" w:header="0"/>
        </w:sectPr>
      </w:pPr>
    </w:p>
    <w:p>
      <w:pPr>
        <w:spacing w:after="0" w:line="21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bl>
      <w:tblPr>
        <w:tblLayout w:type="fixed"/>
        <w:tblInd w:w="5740" w:type="dxa"/>
        <w:tblCellMar>
          <w:top w:w="0" w:type="dxa"/>
          <w:left w:w="0" w:type="dxa"/>
          <w:bottom w:w="0" w:type="dxa"/>
          <w:right w:w="0" w:type="dxa"/>
        </w:tblCellMar>
      </w:tblPr>
      <w:tr>
        <w:trPr>
          <w:trHeight w:val="97"/>
        </w:trPr>
        <w:tc>
          <w:tcPr>
            <w:tcW w:w="880" w:type="dxa"/>
            <w:vAlign w:val="bottom"/>
            <w:tcBorders>
              <w:top w:val="single" w:sz="8" w:color="auto"/>
              <w:bottom w:val="single" w:sz="8" w:color="auto"/>
            </w:tcBorders>
          </w:tcPr>
          <w:p>
            <w:pPr>
              <w:jc w:val="right"/>
              <w:ind w:right="112"/>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760" w:type="dxa"/>
            <w:vAlign w:val="bottom"/>
            <w:tcBorders>
              <w:top w:val="single" w:sz="8" w:color="auto"/>
              <w:bottom w:val="single" w:sz="8" w:color="auto"/>
            </w:tcBorders>
          </w:tcPr>
          <w:p>
            <w:pPr>
              <w:jc w:val="right"/>
              <w:ind w:right="432"/>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r>
      <w:tr>
        <w:trPr>
          <w:trHeight w:val="97"/>
        </w:trPr>
        <w:tc>
          <w:tcPr>
            <w:tcW w:w="880" w:type="dxa"/>
            <w:vAlign w:val="bottom"/>
          </w:tcPr>
          <w:p>
            <w:pPr>
              <w:spacing w:after="0"/>
              <w:rPr>
                <w:sz w:val="8"/>
                <w:szCs w:val="8"/>
                <w:color w:val="auto"/>
              </w:rPr>
            </w:pPr>
          </w:p>
        </w:tc>
        <w:tc>
          <w:tcPr>
            <w:tcW w:w="1760" w:type="dxa"/>
            <w:vAlign w:val="bottom"/>
          </w:tcPr>
          <w:p>
            <w:pPr>
              <w:jc w:val="right"/>
              <w:ind w:right="992"/>
              <w:spacing w:after="0" w:line="97" w:lineRule="exact"/>
              <w:rPr>
                <w:sz w:val="20"/>
                <w:szCs w:val="20"/>
                <w:color w:val="auto"/>
              </w:rPr>
            </w:pPr>
            <w:r>
              <w:rPr>
                <w:rFonts w:ascii="Times New Roman" w:cs="Times New Roman" w:eastAsia="Times New Roman" w:hAnsi="Times New Roman"/>
                <w:sz w:val="10"/>
                <w:szCs w:val="10"/>
                <w:color w:val="auto"/>
              </w:rPr>
              <w:t>(in thousands)</w:t>
            </w: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0"/>
          <w:szCs w:val="10"/>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0</wp:posOffset>
            </wp:positionV>
            <wp:extent cx="158305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83055" cy="5715"/>
                    </a:xfrm>
                    <a:prstGeom prst="rect">
                      <a:avLst/>
                    </a:prstGeom>
                    <a:noFill/>
                  </pic:spPr>
                </pic:pic>
              </a:graphicData>
            </a:graphic>
          </wp:anchor>
        </w:drawing>
      </w:r>
    </w:p>
    <w:p>
      <w:pPr>
        <w:spacing w:after="0"/>
        <w:tabs>
          <w:tab w:leader="none" w:pos="1280" w:val="left"/>
        </w:tabs>
        <w:rPr>
          <w:sz w:val="20"/>
          <w:szCs w:val="20"/>
          <w:color w:val="auto"/>
        </w:rPr>
      </w:pPr>
      <w:r>
        <w:rPr>
          <w:rFonts w:ascii="Times New Roman" w:cs="Times New Roman" w:eastAsia="Times New Roman" w:hAnsi="Times New Roman"/>
          <w:sz w:val="8"/>
          <w:szCs w:val="8"/>
          <w:b w:val="1"/>
          <w:bCs w:val="1"/>
          <w:color w:val="auto"/>
        </w:rPr>
        <w:t>Amount</w:t>
      </w:r>
      <w:r>
        <w:rPr>
          <w:sz w:val="20"/>
          <w:szCs w:val="20"/>
          <w:color w:val="auto"/>
        </w:rPr>
        <w:tab/>
      </w:r>
      <w:r>
        <w:rPr>
          <w:rFonts w:ascii="Times New Roman" w:cs="Times New Roman" w:eastAsia="Times New Roman" w:hAnsi="Times New Roman"/>
          <w:sz w:val="8"/>
          <w:szCs w:val="8"/>
          <w:b w:val="1"/>
          <w:bCs w:val="1"/>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9525</wp:posOffset>
            </wp:positionV>
            <wp:extent cx="158305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83055" cy="5715"/>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8380" w:space="640"/>
            <w:col w:w="2280"/>
          </w:cols>
          <w:pgMar w:left="300" w:top="345" w:right="29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5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Research and development</w:t>
            </w:r>
          </w:p>
        </w:tc>
        <w:tc>
          <w:tcPr>
            <w:tcW w:w="5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4,827</w:t>
            </w:r>
          </w:p>
        </w:tc>
        <w:tc>
          <w:tcPr>
            <w:tcW w:w="240" w:type="dxa"/>
            <w:vAlign w:val="bottom"/>
          </w:tcPr>
          <w:p>
            <w:pPr>
              <w:spacing w:after="0"/>
              <w:rPr>
                <w:sz w:val="13"/>
                <w:szCs w:val="13"/>
                <w:color w:val="auto"/>
              </w:rPr>
            </w:pP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4,490</w:t>
            </w:r>
          </w:p>
        </w:tc>
        <w:tc>
          <w:tcPr>
            <w:tcW w:w="240" w:type="dxa"/>
            <w:vAlign w:val="bottom"/>
          </w:tcPr>
          <w:p>
            <w:pPr>
              <w:spacing w:after="0"/>
              <w:rPr>
                <w:sz w:val="13"/>
                <w:szCs w:val="13"/>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22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53"/>
        </w:trPr>
        <w:tc>
          <w:tcPr>
            <w:tcW w:w="5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5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2,256</w:t>
            </w: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1,615</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641</w:t>
            </w:r>
          </w:p>
        </w:tc>
        <w:tc>
          <w:tcPr>
            <w:tcW w:w="22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40%</w:t>
            </w:r>
          </w:p>
        </w:tc>
        <w:tc>
          <w:tcPr>
            <w:tcW w:w="0" w:type="dxa"/>
            <w:vAlign w:val="bottom"/>
          </w:tcPr>
          <w:p>
            <w:pPr>
              <w:spacing w:after="0"/>
              <w:rPr>
                <w:sz w:val="1"/>
                <w:szCs w:val="1"/>
                <w:color w:val="auto"/>
              </w:rPr>
            </w:pPr>
          </w:p>
        </w:tc>
      </w:tr>
      <w:tr>
        <w:trPr>
          <w:trHeight w:val="153"/>
        </w:trPr>
        <w:tc>
          <w:tcPr>
            <w:tcW w:w="57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5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774</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746</w:t>
            </w:r>
          </w:p>
        </w:tc>
        <w:tc>
          <w:tcPr>
            <w:tcW w:w="22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2664%</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Total operating expenses</w:t>
            </w: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vMerge w:val="continue"/>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7,857</w:t>
            </w: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6,133</w:t>
            </w: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1,724</w:t>
            </w:r>
          </w:p>
        </w:tc>
        <w:tc>
          <w:tcPr>
            <w:tcW w:w="2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(7,857)</w:t>
            </w:r>
          </w:p>
        </w:tc>
        <w:tc>
          <w:tcPr>
            <w:tcW w:w="2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(6,133)</w:t>
            </w:r>
          </w:p>
        </w:tc>
        <w:tc>
          <w:tcPr>
            <w:tcW w:w="2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(1,724)</w:t>
            </w:r>
          </w:p>
        </w:tc>
        <w:tc>
          <w:tcPr>
            <w:tcW w:w="220" w:type="dxa"/>
            <w:vAlign w:val="bottom"/>
            <w:vMerge w:val="continue"/>
          </w:tcPr>
          <w:p>
            <w:pPr>
              <w:spacing w:after="0"/>
              <w:rPr>
                <w:sz w:val="12"/>
                <w:szCs w:val="12"/>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15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income (expense)</w:t>
            </w:r>
          </w:p>
        </w:tc>
        <w:tc>
          <w:tcPr>
            <w:tcW w:w="5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Change in fair value of warrants liabilities</w:t>
            </w:r>
          </w:p>
        </w:tc>
        <w:tc>
          <w:tcPr>
            <w:tcW w:w="50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(689)</w:t>
            </w:r>
          </w:p>
        </w:tc>
        <w:tc>
          <w:tcPr>
            <w:tcW w:w="4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7,116</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(7,805)</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153"/>
        </w:trPr>
        <w:tc>
          <w:tcPr>
            <w:tcW w:w="5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Loss from minority interest investment</w:t>
            </w:r>
          </w:p>
        </w:tc>
        <w:tc>
          <w:tcPr>
            <w:tcW w:w="5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(123)</w:t>
            </w:r>
          </w:p>
        </w:tc>
        <w:tc>
          <w:tcPr>
            <w:tcW w:w="4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22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53"/>
        </w:trPr>
        <w:tc>
          <w:tcPr>
            <w:tcW w:w="57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Interest income</w:t>
            </w:r>
          </w:p>
        </w:tc>
        <w:tc>
          <w:tcPr>
            <w:tcW w:w="5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(28)</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97%</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Total other income (expense)</w:t>
            </w: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vMerge w:val="continue"/>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(688)</w:t>
            </w:r>
          </w:p>
        </w:tc>
        <w:tc>
          <w:tcPr>
            <w:tcW w:w="240" w:type="dxa"/>
            <w:vAlign w:val="bottom"/>
            <w:vMerge w:val="continue"/>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7,022</w:t>
            </w: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(7,710)</w:t>
            </w:r>
          </w:p>
        </w:tc>
        <w:tc>
          <w:tcPr>
            <w:tcW w:w="220" w:type="dxa"/>
            <w:vAlign w:val="bottom"/>
            <w:vMerge w:val="continue"/>
            <w:shd w:val="clear" w:color="auto" w:fill="CFF0FC"/>
          </w:tcPr>
          <w:p>
            <w:pPr>
              <w:spacing w:after="0"/>
              <w:rPr>
                <w:sz w:val="12"/>
                <w:szCs w:val="12"/>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5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(8,545)</w:t>
            </w:r>
          </w:p>
        </w:tc>
        <w:tc>
          <w:tcPr>
            <w:tcW w:w="240" w:type="dxa"/>
            <w:vAlign w:val="bottom"/>
            <w:vMerge w:val="continue"/>
          </w:tcPr>
          <w:p>
            <w:pPr>
              <w:spacing w:after="0"/>
              <w:rPr>
                <w:sz w:val="12"/>
                <w:szCs w:val="12"/>
                <w:color w:val="auto"/>
              </w:rPr>
            </w:pP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889</w:t>
            </w:r>
          </w:p>
        </w:tc>
        <w:tc>
          <w:tcPr>
            <w:tcW w:w="24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(9,434)</w:t>
            </w:r>
          </w:p>
        </w:tc>
        <w:tc>
          <w:tcPr>
            <w:tcW w:w="220" w:type="dxa"/>
            <w:vAlign w:val="bottom"/>
            <w:vMerge w:val="continue"/>
          </w:tcPr>
          <w:p>
            <w:pPr>
              <w:spacing w:after="0"/>
              <w:rPr>
                <w:sz w:val="12"/>
                <w:szCs w:val="12"/>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1061%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We have yet not commenced commercialization of DCCR, our current sole product, and accordingly, through September 30, 2020, have generated no revenue from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w:t>
      </w:r>
    </w:p>
    <w:p>
      <w:pPr>
        <w:spacing w:after="0" w:line="82" w:lineRule="exact"/>
        <w:rPr>
          <w:sz w:val="20"/>
          <w:szCs w:val="20"/>
          <w:color w:val="auto"/>
        </w:rPr>
      </w:pPr>
    </w:p>
    <w:p>
      <w:pPr>
        <w:ind w:right="80" w:firstLine="513"/>
        <w:spacing w:after="0" w:line="260" w:lineRule="auto"/>
        <w:rPr>
          <w:sz w:val="20"/>
          <w:szCs w:val="20"/>
          <w:color w:val="auto"/>
        </w:rPr>
      </w:pPr>
      <w:r>
        <w:rPr>
          <w:rFonts w:ascii="Times New Roman" w:cs="Times New Roman" w:eastAsia="Times New Roman" w:hAnsi="Times New Roman"/>
          <w:sz w:val="12"/>
          <w:szCs w:val="12"/>
          <w:color w:val="auto"/>
        </w:rPr>
        <w:t>Research and development expense of $4.8 million for the three months ended September 30, 2020 increased by $0.3 million over the three months ended September 30, 2019. In January 2020, we announced the completion of target enrollment in the DESTINY PWS trial with 29 sites and over 100 subjects, and in June 2020, we announced top line results. Many of these sites and subjects continued to participate in the open-label, extension trial during the three months ended September 2020. This compares to 26 sites that were enrolled as of September 30, 2019. As a result, we have incurred increased clinical site costs, consulting costs and lab costs. In addition, we are increasing our investment in clinical manufacturing costs to continue to supply DCCR to the patients in the trial and to prepare for the next phase in the regulatory approval process.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w:t>
      </w:r>
    </w:p>
    <w:p>
      <w:pPr>
        <w:spacing w:after="0" w:line="82" w:lineRule="exact"/>
        <w:rPr>
          <w:sz w:val="20"/>
          <w:szCs w:val="20"/>
          <w:color w:val="auto"/>
        </w:rPr>
      </w:pPr>
    </w:p>
    <w:p>
      <w:pPr>
        <w:ind w:right="220" w:firstLine="513"/>
        <w:spacing w:after="0" w:line="279" w:lineRule="auto"/>
        <w:rPr>
          <w:sz w:val="20"/>
          <w:szCs w:val="20"/>
          <w:color w:val="auto"/>
        </w:rPr>
      </w:pPr>
      <w:r>
        <w:rPr>
          <w:rFonts w:ascii="Times New Roman" w:cs="Times New Roman" w:eastAsia="Times New Roman" w:hAnsi="Times New Roman"/>
          <w:sz w:val="12"/>
          <w:szCs w:val="12"/>
          <w:color w:val="auto"/>
        </w:rPr>
        <w:t>General and administrative expense of $2.3 million for the three months ended September 30, 2020 increased $0.6 million over the three months ended September 30, 2019. The increase was primarily related to increased compensation costs, costs for intellectual property, and corporate business development expenses.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 in fair value of contingent consideration</w:t>
      </w:r>
    </w:p>
    <w:p>
      <w:pPr>
        <w:spacing w:after="0" w:line="82" w:lineRule="exact"/>
        <w:rPr>
          <w:sz w:val="20"/>
          <w:szCs w:val="20"/>
          <w:color w:val="auto"/>
        </w:rPr>
      </w:pPr>
    </w:p>
    <w:p>
      <w:pPr>
        <w:ind w:right="40" w:firstLine="513"/>
        <w:spacing w:after="0" w:line="300" w:lineRule="auto"/>
        <w:rPr>
          <w:sz w:val="20"/>
          <w:szCs w:val="20"/>
          <w:color w:val="auto"/>
        </w:rPr>
      </w:pPr>
      <w:r>
        <w:rPr>
          <w:rFonts w:ascii="Times New Roman" w:cs="Times New Roman" w:eastAsia="Times New Roman" w:hAnsi="Times New Roman"/>
          <w:sz w:val="11"/>
          <w:szCs w:val="11"/>
          <w:color w:val="auto"/>
        </w:rPr>
        <w:t>We are obligated to make cash payments of up to a maximum of $30 million to Essentialis stockholders upon the achievement of certain future commercial milestones associated with the sale of DCCR in accordance with the terms of the Essentialis merger agreement. The fair value of the liability for the contingent consideration payable by us achieving the commercial sales milestones of $100 million and $200 million was estimated to be $10.1 million as of September 30, 2020, a $0.8 million increase from the estimate as of June 30, 2020. During the three months ended September 30, 2019, the estimate increased approximately $28,000 from the $6.0 million estimated at June 30, 2019.</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45" w:right="2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i w:val="1"/>
          <w:iCs w:val="1"/>
          <w:color w:val="auto"/>
        </w:rPr>
        <w:t>Other income (expense)</w:t>
      </w:r>
    </w:p>
    <w:p>
      <w:pPr>
        <w:spacing w:after="0" w:line="82" w:lineRule="exact"/>
        <w:rPr>
          <w:sz w:val="20"/>
          <w:szCs w:val="20"/>
          <w:color w:val="auto"/>
        </w:rPr>
      </w:pPr>
    </w:p>
    <w:p>
      <w:pPr>
        <w:ind w:right="120" w:firstLine="513"/>
        <w:spacing w:after="0" w:line="257" w:lineRule="auto"/>
        <w:rPr>
          <w:sz w:val="20"/>
          <w:szCs w:val="20"/>
          <w:color w:val="auto"/>
        </w:rPr>
      </w:pPr>
      <w:r>
        <w:rPr>
          <w:rFonts w:ascii="Times New Roman" w:cs="Times New Roman" w:eastAsia="Times New Roman" w:hAnsi="Times New Roman"/>
          <w:sz w:val="12"/>
          <w:szCs w:val="12"/>
          <w:color w:val="auto"/>
        </w:rPr>
        <w:t>We had other expense of $0.7 million in the three months ended September 30, 2020, compared to other income of $7.0 million during the three months ended September 30, 2019. The change of $7.7 million was primarily due to a $0.7 million increase in the fair value of our outstanding warrants during the three months ended September 30, 2020, compared to a decrease of $7.1 million during the three months ended September 30, 2019. The change in value of our outstanding warrants is largely attributable to the fluctuations of our common stock price. In addition, during the three months ended September 30, 2019, we recorded a $0.1 million loss from our minority interest investment in Capnia, our former subsidiary, which includes $0.2 million for our share of Capnia’s net losses during the period, partially offset by a gain of approximately $33,000 recognized upon the sale of the investment. These increases were slightly offset by a decrease of approximately $28,000 in interest income recorded during the three months ended September 30, 2020 compared to September 30, 2019.</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Comparison of the nine months ended September 30, 2020 and 2019</w:t>
      </w:r>
    </w:p>
    <w:p>
      <w:pPr>
        <w:sectPr>
          <w:pgSz w:w="11900" w:h="16838" w:orient="portrait"/>
          <w:cols w:equalWidth="0" w:num="1">
            <w:col w:w="11300"/>
          </w:cols>
          <w:pgMar w:left="300" w:top="485" w:right="299" w:bottom="1440" w:gutter="0" w:footer="0" w:header="0"/>
        </w:sectPr>
      </w:pPr>
    </w:p>
    <w:p>
      <w:pPr>
        <w:spacing w:after="0" w:line="67"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0</wp:posOffset>
            </wp:positionV>
            <wp:extent cx="161163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11630" cy="5715"/>
                    </a:xfrm>
                    <a:prstGeom prst="rect">
                      <a:avLst/>
                    </a:prstGeom>
                    <a:noFill/>
                  </pic:spPr>
                </pic:pic>
              </a:graphicData>
            </a:graphic>
          </wp:anchor>
        </w:drawing>
      </w:r>
    </w:p>
    <w:p>
      <w:pPr>
        <w:ind w:left="6320"/>
        <w:spacing w:after="0"/>
        <w:tabs>
          <w:tab w:leader="none" w:pos="7700" w:val="left"/>
        </w:tabs>
        <w:rPr>
          <w:sz w:val="20"/>
          <w:szCs w:val="20"/>
          <w:color w:val="auto"/>
        </w:rPr>
      </w:pPr>
      <w:r>
        <w:rPr>
          <w:rFonts w:ascii="Times New Roman" w:cs="Times New Roman" w:eastAsia="Times New Roman" w:hAnsi="Times New Roman"/>
          <w:sz w:val="8"/>
          <w:szCs w:val="8"/>
          <w:b w:val="1"/>
          <w:bCs w:val="1"/>
          <w:color w:val="auto"/>
        </w:rPr>
        <w:t>2020</w:t>
      </w:r>
      <w:r>
        <w:rPr>
          <w:sz w:val="20"/>
          <w:szCs w:val="20"/>
          <w:color w:val="auto"/>
        </w:rPr>
        <w:tab/>
      </w:r>
      <w:r>
        <w:rPr>
          <w:rFonts w:ascii="Times New Roman" w:cs="Times New Roman" w:eastAsia="Times New Roman" w:hAnsi="Times New Roman"/>
          <w:sz w:val="8"/>
          <w:szCs w:val="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9525</wp:posOffset>
            </wp:positionV>
            <wp:extent cx="161163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11630" cy="5715"/>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0"/>
          <w:szCs w:val="10"/>
          <w:color w:val="auto"/>
        </w:rPr>
        <w:t>(in thousands)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0</wp:posOffset>
            </wp:positionV>
            <wp:extent cx="161734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tabs>
          <w:tab w:leader="none" w:pos="1320" w:val="left"/>
        </w:tabs>
        <w:rPr>
          <w:sz w:val="20"/>
          <w:szCs w:val="20"/>
          <w:color w:val="auto"/>
        </w:rPr>
      </w:pPr>
      <w:r>
        <w:rPr>
          <w:rFonts w:ascii="Times New Roman" w:cs="Times New Roman" w:eastAsia="Times New Roman" w:hAnsi="Times New Roman"/>
          <w:sz w:val="8"/>
          <w:szCs w:val="8"/>
          <w:b w:val="1"/>
          <w:bCs w:val="1"/>
          <w:color w:val="auto"/>
        </w:rPr>
        <w:t>Amount</w:t>
      </w:r>
      <w:r>
        <w:rPr>
          <w:sz w:val="20"/>
          <w:szCs w:val="20"/>
          <w:color w:val="auto"/>
        </w:rPr>
        <w:tab/>
      </w:r>
      <w:r>
        <w:rPr>
          <w:rFonts w:ascii="Times New Roman" w:cs="Times New Roman" w:eastAsia="Times New Roman" w:hAnsi="Times New Roman"/>
          <w:sz w:val="8"/>
          <w:szCs w:val="8"/>
          <w:b w:val="1"/>
          <w:bCs w:val="1"/>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9525</wp:posOffset>
            </wp:positionV>
            <wp:extent cx="161734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8320" w:space="720"/>
            <w:col w:w="2260"/>
          </w:cols>
          <w:pgMar w:left="300" w:top="485" w:right="29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4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Research and development</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17,625</w:t>
            </w:r>
          </w:p>
        </w:tc>
        <w:tc>
          <w:tcPr>
            <w:tcW w:w="240" w:type="dxa"/>
            <w:vAlign w:val="bottom"/>
          </w:tcPr>
          <w:p>
            <w:pPr>
              <w:spacing w:after="0"/>
              <w:rPr>
                <w:sz w:val="13"/>
                <w:szCs w:val="13"/>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10,995</w:t>
            </w:r>
          </w:p>
        </w:tc>
        <w:tc>
          <w:tcPr>
            <w:tcW w:w="260" w:type="dxa"/>
            <w:vAlign w:val="bottom"/>
          </w:tcPr>
          <w:p>
            <w:pPr>
              <w:spacing w:after="0"/>
              <w:rPr>
                <w:sz w:val="13"/>
                <w:szCs w:val="13"/>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6,630</w:t>
            </w:r>
          </w:p>
        </w:tc>
        <w:tc>
          <w:tcPr>
            <w:tcW w:w="240" w:type="dxa"/>
            <w:vAlign w:val="bottom"/>
          </w:tcPr>
          <w:p>
            <w:pPr>
              <w:spacing w:after="0"/>
              <w:rPr>
                <w:sz w:val="13"/>
                <w:szCs w:val="13"/>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53"/>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4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6,507</w:t>
            </w: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5,322</w:t>
            </w:r>
          </w:p>
        </w:tc>
        <w:tc>
          <w:tcPr>
            <w:tcW w:w="2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1,185</w:t>
            </w:r>
          </w:p>
        </w:tc>
        <w:tc>
          <w:tcPr>
            <w:tcW w:w="2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153"/>
        </w:trPr>
        <w:tc>
          <w:tcPr>
            <w:tcW w:w="58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4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4,200</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3,783</w:t>
            </w:r>
          </w:p>
        </w:tc>
        <w:tc>
          <w:tcPr>
            <w:tcW w:w="240" w:type="dxa"/>
            <w:vAlign w:val="bottom"/>
          </w:tcPr>
          <w:p>
            <w:pPr>
              <w:spacing w:after="0"/>
              <w:rPr>
                <w:sz w:val="13"/>
                <w:szCs w:val="13"/>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907%</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Total operating expenses</w:t>
            </w: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28,332</w:t>
            </w: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16,734</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11,598</w:t>
            </w: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69%</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(28,332)</w:t>
            </w:r>
          </w:p>
        </w:tc>
        <w:tc>
          <w:tcPr>
            <w:tcW w:w="2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(16,734)</w:t>
            </w:r>
          </w:p>
        </w:tc>
        <w:tc>
          <w:tcPr>
            <w:tcW w:w="2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(11,598)</w:t>
            </w:r>
          </w:p>
        </w:tc>
        <w:tc>
          <w:tcPr>
            <w:tcW w:w="240" w:type="dxa"/>
            <w:vAlign w:val="bottom"/>
            <w:vMerge w:val="continue"/>
          </w:tcPr>
          <w:p>
            <w:pPr>
              <w:spacing w:after="0"/>
              <w:rPr>
                <w:sz w:val="12"/>
                <w:szCs w:val="12"/>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69%</w:t>
            </w:r>
          </w:p>
        </w:tc>
        <w:tc>
          <w:tcPr>
            <w:tcW w:w="0" w:type="dxa"/>
            <w:vAlign w:val="bottom"/>
          </w:tcPr>
          <w:p>
            <w:pPr>
              <w:spacing w:after="0"/>
              <w:rPr>
                <w:sz w:val="1"/>
                <w:szCs w:val="1"/>
                <w:color w:val="auto"/>
              </w:rPr>
            </w:pPr>
          </w:p>
        </w:tc>
      </w:tr>
      <w:tr>
        <w:trPr>
          <w:trHeight w:val="15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income</w:t>
            </w:r>
          </w:p>
        </w:tc>
        <w:tc>
          <w:tcPr>
            <w:tcW w:w="4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Change in fair value of warrants liabilities</w:t>
            </w:r>
          </w:p>
        </w:tc>
        <w:tc>
          <w:tcPr>
            <w:tcW w:w="4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6,532</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930</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5,602</w:t>
            </w:r>
          </w:p>
        </w:tc>
        <w:tc>
          <w:tcPr>
            <w:tcW w:w="240" w:type="dxa"/>
            <w:vAlign w:val="bottom"/>
          </w:tcPr>
          <w:p>
            <w:pPr>
              <w:spacing w:after="0"/>
              <w:rPr>
                <w:sz w:val="13"/>
                <w:szCs w:val="13"/>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602%</w:t>
            </w:r>
          </w:p>
        </w:tc>
        <w:tc>
          <w:tcPr>
            <w:tcW w:w="0" w:type="dxa"/>
            <w:vAlign w:val="bottom"/>
          </w:tcPr>
          <w:p>
            <w:pPr>
              <w:spacing w:after="0"/>
              <w:rPr>
                <w:sz w:val="1"/>
                <w:szCs w:val="1"/>
                <w:color w:val="auto"/>
              </w:rPr>
            </w:pPr>
          </w:p>
        </w:tc>
      </w:tr>
      <w:tr>
        <w:trPr>
          <w:trHeight w:val="153"/>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Loss from minority interest investment</w:t>
            </w:r>
          </w:p>
        </w:tc>
        <w:tc>
          <w:tcPr>
            <w:tcW w:w="4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(478)</w:t>
            </w:r>
          </w:p>
        </w:tc>
        <w:tc>
          <w:tcPr>
            <w:tcW w:w="4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478</w:t>
            </w:r>
          </w:p>
        </w:tc>
        <w:tc>
          <w:tcPr>
            <w:tcW w:w="2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53"/>
        </w:trPr>
        <w:tc>
          <w:tcPr>
            <w:tcW w:w="58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Interest income</w:t>
            </w:r>
          </w:p>
        </w:tc>
        <w:tc>
          <w:tcPr>
            <w:tcW w:w="4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(120)</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90%</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Total other income</w:t>
            </w: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6,545</w:t>
            </w: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585</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5,960</w:t>
            </w: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1019%</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Net loss</w:t>
            </w: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tcPr>
          <w:p>
            <w:pPr>
              <w:spacing w:after="0"/>
              <w:rPr>
                <w:sz w:val="12"/>
                <w:szCs w:val="12"/>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(21,787)</w:t>
            </w:r>
          </w:p>
        </w:tc>
        <w:tc>
          <w:tcPr>
            <w:tcW w:w="240" w:type="dxa"/>
            <w:vAlign w:val="bottom"/>
            <w:vMerge w:val="continue"/>
          </w:tcPr>
          <w:p>
            <w:pPr>
              <w:spacing w:after="0"/>
              <w:rPr>
                <w:sz w:val="12"/>
                <w:szCs w:val="12"/>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(16,149)</w:t>
            </w:r>
          </w:p>
        </w:tc>
        <w:tc>
          <w:tcPr>
            <w:tcW w:w="260" w:type="dxa"/>
            <w:vAlign w:val="bottom"/>
            <w:vMerge w:val="continue"/>
          </w:tcPr>
          <w:p>
            <w:pPr>
              <w:spacing w:after="0"/>
              <w:rPr>
                <w:sz w:val="12"/>
                <w:szCs w:val="12"/>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(5,638)</w:t>
            </w:r>
          </w:p>
        </w:tc>
        <w:tc>
          <w:tcPr>
            <w:tcW w:w="240" w:type="dxa"/>
            <w:vAlign w:val="bottom"/>
            <w:vMerge w:val="continue"/>
          </w:tcPr>
          <w:p>
            <w:pPr>
              <w:spacing w:after="0"/>
              <w:rPr>
                <w:sz w:val="12"/>
                <w:szCs w:val="12"/>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We have yet not commenced commercialization of DCCR, our current sole product, and accordingly, through September 30, 2020, have generated no revenue from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w:t>
      </w:r>
    </w:p>
    <w:p>
      <w:pPr>
        <w:spacing w:after="0" w:line="82" w:lineRule="exact"/>
        <w:rPr>
          <w:sz w:val="20"/>
          <w:szCs w:val="20"/>
          <w:color w:val="auto"/>
        </w:rPr>
      </w:pPr>
    </w:p>
    <w:p>
      <w:pPr>
        <w:ind w:right="80" w:firstLine="513"/>
        <w:spacing w:after="0" w:line="260" w:lineRule="auto"/>
        <w:rPr>
          <w:sz w:val="20"/>
          <w:szCs w:val="20"/>
          <w:color w:val="auto"/>
        </w:rPr>
      </w:pPr>
      <w:r>
        <w:rPr>
          <w:rFonts w:ascii="Times New Roman" w:cs="Times New Roman" w:eastAsia="Times New Roman" w:hAnsi="Times New Roman"/>
          <w:sz w:val="12"/>
          <w:szCs w:val="12"/>
          <w:color w:val="auto"/>
        </w:rPr>
        <w:t>Research and development expense of $17.6 million for the nine months ended September 30, 2020 increased by $6.6 million over the nine months ended September 30, 2019. In January 2020, we announced the completion of target enrollment in DESTINY PWS trial with 29 sites and over 100 subjects, and in June 2020, we announced top line results. Many of these sites and subjects continued to participate in the open-label, extension trial during the three months ended September 2020. This compares to 26 sites that were enrolled as of September 30, 2019. As a result, we have incurred increased clinical site costs, consulting costs and lab costs. In addition, we are increasing our investment in clinical manufacturing costs to continue to supply DCCR to the patients in the trial and to prepare for the next phase in the regulatory approval process.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w:t>
      </w:r>
    </w:p>
    <w:p>
      <w:pPr>
        <w:spacing w:after="0" w:line="82" w:lineRule="exact"/>
        <w:rPr>
          <w:sz w:val="20"/>
          <w:szCs w:val="20"/>
          <w:color w:val="auto"/>
        </w:rPr>
      </w:pPr>
    </w:p>
    <w:p>
      <w:pPr>
        <w:ind w:right="280" w:firstLine="513"/>
        <w:spacing w:after="0" w:line="279" w:lineRule="auto"/>
        <w:rPr>
          <w:sz w:val="20"/>
          <w:szCs w:val="20"/>
          <w:color w:val="auto"/>
        </w:rPr>
      </w:pPr>
      <w:r>
        <w:rPr>
          <w:rFonts w:ascii="Times New Roman" w:cs="Times New Roman" w:eastAsia="Times New Roman" w:hAnsi="Times New Roman"/>
          <w:sz w:val="12"/>
          <w:szCs w:val="12"/>
          <w:color w:val="auto"/>
        </w:rPr>
        <w:t>General and administrative expense of $6.5 million for the nine months ended September 30, 2020 increased $1.2 million over the nine months ended September 30, 2019. The increase was primarily related to increased compensation costs, costs for intellectual property, and corporate business development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 in fair value of contingent consideration</w:t>
      </w:r>
    </w:p>
    <w:p>
      <w:pPr>
        <w:spacing w:after="0" w:line="82" w:lineRule="exact"/>
        <w:rPr>
          <w:sz w:val="20"/>
          <w:szCs w:val="20"/>
          <w:color w:val="auto"/>
        </w:rPr>
      </w:pPr>
    </w:p>
    <w:p>
      <w:pPr>
        <w:ind w:right="40" w:firstLine="513"/>
        <w:spacing w:after="0" w:line="260" w:lineRule="auto"/>
        <w:rPr>
          <w:sz w:val="20"/>
          <w:szCs w:val="20"/>
          <w:color w:val="auto"/>
        </w:rPr>
      </w:pPr>
      <w:r>
        <w:rPr>
          <w:rFonts w:ascii="Times New Roman" w:cs="Times New Roman" w:eastAsia="Times New Roman" w:hAnsi="Times New Roman"/>
          <w:sz w:val="12"/>
          <w:szCs w:val="12"/>
          <w:color w:val="auto"/>
        </w:rPr>
        <w:t>We are obligated to make cash payments of up to a maximum of $30 million to Essentialis stockholders upon the achievement of certain future commercial milestones associated with the sale of DCCR in accordance with the terms of the Essentialis merger agreement. The fair value of the liability for the contingent consideration payable by us achieving the commercial sales milestones of $100 million and $200 million was estimated to be $10.1 million as of September 30, 2020, a $4.2 million increase from the estimate as of December 31, 2019. The step up in value is largely attributable to us announcing top-line results from our DESTINY PWS trial in June 2020. During the nine months ended September 30, 2019, the estimate increased $0.4 million from the liability of $5.6 million estimated at December 31, 2018.</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85" w:right="2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2"/>
          <w:szCs w:val="12"/>
          <w:b w:val="1"/>
          <w:bCs w:val="1"/>
          <w:i w:val="1"/>
          <w:iCs w:val="1"/>
          <w:color w:val="auto"/>
        </w:rPr>
        <w:t>Other income</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We had other income of $6.5 million in the nine months ended September 30, 2020, compared to $0.6 million during the nine months ended September 30, 2019. The increase of $6.0 million was primarily due to a</w:t>
      </w:r>
    </w:p>
    <w:p>
      <w:pPr>
        <w:spacing w:after="0" w:line="1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2"/>
          <w:szCs w:val="12"/>
          <w:color w:val="auto"/>
        </w:rPr>
        <w:t>$6.5 million decrease in the fair value of our outstanding warrants during the nine months ended September 30, 2020, compared to a decrease of $0.9 million during the nine months ended September 30, 2019. In addition, during the nine months ended September 30, 2019, we recorded a $0.5 million loss from our minority interest investment in Capnia, our former subsidiary, which includes $0.5 million for our share of Capnia’s net losses during the period, partially offset by a gain of approximately $33,000 recognized upon the sale of the investment. These increases were slightly offset by a decrease of $0.1 million in interest income recorded during the nine months ended September 30, 2020 compared to September 30, 2019.</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82" w:lineRule="exact"/>
        <w:rPr>
          <w:sz w:val="20"/>
          <w:szCs w:val="20"/>
          <w:color w:val="auto"/>
        </w:rPr>
      </w:pPr>
    </w:p>
    <w:p>
      <w:pPr>
        <w:ind w:firstLine="513"/>
        <w:spacing w:after="0" w:line="257" w:lineRule="auto"/>
        <w:rPr>
          <w:sz w:val="20"/>
          <w:szCs w:val="20"/>
          <w:color w:val="auto"/>
        </w:rPr>
      </w:pPr>
      <w:r>
        <w:rPr>
          <w:rFonts w:ascii="Times New Roman" w:cs="Times New Roman" w:eastAsia="Times New Roman" w:hAnsi="Times New Roman"/>
          <w:sz w:val="12"/>
          <w:szCs w:val="12"/>
          <w:color w:val="auto"/>
        </w:rPr>
        <w:t>We had a net loss of $21.8 million during the nine months ended September 30, 2020 and an accumulated deficit of $179.6 million at September 30, 2020 as a result of having incurred losses since our inception. We had $56.1 million in cash and cash equivalents and $48.5 million of working capital at September 30, 2020, and used $18.4 million of cash in operating activities during the nine months ended September 30, 2020. We have financed our operations principally through issuances of equity securities. On June 26, 2020, we sold 34,848,484 shares of common stock in an underwritten public offering at a price of $1.65 per share for net proceeds of $53.7 million. We expect to continue incurring losses for the foreseeable future. However, we expect that our current cash and cash equivalents balance are sufficient to enable us to meet our obligations for at least the next twelve months from the date of this filing.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flows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following table sets forth the primary sources and uses of cash and cash equivalents for each of the periods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6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97"/>
              </w:rPr>
              <w:t>Nine Months Ended September 30,</w:t>
            </w:r>
          </w:p>
        </w:tc>
        <w:tc>
          <w:tcPr>
            <w:tcW w:w="9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7"/>
        </w:trPr>
        <w:tc>
          <w:tcPr>
            <w:tcW w:w="7760" w:type="dxa"/>
            <w:vAlign w:val="bottom"/>
          </w:tcPr>
          <w:p>
            <w:pPr>
              <w:spacing w:after="0"/>
              <w:rPr>
                <w:sz w:val="8"/>
                <w:szCs w:val="8"/>
                <w:color w:val="auto"/>
              </w:rPr>
            </w:pPr>
          </w:p>
        </w:tc>
        <w:tc>
          <w:tcPr>
            <w:tcW w:w="940" w:type="dxa"/>
            <w:vAlign w:val="bottom"/>
            <w:tcBorders>
              <w:bottom w:val="single" w:sz="8" w:color="auto"/>
            </w:tcBorders>
          </w:tcPr>
          <w:p>
            <w:pPr>
              <w:jc w:val="right"/>
              <w:ind w:right="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6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ind w:right="642"/>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Pr>
          <w:p>
            <w:pPr>
              <w:spacing w:after="0"/>
              <w:rPr>
                <w:sz w:val="8"/>
                <w:szCs w:val="8"/>
                <w:color w:val="auto"/>
              </w:rPr>
            </w:pPr>
          </w:p>
        </w:tc>
      </w:tr>
      <w:tr>
        <w:trPr>
          <w:trHeight w:val="97"/>
        </w:trPr>
        <w:tc>
          <w:tcPr>
            <w:tcW w:w="7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40" w:type="dxa"/>
            <w:vAlign w:val="bottom"/>
            <w:gridSpan w:val="3"/>
          </w:tcPr>
          <w:p>
            <w:pPr>
              <w:jc w:val="right"/>
              <w:ind w:right="446"/>
              <w:spacing w:after="0" w:line="97" w:lineRule="exact"/>
              <w:rPr>
                <w:sz w:val="20"/>
                <w:szCs w:val="20"/>
                <w:color w:val="auto"/>
              </w:rPr>
            </w:pPr>
            <w:r>
              <w:rPr>
                <w:rFonts w:ascii="Times New Roman" w:cs="Times New Roman" w:eastAsia="Times New Roman" w:hAnsi="Times New Roman"/>
                <w:sz w:val="10"/>
                <w:szCs w:val="10"/>
                <w:color w:val="auto"/>
              </w:rPr>
              <w:t>(in thousands)</w:t>
            </w: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5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940" w:type="dxa"/>
            <w:vAlign w:val="bottom"/>
            <w:shd w:val="clear" w:color="auto" w:fill="CFF0FC"/>
          </w:tcPr>
          <w:p>
            <w:pPr>
              <w:jc w:val="right"/>
              <w:ind w:right="828"/>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(18,357)</w:t>
            </w:r>
          </w:p>
        </w:tc>
        <w:tc>
          <w:tcPr>
            <w:tcW w:w="620" w:type="dxa"/>
            <w:vAlign w:val="bottom"/>
            <w:shd w:val="clear" w:color="auto" w:fill="CFF0FC"/>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(12,299)</w:t>
            </w:r>
          </w:p>
        </w:tc>
      </w:tr>
      <w:tr>
        <w:trPr>
          <w:trHeight w:val="153"/>
        </w:trPr>
        <w:tc>
          <w:tcPr>
            <w:tcW w:w="7760" w:type="dxa"/>
            <w:vAlign w:val="bottom"/>
          </w:tcPr>
          <w:p>
            <w:pPr>
              <w:spacing w:after="0"/>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94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(3)</w:t>
            </w: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w:t>
            </w:r>
          </w:p>
        </w:tc>
        <w:tc>
          <w:tcPr>
            <w:tcW w:w="120" w:type="dxa"/>
            <w:vAlign w:val="bottom"/>
          </w:tcPr>
          <w:p>
            <w:pPr>
              <w:spacing w:after="0"/>
              <w:rPr>
                <w:sz w:val="13"/>
                <w:szCs w:val="13"/>
                <w:color w:val="auto"/>
              </w:rPr>
            </w:pPr>
          </w:p>
        </w:tc>
      </w:tr>
      <w:tr>
        <w:trPr>
          <w:trHeight w:val="15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9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53,764</w:t>
            </w:r>
          </w:p>
        </w:tc>
        <w:tc>
          <w:tcPr>
            <w:tcW w:w="3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77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Net increase (decrease) in cash and cash equivalents</w:t>
            </w:r>
          </w:p>
        </w:tc>
        <w:tc>
          <w:tcPr>
            <w:tcW w:w="940" w:type="dxa"/>
            <w:vAlign w:val="bottom"/>
            <w:tcBorders>
              <w:top w:val="single" w:sz="8" w:color="auto"/>
              <w:bottom w:val="single" w:sz="8" w:color="auto"/>
            </w:tcBorders>
          </w:tcPr>
          <w:p>
            <w:pPr>
              <w:jc w:val="right"/>
              <w:ind w:right="82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35,404</w:t>
            </w:r>
          </w:p>
        </w:tc>
        <w:tc>
          <w:tcPr>
            <w:tcW w:w="3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(11,874)</w:t>
            </w:r>
          </w:p>
        </w:tc>
        <w:tc>
          <w:tcPr>
            <w:tcW w:w="120" w:type="dxa"/>
            <w:vAlign w:val="bottom"/>
          </w:tcPr>
          <w:p>
            <w:pPr>
              <w:spacing w:after="0"/>
              <w:rPr>
                <w:sz w:val="12"/>
                <w:szCs w:val="12"/>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Cash used in operating activities</w:t>
      </w:r>
    </w:p>
    <w:p>
      <w:pPr>
        <w:spacing w:after="0" w:line="82" w:lineRule="exact"/>
        <w:rPr>
          <w:sz w:val="20"/>
          <w:szCs w:val="20"/>
          <w:color w:val="auto"/>
        </w:rPr>
      </w:pPr>
    </w:p>
    <w:p>
      <w:pPr>
        <w:ind w:right="40" w:firstLine="513"/>
        <w:spacing w:after="0" w:line="265" w:lineRule="auto"/>
        <w:rPr>
          <w:sz w:val="20"/>
          <w:szCs w:val="20"/>
          <w:color w:val="auto"/>
        </w:rPr>
      </w:pPr>
      <w:r>
        <w:rPr>
          <w:rFonts w:ascii="Times New Roman" w:cs="Times New Roman" w:eastAsia="Times New Roman" w:hAnsi="Times New Roman"/>
          <w:sz w:val="12"/>
          <w:szCs w:val="12"/>
          <w:color w:val="auto"/>
        </w:rPr>
        <w:t>During the nine months ended September 30, 2020, operating activities used net cash of $18.4 million, which was primarily due to the net loss of $21.8 million, increased by the add back of non-cash appreciation and income of $2.3 million for the change in fair value of stock warrants and contingent consideration, and decreased by the add back of non-cash expenses of $1.5 million for depreciation and amortization, $1.1 million for stock based compensation, and $0.2 million for non-cash lease expense. Additionally, the usage of cash during the nine months ended September 30, 2020 was reduced by $3.0 million due to changes in operating assets and liabilities.</w:t>
      </w:r>
    </w:p>
    <w:p>
      <w:pPr>
        <w:spacing w:after="0" w:line="47" w:lineRule="exact"/>
        <w:rPr>
          <w:sz w:val="20"/>
          <w:szCs w:val="20"/>
          <w:color w:val="auto"/>
        </w:rPr>
      </w:pPr>
    </w:p>
    <w:p>
      <w:pPr>
        <w:ind w:right="120" w:firstLine="513"/>
        <w:spacing w:after="0" w:line="260" w:lineRule="auto"/>
        <w:rPr>
          <w:sz w:val="20"/>
          <w:szCs w:val="20"/>
          <w:color w:val="auto"/>
        </w:rPr>
      </w:pPr>
      <w:r>
        <w:rPr>
          <w:rFonts w:ascii="Times New Roman" w:cs="Times New Roman" w:eastAsia="Times New Roman" w:hAnsi="Times New Roman"/>
          <w:sz w:val="12"/>
          <w:szCs w:val="12"/>
          <w:color w:val="auto"/>
        </w:rPr>
        <w:t>During the nine months ended September 30, 2019, operating activities used net cash of $12.3 million, which was primarily due to the net loss of $16.1 million, decreased by the add back of non-cash charge of $0.5 million for the change in fair value of stock warrants, partially offset by an increase in contingent consideration. These uses are adjusted for non-cash expenses of $1.5 million for depreciation and amortization, $0.6 million for stock based compensation, a $0.5 million operating loss on minority interest investment, and $0.3 million for non-cash lease expense. Additionally, the usage of cash during the nine months ended September 30, 2019 was reduced by $1.5 million due to changes in operating assets and liabilities.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Cash used in investing activities</w:t>
      </w:r>
    </w:p>
    <w:p>
      <w:pPr>
        <w:spacing w:after="0" w:line="82" w:lineRule="exact"/>
        <w:rPr>
          <w:sz w:val="20"/>
          <w:szCs w:val="20"/>
          <w:color w:val="auto"/>
        </w:rPr>
      </w:pPr>
    </w:p>
    <w:p>
      <w:pPr>
        <w:jc w:val="both"/>
        <w:ind w:right="20" w:firstLine="513"/>
        <w:spacing w:after="0" w:line="265" w:lineRule="auto"/>
        <w:rPr>
          <w:sz w:val="20"/>
          <w:szCs w:val="20"/>
          <w:color w:val="auto"/>
        </w:rPr>
      </w:pPr>
      <w:r>
        <w:rPr>
          <w:rFonts w:ascii="Times New Roman" w:cs="Times New Roman" w:eastAsia="Times New Roman" w:hAnsi="Times New Roman"/>
          <w:sz w:val="12"/>
          <w:szCs w:val="12"/>
          <w:color w:val="auto"/>
        </w:rPr>
        <w:t>Minimal cash was used for investing activities in the nine months ended September 30, 2020 for the costs of acquiring property and equipment. During the nine months ended September 30, 2019, investing activities provided cash of $0.4 million. This was primarily a result of the $0.5 million that we received for the sale of our 47% investment in Capnia to SiNON Therapeutics in September 2019. This was partially offset by cash that was used for a deposit of approximately $59,000 related to the lease that we entered into in July 2019 for 6,368 square feet of new space in Redwood City, California, and $16,000 for the acquisition of property and equipment.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85"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b w:val="1"/>
          <w:bCs w:val="1"/>
          <w:i w:val="1"/>
          <w:iCs w:val="1"/>
          <w:color w:val="auto"/>
        </w:rPr>
        <w:t>Cash provided by financing activities</w:t>
      </w:r>
    </w:p>
    <w:p>
      <w:pPr>
        <w:spacing w:after="0" w:line="82" w:lineRule="exact"/>
        <w:rPr>
          <w:sz w:val="20"/>
          <w:szCs w:val="20"/>
          <w:color w:val="auto"/>
        </w:rPr>
      </w:pPr>
    </w:p>
    <w:p>
      <w:pPr>
        <w:ind w:firstLine="513"/>
        <w:spacing w:after="0" w:line="265" w:lineRule="auto"/>
        <w:rPr>
          <w:sz w:val="20"/>
          <w:szCs w:val="20"/>
          <w:color w:val="auto"/>
        </w:rPr>
      </w:pPr>
      <w:r>
        <w:rPr>
          <w:rFonts w:ascii="Times New Roman" w:cs="Times New Roman" w:eastAsia="Times New Roman" w:hAnsi="Times New Roman"/>
          <w:sz w:val="12"/>
          <w:szCs w:val="12"/>
          <w:color w:val="auto"/>
        </w:rPr>
        <w:t>During the nine months ended September 30, 2020, we obtained $53.8 million of cash from the sale of shares of our common stock in a public offering, net of underwriting discounts and other offering expenses. As of September 30, 2020, approximately $38,000 of offering expenses had been incurred, but remained unpaid. In addition, we received minimal cash from the issuance of common stock upon stock option exercises during the nine months ended September 30, 2020. These cash inflows were minimally offset by cash payments made on our finance lease. There were no financing activities during the nine months ended September 30, 2019.</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As of September 30, 2020, we had cash and cash equivalents of $56.1 million.</w:t>
      </w:r>
    </w:p>
    <w:p>
      <w:pPr>
        <w:spacing w:after="0" w:line="1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We believe that we have sufficient capital resources to sustain operations through at least the next twelve months from the date of this filing.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We do not have any off-balance sheet arrangements.</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2"/>
          <w:szCs w:val="12"/>
          <w:b w:val="1"/>
          <w:bCs w:val="1"/>
          <w:color w:val="auto"/>
        </w:rPr>
        <w:t>Quantitative and Qualitative Disclosures about Market Risk</w:t>
      </w:r>
    </w:p>
    <w:p>
      <w:pPr>
        <w:spacing w:after="0" w:line="80" w:lineRule="exact"/>
        <w:rPr>
          <w:sz w:val="20"/>
          <w:szCs w:val="20"/>
          <w:color w:val="auto"/>
        </w:rPr>
      </w:pPr>
    </w:p>
    <w:p>
      <w:pPr>
        <w:ind w:right="360" w:firstLine="513"/>
        <w:spacing w:after="0" w:line="283" w:lineRule="auto"/>
        <w:rPr>
          <w:sz w:val="20"/>
          <w:szCs w:val="20"/>
          <w:color w:val="auto"/>
        </w:rPr>
      </w:pPr>
      <w:r>
        <w:rPr>
          <w:rFonts w:ascii="Times New Roman" w:cs="Times New Roman" w:eastAsia="Times New Roman" w:hAnsi="Times New Roman"/>
          <w:sz w:val="12"/>
          <w:szCs w:val="12"/>
          <w:color w:val="auto"/>
        </w:rPr>
        <w:t xml:space="preserve">There have not been any material changes to our exposure to market risk during the nine months ended September 30, 2020. For additional information regarding market risk, refer to the </w:t>
      </w:r>
      <w:r>
        <w:rPr>
          <w:rFonts w:ascii="Times New Roman" w:cs="Times New Roman" w:eastAsia="Times New Roman" w:hAnsi="Times New Roman"/>
          <w:sz w:val="12"/>
          <w:szCs w:val="12"/>
          <w:i w:val="1"/>
          <w:iCs w:val="1"/>
          <w:color w:val="auto"/>
        </w:rPr>
        <w:t>Qualitative and Quantitative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Disclosures About Market Risk </w:t>
      </w:r>
      <w:r>
        <w:rPr>
          <w:rFonts w:ascii="Times New Roman" w:cs="Times New Roman" w:eastAsia="Times New Roman" w:hAnsi="Times New Roman"/>
          <w:sz w:val="12"/>
          <w:szCs w:val="12"/>
          <w:color w:val="auto"/>
        </w:rPr>
        <w:t>section of the Form 10-K.</w:t>
      </w:r>
    </w:p>
    <w:p>
      <w:pPr>
        <w:spacing w:after="0" w:line="17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color w:val="auto"/>
        </w:rPr>
        <w:t>Controls and Procedures</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b w:val="1"/>
          <w:bCs w:val="1"/>
          <w:color w:val="auto"/>
        </w:rPr>
        <w:t>(a) Evaluation of Disclosure Controls and Procedures</w:t>
      </w:r>
    </w:p>
    <w:p>
      <w:pPr>
        <w:spacing w:after="0" w:line="82" w:lineRule="exact"/>
        <w:rPr>
          <w:sz w:val="20"/>
          <w:szCs w:val="20"/>
          <w:color w:val="auto"/>
        </w:rPr>
      </w:pPr>
    </w:p>
    <w:p>
      <w:pPr>
        <w:ind w:firstLine="513"/>
        <w:spacing w:after="0" w:line="260" w:lineRule="auto"/>
        <w:rPr>
          <w:sz w:val="20"/>
          <w:szCs w:val="20"/>
          <w:color w:val="auto"/>
        </w:rPr>
      </w:pPr>
      <w:r>
        <w:rPr>
          <w:rFonts w:ascii="Times New Roman" w:cs="Times New Roman" w:eastAsia="Times New Roman" w:hAnsi="Times New Roman"/>
          <w:sz w:val="12"/>
          <w:szCs w:val="12"/>
          <w:color w:val="auto"/>
        </w:rPr>
        <w:t>We maintain disclosure controls and procedures that are designed to ensure that information required to be disclosed in reports filed under the Securities Exchange Act of 1934, as amended, or the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22" w:lineRule="exact"/>
        <w:rPr>
          <w:sz w:val="20"/>
          <w:szCs w:val="20"/>
          <w:color w:val="auto"/>
        </w:rPr>
      </w:pPr>
    </w:p>
    <w:p>
      <w:pPr>
        <w:ind w:right="40" w:firstLine="513"/>
        <w:spacing w:after="0" w:line="265" w:lineRule="auto"/>
        <w:rPr>
          <w:sz w:val="20"/>
          <w:szCs w:val="20"/>
          <w:color w:val="auto"/>
        </w:rPr>
      </w:pPr>
      <w:r>
        <w:rPr>
          <w:rFonts w:ascii="Times New Roman" w:cs="Times New Roman" w:eastAsia="Times New Roman" w:hAnsi="Times New Roman"/>
          <w:sz w:val="12"/>
          <w:szCs w:val="12"/>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and procedures were effective.</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b w:val="1"/>
          <w:bCs w:val="1"/>
          <w:color w:val="auto"/>
        </w:rPr>
        <w:t>(b) Changes in Internal Control over Financial Reporting</w:t>
      </w:r>
    </w:p>
    <w:p>
      <w:pPr>
        <w:spacing w:after="0" w:line="82" w:lineRule="exact"/>
        <w:rPr>
          <w:sz w:val="20"/>
          <w:szCs w:val="20"/>
          <w:color w:val="auto"/>
        </w:rPr>
      </w:pPr>
    </w:p>
    <w:p>
      <w:pPr>
        <w:ind w:right="180" w:firstLine="513"/>
        <w:spacing w:after="0" w:line="279" w:lineRule="auto"/>
        <w:rPr>
          <w:sz w:val="20"/>
          <w:szCs w:val="20"/>
          <w:color w:val="auto"/>
        </w:rPr>
      </w:pPr>
      <w:r>
        <w:rPr>
          <w:rFonts w:ascii="Times New Roman" w:cs="Times New Roman" w:eastAsia="Times New Roman" w:hAnsi="Times New Roman"/>
          <w:sz w:val="12"/>
          <w:szCs w:val="12"/>
          <w:color w:val="auto"/>
        </w:rPr>
        <w:t>There have been no changes to our internal control over financial reporting that occurred during the third fiscal quarter ended September 30, 2020, that have materially affected, or are reasonably likely to materially affect, our internal control over financial reporting.</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b w:val="1"/>
          <w:bCs w:val="1"/>
          <w:i w:val="1"/>
          <w:iCs w:val="1"/>
          <w:color w:val="auto"/>
        </w:rPr>
        <w:t>Inherent Limitations on Effectiveness of Controls</w:t>
      </w:r>
    </w:p>
    <w:p>
      <w:pPr>
        <w:spacing w:after="0" w:line="82" w:lineRule="exact"/>
        <w:rPr>
          <w:sz w:val="20"/>
          <w:szCs w:val="20"/>
          <w:color w:val="auto"/>
        </w:rPr>
      </w:pPr>
    </w:p>
    <w:p>
      <w:pPr>
        <w:ind w:firstLine="513"/>
        <w:spacing w:after="0" w:line="260" w:lineRule="auto"/>
        <w:rPr>
          <w:sz w:val="20"/>
          <w:szCs w:val="20"/>
          <w:color w:val="auto"/>
        </w:rPr>
      </w:pPr>
      <w:r>
        <w:rPr>
          <w:rFonts w:ascii="Times New Roman" w:cs="Times New Roman" w:eastAsia="Times New Roman" w:hAnsi="Times New Roman"/>
          <w:sz w:val="12"/>
          <w:szCs w:val="12"/>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00"/>
          </w:cols>
          <w:pgMar w:left="300" w:top="485" w:right="399" w:bottom="1440" w:gutter="0" w:footer="0" w:header="0"/>
        </w:sectPr>
      </w:pPr>
    </w:p>
    <w:bookmarkStart w:id="22" w:name="page23"/>
    <w:bookmarkEnd w:id="22"/>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PART II – OTHER INFORMATION</w:t>
      </w:r>
    </w:p>
    <w:p>
      <w:pPr>
        <w:spacing w:after="0" w:line="15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2"/>
          <w:szCs w:val="12"/>
          <w:b w:val="1"/>
          <w:bCs w:val="1"/>
          <w:color w:val="auto"/>
        </w:rPr>
        <w:t>Legal Proceedings</w:t>
      </w:r>
    </w:p>
    <w:p>
      <w:pPr>
        <w:spacing w:after="0" w:line="82" w:lineRule="exact"/>
        <w:rPr>
          <w:sz w:val="20"/>
          <w:szCs w:val="20"/>
          <w:color w:val="auto"/>
        </w:rPr>
      </w:pPr>
    </w:p>
    <w:p>
      <w:pPr>
        <w:jc w:val="both"/>
        <w:ind w:right="220" w:firstLine="513"/>
        <w:spacing w:after="0" w:line="265" w:lineRule="auto"/>
        <w:rPr>
          <w:sz w:val="20"/>
          <w:szCs w:val="20"/>
          <w:color w:val="auto"/>
        </w:rPr>
      </w:pPr>
      <w:r>
        <w:rPr>
          <w:rFonts w:ascii="Times New Roman" w:cs="Times New Roman" w:eastAsia="Times New Roman" w:hAnsi="Times New Roman"/>
          <w:sz w:val="12"/>
          <w:szCs w:val="12"/>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18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2"/>
          <w:szCs w:val="12"/>
          <w:b w:val="1"/>
          <w:bCs w:val="1"/>
          <w:color w:val="auto"/>
        </w:rPr>
        <w:t>Item 1A.</w:t>
      </w:r>
      <w:r>
        <w:rPr>
          <w:sz w:val="20"/>
          <w:szCs w:val="20"/>
          <w:color w:val="auto"/>
        </w:rPr>
        <w:tab/>
      </w:r>
      <w:r>
        <w:rPr>
          <w:rFonts w:ascii="Times New Roman" w:cs="Times New Roman" w:eastAsia="Times New Roman" w:hAnsi="Times New Roman"/>
          <w:sz w:val="12"/>
          <w:szCs w:val="12"/>
          <w:b w:val="1"/>
          <w:bCs w:val="1"/>
          <w:color w:val="auto"/>
        </w:rPr>
        <w:t>Risk Factors</w:t>
      </w:r>
    </w:p>
    <w:p>
      <w:pPr>
        <w:spacing w:after="0" w:line="82" w:lineRule="exact"/>
        <w:rPr>
          <w:sz w:val="20"/>
          <w:szCs w:val="20"/>
          <w:color w:val="auto"/>
        </w:rPr>
      </w:pPr>
    </w:p>
    <w:p>
      <w:pPr>
        <w:jc w:val="both"/>
        <w:ind w:firstLine="513"/>
        <w:spacing w:after="0" w:line="265" w:lineRule="auto"/>
        <w:rPr>
          <w:sz w:val="20"/>
          <w:szCs w:val="20"/>
          <w:color w:val="auto"/>
        </w:rPr>
      </w:pPr>
      <w:r>
        <w:rPr>
          <w:rFonts w:ascii="Times New Roman" w:cs="Times New Roman" w:eastAsia="Times New Roman" w:hAnsi="Times New Roman"/>
          <w:sz w:val="12"/>
          <w:szCs w:val="12"/>
          <w:color w:val="auto"/>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 Risk Factor</w:t>
      </w:r>
    </w:p>
    <w:p>
      <w:pPr>
        <w:spacing w:after="0" w:line="7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business is subject to numerous risks and uncertainties that you should consider before investing in our company, as fully described below. The principal factors and uncertainties that make investing in our company risky include, among others:</w:t>
      </w:r>
    </w:p>
    <w:p>
      <w:pPr>
        <w:spacing w:after="0" w:line="35" w:lineRule="exact"/>
        <w:rPr>
          <w:sz w:val="20"/>
          <w:szCs w:val="20"/>
          <w:color w:val="auto"/>
        </w:rPr>
      </w:pPr>
    </w:p>
    <w:p>
      <w:pPr>
        <w:ind w:left="1020" w:hanging="434"/>
        <w:spacing w:after="0"/>
        <w:tabs>
          <w:tab w:leader="none" w:pos="10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primarily a clinical-stage company with no approved products, which makes assessment of our future viability difficult;</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significantly dependent upon the success of DCCR, our sole therapeutic product candidate;</w:t>
      </w:r>
    </w:p>
    <w:p>
      <w:pPr>
        <w:spacing w:after="0" w:line="78" w:lineRule="exact"/>
        <w:rPr>
          <w:rFonts w:ascii="Times New Roman" w:cs="Times New Roman" w:eastAsia="Times New Roman" w:hAnsi="Times New Roman"/>
          <w:sz w:val="12"/>
          <w:szCs w:val="12"/>
          <w:color w:val="auto"/>
        </w:rPr>
      </w:pPr>
    </w:p>
    <w:p>
      <w:pPr>
        <w:ind w:left="1020" w:right="200" w:hanging="434"/>
        <w:spacing w:after="0" w:line="279" w:lineRule="auto"/>
        <w:tabs>
          <w:tab w:leader="none" w:pos="10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39"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fail to obtain regulatory approval for DCCR in the U.S. and E.U., our business would be harmed;</w:t>
      </w:r>
    </w:p>
    <w:p>
      <w:pPr>
        <w:spacing w:after="0" w:line="78" w:lineRule="exact"/>
        <w:rPr>
          <w:rFonts w:ascii="Times New Roman" w:cs="Times New Roman" w:eastAsia="Times New Roman" w:hAnsi="Times New Roman"/>
          <w:sz w:val="12"/>
          <w:szCs w:val="12"/>
          <w:color w:val="auto"/>
        </w:rPr>
      </w:pPr>
    </w:p>
    <w:p>
      <w:pPr>
        <w:ind w:left="1020" w:right="20" w:hanging="434"/>
        <w:spacing w:after="0" w:line="279" w:lineRule="auto"/>
        <w:tabs>
          <w:tab w:leader="none" w:pos="10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a limited commercialization history and have incurred significant losses since our inception, and we anticipate that we will continue to incur substantial losses for the foreseeable future. We transitioned to be primarily a research and development company, which, together with our limited operating history, makes it difficult to evaluate our business and assess our future viability;</w:t>
      </w:r>
    </w:p>
    <w:p>
      <w:pPr>
        <w:spacing w:after="0" w:line="39"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be successful in commercializing our approved products;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patent rights may prove to be an inadequate barrier to competition; and</w:t>
      </w:r>
    </w:p>
    <w:p>
      <w:pPr>
        <w:spacing w:after="0" w:line="78" w:lineRule="exact"/>
        <w:rPr>
          <w:rFonts w:ascii="Times New Roman" w:cs="Times New Roman" w:eastAsia="Times New Roman" w:hAnsi="Times New Roman"/>
          <w:sz w:val="12"/>
          <w:szCs w:val="12"/>
          <w:color w:val="auto"/>
        </w:rPr>
      </w:pPr>
    </w:p>
    <w:p>
      <w:pPr>
        <w:ind w:left="1020" w:right="60" w:hanging="434"/>
        <w:spacing w:after="0" w:line="265" w:lineRule="auto"/>
        <w:tabs>
          <w:tab w:leader="none" w:pos="10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financial condition and capital requirements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primarily a clinical-stage company with no approved products, which makes assessment of our future viability difficult.</w:t>
      </w:r>
    </w:p>
    <w:p>
      <w:pPr>
        <w:spacing w:after="0" w:line="5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We are primarily a clinical-stage company, with a relatively limited operating history and with no approved therapeutic products or revenues from the sale of therapeutic products. As a result, there is limited information for investors to use when assessing our future viability as a company focused primarily on therapeutic products and our potential to successfully develop product candidates, conduct clinical trials, manufacture our products on a commercial scale, obtain regulatory approval and profitably commercialize any approved products.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significantly dependent upon the success of DCCR, our sole therapeutic product candidate.</w:t>
      </w:r>
    </w:p>
    <w:p>
      <w:pPr>
        <w:spacing w:after="0" w:line="82"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We invest a significant portion of our efforts and financial resources in the development of DCCR for the treatment of PWS, a rare complex genetic neurobehavioral/metabolic disease. Our ability to generate product revenues, which may not occur for the foreseeable future, if ever, will depend heavily on the successful development, regulatory approval, and commercialization of DCCR.</w:t>
      </w:r>
    </w:p>
    <w:p>
      <w:pPr>
        <w:spacing w:after="0" w:line="1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40"/>
          </w:cols>
          <w:pgMar w:left="300" w:top="269" w:right="359" w:bottom="1440" w:gutter="0" w:footer="0" w:header="0"/>
        </w:sectPr>
      </w:pPr>
    </w:p>
    <w:bookmarkStart w:id="23" w:name="page24"/>
    <w:bookmarkEnd w:id="23"/>
    <w:p>
      <w:pPr>
        <w:jc w:val="both"/>
        <w:spacing w:after="0" w:line="265" w:lineRule="auto"/>
        <w:rPr>
          <w:sz w:val="20"/>
          <w:szCs w:val="20"/>
          <w:color w:val="auto"/>
        </w:rPr>
      </w:pPr>
      <w:r>
        <w:rPr>
          <w:rFonts w:ascii="Times New Roman" w:cs="Times New Roman" w:eastAsia="Times New Roman" w:hAnsi="Times New Roman"/>
          <w:sz w:val="12"/>
          <w:szCs w:val="12"/>
          <w:color w:val="auto"/>
        </w:rPr>
        <w:t>Any delay or impediment in our ability to obtain regulatory approval to commercialize in any region, or, if approved, obtain coverage and adequate reimbursement from third-parties, including government payors, for DCCR, may cause us to be unable to generate the revenues necessary to continue our research and development pipeline activities, thereby adversely affecting our business and our prospects for future growth. Further, the success of DCCR will depend on a number of factors, including the following:</w:t>
      </w:r>
    </w:p>
    <w:p>
      <w:pPr>
        <w:spacing w:after="0" w:line="47" w:lineRule="exact"/>
        <w:rPr>
          <w:sz w:val="20"/>
          <w:szCs w:val="20"/>
          <w:color w:val="auto"/>
        </w:rPr>
      </w:pPr>
    </w:p>
    <w:p>
      <w:pPr>
        <w:ind w:left="1020" w:hanging="434"/>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a sufficiently broad label that would not unduly restrict patient access;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receipt of marketing approvals for DCCR in the U.S. and E.U.;</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 an infrastructure capable of supporting product sales, marketing, and distribution of DCCR in territories where we pursue commercialization directly;</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commercial manufacturing arrangements with third party manufacturers;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commercial distribution agreements with third party distributors;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launching commercial sales of DCCR, if and when approved, whether alone or in collaboration with others;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acceptance of DCCR, if and when approved, by patients, the medical community, and third-party payers;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regulatory approval pathway that we pursue for DCCR in the United States;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effectively competing with other therapies;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continued acceptable safety profile of DCCR following approval;</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and maintaining patent and trade secret protection and regulatory exclusivity;</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protecting our rights in our intellectual property portfolio; and</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a commercially viable price for our products.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we do not achieve one or more of these factors in a timely manner or at all, we could experience significant delays or an inability to successfully commercialize DCCR, which would materially harm our business.</w:t>
      </w:r>
    </w:p>
    <w:p>
      <w:pPr>
        <w:spacing w:after="0" w:line="11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4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We have incurred significant operating losses since inception and continue to generate losses from operations. At September 30, 2020, we have an accumulated deficit of $179.6 million and our cash and cash equivalents balance was $56.1 million. We may need to raise additional capital, either through debt or equity financings to achieve our business plan objectives, including increased expenses related to additional resources being deployed to manage enrollment of patients and other activities related to our current ongoing clinical trial of DCCR. We believe that we can be successful in obtaining additional capital; however, no assurance can be provided that we will be able to do so. There is no assurance that any funds raised will be sufficient to enable us to attain profitable operations or continue as a going concern. To the extent that we are unsuccessful, we may need to curtail or cease our operations and implement a plan to extend payables or reduce overhead until sufficient additional capital is raised to support further operations. There can be no assurance that such a plan will be successful.</w:t>
      </w:r>
    </w:p>
    <w:p>
      <w:pPr>
        <w:spacing w:after="0" w:line="5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2"/>
          <w:szCs w:val="12"/>
          <w:color w:val="auto"/>
        </w:rPr>
        <w:t>We do not have any material committed external source of funds or other support for our commercialization and development efforts. Until we can generate a sufficient amount of product revenue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Additional financing may not be available to us when we need it, or it may not be available on favorable terms. If we raise additional capital through marketing and distribution arrangements or other collaborations, strategic alliances or licensing arrangements with third parties, we may have to relinquish certain valuable rights to our current and planned products, technologies, future revenue streams or research programs, or grant licenses on terms that may not be favorable to us.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obtain adequate financing when needed, we may have to delay, reduce the scope of, or suspend one or more of our clinical studies or research and development programs or our commercialization efforts.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5" w:right="319" w:bottom="1440" w:gutter="0" w:footer="0" w:header="0"/>
        </w:sectPr>
      </w:pPr>
    </w:p>
    <w:bookmarkStart w:id="24" w:name="page25"/>
    <w:bookmarkEnd w:id="24"/>
    <w:p>
      <w:pPr>
        <w:ind w:right="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have a limited commercialization history and have incurred significant losses since our inception, and we anticipate that we will continue to incur substantial losses for the foreseeable future. We transitioned to be primarily a research and development company, which, together with our limited operating history, makes it difficult to evaluate our business and assess our future viability.</w:t>
      </w:r>
    </w:p>
    <w:p>
      <w:pPr>
        <w:spacing w:after="0" w:line="3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2"/>
          <w:szCs w:val="12"/>
          <w:color w:val="auto"/>
        </w:rPr>
        <w:t>We are a developer of therapeutics with a limited commercialization history. Evaluating our performance, viability or future success will be more difficult than if we had a longer operating history or approved products for sale on the market. We continue to incur significant research and development and general and administrative expenses related to our operations. Investment in product development is highly speculative, because it entails substantial upfront capital expenditures and significant risk that any planned product will fail to demonstrate adequate accuracy or clinical utility.</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We expect that our future financial results will depend primarily on our success in developing, launching, selling and supporting our products. This will require us to be successful in a range of activities, including clinical trials, manufacturing, marketing and selling our products. We are only in the preliminary stages of some of these activities. We may not succeed in these activities and may never generate revenue that is 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currently have generated limited product revenue and may never become profitable.</w:t>
      </w:r>
    </w:p>
    <w:p>
      <w:pPr>
        <w:spacing w:after="0" w:line="8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To date, we have not generated significant revenues to achieve profitability. Our ability to generate significant revenue from product sales and achieve profitability will depend upon our ability, alone or with any future collaborators, to successfully commercialize products that we may develop, in-license or acquire in the future. Our ability to generate revenue from product sales from planned products also depends on a number of additional factors, including our ability to:</w:t>
      </w:r>
    </w:p>
    <w:p>
      <w:pPr>
        <w:spacing w:after="0" w:line="47" w:lineRule="exact"/>
        <w:rPr>
          <w:sz w:val="20"/>
          <w:szCs w:val="20"/>
          <w:color w:val="auto"/>
        </w:rPr>
      </w:pPr>
    </w:p>
    <w:p>
      <w:pPr>
        <w:ind w:left="1020" w:hanging="434"/>
        <w:spacing w:after="0"/>
        <w:tabs>
          <w:tab w:leader="none" w:pos="10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 a commercial organization capable of sales, marketing and distribution of any products for which we obtain marketing approval in markets where we intend to commercialize independently;</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achieve market acceptance of our current and future products, if any;</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set a commercially viable price for our current and future products, if any;</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 and maintain supply and manufacturing relationships with reliable third parties, and ensure adequate and legally compliant manufacturing to maintain that supply;</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coverage and adequate reimbursement from third-party payors, including government and private payors;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find suitable global and U.S. distribution partners to help us market, sell and distribute our products in other markets;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complete and submit applications to, and obtain regulatory approval from, foreign regulatory authorities;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complete development activities successfully and on a timely basis;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 maintain and protect our intellectual property rights and avoid third-party patent interference or patent infringement claims; and</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attract, hire and retain qualified personnel.</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when or if we will be able to achieve or maintain profitability. In addition, our expenses could increase beyond expectations if we decide, or are required by the FDA or foreign regulatory authorities, to perform studies or clinical trials in addition to those that we currently anticipate.</w:t>
      </w:r>
    </w:p>
    <w:p>
      <w:pPr>
        <w:spacing w:after="0" w:line="119"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Even if we are able to generate significant revenue from the sale of any of our products that may be approved or commercialized,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operating results may fluctuate significantly, which makes our future operating results difficult to predict and could cause our operating results to fall below expectations or below our guidance.</w:t>
      </w:r>
    </w:p>
    <w:p>
      <w:pPr>
        <w:spacing w:after="0" w:line="82"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2"/>
          <w:szCs w:val="12"/>
          <w:color w:val="auto"/>
        </w:rPr>
        <w:t>Our quarterly and annual operating results may fluctuate significantly in the future, which makes it difficult for us to predict our future operating results. From time to time, we may enter into collaboration agreements with other companies that include development</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341" w:right="339" w:bottom="1440" w:gutter="0" w:footer="0" w:header="0"/>
        </w:sectPr>
      </w:pPr>
    </w:p>
    <w:bookmarkStart w:id="25" w:name="page26"/>
    <w:bookmarkEnd w:id="25"/>
    <w:p>
      <w:pPr>
        <w:spacing w:after="0" w:line="256" w:lineRule="auto"/>
        <w:rPr>
          <w:sz w:val="20"/>
          <w:szCs w:val="20"/>
          <w:color w:val="auto"/>
        </w:rPr>
      </w:pPr>
      <w:r>
        <w:rPr>
          <w:rFonts w:ascii="Times New Roman" w:cs="Times New Roman" w:eastAsia="Times New Roman" w:hAnsi="Times New Roman"/>
          <w:sz w:val="12"/>
          <w:szCs w:val="12"/>
          <w:color w:val="auto"/>
        </w:rPr>
        <w:t>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 In addition, we measure compensation cost for stock-based awards made to employees at the grant date of the award, based on the fair value of the award as determined by our Board,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Furthermore, our operating results may fluctuate due to a variety of other factors, many of which are outside of our control and may be difficult to predict, including the following:</w:t>
      </w:r>
    </w:p>
    <w:p>
      <w:pPr>
        <w:spacing w:after="0" w:line="53" w:lineRule="exact"/>
        <w:rPr>
          <w:sz w:val="20"/>
          <w:szCs w:val="20"/>
          <w:color w:val="auto"/>
        </w:rPr>
      </w:pPr>
    </w:p>
    <w:p>
      <w:pPr>
        <w:ind w:left="1020" w:hanging="434"/>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enroll patients in clinical trials and the timing of enrollment;</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and risk of initiating sales and marketing activities;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and cost of, and level of investment in, research and development activities relating to our planned products, which will change from time to time;</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manufacturing our products may vary depending on FDA and other regulatory requirements, the quantity of production and the terms of our agreements with manufacturers;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expenditures that we will or may incur to acquire or develop additional planned products and technologies;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design, timing and outcomes of clinical studies;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competitive landscape of our industry, including consolidation among our competitors or potential partners;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delays in regulatory review or approval in the U.S. or globally, of any of our planned products;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level of demand for our products may fluctuate significantly and be difficult to predict;</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risk/benefit profile, cost and reimbursement policies with respect to our future products, if approved, and existing and potential future drugs that compete with our planned products;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competition from existing and potential future offerings that compete with our products;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commercialize our products inside and outside of the U.S., either independently or working with third parties;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establish and maintain collaborations, licensing or other arrangements;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adequately support future growth;</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unforeseen business disruptions that increase our costs or expenses;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future accounting pronouncements or changes in our accounting policies; and</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changing and volatile global economic environment.</w:t>
      </w:r>
    </w:p>
    <w:p>
      <w:pPr>
        <w:spacing w:after="0" w:line="78"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1"/>
          <w:szCs w:val="11"/>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engage in strategic transactions that could impact our liquidity, increase our expenses and present significant distractions to our management.</w:t>
      </w:r>
    </w:p>
    <w:p>
      <w:pPr>
        <w:spacing w:after="0" w:line="8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5" w:right="319" w:bottom="1440" w:gutter="0" w:footer="0" w:header="0"/>
        </w:sectPr>
      </w:pPr>
    </w:p>
    <w:bookmarkStart w:id="26" w:name="page27"/>
    <w:bookmarkEnd w:id="26"/>
    <w:p>
      <w:pPr>
        <w:ind w:left="1020" w:hanging="434"/>
        <w:spacing w:after="0"/>
        <w:tabs>
          <w:tab w:leader="none" w:pos="10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exposure to unknown and contingent liabilities;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 of our business and diversion of our management’s time and attention in order to develop acquired products, product candidates or technologies;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incurrence of substantial debt or dilutive issuances of equity securities to pay for acquisitions;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higher than expected acquisition and integration costs;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and likelihood of payment of milestones or royalties;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write-downs of assets or goodwill or impairment charges;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operating expenditures, including additional research, development and sales and marketing expenses;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amortization expenses;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difficulty and cost in combining the operations and personnel of any acquired businesses with our operations and personnel; and</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impairment of relationships with key suppliers or customers of any acquired businesses due to changes in management and ownership.</w:t>
      </w:r>
    </w:p>
    <w:p>
      <w:pPr>
        <w:spacing w:after="0" w:line="78"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enter into strategic transactions on a timely basis or on acceptable terms, which may impact our development and commercialization plans.</w:t>
      </w:r>
    </w:p>
    <w:p>
      <w:pPr>
        <w:spacing w:after="0" w:line="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We have relied, and expect to continue to rely, on strategic transactions, which include in-licensing, out-licensing, purchases and sales of assets, and other ventures. The terms of any additional strategic transaction that we may enter into may 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product revenue. Furthermore, there is no assurance that any such transaction will be successful or that we will derive an economic benefit as a result.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the development and commercialization of our products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be successful in commercializing our approved products</w:t>
      </w:r>
    </w:p>
    <w:p>
      <w:pPr>
        <w:spacing w:after="0" w:line="8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Commercialization of products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or the removal of our approved products from the marketplace by regulatory authorities.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execute our sales and marketing strategy for our products, and are unable to gain acceptance in the market, we may be unable to generate sufficient revenue to sustain our business.</w:t>
      </w:r>
    </w:p>
    <w:p>
      <w:pPr>
        <w:spacing w:after="0" w:line="8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2"/>
          <w:szCs w:val="12"/>
          <w:color w:val="auto"/>
        </w:rPr>
        <w:t>Although we believe that DCCR and our other planned products represent promising commercial opportunities, our products may never gain significant acceptance in the marketplace and therefore may never generate substantial revenue or profits for us. We will need to establish a market for DCCR globally and build these markets through physician education, awareness programs, and other marketing efforts. Gaining acceptance in medical communities depends on a variety of factors, including clinical data published or reported in reputable contexts and word-of-mouth between physicians. The process of publication in leading medical journals is subject to a peer review process and peer reviewers may not consider the results of our studies sufficiently novel or worthy of publication. Failure to have our studies published in peer-reviewed journals may limit the adoption of our products. Our ability to successfully market our products will depend on numerous factors, including:</w:t>
      </w:r>
    </w:p>
    <w:p>
      <w:pPr>
        <w:spacing w:after="0" w:line="53" w:lineRule="exact"/>
        <w:rPr>
          <w:sz w:val="20"/>
          <w:szCs w:val="20"/>
          <w:color w:val="auto"/>
        </w:rPr>
      </w:pPr>
    </w:p>
    <w:p>
      <w:pPr>
        <w:ind w:left="1020" w:hanging="434"/>
        <w:spacing w:after="0"/>
        <w:tabs>
          <w:tab w:leader="none" w:pos="10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outcomes of clinical utility studies of such products in collaboration with key thought leaders to demonstrate our products’ value in informing important medical decisions such as treatment selection;</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 of our distribution partners;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5" w:right="319" w:bottom="1440" w:gutter="0" w:footer="0" w:header="0"/>
        </w:sectPr>
      </w:pPr>
    </w:p>
    <w:bookmarkStart w:id="27" w:name="page28"/>
    <w:bookmarkEnd w:id="27"/>
    <w:p>
      <w:pPr>
        <w:ind w:left="1020" w:hanging="434"/>
        <w:spacing w:after="0"/>
        <w:tabs>
          <w:tab w:leader="none" w:pos="10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healthcare providers believe such tests provide clinical utility;</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the medical community accepts that such tests are sufficiently sensitive and specific to be meaningful in-patient care and treatment decisions; and</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hospital administrators, health insurers, government health programs and other payers will cover and pay for such tests and, if so, whether they will adequately reimburse us.</w:t>
      </w:r>
    </w:p>
    <w:p>
      <w:pPr>
        <w:spacing w:after="0" w:line="78" w:lineRule="exact"/>
        <w:rPr>
          <w:sz w:val="20"/>
          <w:szCs w:val="20"/>
          <w:color w:val="auto"/>
        </w:rPr>
      </w:pPr>
    </w:p>
    <w:p>
      <w:pPr>
        <w:jc w:val="both"/>
        <w:ind w:right="80"/>
        <w:spacing w:after="0" w:line="279" w:lineRule="auto"/>
        <w:rPr>
          <w:sz w:val="20"/>
          <w:szCs w:val="20"/>
          <w:color w:val="auto"/>
        </w:rPr>
      </w:pPr>
      <w:r>
        <w:rPr>
          <w:rFonts w:ascii="Times New Roman" w:cs="Times New Roman" w:eastAsia="Times New Roman" w:hAnsi="Times New Roman"/>
          <w:sz w:val="12"/>
          <w:szCs w:val="12"/>
          <w:color w:val="auto"/>
        </w:rPr>
        <w:t>We are relying, or will rely, on third parties with whom we are directly engaged with, but who we do not control, to distribute and sell our products. If these distributors are not committed to our products or otherwise run into their own financial or other difficulties, it may result in failure to achieve widespread market acceptance of our products, and would materially harm our business, financial condition and results of operations.</w:t>
      </w:r>
    </w:p>
    <w:p>
      <w:pPr>
        <w:spacing w:after="0" w:line="71"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are unable to implement our sales, marketing, distribution, training and support strategies or enter into agreements with third parties to perform these functions in markets outside of the U.S. and E.U., we will not be able to effectively commercialize DCCR and may not reach profitability.</w:t>
      </w:r>
    </w:p>
    <w:p>
      <w:pPr>
        <w:spacing w:after="0" w:line="35"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We do not have a sales or marketing infrastructure and have no experience in the sale, marketing or distribution of therapeutic products. To achieve commercial success for DCCR, if and when we obtain marketing approval, we will need to establish a sales and marketing organization.</w:t>
      </w:r>
    </w:p>
    <w:p>
      <w:pPr>
        <w:spacing w:after="0" w:line="39"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2"/>
          <w:szCs w:val="12"/>
          <w:color w:val="auto"/>
        </w:rPr>
        <w:t>In the future, we expect to build a targeted sales, marketing, training and support infrastructure to market DCCR in the U.S. and E.U. and to opportunistically establish collaborations to market, distribute and support DCCR outside of the U.S. and E.U. There are risks involved with establishing our own sales, marketing, distribution, training and support capabilities. For example, recruiting and training sales and marketing personnel is expensive and time consuming and could delay any product launch. If the commercial launch of DCCR is delayed or does not occur for any reason, we would have prematurely or unnecessarily incurred these commercialization expenses. This may be costly, and our investment would be lost if we cannot retain or reposition our sales, marketing, training and support personnel.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Factors that may inhibit our efforts to commercialize DCCR on our own include:</w:t>
      </w:r>
    </w:p>
    <w:p>
      <w:pPr>
        <w:spacing w:after="0" w:line="78" w:lineRule="exact"/>
        <w:rPr>
          <w:sz w:val="20"/>
          <w:szCs w:val="20"/>
          <w:color w:val="auto"/>
        </w:rPr>
      </w:pPr>
    </w:p>
    <w:p>
      <w:pPr>
        <w:ind w:left="1020" w:hanging="434"/>
        <w:spacing w:after="0"/>
        <w:tabs>
          <w:tab w:leader="none" w:pos="10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inability to recruit, train and retain adequate numbers of effective sales and marketing personnel;</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of sales personnel to obtain access to or persuade adequate numbers of physicians to prescribe DCCR or any future products;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lack of complementary products to be offered by sales personnel, which may put us at a competitive disadvantage relative to companies with more extensive product lines;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unforeseen costs and expenses associated with creating an independent sales and marketing organization; and</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efforts by our competitors to commercialize products at or about the time when our product candidates would be coming to market.</w:t>
      </w:r>
    </w:p>
    <w:p>
      <w:pPr>
        <w:spacing w:after="0" w:line="7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2"/>
          <w:szCs w:val="12"/>
          <w:color w:val="auto"/>
        </w:rPr>
        <w:t>If we are unable to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DCCR ourselves. In addition, we may not be successful in entering into arrangements with third parties to sell, market and distribute DCCR or may be unable to do so on terms that are favorable to us. We likely will have little control over such third parties, and any of them may fail to devote the necessary resources and attention to commercialize DCCR effectively. If we do not establish sales, marketing, distribution, training and support capabilities successfully, either on our own or in collaboration with third parties, we will not be successful in commercializing DCCR and achieving profitability, and our business would be harmed.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physicians decide not to order our products in significant numbers, we may be unable to generate sufficient revenue to sustain our business.</w:t>
      </w:r>
    </w:p>
    <w:p>
      <w:pPr>
        <w:spacing w:after="0" w:line="8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To generate demand for our current and planned products, we will need to educate physicians and other health care professionals on the clinical utility, benefits and value of the tests we provide through published papers, presentations at scientific conferences, educational programs and one-on-one education sessions by members of our sales force. In addition, we will need support of hospital administrators that the clinical and economic utility of our products justifies payment for the device and consumables at adequate pricing levels. We need to hire additional commercial, scientific, technical and other personnel to support this process.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our products do not continue to perform as expected, our operating results, reputation and business will suffer.</w:t>
      </w:r>
    </w:p>
    <w:p>
      <w:pPr>
        <w:spacing w:after="0" w:line="8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Our success depends on the market’s confidence that our products can provide reliable, high-quality results or treatments. We believe that our customers are likely to be particularly sensitive to any test defects and errors in our products, and prior products made by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45" w:right="299" w:bottom="1440" w:gutter="0" w:footer="0" w:header="0"/>
        </w:sectPr>
      </w:pPr>
    </w:p>
    <w:bookmarkStart w:id="28" w:name="page29"/>
    <w:bookmarkEnd w:id="28"/>
    <w:p>
      <w:pPr>
        <w:ind w:right="260"/>
        <w:spacing w:after="0" w:line="279" w:lineRule="auto"/>
        <w:rPr>
          <w:sz w:val="20"/>
          <w:szCs w:val="20"/>
          <w:color w:val="auto"/>
        </w:rPr>
      </w:pPr>
      <w:r>
        <w:rPr>
          <w:rFonts w:ascii="Times New Roman" w:cs="Times New Roman" w:eastAsia="Times New Roman" w:hAnsi="Times New Roman"/>
          <w:sz w:val="12"/>
          <w:szCs w:val="12"/>
          <w:color w:val="auto"/>
        </w:rPr>
        <w:t>other companies for the same diagnostic purpose have failed in the marketplace, in part as a result of poor accuracy. As a result, the failure of our current and planned products to perform as expected would significantly impair our reputation and the clinical usefulness of such tests. Reduced sales might result, and we may also be subject to legal claims arising from any defects or errors.</w:t>
      </w:r>
    </w:p>
    <w:p>
      <w:pPr>
        <w:spacing w:after="0" w:line="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3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Before obtaining regulatory approval for the sale of any planned product we must conduct extensive clinical studies to demonstrate the safety and effectiveness of our planned products in humans. Clinical studies are expensive, difficult to design and implement, can take many years to complete and are uncertain as to outcome. A failure of one or more of our clinical studies could occur at any stage of testing.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Numerous unforeseen events during, or as a result of, clinical studies could occur, which would delay or prevent our ability to receive regulatory approval or commercialize any of our planned products, including the following:</w:t>
      </w:r>
    </w:p>
    <w:p>
      <w:pPr>
        <w:spacing w:after="0" w:line="78" w:lineRule="exact"/>
        <w:rPr>
          <w:sz w:val="20"/>
          <w:szCs w:val="20"/>
          <w:color w:val="auto"/>
        </w:rPr>
      </w:pPr>
    </w:p>
    <w:p>
      <w:pPr>
        <w:ind w:left="1020" w:hanging="434"/>
        <w:spacing w:after="0"/>
        <w:tabs>
          <w:tab w:leader="none" w:pos="10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clinical studies may produce negative or inconclusive results, and we may decide, or regulators may require us, to conduct additional clinical studies or abandon product development programs;</w:t>
      </w:r>
    </w:p>
    <w:p>
      <w:pPr>
        <w:spacing w:after="0" w:line="78" w:lineRule="exact"/>
        <w:rPr>
          <w:rFonts w:ascii="Times New Roman" w:cs="Times New Roman" w:eastAsia="Times New Roman" w:hAnsi="Times New Roman"/>
          <w:sz w:val="12"/>
          <w:szCs w:val="12"/>
          <w:color w:val="auto"/>
        </w:rPr>
      </w:pPr>
    </w:p>
    <w:p>
      <w:pPr>
        <w:ind w:left="1020" w:right="140" w:hanging="434"/>
        <w:spacing w:after="0" w:line="279" w:lineRule="auto"/>
        <w:tabs>
          <w:tab w:leader="none" w:pos="10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patients required for clinical studies may be larger than we anticipate, enrollment in these clinical studies may be insufficient or slower than we anticipate, or patients may drop out of these clinical studies at a higher rate than we anticipate;</w:t>
      </w:r>
    </w:p>
    <w:p>
      <w:pPr>
        <w:spacing w:after="0" w:line="39"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clinical studies or the manufacturing of our planned products may be greater than we anticipate;</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third-party contractors may fail to comply with regulatory requirements or meet their contractual obligations to us in a timely manner, or at all;</w:t>
      </w:r>
    </w:p>
    <w:p>
      <w:pPr>
        <w:spacing w:after="0" w:line="78" w:lineRule="exact"/>
        <w:rPr>
          <w:rFonts w:ascii="Times New Roman" w:cs="Times New Roman" w:eastAsia="Times New Roman" w:hAnsi="Times New Roman"/>
          <w:sz w:val="12"/>
          <w:szCs w:val="12"/>
          <w:color w:val="auto"/>
        </w:rPr>
      </w:pPr>
    </w:p>
    <w:p>
      <w:pPr>
        <w:ind w:left="1020" w:right="440" w:hanging="434"/>
        <w:spacing w:after="0" w:line="279" w:lineRule="auto"/>
        <w:tabs>
          <w:tab w:leader="none" w:pos="10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might have to suspend or terminate clinical studies of our planned products for various reasons, including a finding that our planned products have unanticipated serious side effects or other unexpected characteristics or that the patients are being exposed to unacceptable health risks;</w:t>
      </w:r>
    </w:p>
    <w:p>
      <w:pPr>
        <w:spacing w:after="0" w:line="39"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regulators may not approve our proposed clinical development plans;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regulators or independent institutional review boards, or IRBs, may not authorize us or our investigators to commence a clinical study or conduct a clinical study at a prospective study site;</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regulators or IRBs may require that we or our investigators suspend or terminate clinical research for various reasons, including noncompliance with regulatory requirements; and</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supply or quality of our planned products or other materials necessary to conduct clinical studies of our planned products may be insufficient or inadequate.</w:t>
      </w:r>
    </w:p>
    <w:p>
      <w:pPr>
        <w:spacing w:after="0" w:line="78"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If we or any future collaboration partners are required to conduct additional clinical trials or other testing of any planned products beyond those that we contemplate, if those clinical studies or other testing cannot be successfully completed, if the results of these studies or tests are not positive or are only modestly positive or if there are safety concerns, we may:</w:t>
      </w:r>
    </w:p>
    <w:p>
      <w:pPr>
        <w:spacing w:after="0" w:line="39" w:lineRule="exact"/>
        <w:rPr>
          <w:sz w:val="20"/>
          <w:szCs w:val="20"/>
          <w:color w:val="auto"/>
        </w:rPr>
      </w:pPr>
    </w:p>
    <w:p>
      <w:pPr>
        <w:ind w:left="1020" w:hanging="434"/>
        <w:spacing w:after="0"/>
        <w:tabs>
          <w:tab w:leader="none" w:pos="10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delayed in obtaining marketing approval for our planned products;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obtain marketing approval at all;</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approval for indications that are not as broad as intended;</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the product removed from the market after obtaining marketing approval;</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subject to additional post-marketing testing requirements; or</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subject to restrictions on how the product is distributed or used.</w:t>
      </w:r>
    </w:p>
    <w:p>
      <w:pPr>
        <w:spacing w:after="0" w:line="7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Our product development costs will also increase if we experience delays in testing or approvals. We do not know whether any clinical studies will begin as planned, will need to be restructured or will be completed on schedule, or at all. Significant clinical study delays also could shorten any periods during which we may have the exclusive right to commercialize our planned products or allow our competitors to bring products to market before we do, which would impair our ability to commercialize our planned products and harm our business and results of operations.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fail to obtain regulatory approval for DCCR in the U.S. and E.U., our business would be harmed.</w:t>
      </w:r>
    </w:p>
    <w:p>
      <w:pPr>
        <w:spacing w:after="0" w:line="82"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We are required to obtain regulatory approval for each indication we are seeking before we can market and sell DCCR in a particular jurisdiction, for such indication. Our ability to obtain regulatory approval of DCCR depends on, among other things, successful</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345" w:right="339" w:bottom="1440" w:gutter="0" w:footer="0" w:header="0"/>
        </w:sectPr>
      </w:pPr>
    </w:p>
    <w:bookmarkStart w:id="29" w:name="page30"/>
    <w:bookmarkEnd w:id="29"/>
    <w:p>
      <w:pPr>
        <w:ind w:right="20"/>
        <w:spacing w:after="0" w:line="260" w:lineRule="auto"/>
        <w:rPr>
          <w:sz w:val="20"/>
          <w:szCs w:val="20"/>
          <w:color w:val="auto"/>
        </w:rPr>
      </w:pPr>
      <w:r>
        <w:rPr>
          <w:rFonts w:ascii="Times New Roman" w:cs="Times New Roman" w:eastAsia="Times New Roman" w:hAnsi="Times New Roman"/>
          <w:sz w:val="12"/>
          <w:szCs w:val="12"/>
          <w:color w:val="auto"/>
        </w:rPr>
        <w:t>completion of clinical trials by demonstrating efficacy with statistical significance and clinical meaning, and safety in humans. The results of our current and future clinical trials may not meet the FDA, the European Medicines Agency, or EMA, or other regulatory agencies’ requirements to approve DCCR for marketing under any specific indication, and these regulatory agencies may otherwise determine that our third parties’ manufacturing processes, validation, and/ or facilities are insufficient to support approval. As such, we may need to conduct more clinical trials than we currently anticipate and upgrade the manufacturing processes and facilities, which may require significant additional time and expense, and may delay or prevent approval. If we fail to obtain regulatory approval in a timely manner, our commercialization of DCCR would be delayed and our business would be harmed.</w:t>
      </w:r>
    </w:p>
    <w:p>
      <w:pPr>
        <w:spacing w:after="0" w:line="8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DCCR or other potential product candidates.</w:t>
      </w:r>
    </w:p>
    <w:p>
      <w:pPr>
        <w:spacing w:after="0" w:line="3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Clinical testing is expensive and can take many years to complete, and its outcome is inherently uncertain. A failure of one or more of our clinical trials can occur at any time during the clinical trial process. The results of preclinical studies and early clinical trials of our product candidates may not be predictive of the results of later stage clinical trials. There is a high failure rate for drugs proceeding through clinical trials, and product candidates in later stages of clinical trials may fail to show the required safety and efficacy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clinical trials, and we cannot be certain that we will not face similar setbacks. Even if our clinical trials are completed, the results may not be sufficient to obtain regulatory approval for our product candidates.</w:t>
      </w:r>
    </w:p>
    <w:p>
      <w:pPr>
        <w:spacing w:after="0" w:line="5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We may experience delays in our clinical trials. We do not know whether future clinical trials, if any, will begin on time, need to be redesigned, enroll an adequate number of patients in a timely manner or be completed on schedule, if at all. Clinical trials can be delayed, suspended or terminated for a variety of reasons, including failure to:</w:t>
      </w:r>
    </w:p>
    <w:p>
      <w:pPr>
        <w:spacing w:after="0" w:line="39" w:lineRule="exact"/>
        <w:rPr>
          <w:sz w:val="20"/>
          <w:szCs w:val="20"/>
          <w:color w:val="auto"/>
        </w:rPr>
      </w:pPr>
    </w:p>
    <w:p>
      <w:pPr>
        <w:ind w:left="1020" w:hanging="434"/>
        <w:spacing w:after="0"/>
        <w:tabs>
          <w:tab w:leader="none" w:pos="10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generate sufficient nonclinical, toxicology, or other in vivo or in vitro data, or clinical safety data to support the initiation or continuation of clinical trials;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regulatory approval, or feedback on trial design, to commence a trial;</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identify, recruit and train suitable clinical investigators;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reach agreement on acceptable terms with prospective contract research organizations, or CROs, and clinical trial sites;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and maintain IRB approval at each clinical trial site;</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identify, recruit and enroll suitable patients to participate in a trial;</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a sufficient number of patients complete a trial and/or return for post-treatment follow-up;</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 clinical investigators observe trial protocol or continue to participate in a trial;</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address any patient safety concerns that arise during the course of a trial;</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address any conflicts or compliance with new or existing laws, rule, regulations or guidelines;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a sufficient number of clinical trial sites to conduct the trials;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timely manufacture sufficient quantities of product candidate suitable for use at the stage of clinical development; or</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raise sufficient capital to fund a trial.</w:t>
      </w:r>
    </w:p>
    <w:p>
      <w:pPr>
        <w:spacing w:after="0" w:line="78"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approved for the indications we are investigating or any investigational new drugs or treatment under development for the indications we are investigating.</w:t>
      </w:r>
    </w:p>
    <w:p>
      <w:pPr>
        <w:spacing w:after="0" w:line="4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We could also encounter delays if a clinical trial is suspended or terminated by us, by a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5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If we experience delays in the completion of, or termination of, any clinical trial of our product candidates for any reason, the commercial prospects of our product candidates may be harmed, and our ability to generate product revenues from any of these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45" w:right="299" w:bottom="1440" w:gutter="0" w:footer="0" w:header="0"/>
        </w:sectPr>
      </w:pPr>
    </w:p>
    <w:bookmarkStart w:id="30" w:name="page31"/>
    <w:bookmarkEnd w:id="30"/>
    <w:p>
      <w:pPr>
        <w:ind w:right="80"/>
        <w:spacing w:after="0" w:line="265" w:lineRule="auto"/>
        <w:rPr>
          <w:sz w:val="20"/>
          <w:szCs w:val="20"/>
          <w:color w:val="auto"/>
        </w:rPr>
      </w:pPr>
      <w:r>
        <w:rPr>
          <w:rFonts w:ascii="Times New Roman" w:cs="Times New Roman" w:eastAsia="Times New Roman" w:hAnsi="Times New Roman"/>
          <w:sz w:val="12"/>
          <w:szCs w:val="12"/>
          <w:color w:val="auto"/>
        </w:rPr>
        <w:t>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be unable to obtain regulatory approval for DCCR or other potential product candidates. The denial or delay of any such approval would delay commercialization and have a material adverse effect on our potential to generate revenue, our business and our results of operations.</w:t>
      </w:r>
    </w:p>
    <w:p>
      <w:pPr>
        <w:spacing w:after="0" w:line="3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2"/>
          <w:szCs w:val="12"/>
          <w:color w:val="auto"/>
        </w:rPr>
        <w:t>The research, development, testing, manufacturing, labeling, packaging, approval, promotion, advertising, storage, record keeping, marketing, distribution, post-approval monitoring and reporting, and export and import of drug products are subject to extensive regulation by the FDA, and by foreign regulatory authorities in other countries. The legislation and regulations differ from country to country. To gain approval to market our product candidates, we must provide development, manufacturing and clinical data that adequately demonstrates the safety and efficacy of the product for the intended indication. We have not yet obtained regulatory approval to market any of our product candidates in the U.S. or any other country. Our business depends upon obtaining these regulatory approvals. The FDA can delay, limit or deny approval of our product candidates for many reasons, including:</w:t>
      </w:r>
    </w:p>
    <w:p>
      <w:pPr>
        <w:spacing w:after="0" w:line="50" w:lineRule="exact"/>
        <w:rPr>
          <w:sz w:val="20"/>
          <w:szCs w:val="20"/>
          <w:color w:val="auto"/>
        </w:rPr>
      </w:pPr>
    </w:p>
    <w:p>
      <w:pPr>
        <w:ind w:left="1020" w:hanging="434"/>
        <w:spacing w:after="0"/>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inability to satisfactorily demonstrate that the product candidates are safe and effective for the requested indication;</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FDA’s disagreement with our trial protocol or the interpretation of data from preclinical studies or clinical trials;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population studied in the clinical trial may not be sufficiently broad or representative to assess safety in the full population for which we seek approval;</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inability to demonstrate that clinical or other benefits of our product candidates outweigh any safety or other perceived risks;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FDA’s determination that additional preclinical or clinical trials are required;</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FDA’s non-approval of the formulation, labeling or the specifications of our product candidates;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FDA’s failure to accept the manufacturing processes or facilities of third-party manufacturers with which we contract; or</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potential for approval policies or regulations of the FDA to significantly change in a manner rendering our clinical data insufficient for approval.</w:t>
      </w:r>
    </w:p>
    <w:p>
      <w:pPr>
        <w:spacing w:after="0" w:line="15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Even if we eventually complete clinical testing and receive approval of any regulatory filing for our product candidates, the FDA may grant approval contingent on the performance of costly additional post-approval clinical trials.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materially adversely impact our business, results of operations and prospects.</w:t>
      </w:r>
    </w:p>
    <w:p>
      <w:pPr>
        <w:spacing w:after="0" w:line="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Even if any planned products receive regulatory approval, these products may fail to achieve the degree of market acceptance by physicians, patients, caregivers, healthcare payors and others in the medical community necessary for commercial success.</w:t>
      </w:r>
    </w:p>
    <w:p>
      <w:pPr>
        <w:spacing w:after="0" w:line="35"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2"/>
          <w:szCs w:val="12"/>
          <w:color w:val="auto"/>
        </w:rPr>
        <w:t>If any planned products receive regulatory approval from the FDA or other regulatory agencies in jurisdictions in which they are not currently approved, they may nonetheless fail to gain sufficient market acceptance by physicians, hospital administrators, patients, healthcare payors and others in the medical community. The degree of market acceptance of our planned products, if approved for commercial sale, will depend on a number of factors, including the following:</w:t>
      </w:r>
    </w:p>
    <w:p>
      <w:pPr>
        <w:spacing w:after="0" w:line="47" w:lineRule="exact"/>
        <w:rPr>
          <w:sz w:val="20"/>
          <w:szCs w:val="20"/>
          <w:color w:val="auto"/>
        </w:rPr>
      </w:pPr>
    </w:p>
    <w:p>
      <w:pPr>
        <w:ind w:left="1020" w:hanging="434"/>
        <w:spacing w:after="0"/>
        <w:tabs>
          <w:tab w:leader="none" w:pos="10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prevalence and severity of any side effects;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their effectiveness and potential advantages compared to alternative treatments;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price we charge for our planned products;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willingness of physicians to change their current treatment practices;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convenience and ease of administration compared to alternative treatments;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willingness of the target patient population to try new therapies and of physicians to prescribe these therapies;</w:t>
      </w:r>
    </w:p>
    <w:p>
      <w:pPr>
        <w:spacing w:after="0" w:line="1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00"/>
          </w:cols>
          <w:pgMar w:left="300" w:top="345" w:right="399" w:bottom="1440" w:gutter="0" w:footer="0" w:header="0"/>
        </w:sectPr>
      </w:pPr>
    </w:p>
    <w:bookmarkStart w:id="31" w:name="page32"/>
    <w:bookmarkEnd w:id="31"/>
    <w:p>
      <w:pPr>
        <w:ind w:left="1020" w:hanging="434"/>
        <w:spacing w:after="0"/>
        <w:tabs>
          <w:tab w:leader="none" w:pos="10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strength or effectiveness of marketing and distribution support or partners; and</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third-party coverage or reimbursement.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the market opportunity for DCCR is smaller than we believe it is, then our revenues may be adversely affected, and our business may suffer.</w:t>
      </w:r>
    </w:p>
    <w:p>
      <w:pPr>
        <w:spacing w:after="0" w:line="8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PWS is a rare disease, and as such, our projections of both the number of people who have this disease, as well as the subset of people with PWS who have the potential to benefit from treatment with our product candidate, are based on estimates.</w:t>
      </w:r>
    </w:p>
    <w:p>
      <w:pPr>
        <w:spacing w:after="0" w:line="3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2"/>
          <w:szCs w:val="12"/>
          <w:color w:val="auto"/>
        </w:rPr>
        <w:t>Currently, most reported estimates of the prevalence of PWS are based on studies of small subsets of the population of specific geographic areas, which are then extrapolated to estimate the prevalence of the diseases in the broader world population. In addition, as new studies are performed the estimated prevalence of these diseases may change. There can be no assurance that the prevalence of PWS in the study populations, particularly in these newer studies, accurately reflects the prevalence of this disease in the broader world population. If our estimates of the prevalence of PWS, or of the number of patients who may benefit from treatment with our product candidates prove to be incorrect, the market opportunities for our product candidate may be smaller than we believe it is, our prospects for generating revenue may be adversely affected and our business may suffer.</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DCCR is currently under development and we have no sales and distribution personnel, and limited marketing capabilities at the present time to commercialize DCCR, if we receive regulatory approval. If we are unable to develop a sales and marketing and distribution capability on our own or through collaborations or other marketing partners, we will not be successful in commercializing our products, or other planned products.</w:t>
      </w:r>
    </w:p>
    <w:p>
      <w:pPr>
        <w:spacing w:after="0" w:line="35"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2"/>
          <w:szCs w:val="12"/>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 If the commercial launch of a planned product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To achieve commercial success for any approved product, we must either develop a sales and marketing infrastructure or outsource these functions to third parties. We also may not be successful entering into arrangements with third parties to sell and market our planned products or may be unable to do so on terms that are favorable to us. We likely will have little control over such third parties, and any of them may fail to devote the necessary resources and attention to sell and market our products effectively and could damage our reputation. If we do not establish sales and marketing capabilities successfully, either on our own or in collaboration with third parties, we will not be successful in commercializing our planned products.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attempt to form partnerships with respect to our products, but we may not be able to do so, which may cause us to alter our development and commercialization plans and may cause us to terminate any such programs.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may form strategic alliances, create joint ventures or collaborations, or enter into licensing agreements with third parties that we believe will more effectively provide resources to develop and commercialize our programs.</w:t>
      </w:r>
    </w:p>
    <w:p>
      <w:pPr>
        <w:spacing w:after="0" w:line="78"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If we attempt to seek appropriate strategic partners, we may face significant competition, and the negotiation process to secure favorable terms is time-consuming and complex. We may not be successful in our efforts to establish such a strategic partnership for any future products and programs on terms that are acceptable to us, or at all.</w:t>
      </w:r>
    </w:p>
    <w:p>
      <w:pPr>
        <w:spacing w:after="0" w:line="3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Any delays in identifying suitable collaborators and entering into agreements to develop or commercialize our future products could negatively impact the development or commercialization of our future products, particularly in geographic regions like the E.U.,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future products or bring them to market, and our business may be materially and adversely affected.</w:t>
      </w:r>
    </w:p>
    <w:p>
      <w:pPr>
        <w:spacing w:after="0" w:line="8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products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35"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The risk of failure of clinical development is high. It is impossible to predict when or if any planned products will prove safe enough to receive regulatory approval. Undesirable side effects caused by any of our products could cause us or regulatory authorities to interrupt, delay or halt clinical trials or could result in a more restrictive label or the delay or denial of regulatory approval by the FDA or other comparable foreign regulatory authority. Additionally, if any of our planned products receives additional marketing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color w:val="auto"/>
        </w:rPr>
        <w:t>approvals, and we or others later identify undesirable side effects caused by such product, a number of potentially significant negative consequences could result, including:</w:t>
      </w:r>
    </w:p>
    <w:p>
      <w:pPr>
        <w:spacing w:after="0" w:line="78" w:lineRule="exact"/>
        <w:rPr>
          <w:sz w:val="20"/>
          <w:szCs w:val="20"/>
          <w:color w:val="auto"/>
        </w:rPr>
      </w:pPr>
    </w:p>
    <w:p>
      <w:pPr>
        <w:ind w:left="1020" w:hanging="434"/>
        <w:spacing w:after="0"/>
        <w:tabs>
          <w:tab w:leader="none" w:pos="10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forced to recall such product and suspend the marketing of such product;</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authorities may withdraw their approvals of such product;</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authorities may require additional warnings on the label that could diminish the usage or otherwise limit the commercial success of such products;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or other regulatory bodies may issue safety alerts, Dear Healthcare Provider letters, press releases or other communications containing warnings about such product;</w:t>
      </w:r>
    </w:p>
    <w:p>
      <w:pPr>
        <w:spacing w:after="0" w:line="78" w:lineRule="exact"/>
        <w:rPr>
          <w:rFonts w:ascii="Times New Roman" w:cs="Times New Roman" w:eastAsia="Times New Roman" w:hAnsi="Times New Roman"/>
          <w:sz w:val="12"/>
          <w:szCs w:val="12"/>
          <w:color w:val="auto"/>
        </w:rPr>
      </w:pPr>
    </w:p>
    <w:p>
      <w:pPr>
        <w:ind w:left="1020" w:right="20" w:hanging="434"/>
        <w:spacing w:after="0" w:line="279" w:lineRule="auto"/>
        <w:tabs>
          <w:tab w:leader="none" w:pos="10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39"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required to change the way the product is administered or conduct additional clinical trials;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could be sued and held liable for harm caused to subjects or patients;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subject to litigation or product liability claims; and</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reputation may suffer.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of these events could prevent us from achieving or maintaining market acceptance of the particular planned product, if approved.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face competition, which may result in others discovering, developing or commercializing products before we do, or more successfully than we do.</w:t>
      </w:r>
    </w:p>
    <w:p>
      <w:pPr>
        <w:spacing w:after="0" w:line="8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Alternatives exist for our products and we will likely face competition with respect to any planned products that we may seek to develop or commercialize in the future, from major pharmaceutical companies, specialty pharmaceutical companies, medical device companies, and biotechnology companies worldwide. These companies may reduce prices for their competing drugs in an effort to gain or retain market share and undermine the value our products might otherwise be able to offer to payers.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w:t>
      </w:r>
    </w:p>
    <w:p>
      <w:pPr>
        <w:spacing w:after="0" w:line="50"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study sites and patient registration for clinical studies, as well as in acquiring technologies complementary to, or necessary for, our programs.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has recently been increased activity in the development of drugs to treat PWS. We are aware of seven other current or proposed clinical trials evaluating PWS therapies.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patent rights may prove to be an inadequate barrier to competition.</w:t>
      </w:r>
    </w:p>
    <w:p>
      <w:pPr>
        <w:spacing w:after="0" w:line="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We are the sole owner of patents and patent applications in the U.S. with claims covering the compounds underlying our primary product candidate, DCCR. Foreign counterparts of these patents and applications have been issued in the E.U., Japan, China, Canada, Australia, India and Hong Kong. However, the lifespan of any one patent is limited, and each of these patents will ultimately expire and we cannot be sure that pending applications will be granted, or that we will discover new inventions which we can successfully patent. Moreover, any of our granted patents may be held invalid by a court of competent jurisdiction, and any of these patents may also be construed narrowly by a court of competent jurisdiction in such a way that it is held to not directly cover DCCR. Furthermore, even if our patents are held to be valid and broadly interpreted, third parties may find legitimate ways to compete with DCCR by inventing around our patent. Finally, the process of obtaining new patents is lengthy and expensive, as is the process for enforcing patent rights against an alleged infringer. Any such litigation could take years, cost large sums of money and pose a significant distraction to management. Indeed, certain jurisdictions outside of the U.S. and E.U., where we hope to initially commercialize DCCR have a history of inconsistent, relatively lax or ineffective enforcement of patent rights. In such jurisdictions, even a valid patent may have limited value. Our failure to effectively prosecute our patents would have a harmful impact on our ability to commercialize DCCR in these jurisdictions.</w:t>
      </w:r>
    </w:p>
    <w:p>
      <w:pPr>
        <w:spacing w:after="0" w:line="8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Even if we are able to engage partners in commercializing our products, they may become subject to unfavorable pricing regulations, third-party reimbursement practices or healthcare reform initiatives, thereby harming our business.</w:t>
      </w:r>
    </w:p>
    <w:p>
      <w:pPr>
        <w:spacing w:after="0" w:line="35"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5" w:right="319" w:bottom="1440" w:gutter="0" w:footer="0" w:header="0"/>
        </w:sectPr>
      </w:pPr>
    </w:p>
    <w:bookmarkStart w:id="33" w:name="page34"/>
    <w:bookmarkEnd w:id="33"/>
    <w:p>
      <w:pPr>
        <w:ind w:right="140"/>
        <w:spacing w:after="0" w:line="265" w:lineRule="auto"/>
        <w:rPr>
          <w:sz w:val="20"/>
          <w:szCs w:val="20"/>
          <w:color w:val="auto"/>
        </w:rPr>
      </w:pPr>
      <w:r>
        <w:rPr>
          <w:rFonts w:ascii="Times New Roman" w:cs="Times New Roman" w:eastAsia="Times New Roman" w:hAnsi="Times New Roman"/>
          <w:sz w:val="12"/>
          <w:szCs w:val="12"/>
          <w:color w:val="auto"/>
        </w:rPr>
        <w:t>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w:t>
      </w:r>
    </w:p>
    <w:p>
      <w:pPr>
        <w:spacing w:after="0" w:line="4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payers, such as private health insurers and health maintenance organizations, decide which medications they will pay for and establish reimbursement levels. A primary trend in the U.S. healthcare industry and elsewhere is cost containment. Government authorities and these third-party payers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any planned product that we successfully develop.</w:t>
      </w:r>
    </w:p>
    <w:p>
      <w:pPr>
        <w:spacing w:after="0" w:line="5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2"/>
          <w:szCs w:val="12"/>
          <w:color w:val="auto"/>
        </w:rPr>
        <w:t>In the U.S.,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payers and by any future relaxation of laws that presently restrict imports of products from countries where they may be sold at lower prices than in the U.S. Third-party payers often rely upon Medicare coverage policy and payment limitations in setting their own reimbursement policies.</w:t>
      </w:r>
    </w:p>
    <w:p>
      <w:pPr>
        <w:spacing w:after="0" w:line="5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Our inability to promptly obtain coverage and profitable payment rates from both government funded and private payers for new products that we develop could have a material adverse effect on our operating results, our ability to raise capital needed to commercialize products and our overall financial condition. In some foreign countries, including major markets in the E.U. and Japan, the pricing of prescription pharmaceuticals is subject to governmental control. In these countries, pricing negotiations with governmental authorities can take nine to twelve months or longer after the receipt of regulatory marketing approval for a product. To obtain reimbursement or pricing approval in some countries, we may be required to conduct a clinical trial that compares the cost-effectiveness of our product to other available therapies. Our business could be materially harmed if reimbursement of our products, if any, is unavailable or limited in scope or amount or if pricing is set at unsatisfactory levels.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Product liability lawsuits against us could cause us to incur substantial liabilities and to limit commercialization of any products that we may develop.</w:t>
      </w:r>
    </w:p>
    <w:p>
      <w:pPr>
        <w:spacing w:after="0" w:line="8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We face an inherent risk of product liability exposure related to the sale of our products. The marketing, sale and use of our products could lead to the filing of product liability claims against us if someone alleges that our tests failed to perform as designed. We may also be subject to liability for a misunderstanding of, or inappropriate reliance upon, the information we provide. If we cannot successfully defend ourselves against claims that our products caused injuries, we may incur substantial liabilities. Regardless of merit or eventual outcome, liability claims may result in:</w:t>
      </w:r>
    </w:p>
    <w:p>
      <w:pPr>
        <w:spacing w:after="0" w:line="47" w:lineRule="exact"/>
        <w:rPr>
          <w:sz w:val="20"/>
          <w:szCs w:val="20"/>
          <w:color w:val="auto"/>
        </w:rPr>
      </w:pPr>
    </w:p>
    <w:p>
      <w:pPr>
        <w:ind w:left="1020" w:hanging="434"/>
        <w:spacing w:after="0"/>
        <w:tabs>
          <w:tab w:leader="none" w:pos="10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decreased demand for any planned products that we may develop;</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injury to our reputation and significant negative media attention;</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withdrawal of patients from clinical studies or cancellation of studies;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costs to defend the related litigation and distraction to our management team;</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substantial monetary awards to patients;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loss of revenue; and</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to commercialize any products that we may develop.</w:t>
      </w:r>
    </w:p>
    <w:p>
      <w:pPr>
        <w:spacing w:after="0" w:line="150"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We currently hold $8.0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45"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b w:val="1"/>
          <w:bCs w:val="1"/>
          <w:i w:val="1"/>
          <w:iCs w:val="1"/>
          <w:color w:val="auto"/>
        </w:rPr>
        <w:t>The loss of key members of our executive management team could adversely affect our business.</w:t>
      </w:r>
    </w:p>
    <w:p>
      <w:pPr>
        <w:spacing w:after="0" w:line="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color w:val="auto"/>
        </w:rPr>
        <w:t>Our success in implementing our business strategy depends largely on the skills, experience and performance of key members of our executive management team and others in key management positions, including Dr. Anish Bhatnagar, our Chief Executive Officer, James Mackaness, our Chief Financial Officer, Neil M. Cowen, our Senior Vice President of Drug Development, Kristen Yen, our Vice President of Clinical Operations, and Patricia Hirano our Vice President of Regulatory Affairs.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officers all have employment agreements; however, the existence of an employment agreement does not guarantee retention of members of our executive management team and we may not be able to retain those individuals for the duration of or beyond the end of their respective terms. We have secured a $1.0 million “key person” life insurance policy on our Chief Executive Officer, Dr. Anish Bhatnagar, but do not otherwise maintain “key person” life insurance on any of our employees.</w:t>
      </w:r>
    </w:p>
    <w:p>
      <w:pPr>
        <w:spacing w:after="0" w:line="54"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82"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2"/>
          <w:szCs w:val="12"/>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businesses, we may not succeed in attracting or retaining the personnel we require to continue and grow our operations.</w:t>
      </w:r>
    </w:p>
    <w:p>
      <w:pPr>
        <w:spacing w:after="0" w:line="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acquire other businesses or form joint ventures or make investments in other companies or technologies that could harm our operating results, dilute our stockholders’ ownership, increase our debt or cause us to incur significant expense.</w:t>
      </w:r>
    </w:p>
    <w:p>
      <w:pPr>
        <w:spacing w:after="0" w:line="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As part of our business strategy, we may pursue acquisitions or licenses of assets or acquisitions of businesses. We also may pursue strategic alliances and joint ventures that leverage our core technology and industry experience to expand our product offerings or sales and distribution resources. Our company has limited experience with acquiring other companies, acquiring or licensing assets or forming strategic alliances and joint ventures.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significant write-offs or the incurrence of debt and contingent liabilities, any of which could have a material adverse effect on our financial condition, results of operations and cash flows. Integration of an acquired company also may disrupt ongoing operations and require management resources that would otherwise focus on developing our existing business. We may experience losses related to investments in other companies, which could have a material negative effect on our results of operations.</w:t>
      </w:r>
    </w:p>
    <w:p>
      <w:pPr>
        <w:spacing w:after="0" w:line="5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We may not identify or complete these transactions in a timely manner, on a cost-effective basis, or at all, and we may not realize the anticipated benefits of any acquisition, license, strategic alliance or joint venture. To finance such a transaction, we may choose to issue shares of our common stock as consideration, which would dilute the ownership of our stockholders. If the price of our common stock is low or volatile, we may not be able to acquire other companies or fund a joint venture project using our stock as consideration. Alternatively, it may be necessary for us to raise additional funds for acquisitions through public or private financings. Additional funds may not be available on terms that are favorable to us, or at all.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International expansion of our business will expose us to business, regulatory, political, operational, financial and economic risks associated with doing business outside of the U.S.</w:t>
      </w:r>
    </w:p>
    <w:p>
      <w:pPr>
        <w:spacing w:after="0" w:line="82"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Our business strategy contemplates international expansion, including partnering with distributors, and introducing our current products and other planned products outside the U.S. Doing business internationally involves a number of risks, including:</w:t>
      </w:r>
    </w:p>
    <w:p>
      <w:pPr>
        <w:spacing w:after="0" w:line="39" w:lineRule="exact"/>
        <w:rPr>
          <w:sz w:val="20"/>
          <w:szCs w:val="20"/>
          <w:color w:val="auto"/>
        </w:rPr>
      </w:pPr>
    </w:p>
    <w:p>
      <w:pPr>
        <w:ind w:left="1020" w:hanging="434"/>
        <w:spacing w:after="0"/>
        <w:tabs>
          <w:tab w:leader="none" w:pos="10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multiple, conflicting and changing laws and regulations such as tax laws, export and import restrictions, employment laws, regulatory requirements and other governmental approvals, permits and licenses;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failure by us or our distributors to obtain regulatory approvals for the sale or use of our current products and our planned future products in various countries;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difficulties in managing foreign operations;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77" w:right="299" w:bottom="1440" w:gutter="0" w:footer="0" w:header="0"/>
        </w:sectPr>
      </w:pPr>
    </w:p>
    <w:bookmarkStart w:id="35" w:name="page36"/>
    <w:bookmarkEnd w:id="35"/>
    <w:p>
      <w:pPr>
        <w:ind w:left="1020" w:hanging="434"/>
        <w:spacing w:after="0"/>
        <w:tabs>
          <w:tab w:leader="none" w:pos="10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complexities associated with managing government payer systems, multiple payer-reimbursement regimes or self-pay systems;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logistics and regulations associated with shipping products, including infrastructure conditions and transportation delays;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limits on our ability to penetrate international markets if our distributors do not execute successfully;</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financial risks, such as longer payment cycles, difficulty enforcing contracts and collecting accounts receivable, and exposure to foreign currency exchange rate fluctuations;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reduced protection for intellectual property rights, or lack of them in certain jurisdictions, forcing more reliance on our trade secrets, if available;</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natural disasters, political and economic instability, including wars, terrorism and political unrest, outbreak of disease, boycotts, curtailment of trade and other business restrictions; and</w:t>
      </w:r>
    </w:p>
    <w:p>
      <w:pPr>
        <w:spacing w:after="0" w:line="78" w:lineRule="exact"/>
        <w:rPr>
          <w:rFonts w:ascii="Times New Roman" w:cs="Times New Roman" w:eastAsia="Times New Roman" w:hAnsi="Times New Roman"/>
          <w:sz w:val="12"/>
          <w:szCs w:val="12"/>
          <w:color w:val="auto"/>
        </w:rPr>
      </w:pPr>
    </w:p>
    <w:p>
      <w:pPr>
        <w:ind w:left="1020" w:right="380" w:hanging="434"/>
        <w:spacing w:after="0" w:line="279" w:lineRule="auto"/>
        <w:tabs>
          <w:tab w:leader="none" w:pos="10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comply with the Foreign Corrupt Practices Act, including its books and records provisions and its anti-bribery provisions, by maintaining accurate information and control over sales activities and distributors’ activities.</w:t>
      </w:r>
    </w:p>
    <w:p>
      <w:pPr>
        <w:spacing w:after="0" w:line="39" w:lineRule="exact"/>
        <w:rPr>
          <w:sz w:val="20"/>
          <w:szCs w:val="20"/>
          <w:color w:val="auto"/>
        </w:rPr>
      </w:pPr>
    </w:p>
    <w:p>
      <w:pPr>
        <w:ind w:right="540"/>
        <w:spacing w:after="0" w:line="434" w:lineRule="auto"/>
        <w:rPr>
          <w:sz w:val="20"/>
          <w:szCs w:val="20"/>
          <w:color w:val="auto"/>
        </w:rPr>
      </w:pPr>
      <w:r>
        <w:rPr>
          <w:rFonts w:ascii="Times New Roman" w:cs="Times New Roman" w:eastAsia="Times New Roman" w:hAnsi="Times New Roman"/>
          <w:sz w:val="12"/>
          <w:szCs w:val="12"/>
          <w:color w:val="auto"/>
        </w:rPr>
        <w:t xml:space="preserve">Any of these risks, if encountered, could significantly harm our future international expansion and operations and, consequently, have a material adverse effect on our financial condition, results of operations and cash flows. </w:t>
      </w:r>
      <w:r>
        <w:rPr>
          <w:rFonts w:ascii="Times New Roman" w:cs="Times New Roman" w:eastAsia="Times New Roman" w:hAnsi="Times New Roman"/>
          <w:sz w:val="12"/>
          <w:szCs w:val="12"/>
          <w:b w:val="1"/>
          <w:bCs w:val="1"/>
          <w:color w:val="auto"/>
        </w:rPr>
        <w:t>Risks related to the operation of our business</w:t>
      </w:r>
    </w:p>
    <w:p>
      <w:pPr>
        <w:spacing w:after="0" w:line="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Any future distribution or commercialization agreements we may enter into for our products may place the development of these products outside our control, may require us to relinquish important rights, or may otherwise be on terms unfavorable to us.</w:t>
      </w:r>
    </w:p>
    <w:p>
      <w:pPr>
        <w:spacing w:after="0" w:line="3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We may enter into additional distribution or commercialization agreements with third parties with respect to our products. Our likely collaborators for any distribution, marketing, licensing or other collaboration arrangements include large and mid-size companies, regional and national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Collaborations involving our products are subject to numerous risks, which may include the following:</w:t>
      </w:r>
    </w:p>
    <w:p>
      <w:pPr>
        <w:spacing w:after="0" w:line="78" w:lineRule="exact"/>
        <w:rPr>
          <w:sz w:val="20"/>
          <w:szCs w:val="20"/>
          <w:color w:val="auto"/>
        </w:rPr>
      </w:pPr>
    </w:p>
    <w:p>
      <w:pPr>
        <w:ind w:left="1020" w:hanging="434"/>
        <w:spacing w:after="0"/>
        <w:tabs>
          <w:tab w:leader="none" w:pos="10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collaborators have significant discretion in determining the efforts and resources that they will apply to any such collaborations;</w:t>
      </w:r>
    </w:p>
    <w:p>
      <w:pPr>
        <w:spacing w:after="0" w:line="78" w:lineRule="exact"/>
        <w:rPr>
          <w:rFonts w:ascii="Times New Roman" w:cs="Times New Roman" w:eastAsia="Times New Roman" w:hAnsi="Times New Roman"/>
          <w:sz w:val="12"/>
          <w:szCs w:val="12"/>
          <w:color w:val="auto"/>
        </w:rPr>
      </w:pPr>
    </w:p>
    <w:p>
      <w:pPr>
        <w:ind w:left="1020" w:right="320" w:hanging="434"/>
        <w:spacing w:after="0" w:line="279" w:lineRule="auto"/>
        <w:tabs>
          <w:tab w:leader="none" w:pos="10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collaborators may not pursue development and commercialization of our products, or may elect not to continue or renew efforts based on clinical study results, changes in their strategic focus for a variety of reasons, potentially including the acquisition of competitive products, availability of funding, and mergers or acquisitions that divert resources or create competing priorities;</w:t>
      </w:r>
    </w:p>
    <w:p>
      <w:pPr>
        <w:spacing w:after="0" w:line="39" w:lineRule="exact"/>
        <w:rPr>
          <w:rFonts w:ascii="Times New Roman" w:cs="Times New Roman" w:eastAsia="Times New Roman" w:hAnsi="Times New Roman"/>
          <w:sz w:val="12"/>
          <w:szCs w:val="12"/>
          <w:color w:val="auto"/>
        </w:rPr>
      </w:pPr>
    </w:p>
    <w:p>
      <w:pPr>
        <w:ind w:left="1020" w:right="320" w:hanging="434"/>
        <w:spacing w:after="0" w:line="279" w:lineRule="auto"/>
        <w:tabs>
          <w:tab w:leader="none" w:pos="10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collaborators may delay clinical studies, provide insufficient funding for a clinical study program, stop a clinical study, abandon a product, repeat or conduct new clinical studies or require a new engineering iteration of a product for clinical testing;</w:t>
      </w:r>
    </w:p>
    <w:p>
      <w:pPr>
        <w:spacing w:after="0" w:line="39"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collaborators could independently develop, or develop with third parties, products that compete directly or indirectly with our products;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collaborator with marketing and distribution rights to one or more products may not commit sufficient resources to their marketing and distribution;</w:t>
      </w:r>
    </w:p>
    <w:p>
      <w:pPr>
        <w:spacing w:after="0" w:line="78" w:lineRule="exact"/>
        <w:rPr>
          <w:rFonts w:ascii="Times New Roman" w:cs="Times New Roman" w:eastAsia="Times New Roman" w:hAnsi="Times New Roman"/>
          <w:sz w:val="12"/>
          <w:szCs w:val="12"/>
          <w:color w:val="auto"/>
        </w:rPr>
      </w:pPr>
    </w:p>
    <w:p>
      <w:pPr>
        <w:ind w:left="1020" w:right="60" w:hanging="434"/>
        <w:spacing w:after="0" w:line="279" w:lineRule="auto"/>
        <w:tabs>
          <w:tab w:leader="none" w:pos="10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39" w:lineRule="exact"/>
        <w:rPr>
          <w:rFonts w:ascii="Times New Roman" w:cs="Times New Roman" w:eastAsia="Times New Roman" w:hAnsi="Times New Roman"/>
          <w:sz w:val="12"/>
          <w:szCs w:val="12"/>
          <w:color w:val="auto"/>
        </w:rPr>
      </w:pPr>
    </w:p>
    <w:p>
      <w:pPr>
        <w:ind w:left="1020" w:right="100" w:hanging="434"/>
        <w:spacing w:after="0" w:line="279" w:lineRule="auto"/>
        <w:tabs>
          <w:tab w:leader="none" w:pos="10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disputes may arise between us and a collaborator that causes the delay or termination of the research, development or commercialization of our products or that results in costly litigation or arbitration that diverts management attention and resources;</w:t>
      </w:r>
    </w:p>
    <w:p>
      <w:pPr>
        <w:spacing w:after="0" w:line="39"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collaborations may be terminated and, if terminated, may result in a need for additional capital to pursue further development or commercialization of the applicable products; and</w:t>
      </w:r>
    </w:p>
    <w:p>
      <w:pPr>
        <w:spacing w:after="0" w:line="78" w:lineRule="exact"/>
        <w:rPr>
          <w:rFonts w:ascii="Times New Roman" w:cs="Times New Roman" w:eastAsia="Times New Roman" w:hAnsi="Times New Roman"/>
          <w:sz w:val="12"/>
          <w:szCs w:val="12"/>
          <w:color w:val="auto"/>
        </w:rPr>
      </w:pPr>
    </w:p>
    <w:p>
      <w:pPr>
        <w:ind w:left="1020" w:right="440" w:hanging="434"/>
        <w:spacing w:after="0" w:line="279" w:lineRule="auto"/>
        <w:tabs>
          <w:tab w:leader="none" w:pos="10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40"/>
          </w:cols>
          <w:pgMar w:left="300" w:top="345"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color w:val="auto"/>
        </w:rPr>
        <w:t>Any termination or disruption of collaborations could result in delays in the development of products, increases in our costs to develop the products or the termination of development of a product.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8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As of September 30, 2020, we had 13 employees and 15 full-time or part-time consultants. Over the next several years, we expect to experience significant growth in the number of our employees and the scope of our operations, particularly in the areas of drug development, quality assurance, engineering, product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w:t>
      </w:r>
    </w:p>
    <w:p>
      <w:pPr>
        <w:spacing w:after="0" w:line="53" w:lineRule="exact"/>
        <w:rPr>
          <w:sz w:val="20"/>
          <w:szCs w:val="20"/>
          <w:color w:val="auto"/>
        </w:rPr>
      </w:pPr>
    </w:p>
    <w:p>
      <w:pPr>
        <w:ind w:left="1020" w:hanging="434"/>
        <w:spacing w:after="0"/>
        <w:tabs>
          <w:tab w:leader="none" w:pos="10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managing our clinical trials effectively, which we anticipate being conducted at numerous clinical sites;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identifying, recruiting, maintaining, motivating and integrating additional employees with the expertise and experience we will require;</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managing our internal development efforts effectively while complying with our contractual obligations to licensors, licensees, contractors and other third parties;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managing additional relationships with various strategic partners, suppliers and other third parties;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improving our managerial, development, operational and finance reporting systems and procedures; and</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expanding our facilities.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failure to accomplish any of these tasks could prevent us from successfully growing. Any inability to manage growth could delay the execution of our business plans or disrupt our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Because we intend to commercialize our products outside the U.S., we will be subject to additional risks.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variety of risks associated with international operations could materially adversely affect our business, including:</w:t>
      </w:r>
    </w:p>
    <w:p>
      <w:pPr>
        <w:spacing w:after="0" w:line="78" w:lineRule="exact"/>
        <w:rPr>
          <w:sz w:val="20"/>
          <w:szCs w:val="20"/>
          <w:color w:val="auto"/>
        </w:rPr>
      </w:pPr>
    </w:p>
    <w:p>
      <w:pPr>
        <w:ind w:left="1020" w:hanging="434"/>
        <w:spacing w:after="0"/>
        <w:tabs>
          <w:tab w:leader="none" w:pos="10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different regulatory requirements for drug approvals in foreign countries;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reduced protection for intellectual property rights;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unexpected changes in tariffs, trade barriers and regulatory requirements;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weakness, including inflation or political instability in particular foreign economies and markets;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tax, employment, immigration and labor laws for employees living or traveling abroad;</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foreign taxes, including withholding of payroll taxes;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foreign currency fluctuations, which could result in increased operating expenses and reduced revenue, and other obligations incident to doing business in another country;</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workforce uncertainty in countries where labor unrest is more common than in the U.S.;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production shortages resulting from any events affecting raw material supply or manufacturing capabilities abroad; and</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business interruptions resulting from geopolitical actions, including war and terrorism, or natural disasters including earthquakes, typhoons, floods and fires.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rely on third parties to conduct certain components of our clinical studies, and those third parties may not perform satisfactorily, including failing to meet deadlines for the completion of such studies.</w:t>
      </w:r>
    </w:p>
    <w:p>
      <w:pPr>
        <w:spacing w:after="0" w:line="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We rely on third parties, such as contract research organizations, or CROs, investigational product packaging, labeling and distribution, laboratories, medical institutions and clinical investigators and staff, to perform various functions for our clinical trials. Our reliance on these third parties for clinical development activities reduces our control over these activities but does not relieve us of our responsibilities. We remain responsible for ensuring that each of our clinical studies is conducted in accordance with the general investigational plan and protocols for the study. Moreover, the FDA requires us and third parties involved in the set-up, conduct, analysis and reporting of the clinical studies to comply with regulations and with standards, commonly referred to as good clinical practices, or GCP, to assure that data and reported results are credible and accurate and that the rights, integrity and confidentiality of</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45" w:right="299" w:bottom="1440" w:gutter="0" w:footer="0" w:header="0"/>
        </w:sectPr>
      </w:pPr>
    </w:p>
    <w:bookmarkStart w:id="37" w:name="page38"/>
    <w:bookmarkEnd w:id="37"/>
    <w:p>
      <w:pPr>
        <w:ind w:right="60"/>
        <w:spacing w:after="0" w:line="265" w:lineRule="auto"/>
        <w:rPr>
          <w:sz w:val="20"/>
          <w:szCs w:val="20"/>
          <w:color w:val="auto"/>
        </w:rPr>
      </w:pPr>
      <w:r>
        <w:rPr>
          <w:rFonts w:ascii="Times New Roman" w:cs="Times New Roman" w:eastAsia="Times New Roman" w:hAnsi="Times New Roman"/>
          <w:sz w:val="12"/>
          <w:szCs w:val="12"/>
          <w:color w:val="auto"/>
        </w:rPr>
        <w:t>patients in clinical studies are protected. Our clinical investigators are also required to comply with GCPs. Furthermore, these third parties may also have relationships with other entities, some of which may be our competitors. If these third parties do not successfully carry out their contractual duties, meet expected deadlines or conduct our clinical studies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use biological and hazardous materials in a manner that causes injury, we could be liable for damages.</w:t>
      </w:r>
    </w:p>
    <w:p>
      <w:pPr>
        <w:spacing w:after="0" w:line="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Our manufacturing processes currently require the controlled use of potentially harmful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intellectual property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8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Patent and other intellectual property litigation is prevalent in our sectors.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products and technology.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and technology.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technologies licensed to us and could require us to pay significant royalties and other fees.</w:t>
      </w:r>
    </w:p>
    <w:p>
      <w:pPr>
        <w:spacing w:after="0" w:line="5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We could be forced, including by court order, to cease commercializing the infringing technology or product. In addition, we could be found liable for monetary damages. A finding of infringement could prevent us from commercializing our planned products or force us to cease some of our business operations, which could materially harm our business. 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These and other claims that we have misappropriated the confidential information or trade secrets of third parties can have a similar negative impact on our business to the infringement claims discussed above.</w:t>
      </w:r>
    </w:p>
    <w:p>
      <w:pPr>
        <w:spacing w:after="0" w:line="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2"/>
          <w:szCs w:val="12"/>
          <w:color w:val="auto"/>
        </w:rPr>
        <w:t>Even if we are successful in defending against intellectual property claims, litigation or other legal proceedings relating to such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w:t>
      </w:r>
    </w:p>
    <w:p>
      <w:pPr>
        <w:spacing w:after="0" w:line="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ability to successfully commercialize our technology and products may be materially adversely affected if we are unable to obtain and maintain effective intellectual property rights for our technologies and planned products, or if the scope of the intellectual property protection is not sufficiently broad.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success depends in large part on our ability to obtain and maintain patent and other intellectual property protection in the U.S. and in other countries with respect to our proprietary technology and products.</w:t>
      </w:r>
    </w:p>
    <w:p>
      <w:pPr>
        <w:spacing w:after="0" w:line="78"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The patent position of pharmaceutical companies generally is highly uncertain and involves complex legal and factual questions for which legal principles remain unresolved. In recent years patent rights have been the subject of significant litigation. As a result, the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45" w:right="299" w:bottom="1440" w:gutter="0" w:footer="0" w:header="0"/>
        </w:sectPr>
      </w:pPr>
    </w:p>
    <w:bookmarkStart w:id="38" w:name="page39"/>
    <w:bookmarkEnd w:id="38"/>
    <w:p>
      <w:pPr>
        <w:ind w:right="80"/>
        <w:spacing w:after="0" w:line="257" w:lineRule="auto"/>
        <w:rPr>
          <w:sz w:val="20"/>
          <w:szCs w:val="20"/>
          <w:color w:val="auto"/>
        </w:rPr>
      </w:pPr>
      <w:r>
        <w:rPr>
          <w:rFonts w:ascii="Times New Roman" w:cs="Times New Roman" w:eastAsia="Times New Roman" w:hAnsi="Times New Roman"/>
          <w:sz w:val="12"/>
          <w:szCs w:val="12"/>
          <w:color w:val="auto"/>
        </w:rPr>
        <w:t>issuance, scope, validity, enforceability and commercial value of the patent rights we rely on are highly uncertain. Pending and future patent applications may not result in patents being issued which protect our technology or products or which effectively prevent others from commercializing competitive technologies and products. Changes in either the patent laws or interpretation of the patent laws in the U.S. and other countries may diminish the value of the patents we rely on or narrow the scope of our patent protection. The laws of foreign countries may not protect our rights to the same extent as the laws of the U.S.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w:t>
      </w:r>
    </w:p>
    <w:p>
      <w:pPr>
        <w:spacing w:after="0" w:line="5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2"/>
          <w:szCs w:val="12"/>
          <w:color w:val="auto"/>
        </w:rPr>
        <w:t>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w:t>
      </w:r>
    </w:p>
    <w:p>
      <w:pPr>
        <w:spacing w:after="0" w:line="5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scope, validity, enforceability, and commercial value of trademark rights are also uncertain. Pending and future trademark applications may not be successful. We do not currently have any trademark applications or registrations for drug name candidates.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become involved in legal proceedings to protect or enforce our intellectual property rights, which could be expensive, time-consuming, or unsuccessful.</w:t>
      </w:r>
    </w:p>
    <w:p>
      <w:pPr>
        <w:spacing w:after="0" w:line="8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Competitors may infringe or otherwise violate the patents we rely on, or our other intellectual property rights including trademarks.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proceeding could put one or more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5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2"/>
          <w:szCs w:val="12"/>
          <w:color w:val="auto"/>
        </w:rPr>
        <w:t>Interference or derivation proceedings provoked by third parties or brought by the U.S. Patent and Trademark Office, or USPTO, or any foreign patent authority may be necessary to determine the priority of inventions or other matters of inventorship with respect to patents and patent applications. We may become involved in proceedings, including oppositions, interferences, derivation proceedings interparty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w:t>
      </w:r>
    </w:p>
    <w:p>
      <w:pPr>
        <w:spacing w:after="0" w:line="5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1"/>
          <w:szCs w:val="11"/>
          <w:color w:val="auto"/>
        </w:rPr>
        <w:t>Even if resolved in our favor, litigation or other legal proceedings relating to intellectual property claims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protect the confidentiality of our trade secrets, the value of our technology could be materially adversely affected, harming our business and competitive position.</w:t>
      </w:r>
    </w:p>
    <w:p>
      <w:pPr>
        <w:spacing w:after="0" w:line="82"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2"/>
          <w:szCs w:val="12"/>
          <w:color w:val="auto"/>
        </w:rPr>
        <w:t>In addition to our patented technology and products, we rely upon confidential proprietary information, including trade secrets, unpatented know-how, technology and other proprietary information, to develop and maintain our competitive position. Any</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345" w:right="339" w:bottom="1440" w:gutter="0" w:footer="0" w:header="0"/>
        </w:sectPr>
      </w:pPr>
    </w:p>
    <w:bookmarkStart w:id="39" w:name="page40"/>
    <w:bookmarkEnd w:id="39"/>
    <w:p>
      <w:pPr>
        <w:spacing w:after="0" w:line="254" w:lineRule="auto"/>
        <w:rPr>
          <w:sz w:val="20"/>
          <w:szCs w:val="20"/>
          <w:color w:val="auto"/>
        </w:rPr>
      </w:pPr>
      <w:r>
        <w:rPr>
          <w:rFonts w:ascii="Times New Roman" w:cs="Times New Roman" w:eastAsia="Times New Roman" w:hAnsi="Times New Roman"/>
          <w:sz w:val="12"/>
          <w:szCs w:val="12"/>
          <w:color w:val="auto"/>
        </w:rPr>
        <w:t>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protect or enforce our intellectual property rights throughout the world.</w:t>
      </w:r>
    </w:p>
    <w:p>
      <w:pPr>
        <w:spacing w:after="0" w:line="8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2"/>
          <w:szCs w:val="12"/>
          <w:color w:val="auto"/>
        </w:rPr>
        <w:t>Filing, prosecuting and defending patents and trademarks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Intellectual property rights do not necessarily address all potential threats to our competitive advantage.</w:t>
      </w:r>
    </w:p>
    <w:p>
      <w:pPr>
        <w:spacing w:after="0" w:line="82" w:lineRule="exact"/>
        <w:rPr>
          <w:sz w:val="20"/>
          <w:szCs w:val="20"/>
          <w:color w:val="auto"/>
        </w:rPr>
      </w:pPr>
    </w:p>
    <w:p>
      <w:pPr>
        <w:ind w:right="460"/>
        <w:spacing w:after="0" w:line="279" w:lineRule="auto"/>
        <w:rPr>
          <w:sz w:val="20"/>
          <w:szCs w:val="20"/>
          <w:color w:val="auto"/>
        </w:rPr>
      </w:pPr>
      <w:r>
        <w:rPr>
          <w:rFonts w:ascii="Times New Roman" w:cs="Times New Roman" w:eastAsia="Times New Roman" w:hAnsi="Times New Roman"/>
          <w:sz w:val="12"/>
          <w:szCs w:val="12"/>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39" w:lineRule="exact"/>
        <w:rPr>
          <w:sz w:val="20"/>
          <w:szCs w:val="20"/>
          <w:color w:val="auto"/>
        </w:rPr>
      </w:pPr>
    </w:p>
    <w:p>
      <w:pPr>
        <w:ind w:left="1020" w:hanging="434"/>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others may be able to make products that are similar to our current and planned products, but that are not covered by claims in our patents;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original filers of our patents that we developed or purchased might not have been the first to make the inventions covered by the claims contained in such patents;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might not have been the first to file patent applications covering an invention;</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others may independently develop similar or alternative technologies or duplicate any of our technologies without infringing our intellectual property rights;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pending patent applications may not lead to issued patents;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issued patents may not provide us with any competitive advantages, or may be held invalid or unenforceable, as a result of legal challenges by our competitors;</w:t>
      </w:r>
    </w:p>
    <w:p>
      <w:pPr>
        <w:spacing w:after="0" w:line="78" w:lineRule="exact"/>
        <w:rPr>
          <w:rFonts w:ascii="Times New Roman" w:cs="Times New Roman" w:eastAsia="Times New Roman" w:hAnsi="Times New Roman"/>
          <w:sz w:val="12"/>
          <w:szCs w:val="12"/>
          <w:color w:val="auto"/>
        </w:rPr>
      </w:pPr>
    </w:p>
    <w:p>
      <w:pPr>
        <w:ind w:left="1020" w:hanging="434"/>
        <w:spacing w:after="0" w:line="279" w:lineRule="auto"/>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9"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develop or in-license additional proprietary technologies that are patentable; and</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patents of others may have an adverse effect on our business.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Should any of these events occur, they could significantly harm our business, results of operations and prospects.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345" w:right="339" w:bottom="1440" w:gutter="0" w:footer="0" w:header="0"/>
        </w:sectPr>
      </w:pPr>
    </w:p>
    <w:bookmarkStart w:id="40" w:name="page41"/>
    <w:bookmarkEnd w:id="40"/>
    <w:p>
      <w:pPr>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3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Periodic maintenance fees, renewal fees, annuity fees and various other governmental fees on patents or applications will be due to be paid by us to the United States Patent and Trademark Office, or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11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do not obtain a patent term extension in the U.S. under the Hatch-Waxman Act and in foreign countries under similar legislation, thereby potentially extending the term of our marketing exclusivity for our planned products, our business may be materially harmed.</w:t>
      </w:r>
    </w:p>
    <w:p>
      <w:pPr>
        <w:spacing w:after="0" w:line="3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2"/>
          <w:szCs w:val="12"/>
          <w:color w:val="auto"/>
        </w:rPr>
        <w:t>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53"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2"/>
          <w:szCs w:val="12"/>
          <w:color w:val="auto"/>
        </w:rPr>
        <w:t>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government regulation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regulatory approval process is expensive, time consuming and uncertain, and may prevent us from obtaining approvals for our planned products.</w:t>
      </w:r>
    </w:p>
    <w:p>
      <w:pPr>
        <w:spacing w:after="0" w:line="8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2"/>
          <w:szCs w:val="12"/>
          <w:color w:val="auto"/>
        </w:rPr>
        <w:t>The research, testing, manufacturing, labeling, approval, selling, import, export, marketing and distribution of our products are subject to extensive regulation by the FDA in the U.S. and other regulatory authorities in other countries, which regulations differ from country to country. We are not permitted to market our planned products in the U.S. until we received the requisite approval or clearance from the FDA. We have not submitted an application or received marketing approval for any planned products. Obtaining approvals from the FDA can be a lengthy, expensive and uncertain process. In addition, failure to comply with FDA and other applicable U.S. and foreign regulatory requirements may subject us to administrative or judicially imposed sanctions, including the following:</w:t>
      </w:r>
    </w:p>
    <w:p>
      <w:pPr>
        <w:spacing w:after="0" w:line="50" w:lineRule="exact"/>
        <w:rPr>
          <w:sz w:val="20"/>
          <w:szCs w:val="20"/>
          <w:color w:val="auto"/>
        </w:rPr>
      </w:pPr>
    </w:p>
    <w:p>
      <w:pPr>
        <w:ind w:left="1040" w:hanging="445"/>
        <w:spacing w:after="0"/>
        <w:tabs>
          <w:tab w:leader="none" w:pos="10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warning letters;</w:t>
      </w:r>
    </w:p>
    <w:p>
      <w:pPr>
        <w:spacing w:after="0" w:line="78" w:lineRule="exact"/>
        <w:rPr>
          <w:rFonts w:ascii="Times New Roman" w:cs="Times New Roman" w:eastAsia="Times New Roman" w:hAnsi="Times New Roman"/>
          <w:sz w:val="12"/>
          <w:szCs w:val="12"/>
          <w:color w:val="auto"/>
        </w:rPr>
      </w:pPr>
    </w:p>
    <w:p>
      <w:pPr>
        <w:ind w:left="1040" w:hanging="445"/>
        <w:spacing w:after="0"/>
        <w:tabs>
          <w:tab w:leader="none" w:pos="10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civil or criminal penalties and fines;</w:t>
      </w:r>
    </w:p>
    <w:p>
      <w:pPr>
        <w:spacing w:after="0" w:line="78" w:lineRule="exact"/>
        <w:rPr>
          <w:rFonts w:ascii="Times New Roman" w:cs="Times New Roman" w:eastAsia="Times New Roman" w:hAnsi="Times New Roman"/>
          <w:sz w:val="12"/>
          <w:szCs w:val="12"/>
          <w:color w:val="auto"/>
        </w:rPr>
      </w:pPr>
    </w:p>
    <w:p>
      <w:pPr>
        <w:ind w:left="1040" w:hanging="445"/>
        <w:spacing w:after="0"/>
        <w:tabs>
          <w:tab w:leader="none" w:pos="10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injunctions;</w:t>
      </w:r>
    </w:p>
    <w:p>
      <w:pPr>
        <w:spacing w:after="0" w:line="78" w:lineRule="exact"/>
        <w:rPr>
          <w:rFonts w:ascii="Times New Roman" w:cs="Times New Roman" w:eastAsia="Times New Roman" w:hAnsi="Times New Roman"/>
          <w:sz w:val="12"/>
          <w:szCs w:val="12"/>
          <w:color w:val="auto"/>
        </w:rPr>
      </w:pPr>
    </w:p>
    <w:p>
      <w:pPr>
        <w:ind w:left="1040" w:hanging="445"/>
        <w:spacing w:after="0"/>
        <w:tabs>
          <w:tab w:leader="none" w:pos="10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suspension or withdrawal of regulatory approval;</w:t>
      </w:r>
    </w:p>
    <w:p>
      <w:pPr>
        <w:spacing w:after="0" w:line="78" w:lineRule="exact"/>
        <w:rPr>
          <w:rFonts w:ascii="Times New Roman" w:cs="Times New Roman" w:eastAsia="Times New Roman" w:hAnsi="Times New Roman"/>
          <w:sz w:val="12"/>
          <w:szCs w:val="12"/>
          <w:color w:val="auto"/>
        </w:rPr>
      </w:pPr>
    </w:p>
    <w:p>
      <w:pPr>
        <w:ind w:left="1040" w:hanging="445"/>
        <w:spacing w:after="0"/>
        <w:tabs>
          <w:tab w:leader="none" w:pos="10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suspension of any ongoing clinical studies;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77" w:right="319" w:bottom="1440" w:gutter="0" w:footer="0" w:header="0"/>
        </w:sectPr>
      </w:pPr>
    </w:p>
    <w:bookmarkStart w:id="41" w:name="page42"/>
    <w:bookmarkEnd w:id="41"/>
    <w:p>
      <w:pPr>
        <w:ind w:left="1020" w:hanging="434"/>
        <w:spacing w:after="0"/>
        <w:tabs>
          <w:tab w:leader="none" w:pos="10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voluntary or mandatory product recalls and publicity requirements;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refusal to accept or approve applications for marketing approval of new drugs or biologics or supplements to approved applications filed by us;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operations, including costly new manufacturing requirements; or</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seizure or detention of our products or import bans.</w:t>
      </w:r>
    </w:p>
    <w:p>
      <w:pPr>
        <w:spacing w:after="0" w:line="7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Prior to receiving approval to commercialize any of our planned products in the U.S. or abroad, we may be required to demonstrate with substantial evidence from well-controlled clinical studies, and to the satisfaction of the FDA and other regulatory authorities abroad, that such planned products are safe and effective for their intended uses. Results from preclinical studies and clinical studies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studies of our planned products and result in the FDA or other regulatory authorities denying approval of our planned products for any or all targeted indications.</w:t>
      </w:r>
    </w:p>
    <w:p>
      <w:pPr>
        <w:spacing w:after="0" w:line="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Regulatory approval from the FDA is not guaranteed, and the approval process is expensive and may take several years. The FDA also has substantial discretion in the approval process. Despite the time and expense exerted, failure can occur at any stage, and we could encounter problems that cause us to abandon or repeat clinical studies or perform additional preclinical studies and clinical studies. The number of preclinical studies and clinical studies that will be required for FDA approval varies depending on the planned product, the disease or condition that the planned product is designed to address and the regulations applicable to any particular planned product. The FDA can delay, limit or deny approval of a planned product for many reasons, including, but not limited to, the following:</w:t>
      </w:r>
    </w:p>
    <w:p>
      <w:pPr>
        <w:spacing w:after="0" w:line="50" w:lineRule="exact"/>
        <w:rPr>
          <w:sz w:val="20"/>
          <w:szCs w:val="20"/>
          <w:color w:val="auto"/>
        </w:rPr>
      </w:pPr>
    </w:p>
    <w:p>
      <w:pPr>
        <w:ind w:left="1020" w:hanging="434"/>
        <w:spacing w:after="0"/>
        <w:tabs>
          <w:tab w:leader="none" w:pos="10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planned product may not be deemed safe or effective;</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FDA officials may not find the data from preclinical studies and clinical studies sufficient;</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might not approve our or our third-party manufacturer’s processes or facilities; or</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may change its approval policies or adopt new regulations.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any planned products fail to demonstrate safety and effectiveness in clinical studies or do not gain regulatory approval, our business and results of operations will be materially and adversely harmed.</w:t>
      </w:r>
    </w:p>
    <w:p>
      <w:pPr>
        <w:spacing w:after="0" w:line="78"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The research, development, conduct of clinical trials, manufacturing, labeling, approval, selling, import, export, marketing and distribution of pharmaceutical and biologic products also are subject to extensive regulation by the FDA in the U.S. and other regulatory authorities in other countries, which regulations differ from country to country.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Nonclinical Testing</w:t>
      </w:r>
    </w:p>
    <w:p>
      <w:pPr>
        <w:spacing w:after="0" w:line="82"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2"/>
          <w:szCs w:val="12"/>
          <w:color w:val="auto"/>
        </w:rPr>
        <w:t>Before a drug candidate in can be tested in humans, it must be studied in laboratory experiments and in animals to generate data to support the drug candidate’s potential benefits and safety. Additional nonclinical testing may be required during the clinical development process such as reproductive toxicology and juvenile toxicology studies. Carcinogenicity studies in two species are generally required for products intended for long-term use.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Investigational New Drug Exemption Application (IND)</w:t>
      </w:r>
    </w:p>
    <w:p>
      <w:pPr>
        <w:spacing w:after="0" w:line="82" w:lineRule="exact"/>
        <w:rPr>
          <w:sz w:val="20"/>
          <w:szCs w:val="20"/>
          <w:color w:val="auto"/>
        </w:rPr>
      </w:pPr>
    </w:p>
    <w:p>
      <w:pPr>
        <w:jc w:val="both"/>
        <w:ind w:right="460"/>
        <w:spacing w:after="0" w:line="265" w:lineRule="auto"/>
        <w:rPr>
          <w:sz w:val="20"/>
          <w:szCs w:val="20"/>
          <w:color w:val="auto"/>
        </w:rPr>
      </w:pPr>
      <w:r>
        <w:rPr>
          <w:rFonts w:ascii="Times New Roman" w:cs="Times New Roman" w:eastAsia="Times New Roman" w:hAnsi="Times New Roman"/>
          <w:sz w:val="12"/>
          <w:szCs w:val="12"/>
          <w:color w:val="auto"/>
        </w:rPr>
        <w:t>The results of initial nonclinical tests, together with manufacturing information, analytical data and a proposed clinical trial protocol and other information, are submitted as part of an IND to the FDA. If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Clinical Trials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clinical trials involve three separate phases that often overlap, can take many years and are very expensive. These three phases, which are subject to considerable regulation, are as follows:</w:t>
      </w:r>
    </w:p>
    <w:p>
      <w:pPr>
        <w:spacing w:after="0" w:line="78" w:lineRule="exact"/>
        <w:rPr>
          <w:sz w:val="20"/>
          <w:szCs w:val="20"/>
          <w:color w:val="auto"/>
        </w:rPr>
      </w:pPr>
    </w:p>
    <w:p>
      <w:pPr>
        <w:ind w:left="1020" w:right="520" w:hanging="434"/>
        <w:spacing w:after="0" w:line="279" w:lineRule="auto"/>
        <w:tabs>
          <w:tab w:leader="none" w:pos="10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Phase I. The drug candidate is given to a small number of healthy human control subjects or patients suffering from the indicated disease, to test for safety, dose tolerance, pharmacokinetics, metabolism, distribution and excretion.</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345" w:right="339" w:bottom="1440" w:gutter="0" w:footer="0" w:header="0"/>
        </w:sectPr>
      </w:pPr>
    </w:p>
    <w:bookmarkStart w:id="42" w:name="page43"/>
    <w:bookmarkEnd w:id="42"/>
    <w:p>
      <w:pPr>
        <w:ind w:left="1020" w:right="120" w:hanging="434"/>
        <w:spacing w:after="0" w:line="279" w:lineRule="auto"/>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Phase II. The drug candidate is given to a limited patient population to determine the effect of the drug candidate in treating the disease, the best dose of the drug candidate, and the possible side effects and safety risks of the drug candidate. It is not uncommon for a drug candidate that appears promising in Phase I clinical trials to fail in the more rigorous Phase II clinical trials.</w:t>
      </w:r>
    </w:p>
    <w:p>
      <w:pPr>
        <w:spacing w:after="0" w:line="39" w:lineRule="exact"/>
        <w:rPr>
          <w:rFonts w:ascii="Times New Roman" w:cs="Times New Roman" w:eastAsia="Times New Roman" w:hAnsi="Times New Roman"/>
          <w:sz w:val="12"/>
          <w:szCs w:val="12"/>
          <w:color w:val="auto"/>
        </w:rPr>
      </w:pPr>
    </w:p>
    <w:p>
      <w:pPr>
        <w:ind w:left="1020" w:hanging="434"/>
        <w:spacing w:after="0" w:line="265" w:lineRule="auto"/>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Phase III. If a drug candidate appears to be effective and safe in Phase II clinical trials, Phase III clinical trials are commenced to confirm those results. Phase III clinical trials are conducted over a longer term, involve a significantly larger population, are conducted at numerous sites in different geographic regions and are carefully designed to provide reliable and conclusive data regarding the safety and benefits of a drug candidate. It is not uncommon for a drug candidate that appears promising in Phase II clinical trials to fail in the more rigorous and extensive Phase III clinical trials.</w:t>
      </w:r>
    </w:p>
    <w:p>
      <w:pPr>
        <w:spacing w:after="0" w:line="4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For each clinical trial, an independent IRB or independent ethics committee, covering each site proposing to conduct a clinical trial must review and approve the plan for any clinical trial and informed consent information for subjects before the trial commences at that site and it must monitor the study until completed. The FDA, the IRB, or the sponsor may suspend a clinical trial at any time on various grounds, including a finding that the subjects or patients are being exposed to an unacceptable health risk or for failure to comply with the IRB’s requirements, or may impose other conditions.</w:t>
      </w:r>
    </w:p>
    <w:p>
      <w:pPr>
        <w:spacing w:after="0" w:line="47" w:lineRule="exact"/>
        <w:rPr>
          <w:sz w:val="20"/>
          <w:szCs w:val="20"/>
          <w:color w:val="auto"/>
        </w:rPr>
      </w:pPr>
    </w:p>
    <w:p>
      <w:pPr>
        <w:spacing w:after="0" w:line="327" w:lineRule="auto"/>
        <w:rPr>
          <w:sz w:val="20"/>
          <w:szCs w:val="20"/>
          <w:color w:val="auto"/>
        </w:rPr>
      </w:pPr>
      <w:r>
        <w:rPr>
          <w:rFonts w:ascii="Times New Roman" w:cs="Times New Roman" w:eastAsia="Times New Roman" w:hAnsi="Times New Roman"/>
          <w:sz w:val="11"/>
          <w:szCs w:val="11"/>
          <w:color w:val="auto"/>
        </w:rPr>
        <w:t>Clinical trials involve the administration of an investigational drug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1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FDA Approval Process</w:t>
      </w:r>
    </w:p>
    <w:p>
      <w:pPr>
        <w:spacing w:after="0" w:line="8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2"/>
          <w:szCs w:val="12"/>
          <w:color w:val="auto"/>
        </w:rPr>
        <w:t>When we believe that the data from our clinical trials show an adequate level of safety and efficacy, we submit the application to market the drug for a particular use, normally a New Drug Application (NDA) with FDA. FDA may hold a public hearing where an independent advisory committee of expert advisors asks additional questions and makes recommendations regarding the drug candidate. This committee makes a recommendation to FDA that is not binding but is generally followed by FDA. If FDA agrees that the compound has met the required level of safety and efficacy for a particular use, it will allow the drug candidate in the United States to be marketed and sold for that use. It is not unusual, however, for FDA to reject an application because it believes that the risks of the drug candidate outweigh the purported benefit or because it does not believe that the data submitted are reliable or conclusive. The FDA may also issue a Complete Response Letter, or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5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FDA may also require Phase IV non-registrational studies to explore scientific questions to further characterize safety and efficacy during commercial use of our drug.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FDA approves a drug, it could limit the uses of the drug. FDA can withdraw approvals if it does not believe that we are complying with regulatory standards or if problems are uncovered or occur after approval.</w:t>
      </w:r>
    </w:p>
    <w:p>
      <w:pPr>
        <w:spacing w:after="0" w:line="50"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In addition to obtaining FDA approval for each drug, we obtain FDA approval of the manufacturing facilities for companies who manufacture our drugs for us. All of these facilities are subject to periodic inspections by FDA. FDA must also approve foreign establishments that manufacture products to be sold in the United States and these facilities are subject to periodic regulatory inspection.</w:t>
      </w:r>
    </w:p>
    <w:p>
      <w:pPr>
        <w:spacing w:after="0" w:line="3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Once issued, the FDA may withdraw product approval if ongoing regulatory requirements are not met or if safety problems are identified after the product reaches the market. In addition, the FDA may require post-approval testing, including Phase IV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5" w:right="319" w:bottom="1440" w:gutter="0" w:footer="0" w:header="0"/>
        </w:sectPr>
      </w:pPr>
    </w:p>
    <w:bookmarkStart w:id="43" w:name="page44"/>
    <w:bookmarkEnd w:id="43"/>
    <w:p>
      <w:pPr>
        <w:ind w:right="40"/>
        <w:spacing w:after="0" w:line="279" w:lineRule="auto"/>
        <w:rPr>
          <w:sz w:val="20"/>
          <w:szCs w:val="20"/>
          <w:color w:val="auto"/>
        </w:rPr>
      </w:pPr>
      <w:r>
        <w:rPr>
          <w:rFonts w:ascii="Times New Roman" w:cs="Times New Roman" w:eastAsia="Times New Roman" w:hAnsi="Times New Roman"/>
          <w:sz w:val="12"/>
          <w:szCs w:val="12"/>
          <w:color w:val="auto"/>
        </w:rPr>
        <w:t>manufacturing processes or facilities, the sponsor may be required to submit and obtain FDA approval of a new or supplemental NDA, which may require the development of additional data or conduct of additional pre-clinical studies and clinical trials.</w:t>
      </w:r>
    </w:p>
    <w:p>
      <w:pPr>
        <w:spacing w:after="0" w:line="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w:t>
      </w:r>
    </w:p>
    <w:p>
      <w:pPr>
        <w:spacing w:after="0" w:line="3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Once marketing approval has been obtained, the approved product and its manufacturer are subject to continual review by the FDA or non-U.S. regulatory authorities. Future approvals may contain requirements for potentially costly post-marketing follow-up studies to monitor the safety and effectiveness of the approved product. In addition, we are subject to extensive and ongoing regulatory requirements by the FDA and other regulatory authorities with regard to the labeling, packaging, adverse event reporting, storage, advertising, promotion and recordkeeping for our products.</w:t>
      </w:r>
    </w:p>
    <w:p>
      <w:pPr>
        <w:spacing w:after="0" w:line="47"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1"/>
          <w:szCs w:val="11"/>
          <w:color w:val="auto"/>
        </w:rPr>
        <w:t>In addition, we are required to comply with cGMP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w:t>
      </w:r>
    </w:p>
    <w:p>
      <w:pPr>
        <w:spacing w:after="0" w:line="35"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 The drug name will also be subject to review and approval by the FDA and other non-U.S. regulatory authorities.</w:t>
      </w:r>
    </w:p>
    <w:p>
      <w:pPr>
        <w:spacing w:after="0" w:line="3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or QSR compliance.</w:t>
      </w:r>
    </w:p>
    <w:p>
      <w:pPr>
        <w:spacing w:after="0" w:line="50"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47" w:lineRule="exact"/>
        <w:rPr>
          <w:sz w:val="20"/>
          <w:szCs w:val="20"/>
          <w:color w:val="auto"/>
        </w:rPr>
      </w:pPr>
    </w:p>
    <w:p>
      <w:pPr>
        <w:ind w:left="1020" w:hanging="434"/>
        <w:spacing w:after="0"/>
        <w:tabs>
          <w:tab w:leader="none" w:pos="10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the marketing or manufacturing of the product, complete withdrawal of the product from the market or product recalls;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fines, warning letters or holds on post-approval clinical trials;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refusal of the FDA to approve pending applications or supplements to approved applications, or suspension or revocation of product approvals;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 seizure or detention, or refusal to permit the import or export of products; and</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injunctions or the imposition of civil or criminal penalties.</w:t>
      </w:r>
    </w:p>
    <w:p>
      <w:pPr>
        <w:spacing w:after="0" w:line="7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47"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FDA and may be eligible for accelerated and priority review.</w:t>
      </w:r>
    </w:p>
    <w:p>
      <w:pPr>
        <w:spacing w:after="0" w:line="39"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Drugs that are developed for rare diseases can be designated as Orphan Drugs. In the U.S., the disease or condition has an incidence of less than 200,000 persons and in the E.U. the prevalence of the condition must be not more than 5 in 10,000 persons. In the U.S., orphan-designated drugs are granted up to 7-year market exclusivity. In the E.U., products granted orphan designation are subject to</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345" w:right="339" w:bottom="1440" w:gutter="0" w:footer="0" w:header="0"/>
        </w:sectPr>
      </w:pPr>
    </w:p>
    <w:bookmarkStart w:id="44" w:name="page45"/>
    <w:bookmarkEnd w:id="44"/>
    <w:p>
      <w:pPr>
        <w:jc w:val="both"/>
        <w:spacing w:after="0" w:line="279" w:lineRule="auto"/>
        <w:rPr>
          <w:sz w:val="20"/>
          <w:szCs w:val="20"/>
          <w:color w:val="auto"/>
        </w:rPr>
      </w:pPr>
      <w:r>
        <w:rPr>
          <w:rFonts w:ascii="Times New Roman" w:cs="Times New Roman" w:eastAsia="Times New Roman" w:hAnsi="Times New Roman"/>
          <w:sz w:val="12"/>
          <w:szCs w:val="12"/>
          <w:color w:val="auto"/>
        </w:rPr>
        <w:t>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Drugs are also subject to extensive regulation outside of the U.S. In the E.U., there is a centralized approval procedure that authorizes marketing of a product in all countries of the E.U. (which includes most major countries in the E.U.).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 regulatory authorities.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Failure to obtain marketing approvals in foreign jurisdictions will prevent us from marketing our products internationally.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intend to seek distribution and marketing partners for our current products outside the U.S. and may market planned products in international markets.</w:t>
      </w:r>
    </w:p>
    <w:p>
      <w:pPr>
        <w:spacing w:after="0" w:line="7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We have had limited interactions with foreign regulatory authorities. The approval procedures vary among countries and can involve additional clinical testing, and the time required to obtain approval may differ from that required to obtain FDA approval. Moreover, clinical studies or manufacturing processes conducted in one country may not be accepted by regulatory authorities in other countries. Approval by the FDA does not ensure approval by regulatory authorities in other countries or regions,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Healthcare reform measures could hinder or prevent our planned products’ commercial success.</w:t>
      </w:r>
    </w:p>
    <w:p>
      <w:pPr>
        <w:spacing w:after="0" w:line="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or PPACA, was enacted in 2010. The PPACA contains a number of provisions, including those governing enrollments in federal healthcare programs, reimbursement changes and fraud and abuse measures, all of which will impact existing government healthcare programs and will result in the development of new programs. The PPACA, among other things:</w:t>
      </w:r>
    </w:p>
    <w:p>
      <w:pPr>
        <w:spacing w:after="0" w:line="53" w:lineRule="exact"/>
        <w:rPr>
          <w:sz w:val="20"/>
          <w:szCs w:val="20"/>
          <w:color w:val="auto"/>
        </w:rPr>
      </w:pPr>
    </w:p>
    <w:p>
      <w:pPr>
        <w:ind w:left="1020" w:hanging="434"/>
        <w:spacing w:after="0"/>
        <w:tabs>
          <w:tab w:leader="none" w:pos="10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could result in the imposition of injunctions;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requires collection of rebates for drugs paid by Medicaid managed care organizations; and</w:t>
      </w:r>
    </w:p>
    <w:p>
      <w:pPr>
        <w:spacing w:after="0" w:line="78" w:lineRule="exact"/>
        <w:rPr>
          <w:rFonts w:ascii="Times New Roman" w:cs="Times New Roman" w:eastAsia="Times New Roman" w:hAnsi="Times New Roman"/>
          <w:sz w:val="12"/>
          <w:szCs w:val="12"/>
          <w:color w:val="auto"/>
        </w:rPr>
      </w:pPr>
    </w:p>
    <w:p>
      <w:pPr>
        <w:ind w:left="1020" w:hanging="434"/>
        <w:spacing w:after="0" w:line="279" w:lineRule="auto"/>
        <w:tabs>
          <w:tab w:leader="none" w:pos="10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requires manufacturers to participate in a coverage gap discount program, under which they must agree to offer 50% point-of-sale discounts off negotiated prices of applicable branded drugs to eligible beneficiaries during their coverage gap period, as a condition for the manufacturer’s outpatient drugs to be covered under Medicare Part D.</w:t>
      </w:r>
    </w:p>
    <w:p>
      <w:pPr>
        <w:spacing w:after="0" w:line="3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While the U.S. Supreme Court upheld the constitutionality of most elements of the PPACA in June 2012, other legal challenges are still pending final adjudication in several jurisdictions. The current presidential administration and Congress may continue to attempt broad sweeping changes to the current health care laws. We face uncertainties that might result from modifications or repeal of any of the provisions of the PPACA, including as a result of current and future executive orders and legislative actions. The impact of those changes on us and potential effect on the medical industry as a whole is currently unknown. Any changes to the PPACA are likely to have an impact on our results of operations, and may have a material adverse effect on our results of operations. We cannot predict what other health care programs and regulations will ultimately be implemented at the federal or state level or the effect of any future legislation or regulation in the United States may have on our business.</w:t>
      </w:r>
    </w:p>
    <w:p>
      <w:pPr>
        <w:spacing w:after="0" w:line="5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1"/>
          <w:szCs w:val="11"/>
          <w:color w:val="auto"/>
        </w:rPr>
        <w:t>In addition, other legislative changes have been proposed and adopted since the PPACA was enacted. For example, the Budget Control Act of 2011, among other things, created the Joint Select Committee on Deficit Reduction to 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or the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color w:val="auto"/>
        </w:rPr>
        <w:t>implementing sequestration, and in April 2013, the 2% Medicare reductions went into effect. We cannot predict whether any additional legislative changes will affect our business.</w:t>
      </w:r>
    </w:p>
    <w:p>
      <w:pPr>
        <w:spacing w:after="0" w:line="78"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payers of healthcare services to contain or reduce costs of health care may adversely affect:</w:t>
      </w:r>
    </w:p>
    <w:p>
      <w:pPr>
        <w:spacing w:after="0" w:line="39" w:lineRule="exact"/>
        <w:rPr>
          <w:sz w:val="20"/>
          <w:szCs w:val="20"/>
          <w:color w:val="auto"/>
        </w:rPr>
      </w:pPr>
    </w:p>
    <w:p>
      <w:pPr>
        <w:ind w:left="1020" w:hanging="434"/>
        <w:spacing w:after="0"/>
        <w:tabs>
          <w:tab w:leader="none" w:pos="10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set a price that we believe is fair for our products;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generate revenue and achieve or maintain profitability; and</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capital.</w:t>
      </w:r>
    </w:p>
    <w:p>
      <w:pPr>
        <w:spacing w:after="0" w:line="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Further, changes in regulatory requirements and guidance may occur and we may need to amend clinical study protocols to reflect these changes. Amendments may require us to resubmit our clinical study protocols IRBs for reexamination, which may impact the costs, timing or successful completion of a clinical study.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studies and the drug approval process. Data from clinical studies may receive greater scrutiny with respect to safety, which may make the FDA or other regulatory authorities more likely to terminate or suspend clinical studies before completion or require longer or additional clinical studies that may result in substantial additional expense and a delay or failure in obtaining approval or approval for a more limited indication than originally sought.</w:t>
      </w:r>
    </w:p>
    <w:p>
      <w:pPr>
        <w:spacing w:after="0" w:line="5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fail to comply with healthcare regulations, we could face substantial penalties and our business, operations and financial condition could be adversely affected.</w:t>
      </w:r>
    </w:p>
    <w:p>
      <w:pPr>
        <w:spacing w:after="0" w:line="82"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2"/>
          <w:szCs w:val="12"/>
          <w:color w:val="auto"/>
        </w:rPr>
        <w:t>Even though we do not and will not control referrals of healthcare services or bill directly to Medicare, Medicaid or other third-party payers,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w:t>
      </w:r>
    </w:p>
    <w:p>
      <w:pPr>
        <w:spacing w:after="0" w:line="47" w:lineRule="exact"/>
        <w:rPr>
          <w:sz w:val="20"/>
          <w:szCs w:val="20"/>
          <w:color w:val="auto"/>
        </w:rPr>
      </w:pPr>
    </w:p>
    <w:p>
      <w:pPr>
        <w:jc w:val="both"/>
        <w:ind w:left="1020" w:right="20" w:hanging="434"/>
        <w:spacing w:after="0" w:line="265" w:lineRule="auto"/>
        <w:tabs>
          <w:tab w:leader="none" w:pos="10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federal healthcare program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46" w:lineRule="exact"/>
        <w:rPr>
          <w:rFonts w:ascii="Times New Roman" w:cs="Times New Roman" w:eastAsia="Times New Roman" w:hAnsi="Times New Roman"/>
          <w:sz w:val="12"/>
          <w:szCs w:val="12"/>
          <w:color w:val="auto"/>
        </w:rPr>
      </w:pPr>
    </w:p>
    <w:p>
      <w:pPr>
        <w:ind w:left="1020" w:right="260" w:hanging="434"/>
        <w:spacing w:after="0" w:line="279" w:lineRule="auto"/>
        <w:tabs>
          <w:tab w:leader="none" w:pos="10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indirectly, to induce either the referral of an individual, for an item or service or the purchasing or ordering of a good or service, for which payment may be made under federal healthcare programs, such as the Medicare and Medicaid programs;</w:t>
      </w:r>
    </w:p>
    <w:p>
      <w:pPr>
        <w:spacing w:after="0" w:line="39" w:lineRule="exact"/>
        <w:rPr>
          <w:rFonts w:ascii="Times New Roman" w:cs="Times New Roman" w:eastAsia="Times New Roman" w:hAnsi="Times New Roman"/>
          <w:sz w:val="12"/>
          <w:szCs w:val="12"/>
          <w:color w:val="auto"/>
        </w:rPr>
      </w:pPr>
    </w:p>
    <w:p>
      <w:pPr>
        <w:ind w:left="1020" w:hanging="434"/>
        <w:spacing w:after="0" w:line="279" w:lineRule="auto"/>
        <w:tabs>
          <w:tab w:leader="none" w:pos="10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spacing w:after="0" w:line="39"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federal criminal laws that prohibit executing a scheme to defraud any healthcare benefit program or making false statements relating to healthcare matters;</w:t>
      </w:r>
    </w:p>
    <w:p>
      <w:pPr>
        <w:spacing w:after="0" w:line="78" w:lineRule="exact"/>
        <w:rPr>
          <w:rFonts w:ascii="Times New Roman" w:cs="Times New Roman" w:eastAsia="Times New Roman" w:hAnsi="Times New Roman"/>
          <w:sz w:val="12"/>
          <w:szCs w:val="12"/>
          <w:color w:val="auto"/>
        </w:rPr>
      </w:pPr>
    </w:p>
    <w:p>
      <w:pPr>
        <w:ind w:left="1020" w:right="140" w:hanging="434"/>
        <w:spacing w:after="0" w:line="279" w:lineRule="auto"/>
        <w:tabs>
          <w:tab w:leader="none" w:pos="10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w:t>
      </w:r>
    </w:p>
    <w:p>
      <w:pPr>
        <w:spacing w:after="0" w:line="39" w:lineRule="exact"/>
        <w:rPr>
          <w:rFonts w:ascii="Times New Roman" w:cs="Times New Roman" w:eastAsia="Times New Roman" w:hAnsi="Times New Roman"/>
          <w:sz w:val="12"/>
          <w:szCs w:val="12"/>
          <w:color w:val="auto"/>
        </w:rPr>
      </w:pPr>
    </w:p>
    <w:p>
      <w:pPr>
        <w:ind w:left="1020" w:right="160" w:hanging="434"/>
        <w:spacing w:after="0" w:line="279" w:lineRule="auto"/>
        <w:tabs>
          <w:tab w:leader="none" w:pos="10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5" w:right="319" w:bottom="1440" w:gutter="0" w:footer="0" w:header="0"/>
        </w:sectPr>
      </w:pPr>
    </w:p>
    <w:bookmarkStart w:id="46" w:name="page47"/>
    <w:bookmarkEnd w:id="46"/>
    <w:p>
      <w:pPr>
        <w:ind w:left="1020" w:hanging="434"/>
        <w:spacing w:after="0"/>
        <w:tabs>
          <w:tab w:leader="none" w:pos="10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state law equivalents of each of the above federal laws, such as anti-kickback and false claims laws which may apply to items or services reimbursed by any third-party payer, including commercial insurers.</w:t>
      </w:r>
    </w:p>
    <w:p>
      <w:pPr>
        <w:spacing w:after="0" w:line="7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w:t>
      </w:r>
    </w:p>
    <w:p>
      <w:pPr>
        <w:spacing w:after="0" w:line="4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2"/>
          <w:szCs w:val="12"/>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ownership of our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stock price may be volatile, and purchasers of our securities could incur substantial losses.</w:t>
      </w:r>
    </w:p>
    <w:p>
      <w:pPr>
        <w:spacing w:after="0" w:line="8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Our stock price has been and is likely to continue to be volatile. The stock market in general, and the market for biotechnology and medical device companies in particular, have experienced extreme volatility that has often been unrelated to the operating performance of particular companies. During the period from January 1, 2020, through September 30, 2020, the high and low closing prices of our common stock ranged from $4.23 to $1.64. As a result of this volatility, investors may not be able to sell their common stock at or above the purchase price. The market price for our common stock may be influenced by many factors, including the following:</w:t>
      </w:r>
    </w:p>
    <w:p>
      <w:pPr>
        <w:spacing w:after="0" w:line="47" w:lineRule="exact"/>
        <w:rPr>
          <w:sz w:val="20"/>
          <w:szCs w:val="20"/>
          <w:color w:val="auto"/>
        </w:rPr>
      </w:pPr>
    </w:p>
    <w:p>
      <w:pPr>
        <w:ind w:left="1020" w:hanging="434"/>
        <w:spacing w:after="0"/>
        <w:tabs>
          <w:tab w:leader="none" w:pos="10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results of our clinical trials and our ability to obtain regulatory approval of DCCR in Prader Willi Syndromeour clinical trials and our ability to obtain regulatory approval for DCCR;</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successfully commercialize, and realize significant revenues from sales of our products;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 of competitive products or technologies;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results of other clinical studies of our products or those of our competitors;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or legal developments in the U.S. and other countries, especially changes in laws or regulations applicable to our products;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introductions and announcements of new products by us, our commercialization partners, or our competitors, and the timing of these introductions or announcements;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actions taken by regulatory agencies with respect to our products, clinical studies, manufacturing process or sales and marketing terms;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variations in our financial results or those of companies that are perceived to be similar to us;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 of our efforts to acquire or in-license additional products or planned products;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developments concerning our collaborations, including but not limited to those with our sources of manufacturing supply and our commercialization partners;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developments concerning our ability to bring our manufacturing processes to scale in a cost-effective manner;</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by us or our competitors of significant acquisitions, strategic partnerships, joint ventures or capital commitments;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developments or disputes concerning patents or other proprietary rights, including patents, litigation matters and our ability to obtain patent protection for our products;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or inability to raise additional capital and the terms on which we raise it;</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recruitment or departure of key personnel;</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structure of healthcare payment systems;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conditions in the pharmaceutical and biotechnology sectors;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changes in earnings estimates or changes in stock market analyst recommendations regarding our common stock, other comparable companies or our industry generally;</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5" w:right="319" w:bottom="1440" w:gutter="0" w:footer="0" w:header="0"/>
        </w:sectPr>
      </w:pPr>
    </w:p>
    <w:bookmarkStart w:id="47" w:name="page48"/>
    <w:bookmarkEnd w:id="47"/>
    <w:p>
      <w:pPr>
        <w:ind w:left="1020" w:hanging="434"/>
        <w:spacing w:after="0"/>
        <w:tabs>
          <w:tab w:leader="none" w:pos="10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trading volume of our common stock;</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of our common stock by us or our stockholders;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economic, industry and market conditions; and</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other risks described in this “Risk Factors” section.</w:t>
      </w:r>
    </w:p>
    <w:p>
      <w:pPr>
        <w:spacing w:after="0" w:line="7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Future sales of our common stock, or the perception that future sales may occur, may cause the market price of our common stock to decline, even if our business is doing well.</w:t>
      </w:r>
    </w:p>
    <w:p>
      <w:pPr>
        <w:spacing w:after="0" w:line="82"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w:t>
      </w:r>
    </w:p>
    <w:p>
      <w:pPr>
        <w:spacing w:after="0" w:line="3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On December 11, 2017, we entered into a Securities Purchase Agreement with certain purchasers, pursuant to which we sold and issued 8,141,116 immediately separable units at a price per unit of $1.84, for aggregate gross proceeds of $15.0 million. Each unit consisted of one share of our common stock and a warrant to purchase 0.74 shares of our common stock at an exercise price of $2.00 per share, for an aggregate of 8,141,116 shares of common stock and corresponding warrants to purchase an aggregate of 6,024,425 shares of common stock, together the shares of common stock are referred to as the 2017 Resale Shares. We also granted certain registration rights to these stockholders, pursuant to which, among other things, we prepared and filed a registration statement with the SEC to register for resale the 2017 Resale Shares. The registration statement was declared effective in February 2018.</w:t>
      </w:r>
    </w:p>
    <w:p>
      <w:pPr>
        <w:spacing w:after="0" w:line="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On December 19, 2018, we entered into a Securities Purchase Agreement with certain purchasers, pursuant to which we sold and issued 10,272,375 units at a price per unit of $1.61, for aggregate gross proceeds of $16.5 million. Each unit consisted of one share of our common stock and a warrant to purchase 0.05 shares of our common stock at an exercise price of $2.00 per share, for an aggregate of 10,272,375 shares of common stock and corresponding warrants to purchase an aggregate of 513,617 shares of common stock, together with the shares of common stock are referred to as the 2018 Resale Shares. We also granted certain registration rights to these stockholders, pursuant to which, among other things, we have prepared and filed a registration statement with the SEC to register for resale the 2018 Resale Shares. The registration statement was declared effective in April 2019.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October 25, 2019, we sold 12,841,667 shares of common stock in an underwritten public offering at a price of $1.20 per share for net proceeds of $14.5 million.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June 26, 2020, we sold 34,848,484 shares of common stock in an underwritten public offering at a price of $1.65 per share for net proceeds of $53.7 million.</w:t>
      </w:r>
    </w:p>
    <w:p>
      <w:pPr>
        <w:spacing w:after="0" w:line="78" w:lineRule="exact"/>
        <w:rPr>
          <w:sz w:val="20"/>
          <w:szCs w:val="20"/>
          <w:color w:val="auto"/>
        </w:rPr>
      </w:pPr>
    </w:p>
    <w:p>
      <w:pPr>
        <w:jc w:val="both"/>
        <w:ind w:right="40"/>
        <w:spacing w:after="0" w:line="279" w:lineRule="auto"/>
        <w:rPr>
          <w:sz w:val="20"/>
          <w:szCs w:val="20"/>
          <w:color w:val="auto"/>
        </w:rPr>
      </w:pPr>
      <w:r>
        <w:rPr>
          <w:rFonts w:ascii="Times New Roman" w:cs="Times New Roman" w:eastAsia="Times New Roman" w:hAnsi="Times New Roman"/>
          <w:sz w:val="12"/>
          <w:szCs w:val="12"/>
          <w:color w:val="auto"/>
        </w:rPr>
        <w:t>In the future, we may issue additional shares of common stock or other equity or debt securities convertible into common stock in connection with a financing, acquisition, litigation settlement, employee arrangement or otherwise. Any such issuance could result in substantial dilution to our existing stockholders and could cause our stock price to decline.</w:t>
      </w:r>
    </w:p>
    <w:p>
      <w:pPr>
        <w:spacing w:after="0" w:line="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executive officers, directors and principal stockholders may continue to maintain the ability to control or significantly influence all matters submitted to stockholders for approval and under certain circumstances may have control over key decision making.</w:t>
      </w:r>
    </w:p>
    <w:p>
      <w:pPr>
        <w:spacing w:after="0" w:line="3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Our executive officers, directors and principal stockholders own a majority of our outstanding common stock. As a result, the foregoing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ability to use our net operating loss carry forwards and certain other tax attributes will be limited.</w:t>
      </w:r>
    </w:p>
    <w:p>
      <w:pPr>
        <w:spacing w:after="0" w:line="8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Our ability to utilize our federal net operating loss, carryforwards and federal tax credit will be limited under Sections 382 and 383 of the Internal Revenue Code of 1986, as amended, or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During the year ended December 31, 2016, we experienced an “ownership change”, and in the year ended December 31, 2017 our acquisition of Essentialis resulted in an ownership change, of which both changes will</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5" w:right="319" w:bottom="1440" w:gutter="0" w:footer="0" w:header="0"/>
        </w:sectPr>
      </w:pPr>
    </w:p>
    <w:bookmarkStart w:id="48" w:name="page49"/>
    <w:bookmarkEnd w:id="48"/>
    <w:p>
      <w:pPr>
        <w:ind w:right="140"/>
        <w:spacing w:after="0" w:line="265" w:lineRule="auto"/>
        <w:rPr>
          <w:sz w:val="20"/>
          <w:szCs w:val="20"/>
          <w:color w:val="auto"/>
        </w:rPr>
      </w:pPr>
      <w:r>
        <w:rPr>
          <w:rFonts w:ascii="Times New Roman" w:cs="Times New Roman" w:eastAsia="Times New Roman" w:hAnsi="Times New Roman"/>
          <w:sz w:val="12"/>
          <w:szCs w:val="12"/>
          <w:color w:val="auto"/>
        </w:rPr>
        <w:t>limit our ability to utilize our existing and acquired net operating losses and other tax attributes to offset taxable income. In addition, we also raised capital in October 2019 and June 2020 that may further limit our ability to utilize our net operating losses and other tax attributes to offset taxable incom As a result, if we earn net taxable income, our ability to use our pre-change net operating loss carryforwards and other tax attributes to offset U.S. federal taxable income will be subject to limitations, which could potentially result in increased future tax liability to us.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As our warrant holders exercise their warrants into shares of our common stock, our stockholders will be diluted.</w:t>
      </w:r>
    </w:p>
    <w:p>
      <w:pPr>
        <w:spacing w:after="0" w:line="82"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The exercise of some or all of our warrants results in issuance of common stock that dilute the ownership interests of existing stockholders. Any sales of the common stock issuable upon exercise of the warrants could adversely affect prevailing market prices of our common stock.</w:t>
      </w:r>
    </w:p>
    <w:p>
      <w:pPr>
        <w:spacing w:after="0" w:line="7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holders of our warrants elect to exercise their warrants and sell material amounts of our common stock in the market, such sales could cause the price of our common stock to decline, and the potential for such downward pressure on the price of our common stock may encourage short selling of our common stock by holders of our warrants or other parties.</w:t>
      </w:r>
    </w:p>
    <w:p>
      <w:pPr>
        <w:spacing w:after="0" w:line="3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If there is significant downward pressure on the price of our common stock, it may encourage holders of our warrants, or other parties, to sell shares by means of short sales or otherwise. Short sales involve the sale, usually with a future delivery date, of common stock the seller does not own. Covered short sales are sales made in an amount not greater than the number of shares subject to the short seller’s right to acquire common stock, such as upon exercise of warrants. A holder of warrants may close out any covered short position by exercising all, or a portion, of its warrants, or by purchasing shares in the open market. In determining the source of shares to close out the covered short position, a holder of warrants will likely consider, among other things, the price of common stock available for purchase in the open market as compared to the exercise price of the warrants. The existence of a significant number of short sales generally causes the price of common stock to decline, in part because it indicates that a number of market participants are taking a position that will be profitable only if the price of the common stock declines.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Under certain circumstances we may be required to settle the value of the 2017 PIPE Warrants and 2018 PIPE Warrants in cash.</w:t>
      </w:r>
    </w:p>
    <w:p>
      <w:pPr>
        <w:spacing w:after="0" w:line="8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If, at any time while the 2017 PIPE Warrants and 2018 PIPE Warrants, or the Warrants, are outstanding, we enter into a “Fundamental Transaction” (as defined in the Warrants), which includes, but is not limited to, a purchase offer, tender offer or exchange offer, a stock or share purchase agreement or other business combination (including, without limitation, a reorganization, recapitalization, spin-off or other scheme of arrangement), then each registered holder of outstanding Warrants as at any time prior to the consummation of the Fundamental Transaction, may elect and require us to purchase the Warrants held by such person immediately prior to the consummation of such Fundamental Transaction by making a cash payment in an amount equal to the Black Scholes Value of the remaining unexercised portion of such registered holder’s Warrants.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might not be able to maintain the listing of our securities on The NASDAQ Capital Market.</w:t>
      </w:r>
    </w:p>
    <w:p>
      <w:pPr>
        <w:spacing w:after="0" w:line="8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We have listed our common stock on NASDAQ. We might not be able to maintain the listing standards of that exchange, which includes requirements that we maintain our shareholders’ equity, total value of shares held by unaffiliated shareholders, market capitalization above certain specified levels and minimum bid requirement of $1.00 per common share. We do not expect to become profitable for some time and there is a risk that our shareholders’ equity could fall below the $2.5 million level required by NASDAQ. If we do not regain compliance with the minimum bid requirement or our shareholders’ equity falls below $2.5 million, it will cause us to fail to conform to the NASDAQ listing requirements on an ongoing basis, which in turn could cause our common stock to cease to trade on the NASDAQ exchange, and be required to move to the Over the Counter Bulletin Board or the “pink sheets” exchange maintained by OTC Markets Group, Inc. The OTC Bulletin Board and the “pink sheets” are generally considered to be markets that are less efficient, and to provide less liquidity in the shares, than the NASDAQ market.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Due to the speculative nature of warrants, there is no guarantee that it will ever be profitable for holders of the warrants to exercise the warrants.</w:t>
      </w:r>
    </w:p>
    <w:p>
      <w:pPr>
        <w:spacing w:after="0" w:line="8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The warrants we have issued and outstanding do not confer any rights of common stock ownership on their holders, such as voting rights or the right to receive dividends, but rather merely represent the right to acquire shares of common stock at a fixed price for a limited period of time. Holders of the 2017 PIPE Warrants are entitled to purchase one share of our common stock at an exercise price equal to $2.00 per share prior to December 15, 2020. Holders of the 2018 PIPE Warrants are entitled to purchase one share of our common stock at an exercise price equal to $2.00 per share prior to the expiration of the five-year term on December 21, 2023.</w:t>
      </w:r>
    </w:p>
    <w:p>
      <w:pPr>
        <w:spacing w:after="0" w:line="4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1"/>
          <w:szCs w:val="11"/>
          <w:color w:val="auto"/>
        </w:rPr>
        <w:t>There can be no assurance that the market price of the common stock will ever equal or exceed the exercise price of the warrants, and, consequently, whether it will ever be profitable for holders of the warrants to exercise the warrants.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45"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b w:val="1"/>
          <w:bCs w:val="1"/>
          <w:i w:val="1"/>
          <w:iCs w:val="1"/>
          <w:color w:val="auto"/>
        </w:rPr>
        <w:t>If securities or industry analysts do not publish research, or publish inaccurate or unfavorable research, about our business, our stock price and trading volume could decline.</w:t>
      </w:r>
    </w:p>
    <w:p>
      <w:pPr>
        <w:spacing w:after="0" w:line="8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8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Because our Board is responsible for appointing the members of our management team, these provisions could in turn affect any attempt by our stockholders to replace current members of our management team. Among others, these provisions include the following:</w:t>
      </w:r>
    </w:p>
    <w:p>
      <w:pPr>
        <w:spacing w:after="0" w:line="53" w:lineRule="exact"/>
        <w:rPr>
          <w:sz w:val="20"/>
          <w:szCs w:val="20"/>
          <w:color w:val="auto"/>
        </w:rPr>
      </w:pPr>
    </w:p>
    <w:p>
      <w:pPr>
        <w:ind w:left="1020" w:hanging="434"/>
        <w:spacing w:after="0"/>
        <w:tabs>
          <w:tab w:leader="none" w:pos="10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Board is divided into three classes with staggered three-year terms which may delay or prevent a change of our management or a change in control;</w:t>
      </w:r>
    </w:p>
    <w:p>
      <w:pPr>
        <w:spacing w:after="0" w:line="78" w:lineRule="exact"/>
        <w:rPr>
          <w:rFonts w:ascii="Times New Roman" w:cs="Times New Roman" w:eastAsia="Times New Roman" w:hAnsi="Times New Roman"/>
          <w:sz w:val="12"/>
          <w:szCs w:val="12"/>
          <w:color w:val="auto"/>
        </w:rPr>
      </w:pPr>
    </w:p>
    <w:p>
      <w:pPr>
        <w:ind w:left="1020" w:right="120" w:hanging="434"/>
        <w:spacing w:after="0" w:line="279" w:lineRule="auto"/>
        <w:tabs>
          <w:tab w:leader="none" w:pos="10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Board has the right to elect directors to fill a vacancy created by the expansion of our Board or the resignation, death or removal of a director, which will prevent stockholders from being able to fill vacancies on our Board;</w:t>
      </w:r>
    </w:p>
    <w:p>
      <w:pPr>
        <w:spacing w:after="0" w:line="39" w:lineRule="exact"/>
        <w:rPr>
          <w:rFonts w:ascii="Times New Roman" w:cs="Times New Roman" w:eastAsia="Times New Roman" w:hAnsi="Times New Roman"/>
          <w:sz w:val="12"/>
          <w:szCs w:val="12"/>
          <w:color w:val="auto"/>
        </w:rPr>
      </w:pPr>
    </w:p>
    <w:p>
      <w:pPr>
        <w:ind w:left="1020" w:right="300" w:hanging="434"/>
        <w:spacing w:after="0" w:line="279" w:lineRule="auto"/>
        <w:tabs>
          <w:tab w:leader="none" w:pos="10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the chairman of our board, the chief executive officer or the president;</w:t>
      </w:r>
    </w:p>
    <w:p>
      <w:pPr>
        <w:spacing w:after="0" w:line="39"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certificate of incorporation prohibits cumulative voting in the election of directors, which limits the ability of minority stockholders to elect director candidates;</w:t>
      </w:r>
    </w:p>
    <w:p>
      <w:pPr>
        <w:spacing w:after="0" w:line="78" w:lineRule="exact"/>
        <w:rPr>
          <w:rFonts w:ascii="Times New Roman" w:cs="Times New Roman" w:eastAsia="Times New Roman" w:hAnsi="Times New Roman"/>
          <w:sz w:val="12"/>
          <w:szCs w:val="12"/>
          <w:color w:val="auto"/>
        </w:rPr>
      </w:pPr>
    </w:p>
    <w:p>
      <w:pPr>
        <w:ind w:left="1020" w:hanging="434"/>
        <w:spacing w:after="0"/>
        <w:tabs>
          <w:tab w:leader="none" w:pos="10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amendments of our certificate of incorporation and bylaws require the approval of 66 2/3% of our outstanding voting securities;</w:t>
      </w:r>
    </w:p>
    <w:p>
      <w:pPr>
        <w:spacing w:after="0" w:line="78" w:lineRule="exact"/>
        <w:rPr>
          <w:rFonts w:ascii="Times New Roman" w:cs="Times New Roman" w:eastAsia="Times New Roman" w:hAnsi="Times New Roman"/>
          <w:sz w:val="12"/>
          <w:szCs w:val="12"/>
          <w:color w:val="auto"/>
        </w:rPr>
      </w:pPr>
    </w:p>
    <w:p>
      <w:pPr>
        <w:ind w:left="1020" w:right="60" w:hanging="434"/>
        <w:spacing w:after="0" w:line="279" w:lineRule="auto"/>
        <w:tabs>
          <w:tab w:leader="none" w:pos="10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stockholders are required to provide advance notice and additional disclosures in order to nominate individuals for election to our Board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39" w:lineRule="exact"/>
        <w:rPr>
          <w:rFonts w:ascii="Times New Roman" w:cs="Times New Roman" w:eastAsia="Times New Roman" w:hAnsi="Times New Roman"/>
          <w:sz w:val="12"/>
          <w:szCs w:val="12"/>
          <w:color w:val="auto"/>
        </w:rPr>
      </w:pPr>
    </w:p>
    <w:p>
      <w:pPr>
        <w:ind w:left="1020" w:right="60" w:hanging="434"/>
        <w:spacing w:after="0" w:line="279" w:lineRule="auto"/>
        <w:tabs>
          <w:tab w:leader="none" w:pos="10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Board are able to issue, without stockholder approval, shares of undesignated preferred stock, which makes it possible for our Board to issue preferred stock with voting or other rights or preferences that could impede the success of any attempt to acquire us.</w:t>
      </w:r>
    </w:p>
    <w:p>
      <w:pPr>
        <w:spacing w:after="0" w:line="11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employment agreements with our executive officers may require us to pay severance benefits to any of those persons who are terminated in connection with a change in control of us, which could harm our financial condition or results.</w:t>
      </w:r>
    </w:p>
    <w:p>
      <w:pPr>
        <w:spacing w:after="0" w:line="35"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2"/>
          <w:szCs w:val="12"/>
          <w:color w:val="auto"/>
        </w:rPr>
        <w:t>Certain of our executive officers are parties to employment agreements that contain change in control and severance provisions providing for aggregate cash payments for severance and other benefits and acceleration of stock options vesting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77"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not paid dividends in the past and do not expect to pay dividends in the future, and, as a result, any return on investment may be limited to the value of our stock.</w:t>
      </w:r>
    </w:p>
    <w:p>
      <w:pPr>
        <w:spacing w:after="0" w:line="8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We have never paid dividends and do not anticipate paying dividends in the foreseeable future. The payment of dividends will depend on our earnings, capital requirements, financial condition, prospects and other factors our Board may deem relevant. If we do not pay dividends, our stock may be less valuable because a return on your investment will only occur if our stock price appreciates and you sell our common stock thereafter.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 risks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Intrusions into our computer systems could result in compromise of confidential information.</w:t>
      </w:r>
    </w:p>
    <w:p>
      <w:pPr>
        <w:spacing w:after="0" w:line="82"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Any software we develop or use for any of our products may be potentially subject to malfunction or vulnerable to physical break-ins, hackers, improper employee or contractor access, computer viruses, programming errors, or similar problems. Any of these might result in confidential medical, business or other information of other persons or of ourselves being revealed to unauthorized persons.</w:t>
      </w:r>
    </w:p>
    <w:p>
      <w:pPr>
        <w:spacing w:after="0" w:line="3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color w:val="auto"/>
        </w:rPr>
        <w:t>There are a number of state, federal and international laws protecting the privacy and security of health information and personal data, including on electronic medical systems. As part of the American Recovery and Reinvestment Act 2009, or ARRA, Congress amended the privacy and security provisions of the Health Insurance Portability and Accountability Act of 1996, or HIPAA. HIPAA imposes limitations on the use and disclosure of an individual’s protected healthcare information by healthcare providers, healthcare clearinghouses, and health insurance plans, collectively referred to as covered entities. The HIPAA amendments also impose compliance obligations and corresponding penalties for non-compliance on individuals and entities that provide services to healthcare providers and other covered entities, collectively referred to as business associates. ARRA also made significant increases in the penalties for improper use or disclosure of an individual’s health information under HIPAA and extended enforcement authority to state attorneys general. The amendments also create notification requirements for individuals whose health information has been inappropriately accessed or disclosed: notification requirements to federal regulators and in some cases, notification to local and national media. Notification is not required under HIPAA if the health information that is improperly used or disclosed is deemed secured in accordance with encryption or other standards developed by HHS. Most states have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U.S. implicate local and national data protection standards, impose additional compliance requirements and generate additional risks of enforcement for non-compliance. We may be required to expend significant capital and other resources to ensure ongoing compliance with applicable privacy and data security laws, to protect against security breaches and hackers or to alleviate problems caused by such breaches.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Public health epidemics, pandemics or outbreaks, including the recent novel coronavirus pandemic (COVID-19), could adversely affect our business.</w:t>
      </w:r>
    </w:p>
    <w:p>
      <w:pPr>
        <w:spacing w:after="0" w:line="15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In December 2019, the novel coronavirus (“COVID-19”) was identified in Wuhan, China. The virus continues to spread globally, has been declared a pandemic by the World Health Organization and has spread to over 100 countries, including the United States. The COVID-19 outbreak is significantly affecting our employees, patients, communities and business operations, as well as the U.S. economy and financial markets. The full extent to which the COVID-19 outbreak will impact our business, results of operations, financial condition and cash flows will depend on future developments that are highly uncertain and cannot be accurately predicted, including new information that may emerge concerning COVID-19 and the actions to contain it or treat its impact and the economic impact on local, regional, national and international markets. As the COVID-19 pandemic continues, our results of operations, financial condition and cash flows are likely to be materially adversely affected, particularly if the pandemic persists for a significant amount of time.</w:t>
      </w:r>
    </w:p>
    <w:p>
      <w:pPr>
        <w:spacing w:after="0" w:line="125"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2"/>
          <w:szCs w:val="12"/>
          <w:color w:val="auto"/>
        </w:rPr>
        <w:t>COVID-19 or other public health epidemics, pandemics or outbreaks, and the resulting business or economic disruptions resulting therefrom, may adversely impact our business as well as our ability to raise capital. The impact of this pandemic has been and will likely continue to be extensive in many aspects of society, which has resulted in and will likely continue to result in significant disruptions to the global economy, as well as businesses and capital markets around the world.</w:t>
      </w:r>
    </w:p>
    <w:p>
      <w:pPr>
        <w:spacing w:after="0" w:line="119"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1"/>
          <w:szCs w:val="11"/>
          <w:color w:val="auto"/>
        </w:rPr>
        <w:t>While we cannot presently predict the scope and severity of any potential business shutdowns or disruptions, if we or any of our business partners, clinical trial sites, manufacturing sites and other third parties with whom we conduct business, were to experience shutdowns or other business disruptions, our ability to conduct our business in the manner and on the timelines presently planned could be materially and negatively impacted. While there was no meaningful impact on the timelines for top line data for the Phase III program, there have been certain changes in the conduct of our clinical trials depending on institution-, state- and country-specific restrictions such as stay at home requirements. The changes are consistent with the FDA’s and MHRA’s guidance regarding the conduct of clinical trials during the COVID-19 public health emergency. However, the changes in the way the trial is being conducted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77" w:right="299" w:bottom="1440" w:gutter="0" w:footer="0" w:header="0"/>
        </w:sectPr>
      </w:pPr>
    </w:p>
    <w:bookmarkStart w:id="51" w:name="page52"/>
    <w:bookmarkEnd w:id="51"/>
    <w:p>
      <w:pPr>
        <w:ind w:right="40"/>
        <w:spacing w:after="0" w:line="279" w:lineRule="auto"/>
        <w:rPr>
          <w:sz w:val="20"/>
          <w:szCs w:val="20"/>
          <w:color w:val="auto"/>
        </w:rPr>
      </w:pPr>
      <w:r>
        <w:rPr>
          <w:rFonts w:ascii="Times New Roman" w:cs="Times New Roman" w:eastAsia="Times New Roman" w:hAnsi="Times New Roman"/>
          <w:sz w:val="12"/>
          <w:szCs w:val="12"/>
          <w:color w:val="auto"/>
        </w:rPr>
        <w:t>may impact the quality and quantity of the overall data being collected (for example, certain study related procedures which need to be conducted at a clinical trial site may not be performed or be delayed) which may have implications for our future plans.</w:t>
      </w:r>
    </w:p>
    <w:p>
      <w:pPr>
        <w:spacing w:after="0" w:line="11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Several measures are currently being implemented by the United States and other governments to address the current COVID-19 pandemic and its economic impacts. At this time, it is impossible to predict the success of these measures and whether or not they will have unforeseen negative consequences for our business. In addition, our results of operations, financial position and cash flows may be adversely affected by federal or state laws, regulations, orders, or other governmental or regulatory actions addressing the current COVID-19 pandemic or the U.S. healthcare system, which, if adopted, could result in direct or indirect restrictions to our business, results of operations, financial condition and cash flow. For example, the State of California issued Executive Order N-33-20 on March 4, 2020 (the “Executive Order”), which proclaimed a State of Emergency to exist in California as a result of the threat of COVID-19. The Executive Order mandated that all our employees work from home and not come into our corporate offices in Redwood City, California. We currently do not know when and how such regulations may be eased.</w:t>
      </w:r>
    </w:p>
    <w:p>
      <w:pPr>
        <w:spacing w:after="0" w:line="125"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The foregoing and other continued disruptions to our business as a result of COVID-19 could result in a material adverse effect on our business, results of operations, financial condition and cash flows. Furthermore, the COVID-19 pandemic could heighten the risks in certain of the other risk factors described herein.</w:t>
      </w:r>
    </w:p>
    <w:p>
      <w:pPr>
        <w:spacing w:after="0" w:line="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have incurred and will continue to incur significant increased costs as a result of operating as a public company, and our management has devoted and will be required to continue to devote substantial time to new compliance initiatives.</w:t>
      </w:r>
    </w:p>
    <w:p>
      <w:pPr>
        <w:spacing w:after="0" w:line="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color w:val="auto"/>
        </w:rPr>
        <w:t>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The NASDAQ Capital Market, or NASDAQ. The expenses of being a public company are material, and compliance with the various reporting and other requirements applicable to public companies requires considerable time and attention of management. For example, the Sarbanes-Oxley Act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our Board committees, or as executive officers.</w:t>
      </w:r>
    </w:p>
    <w:p>
      <w:pPr>
        <w:spacing w:after="0" w:line="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or Section 404. We currently do not have an internal audit group, and we will need to hire additional accounting and financial staff with appropriate public company experience and technical accounting knowledge.</w:t>
      </w:r>
    </w:p>
    <w:p>
      <w:pPr>
        <w:spacing w:after="0" w:line="47"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2"/>
          <w:szCs w:val="12"/>
          <w:color w:val="auto"/>
        </w:rPr>
        <w:t>If we are not able to comply with the requirements of Section 404 in a timely manner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This, in turn, could have an adverse impact on trading prices for our common stock, and could adversely affect our ability to access the capital markets.</w:t>
      </w:r>
    </w:p>
    <w:p>
      <w:pPr>
        <w:spacing w:after="0" w:line="19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2"/>
          <w:szCs w:val="12"/>
          <w:b w:val="1"/>
          <w:bCs w:val="1"/>
          <w:color w:val="auto"/>
        </w:rPr>
        <w:t>Unregistered Sales of Equity Securities and Use of Proceeds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None.</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2"/>
          <w:szCs w:val="12"/>
          <w:b w:val="1"/>
          <w:bCs w:val="1"/>
          <w:color w:val="auto"/>
        </w:rPr>
        <w:t>Defaults Upon Senior Securities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None.</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2"/>
          <w:szCs w:val="12"/>
          <w:b w:val="1"/>
          <w:bCs w:val="1"/>
          <w:color w:val="auto"/>
        </w:rPr>
        <w:t>Mine Safety Disclosures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8947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59"/>
        </w:trPr>
        <w:tc>
          <w:tcPr>
            <w:tcW w:w="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5.</w:t>
            </w:r>
          </w:p>
        </w:tc>
        <w:tc>
          <w:tcPr>
            <w:tcW w:w="10900" w:type="dxa"/>
            <w:vAlign w:val="bottom"/>
          </w:tcPr>
          <w:p>
            <w:pPr>
              <w:ind w:left="580"/>
              <w:spacing w:after="0"/>
              <w:rPr>
                <w:sz w:val="20"/>
                <w:szCs w:val="20"/>
                <w:color w:val="auto"/>
              </w:rPr>
            </w:pPr>
            <w:r>
              <w:rPr>
                <w:rFonts w:ascii="Times New Roman" w:cs="Times New Roman" w:eastAsia="Times New Roman" w:hAnsi="Times New Roman"/>
                <w:sz w:val="12"/>
                <w:szCs w:val="12"/>
                <w:b w:val="1"/>
                <w:bCs w:val="1"/>
                <w:color w:val="auto"/>
              </w:rPr>
              <w:t>Other Information</w:t>
            </w:r>
          </w:p>
        </w:tc>
      </w:tr>
      <w:tr>
        <w:trPr>
          <w:trHeight w:val="360"/>
        </w:trPr>
        <w:tc>
          <w:tcPr>
            <w:tcW w:w="420" w:type="dxa"/>
            <w:vAlign w:val="bottom"/>
          </w:tcPr>
          <w:p>
            <w:pPr>
              <w:spacing w:after="0"/>
              <w:rPr>
                <w:sz w:val="24"/>
                <w:szCs w:val="24"/>
                <w:color w:val="auto"/>
              </w:rPr>
            </w:pPr>
          </w:p>
        </w:tc>
        <w:tc>
          <w:tcPr>
            <w:tcW w:w="109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None.</w:t>
            </w:r>
          </w:p>
        </w:tc>
      </w:tr>
      <w:tr>
        <w:trPr>
          <w:trHeight w:val="360"/>
        </w:trPr>
        <w:tc>
          <w:tcPr>
            <w:tcW w:w="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6.</w:t>
            </w:r>
          </w:p>
        </w:tc>
        <w:tc>
          <w:tcPr>
            <w:tcW w:w="10900" w:type="dxa"/>
            <w:vAlign w:val="bottom"/>
          </w:tcPr>
          <w:p>
            <w:pPr>
              <w:ind w:left="580"/>
              <w:spacing w:after="0"/>
              <w:rPr>
                <w:sz w:val="20"/>
                <w:szCs w:val="20"/>
                <w:color w:val="auto"/>
              </w:rPr>
            </w:pPr>
            <w:r>
              <w:rPr>
                <w:rFonts w:ascii="Times New Roman" w:cs="Times New Roman" w:eastAsia="Times New Roman" w:hAnsi="Times New Roman"/>
                <w:sz w:val="12"/>
                <w:szCs w:val="12"/>
                <w:b w:val="1"/>
                <w:bCs w:val="1"/>
                <w:color w:val="auto"/>
              </w:rPr>
              <w:t>Exhibits</w:t>
            </w:r>
          </w:p>
        </w:tc>
      </w:tr>
      <w:tr>
        <w:trPr>
          <w:trHeight w:val="360"/>
        </w:trPr>
        <w:tc>
          <w:tcPr>
            <w:tcW w:w="420" w:type="dxa"/>
            <w:vAlign w:val="bottom"/>
          </w:tcPr>
          <w:p>
            <w:pPr>
              <w:spacing w:after="0"/>
              <w:rPr>
                <w:sz w:val="24"/>
                <w:szCs w:val="24"/>
                <w:color w:val="auto"/>
              </w:rPr>
            </w:pPr>
          </w:p>
        </w:tc>
        <w:tc>
          <w:tcPr>
            <w:tcW w:w="109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See the Exhibit Index on the page immediately preceding the exhibits for a list of exhibits filed as part of this Quarterly Report on Form 10-Q, which Exhibit Index is incorporated herein by reference.</w:t>
            </w:r>
          </w:p>
        </w:tc>
      </w:tr>
      <w:tr>
        <w:trPr>
          <w:trHeight w:val="288"/>
        </w:trPr>
        <w:tc>
          <w:tcPr>
            <w:tcW w:w="420" w:type="dxa"/>
            <w:vAlign w:val="bottom"/>
          </w:tcPr>
          <w:p>
            <w:pPr>
              <w:spacing w:after="0"/>
              <w:rPr>
                <w:sz w:val="24"/>
                <w:szCs w:val="24"/>
                <w:color w:val="auto"/>
              </w:rPr>
            </w:pPr>
          </w:p>
        </w:tc>
        <w:tc>
          <w:tcPr>
            <w:tcW w:w="10900" w:type="dxa"/>
            <w:vAlign w:val="bottom"/>
          </w:tcPr>
          <w:p>
            <w:pPr>
              <w:ind w:left="5160"/>
              <w:spacing w:after="0"/>
              <w:rPr>
                <w:sz w:val="20"/>
                <w:szCs w:val="20"/>
                <w:color w:val="auto"/>
              </w:rPr>
            </w:pPr>
            <w:r>
              <w:rPr>
                <w:rFonts w:ascii="Times New Roman" w:cs="Times New Roman" w:eastAsia="Times New Roman" w:hAnsi="Times New Roman"/>
                <w:sz w:val="12"/>
                <w:szCs w:val="12"/>
                <w:color w:val="auto"/>
              </w:rPr>
              <w:t>53</w:t>
            </w:r>
          </w:p>
        </w:tc>
      </w:tr>
      <w:tr>
        <w:trPr>
          <w:trHeight w:val="72"/>
        </w:trPr>
        <w:tc>
          <w:tcPr>
            <w:tcW w:w="420" w:type="dxa"/>
            <w:vAlign w:val="bottom"/>
            <w:tcBorders>
              <w:bottom w:val="single" w:sz="8" w:color="9A9A9A"/>
            </w:tcBorders>
          </w:tcPr>
          <w:p>
            <w:pPr>
              <w:spacing w:after="0"/>
              <w:rPr>
                <w:sz w:val="6"/>
                <w:szCs w:val="6"/>
                <w:color w:val="auto"/>
              </w:rPr>
            </w:pPr>
          </w:p>
        </w:tc>
        <w:tc>
          <w:tcPr>
            <w:tcW w:w="109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485" w:right="279" w:bottom="1440" w:gutter="0" w:footer="0" w:header="0"/>
        </w:sectPr>
      </w:pPr>
    </w:p>
    <w:bookmarkStart w:id="53" w:name="page54"/>
    <w:bookmarkEnd w:id="53"/>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EXHIBIT INDEX</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4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0"/>
                <w:szCs w:val="10"/>
                <w:b w:val="1"/>
                <w:bCs w:val="1"/>
                <w:color w:val="auto"/>
                <w:w w:val="96"/>
              </w:rPr>
              <w:t>Incorporated by Reference from</w:t>
            </w: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4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220" w:type="dxa"/>
            <w:vAlign w:val="bottom"/>
            <w:gridSpan w:val="5"/>
            <w:vMerge w:val="restart"/>
          </w:tcPr>
          <w:p>
            <w:pPr>
              <w:ind w:left="1560"/>
              <w:spacing w:after="0"/>
              <w:rPr>
                <w:sz w:val="20"/>
                <w:szCs w:val="20"/>
                <w:color w:val="auto"/>
              </w:rPr>
            </w:pPr>
            <w:r>
              <w:rPr>
                <w:rFonts w:ascii="Times New Roman" w:cs="Times New Roman" w:eastAsia="Times New Roman" w:hAnsi="Times New Roman"/>
                <w:sz w:val="10"/>
                <w:szCs w:val="10"/>
                <w:b w:val="1"/>
                <w:bCs w:val="1"/>
                <w:color w:val="auto"/>
              </w:rPr>
              <w:t>Description of Document</w:t>
            </w:r>
          </w:p>
        </w:tc>
        <w:tc>
          <w:tcPr>
            <w:tcW w:w="120" w:type="dxa"/>
            <w:vAlign w:val="bottom"/>
            <w:vMerge w:val="restart"/>
          </w:tcPr>
          <w:p>
            <w:pPr>
              <w:spacing w:after="0"/>
              <w:rPr>
                <w:sz w:val="6"/>
                <w:szCs w:val="6"/>
                <w:color w:val="auto"/>
              </w:rPr>
            </w:pPr>
          </w:p>
        </w:tc>
        <w:tc>
          <w:tcPr>
            <w:tcW w:w="1260" w:type="dxa"/>
            <w:vAlign w:val="bottom"/>
            <w:gridSpan w:val="2"/>
          </w:tcPr>
          <w:p>
            <w:pPr>
              <w:jc w:val="center"/>
              <w:ind w:right="120"/>
              <w:spacing w:after="0" w:line="72" w:lineRule="exact"/>
              <w:rPr>
                <w:sz w:val="20"/>
                <w:szCs w:val="20"/>
                <w:color w:val="auto"/>
              </w:rPr>
            </w:pPr>
            <w:r>
              <w:rPr>
                <w:rFonts w:ascii="Times New Roman" w:cs="Times New Roman" w:eastAsia="Times New Roman" w:hAnsi="Times New Roman"/>
                <w:sz w:val="8"/>
                <w:szCs w:val="8"/>
                <w:b w:val="1"/>
                <w:bCs w:val="1"/>
                <w:color w:val="auto"/>
              </w:rPr>
              <w:t>Registrant’s</w:t>
            </w:r>
          </w:p>
        </w:tc>
        <w:tc>
          <w:tcPr>
            <w:tcW w:w="2140" w:type="dxa"/>
            <w:vAlign w:val="bottom"/>
            <w:gridSpan w:val="3"/>
          </w:tcPr>
          <w:p>
            <w:pPr>
              <w:jc w:val="center"/>
              <w:ind w:right="440"/>
              <w:spacing w:after="0" w:line="72" w:lineRule="exact"/>
              <w:rPr>
                <w:sz w:val="20"/>
                <w:szCs w:val="20"/>
                <w:color w:val="auto"/>
              </w:rPr>
            </w:pPr>
            <w:r>
              <w:rPr>
                <w:rFonts w:ascii="Times New Roman" w:cs="Times New Roman" w:eastAsia="Times New Roman" w:hAnsi="Times New Roman"/>
                <w:sz w:val="8"/>
                <w:szCs w:val="8"/>
                <w:b w:val="1"/>
                <w:bCs w:val="1"/>
                <w:color w:val="auto"/>
              </w:rPr>
              <w:t>Date Filed</w:t>
            </w:r>
          </w:p>
        </w:tc>
        <w:tc>
          <w:tcPr>
            <w:tcW w:w="900" w:type="dxa"/>
            <w:vAlign w:val="bottom"/>
            <w:gridSpan w:val="2"/>
          </w:tcPr>
          <w:p>
            <w:pPr>
              <w:jc w:val="center"/>
              <w:ind w:right="480"/>
              <w:spacing w:after="0" w:line="72" w:lineRule="exact"/>
              <w:rPr>
                <w:sz w:val="20"/>
                <w:szCs w:val="20"/>
                <w:color w:val="auto"/>
              </w:rPr>
            </w:pPr>
            <w:r>
              <w:rPr>
                <w:rFonts w:ascii="Times New Roman" w:cs="Times New Roman" w:eastAsia="Times New Roman" w:hAnsi="Times New Roman"/>
                <w:sz w:val="8"/>
                <w:szCs w:val="8"/>
                <w:b w:val="1"/>
                <w:bCs w:val="1"/>
                <w:color w:val="auto"/>
              </w:rPr>
              <w:t>Exhibit</w:t>
            </w:r>
          </w:p>
        </w:tc>
        <w:tc>
          <w:tcPr>
            <w:tcW w:w="112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Filed</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gridSpan w:val="5"/>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Form</w:t>
            </w:r>
          </w:p>
        </w:tc>
        <w:tc>
          <w:tcPr>
            <w:tcW w:w="120" w:type="dxa"/>
            <w:vAlign w:val="bottom"/>
          </w:tcPr>
          <w:p>
            <w:pPr>
              <w:spacing w:after="0"/>
              <w:rPr>
                <w:sz w:val="10"/>
                <w:szCs w:val="1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with the SEC</w:t>
            </w:r>
          </w:p>
        </w:tc>
        <w:tc>
          <w:tcPr>
            <w:tcW w:w="1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315"/>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120" w:type="dxa"/>
            <w:vAlign w:val="bottom"/>
          </w:tcPr>
          <w:p>
            <w:pPr>
              <w:spacing w:after="0"/>
              <w:rPr>
                <w:sz w:val="10"/>
                <w:szCs w:val="1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Herewith</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3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31.1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20" w:type="dxa"/>
            <w:vAlign w:val="bottom"/>
            <w:tcBorders>
              <w:bottom w:val="single" w:sz="8" w:color="0000EE"/>
            </w:tcBorders>
            <w:gridSpan w:val="3"/>
          </w:tcPr>
          <w:p>
            <w:pPr>
              <w:spacing w:after="0"/>
              <w:rPr>
                <w:rFonts w:ascii="Times New Roman" w:cs="Times New Roman" w:eastAsia="Times New Roman" w:hAnsi="Times New Roman"/>
                <w:sz w:val="12"/>
                <w:szCs w:val="12"/>
                <w:color w:val="0000EE"/>
              </w:rPr>
            </w:pPr>
            <w:hyperlink w:anchor="page56">
              <w:r>
                <w:rPr>
                  <w:rFonts w:ascii="Times New Roman" w:cs="Times New Roman" w:eastAsia="Times New Roman" w:hAnsi="Times New Roman"/>
                  <w:sz w:val="12"/>
                  <w:szCs w:val="12"/>
                  <w:color w:val="0000EE"/>
                </w:rPr>
                <w:t>Certification of Principal Executive Officer Required Under Rule 13a-14(a) and 15d-</w:t>
              </w:r>
            </w:hyperlink>
          </w:p>
        </w:tc>
        <w:tc>
          <w:tcPr>
            <w:tcW w:w="220" w:type="dxa"/>
            <w:vAlign w:val="bottom"/>
            <w:gridSpan w:val="3"/>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X</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0" w:type="dxa"/>
            <w:vAlign w:val="bottom"/>
            <w:tcBorders>
              <w:bottom w:val="single" w:sz="8" w:color="0000EE"/>
            </w:tcBorders>
          </w:tcPr>
          <w:p>
            <w:pPr>
              <w:spacing w:after="0" w:line="124" w:lineRule="exact"/>
              <w:rPr>
                <w:rFonts w:ascii="Times New Roman" w:cs="Times New Roman" w:eastAsia="Times New Roman" w:hAnsi="Times New Roman"/>
                <w:sz w:val="12"/>
                <w:szCs w:val="12"/>
                <w:color w:val="0000EE"/>
                <w:w w:val="99"/>
              </w:rPr>
            </w:pPr>
            <w:hyperlink w:anchor="page56">
              <w:r>
                <w:rPr>
                  <w:rFonts w:ascii="Times New Roman" w:cs="Times New Roman" w:eastAsia="Times New Roman" w:hAnsi="Times New Roman"/>
                  <w:sz w:val="12"/>
                  <w:szCs w:val="12"/>
                  <w:color w:val="0000EE"/>
                  <w:w w:val="99"/>
                </w:rPr>
                <w:t>14(a) of the Securities and Exchange Act of 1934, as amended</w:t>
              </w:r>
            </w:hyperlink>
          </w:p>
        </w:tc>
        <w:tc>
          <w:tcPr>
            <w:tcW w:w="1340" w:type="dxa"/>
            <w:vAlign w:val="bottom"/>
            <w:gridSpan w:val="5"/>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3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31.2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40" w:type="dxa"/>
            <w:vAlign w:val="bottom"/>
            <w:gridSpan w:val="6"/>
          </w:tcPr>
          <w:p>
            <w:pPr>
              <w:spacing w:after="0"/>
              <w:rPr>
                <w:rFonts w:ascii="Times New Roman" w:cs="Times New Roman" w:eastAsia="Times New Roman" w:hAnsi="Times New Roman"/>
                <w:sz w:val="12"/>
                <w:szCs w:val="12"/>
                <w:color w:val="0000EE"/>
              </w:rPr>
            </w:pPr>
            <w:hyperlink w:anchor="page57">
              <w:r>
                <w:rPr>
                  <w:rFonts w:ascii="Times New Roman" w:cs="Times New Roman" w:eastAsia="Times New Roman" w:hAnsi="Times New Roman"/>
                  <w:sz w:val="12"/>
                  <w:szCs w:val="12"/>
                  <w:color w:val="0000EE"/>
                </w:rPr>
                <w:t>Certification of Principal Financial and Accounting Officer Required Under Rule 13a-</w:t>
              </w:r>
            </w:hyperlink>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40" w:type="dxa"/>
            <w:vAlign w:val="bottom"/>
            <w:tcBorders>
              <w:top w:val="single" w:sz="8" w:color="0000EE"/>
            </w:tcBorders>
            <w:gridSpan w:val="4"/>
          </w:tcPr>
          <w:p>
            <w:pPr>
              <w:spacing w:after="0"/>
              <w:rPr>
                <w:rFonts w:ascii="Times New Roman" w:cs="Times New Roman" w:eastAsia="Times New Roman" w:hAnsi="Times New Roman"/>
                <w:sz w:val="12"/>
                <w:szCs w:val="12"/>
                <w:u w:val="single" w:color="auto"/>
                <w:color w:val="0000EE"/>
              </w:rPr>
            </w:pPr>
            <w:hyperlink w:anchor="page57">
              <w:r>
                <w:rPr>
                  <w:rFonts w:ascii="Times New Roman" w:cs="Times New Roman" w:eastAsia="Times New Roman" w:hAnsi="Times New Roman"/>
                  <w:sz w:val="12"/>
                  <w:szCs w:val="12"/>
                  <w:u w:val="single" w:color="auto"/>
                  <w:color w:val="0000EE"/>
                </w:rPr>
                <w:t>14(a) and 15d-14(a) of the Securities and Exchange Act of 1934, as amended</w:t>
              </w:r>
            </w:hyperlink>
          </w:p>
        </w:tc>
        <w:tc>
          <w:tcPr>
            <w:tcW w:w="20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3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32.1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40" w:type="dxa"/>
            <w:vAlign w:val="bottom"/>
            <w:gridSpan w:val="6"/>
          </w:tcPr>
          <w:p>
            <w:pPr>
              <w:spacing w:after="0"/>
              <w:rPr>
                <w:rFonts w:ascii="Times New Roman" w:cs="Times New Roman" w:eastAsia="Times New Roman" w:hAnsi="Times New Roman"/>
                <w:sz w:val="12"/>
                <w:szCs w:val="12"/>
                <w:color w:val="0000EE"/>
              </w:rPr>
            </w:pPr>
            <w:hyperlink w:anchor="page58">
              <w:r>
                <w:rPr>
                  <w:rFonts w:ascii="Times New Roman" w:cs="Times New Roman" w:eastAsia="Times New Roman" w:hAnsi="Times New Roman"/>
                  <w:sz w:val="12"/>
                  <w:szCs w:val="12"/>
                  <w:color w:val="0000EE"/>
                </w:rPr>
                <w:t>Certification of Principal Executive Officer Required Under Rule 13a-14(b) of the</w:t>
              </w:r>
            </w:hyperlink>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40" w:type="dxa"/>
            <w:vAlign w:val="bottom"/>
            <w:tcBorders>
              <w:top w:val="single" w:sz="8" w:color="0000EE"/>
            </w:tcBorders>
            <w:gridSpan w:val="2"/>
          </w:tcPr>
          <w:p>
            <w:pPr>
              <w:spacing w:after="0"/>
              <w:rPr>
                <w:rFonts w:ascii="Times New Roman" w:cs="Times New Roman" w:eastAsia="Times New Roman" w:hAnsi="Times New Roman"/>
                <w:sz w:val="12"/>
                <w:szCs w:val="12"/>
                <w:u w:val="single" w:color="auto"/>
                <w:color w:val="0000EE"/>
              </w:rPr>
            </w:pPr>
            <w:hyperlink w:anchor="page58">
              <w:r>
                <w:rPr>
                  <w:rFonts w:ascii="Times New Roman" w:cs="Times New Roman" w:eastAsia="Times New Roman" w:hAnsi="Times New Roman"/>
                  <w:sz w:val="12"/>
                  <w:szCs w:val="12"/>
                  <w:u w:val="single" w:color="auto"/>
                  <w:color w:val="0000EE"/>
                </w:rPr>
                <w:t>Securities and Exchange Act of 1934, as amended, and 18 U.S.C. §1350</w:t>
              </w:r>
            </w:hyperlink>
          </w:p>
        </w:tc>
        <w:tc>
          <w:tcPr>
            <w:tcW w:w="400" w:type="dxa"/>
            <w:vAlign w:val="bottom"/>
            <w:gridSpan w:val="4"/>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3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32.2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40" w:type="dxa"/>
            <w:vAlign w:val="bottom"/>
            <w:gridSpan w:val="6"/>
          </w:tcPr>
          <w:p>
            <w:pPr>
              <w:spacing w:after="0"/>
              <w:rPr>
                <w:rFonts w:ascii="Times New Roman" w:cs="Times New Roman" w:eastAsia="Times New Roman" w:hAnsi="Times New Roman"/>
                <w:sz w:val="12"/>
                <w:szCs w:val="12"/>
                <w:color w:val="0000EE"/>
              </w:rPr>
            </w:pPr>
            <w:hyperlink w:anchor="page59">
              <w:r>
                <w:rPr>
                  <w:rFonts w:ascii="Times New Roman" w:cs="Times New Roman" w:eastAsia="Times New Roman" w:hAnsi="Times New Roman"/>
                  <w:sz w:val="12"/>
                  <w:szCs w:val="12"/>
                  <w:color w:val="0000EE"/>
                </w:rPr>
                <w:t>Certification of Principal Financial and Accounting Officer Required Under Rule 13a-</w:t>
              </w:r>
            </w:hyperlink>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40" w:type="dxa"/>
            <w:vAlign w:val="bottom"/>
            <w:tcBorders>
              <w:top w:val="single" w:sz="8" w:color="0000EE"/>
            </w:tcBorders>
            <w:gridSpan w:val="4"/>
          </w:tcPr>
          <w:p>
            <w:pPr>
              <w:spacing w:after="0"/>
              <w:rPr>
                <w:rFonts w:ascii="Times New Roman" w:cs="Times New Roman" w:eastAsia="Times New Roman" w:hAnsi="Times New Roman"/>
                <w:sz w:val="12"/>
                <w:szCs w:val="12"/>
                <w:u w:val="single" w:color="auto"/>
                <w:color w:val="0000EE"/>
              </w:rPr>
            </w:pPr>
            <w:hyperlink w:anchor="page59">
              <w:r>
                <w:rPr>
                  <w:rFonts w:ascii="Times New Roman" w:cs="Times New Roman" w:eastAsia="Times New Roman" w:hAnsi="Times New Roman"/>
                  <w:sz w:val="12"/>
                  <w:szCs w:val="12"/>
                  <w:u w:val="single" w:color="auto"/>
                  <w:color w:val="0000EE"/>
                </w:rPr>
                <w:t>14(b) of the Securities and Exchange Act of 1934, as amended, and 18 U.S.C. §1350</w:t>
              </w:r>
            </w:hyperlink>
          </w:p>
        </w:tc>
        <w:tc>
          <w:tcPr>
            <w:tcW w:w="20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101.INS</w:t>
            </w:r>
          </w:p>
        </w:tc>
        <w:tc>
          <w:tcPr>
            <w:tcW w:w="80" w:type="dxa"/>
            <w:vAlign w:val="bottom"/>
          </w:tcPr>
          <w:p>
            <w:pPr>
              <w:spacing w:after="0"/>
              <w:rPr>
                <w:sz w:val="19"/>
                <w:szCs w:val="19"/>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XBRL Instance Document.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101.SCH</w:t>
            </w:r>
          </w:p>
        </w:tc>
        <w:tc>
          <w:tcPr>
            <w:tcW w:w="80" w:type="dxa"/>
            <w:vAlign w:val="bottom"/>
          </w:tcPr>
          <w:p>
            <w:pPr>
              <w:spacing w:after="0"/>
              <w:rPr>
                <w:sz w:val="19"/>
                <w:szCs w:val="19"/>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XBRL Taxonomy Extension Schema Document.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101.CAL</w:t>
            </w:r>
          </w:p>
        </w:tc>
        <w:tc>
          <w:tcPr>
            <w:tcW w:w="80" w:type="dxa"/>
            <w:vAlign w:val="bottom"/>
          </w:tcPr>
          <w:p>
            <w:pPr>
              <w:spacing w:after="0"/>
              <w:rPr>
                <w:sz w:val="19"/>
                <w:szCs w:val="19"/>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XBRL Taxonomy Extension Calculation Linkbase Document.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101.DEF</w:t>
            </w:r>
          </w:p>
        </w:tc>
        <w:tc>
          <w:tcPr>
            <w:tcW w:w="80" w:type="dxa"/>
            <w:vAlign w:val="bottom"/>
          </w:tcPr>
          <w:p>
            <w:pPr>
              <w:spacing w:after="0"/>
              <w:rPr>
                <w:sz w:val="19"/>
                <w:szCs w:val="19"/>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XBRL Taxonomy Extension Definition Linkbase Document.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101.LAB</w:t>
            </w:r>
          </w:p>
        </w:tc>
        <w:tc>
          <w:tcPr>
            <w:tcW w:w="80" w:type="dxa"/>
            <w:vAlign w:val="bottom"/>
          </w:tcPr>
          <w:p>
            <w:pPr>
              <w:spacing w:after="0"/>
              <w:rPr>
                <w:sz w:val="19"/>
                <w:szCs w:val="19"/>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XBRL Taxonomy Extension Label Linkbase Document.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101.PRE</w:t>
            </w:r>
          </w:p>
        </w:tc>
        <w:tc>
          <w:tcPr>
            <w:tcW w:w="80" w:type="dxa"/>
            <w:vAlign w:val="bottom"/>
          </w:tcPr>
          <w:p>
            <w:pPr>
              <w:spacing w:after="0"/>
              <w:rPr>
                <w:sz w:val="19"/>
                <w:szCs w:val="19"/>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XBRL Taxonomy Extension Presentation Linkbase Document.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gridSpan w:val="6"/>
          </w:tcPr>
          <w:p>
            <w:pPr>
              <w:jc w:val="right"/>
              <w:ind w:right="60"/>
              <w:spacing w:after="0"/>
              <w:rPr>
                <w:sz w:val="20"/>
                <w:szCs w:val="20"/>
                <w:color w:val="auto"/>
              </w:rPr>
            </w:pPr>
            <w:r>
              <w:rPr>
                <w:rFonts w:ascii="Times New Roman" w:cs="Times New Roman" w:eastAsia="Times New Roman" w:hAnsi="Times New Roman"/>
                <w:sz w:val="12"/>
                <w:szCs w:val="12"/>
                <w:color w:val="auto"/>
              </w:rPr>
              <w:t>54</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3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00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69" w:right="279" w:bottom="1440" w:gutter="0" w:footer="0" w:header="0"/>
        </w:sectPr>
      </w:pPr>
    </w:p>
    <w:bookmarkStart w:id="54" w:name="page55"/>
    <w:bookmarkEnd w:id="54"/>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46"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12"/>
          <w:szCs w:val="12"/>
          <w:color w:val="auto"/>
        </w:rPr>
        <w:t>Date: November 10, 2020</w:t>
      </w:r>
      <w:r>
        <w:rPr>
          <w:sz w:val="20"/>
          <w:szCs w:val="20"/>
          <w:color w:val="auto"/>
        </w:rPr>
        <w:tab/>
      </w:r>
      <w:r>
        <w:rPr>
          <w:rFonts w:ascii="Times New Roman" w:cs="Times New Roman" w:eastAsia="Times New Roman" w:hAnsi="Times New Roman"/>
          <w:sz w:val="12"/>
          <w:szCs w:val="12"/>
          <w:b w:val="1"/>
          <w:bCs w:val="1"/>
          <w:color w:val="auto"/>
        </w:rPr>
        <w:t>SOLENO THERAPEUTICS, INC.</w:t>
      </w:r>
    </w:p>
    <w:p>
      <w:pPr>
        <w:spacing w:after="0" w:line="154" w:lineRule="exact"/>
        <w:rPr>
          <w:sz w:val="20"/>
          <w:szCs w:val="20"/>
          <w:color w:val="auto"/>
        </w:rPr>
      </w:pPr>
    </w:p>
    <w:p>
      <w:pPr>
        <w:ind w:left="5080"/>
        <w:spacing w:after="0"/>
        <w:tabs>
          <w:tab w:leader="none" w:pos="5400" w:val="left"/>
        </w:tabs>
        <w:rPr>
          <w:sz w:val="20"/>
          <w:szCs w:val="20"/>
          <w:color w:val="auto"/>
        </w:rPr>
      </w:pPr>
      <w:r>
        <w:rPr>
          <w:rFonts w:ascii="Times New Roman" w:cs="Times New Roman" w:eastAsia="Times New Roman" w:hAnsi="Times New Roman"/>
          <w:sz w:val="12"/>
          <w:szCs w:val="12"/>
          <w:color w:val="auto"/>
        </w:rPr>
        <w:t>By:</w:t>
        <w:tab/>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3441065</wp:posOffset>
            </wp:positionH>
            <wp:positionV relativeFrom="paragraph">
              <wp:posOffset>10795</wp:posOffset>
            </wp:positionV>
            <wp:extent cx="373189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731895" cy="5715"/>
                    </a:xfrm>
                    <a:prstGeom prst="rect">
                      <a:avLst/>
                    </a:prstGeom>
                    <a:noFill/>
                  </pic:spPr>
                </pic:pic>
              </a:graphicData>
            </a:graphic>
          </wp:anchor>
        </w:drawing>
      </w:r>
    </w:p>
    <w:p>
      <w:pPr>
        <w:ind w:left="5420"/>
        <w:spacing w:after="0"/>
        <w:rPr>
          <w:sz w:val="20"/>
          <w:szCs w:val="20"/>
          <w:color w:val="auto"/>
        </w:rPr>
      </w:pPr>
      <w:r>
        <w:rPr>
          <w:rFonts w:ascii="Times New Roman" w:cs="Times New Roman" w:eastAsia="Times New Roman" w:hAnsi="Times New Roman"/>
          <w:sz w:val="12"/>
          <w:szCs w:val="12"/>
          <w:color w:val="auto"/>
        </w:rPr>
        <w:t>James Mackaness</w:t>
      </w:r>
    </w:p>
    <w:p>
      <w:pPr>
        <w:spacing w:after="0" w:line="1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2"/>
          <w:szCs w:val="12"/>
          <w:b w:val="1"/>
          <w:bCs w:val="1"/>
          <w:color w:val="auto"/>
        </w:rPr>
        <w:t>(authorized officer and principal financial and</w:t>
      </w:r>
    </w:p>
    <w:p>
      <w:pPr>
        <w:spacing w:after="0" w:line="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2"/>
          <w:szCs w:val="12"/>
          <w:b w:val="1"/>
          <w:bCs w:val="1"/>
          <w:color w:val="auto"/>
        </w:rPr>
        <w:t>accounting officer)</w:t>
      </w:r>
    </w:p>
    <w:p>
      <w:pPr>
        <w:spacing w:after="0" w:line="2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55</w:t>
      </w:r>
    </w:p>
    <w:p>
      <w:pPr>
        <w:sectPr>
          <w:pgSz w:w="11900" w:h="16838" w:orient="portrait"/>
          <w:cols w:equalWidth="0" w:num="1">
            <w:col w:w="10159"/>
          </w:cols>
          <w:pgMar w:left="300" w:top="278" w:right="1440"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THE CHIEF EXECUTIVE OFFICER</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RULES 13A-14(A) AND 15D-14(A)</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Anish Bhatnagar, M.D., certify that:</w:t>
      </w:r>
    </w:p>
    <w:p>
      <w:pPr>
        <w:spacing w:after="0" w:line="150" w:lineRule="exact"/>
        <w:rPr>
          <w:sz w:val="20"/>
          <w:szCs w:val="20"/>
          <w:color w:val="auto"/>
        </w:rPr>
      </w:pPr>
    </w:p>
    <w:p>
      <w:pPr>
        <w:ind w:left="128" w:hanging="128"/>
        <w:spacing w:after="0"/>
        <w:tabs>
          <w:tab w:leader="none" w:pos="12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Soleno Therapeutics, Inc.;</w:t>
      </w:r>
    </w:p>
    <w:p>
      <w:pPr>
        <w:spacing w:after="0" w:line="150" w:lineRule="exact"/>
        <w:rPr>
          <w:rFonts w:ascii="Times New Roman" w:cs="Times New Roman" w:eastAsia="Times New Roman" w:hAnsi="Times New Roman"/>
          <w:sz w:val="12"/>
          <w:szCs w:val="12"/>
          <w:color w:val="auto"/>
        </w:rPr>
      </w:pPr>
    </w:p>
    <w:p>
      <w:pPr>
        <w:ind w:left="8" w:right="280" w:hanging="8"/>
        <w:spacing w:after="0" w:line="279" w:lineRule="auto"/>
        <w:tabs>
          <w:tab w:leader="none" w:pos="12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left="8" w:right="200" w:hanging="8"/>
        <w:spacing w:after="0" w:line="279" w:lineRule="auto"/>
        <w:tabs>
          <w:tab w:leader="none" w:pos="12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8" w:right="300" w:hanging="8"/>
        <w:spacing w:after="0" w:line="279" w:lineRule="auto"/>
        <w:tabs>
          <w:tab w:leader="none" w:pos="12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2"/>
          <w:szCs w:val="12"/>
          <w:color w:val="auto"/>
        </w:rPr>
      </w:pPr>
    </w:p>
    <w:p>
      <w:pPr>
        <w:ind w:left="508" w:right="420" w:firstLine="5"/>
        <w:spacing w:after="0" w:line="279" w:lineRule="auto"/>
        <w:tabs>
          <w:tab w:leader="none" w:pos="671"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2"/>
          <w:szCs w:val="12"/>
          <w:color w:val="auto"/>
        </w:rPr>
      </w:pPr>
    </w:p>
    <w:p>
      <w:pPr>
        <w:ind w:left="508" w:right="160" w:firstLine="5"/>
        <w:spacing w:after="0" w:line="279" w:lineRule="auto"/>
        <w:tabs>
          <w:tab w:leader="none" w:pos="678"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2"/>
          <w:szCs w:val="12"/>
          <w:color w:val="auto"/>
        </w:rPr>
      </w:pPr>
    </w:p>
    <w:p>
      <w:pPr>
        <w:ind w:left="508" w:right="200" w:firstLine="5"/>
        <w:spacing w:after="0" w:line="279" w:lineRule="auto"/>
        <w:tabs>
          <w:tab w:leader="none" w:pos="671"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2"/>
          <w:szCs w:val="12"/>
          <w:color w:val="auto"/>
        </w:rPr>
      </w:pPr>
    </w:p>
    <w:p>
      <w:pPr>
        <w:ind w:left="508" w:right="240" w:firstLine="5"/>
        <w:spacing w:after="0" w:line="279" w:lineRule="auto"/>
        <w:tabs>
          <w:tab w:leader="none" w:pos="678"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2"/>
          <w:szCs w:val="12"/>
          <w:color w:val="auto"/>
        </w:rPr>
      </w:pPr>
    </w:p>
    <w:p>
      <w:pPr>
        <w:ind w:left="8" w:right="100" w:hanging="8"/>
        <w:spacing w:after="0" w:line="279" w:lineRule="auto"/>
        <w:tabs>
          <w:tab w:leader="none" w:pos="12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2"/>
          <w:szCs w:val="12"/>
          <w:color w:val="auto"/>
        </w:rPr>
      </w:pPr>
    </w:p>
    <w:p>
      <w:pPr>
        <w:ind w:left="508" w:right="560" w:firstLine="5"/>
        <w:spacing w:after="0" w:line="279" w:lineRule="auto"/>
        <w:tabs>
          <w:tab w:leader="none" w:pos="671"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2"/>
          <w:szCs w:val="12"/>
          <w:color w:val="auto"/>
        </w:rPr>
      </w:pPr>
    </w:p>
    <w:p>
      <w:pPr>
        <w:ind w:left="688" w:hanging="175"/>
        <w:spacing w:after="0"/>
        <w:tabs>
          <w:tab w:leader="none" w:pos="688"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November 10, 2020</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 Anish Bhatnagar</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164592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45920" cy="571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2"/>
          <w:szCs w:val="12"/>
          <w:color w:val="auto"/>
        </w:rPr>
        <w:t>President, Chief Executive Officer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(principal executive officer)</w:t>
      </w:r>
    </w:p>
    <w:p>
      <w:pPr>
        <w:sectPr>
          <w:pgSz w:w="11900" w:h="16838" w:orient="portrait"/>
          <w:cols w:equalWidth="0" w:num="1">
            <w:col w:w="11308"/>
          </w:cols>
          <w:pgMar w:left="292" w:top="269" w:right="2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THE CHIEF EXECUTIVE OFFICER</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RULES 13A-14(A) AND 15D-14(A)</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James Mackaness, certify that:</w:t>
      </w:r>
    </w:p>
    <w:p>
      <w:pPr>
        <w:spacing w:after="0" w:line="150" w:lineRule="exact"/>
        <w:rPr>
          <w:sz w:val="20"/>
          <w:szCs w:val="20"/>
          <w:color w:val="auto"/>
        </w:rPr>
      </w:pPr>
    </w:p>
    <w:p>
      <w:pPr>
        <w:ind w:left="128" w:hanging="128"/>
        <w:spacing w:after="0"/>
        <w:tabs>
          <w:tab w:leader="none" w:pos="128"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Soleno Therapeutics, Inc.;</w:t>
      </w:r>
    </w:p>
    <w:p>
      <w:pPr>
        <w:spacing w:after="0" w:line="150" w:lineRule="exact"/>
        <w:rPr>
          <w:rFonts w:ascii="Times New Roman" w:cs="Times New Roman" w:eastAsia="Times New Roman" w:hAnsi="Times New Roman"/>
          <w:sz w:val="12"/>
          <w:szCs w:val="12"/>
          <w:color w:val="auto"/>
        </w:rPr>
      </w:pPr>
    </w:p>
    <w:p>
      <w:pPr>
        <w:ind w:left="8" w:right="280" w:hanging="8"/>
        <w:spacing w:after="0" w:line="279" w:lineRule="auto"/>
        <w:tabs>
          <w:tab w:leader="none" w:pos="128"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left="8" w:right="200" w:hanging="8"/>
        <w:spacing w:after="0" w:line="279" w:lineRule="auto"/>
        <w:tabs>
          <w:tab w:leader="none" w:pos="128"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8" w:right="300" w:hanging="8"/>
        <w:spacing w:after="0" w:line="279" w:lineRule="auto"/>
        <w:tabs>
          <w:tab w:leader="none" w:pos="128"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2"/>
          <w:szCs w:val="12"/>
          <w:color w:val="auto"/>
        </w:rPr>
      </w:pPr>
    </w:p>
    <w:p>
      <w:pPr>
        <w:ind w:left="508" w:right="420" w:firstLine="5"/>
        <w:spacing w:after="0" w:line="279" w:lineRule="auto"/>
        <w:tabs>
          <w:tab w:leader="none" w:pos="671"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2"/>
          <w:szCs w:val="12"/>
          <w:color w:val="auto"/>
        </w:rPr>
      </w:pPr>
    </w:p>
    <w:p>
      <w:pPr>
        <w:ind w:left="508" w:right="160" w:firstLine="5"/>
        <w:spacing w:after="0" w:line="279" w:lineRule="auto"/>
        <w:tabs>
          <w:tab w:leader="none" w:pos="678"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2"/>
          <w:szCs w:val="12"/>
          <w:color w:val="auto"/>
        </w:rPr>
      </w:pPr>
    </w:p>
    <w:p>
      <w:pPr>
        <w:ind w:left="508" w:right="200" w:firstLine="5"/>
        <w:spacing w:after="0" w:line="279" w:lineRule="auto"/>
        <w:tabs>
          <w:tab w:leader="none" w:pos="671"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2"/>
          <w:szCs w:val="12"/>
          <w:color w:val="auto"/>
        </w:rPr>
      </w:pPr>
    </w:p>
    <w:p>
      <w:pPr>
        <w:ind w:left="508" w:right="240" w:firstLine="5"/>
        <w:spacing w:after="0" w:line="279" w:lineRule="auto"/>
        <w:tabs>
          <w:tab w:leader="none" w:pos="678"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2"/>
          <w:szCs w:val="12"/>
          <w:color w:val="auto"/>
        </w:rPr>
      </w:pPr>
    </w:p>
    <w:p>
      <w:pPr>
        <w:ind w:left="8" w:right="100" w:hanging="8"/>
        <w:spacing w:after="0" w:line="279" w:lineRule="auto"/>
        <w:tabs>
          <w:tab w:leader="none" w:pos="128"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2"/>
          <w:szCs w:val="12"/>
          <w:color w:val="auto"/>
        </w:rPr>
      </w:pPr>
    </w:p>
    <w:p>
      <w:pPr>
        <w:ind w:left="508" w:right="560" w:firstLine="5"/>
        <w:spacing w:after="0" w:line="279" w:lineRule="auto"/>
        <w:tabs>
          <w:tab w:leader="none" w:pos="671"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2"/>
          <w:szCs w:val="12"/>
          <w:color w:val="auto"/>
        </w:rPr>
      </w:pPr>
    </w:p>
    <w:p>
      <w:pPr>
        <w:ind w:left="688" w:hanging="175"/>
        <w:spacing w:after="0"/>
        <w:tabs>
          <w:tab w:leader="none" w:pos="688"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November 10, 2020</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64592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45920" cy="571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2"/>
          <w:szCs w:val="12"/>
          <w:color w:val="auto"/>
        </w:rPr>
        <w:t>James Mackaness</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(principal financial and accounting officer)</w:t>
      </w:r>
    </w:p>
    <w:p>
      <w:pPr>
        <w:sectPr>
          <w:pgSz w:w="11900" w:h="16838" w:orient="portrait"/>
          <w:cols w:equalWidth="0" w:num="1">
            <w:col w:w="11308"/>
          </w:cols>
          <w:pgMar w:left="292" w:top="269" w:right="29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In connection with the Quarterly Report of Soleno Therapeutics, Inc. (the “Company”) on Form 10-Q for the fiscal quarter ended September 30, 2020, as filed with the Securities and Exchange Commission (the “Report”), Anish Bhatnagar, President, Chief Executive Officer of the Company does hereby certify, pursuant to 18 U.S.C. Section 1350, as adopted pursuant to Section 906 of the Sarbanes-Oxley Act of 2002, that:</w:t>
      </w:r>
    </w:p>
    <w:p>
      <w:pPr>
        <w:spacing w:after="0" w:line="39" w:lineRule="exact"/>
        <w:rPr>
          <w:sz w:val="20"/>
          <w:szCs w:val="20"/>
          <w:color w:val="auto"/>
        </w:rPr>
      </w:pPr>
    </w:p>
    <w:p>
      <w:pPr>
        <w:ind w:left="1520" w:hanging="511"/>
        <w:spacing w:after="0"/>
        <w:tabs>
          <w:tab w:leader="none" w:pos="15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78" w:lineRule="exact"/>
        <w:rPr>
          <w:rFonts w:ascii="Times New Roman" w:cs="Times New Roman" w:eastAsia="Times New Roman" w:hAnsi="Times New Roman"/>
          <w:sz w:val="12"/>
          <w:szCs w:val="12"/>
          <w:color w:val="auto"/>
        </w:rPr>
      </w:pPr>
    </w:p>
    <w:p>
      <w:pPr>
        <w:ind w:left="1520" w:hanging="511"/>
        <w:spacing w:after="0"/>
        <w:tabs>
          <w:tab w:leader="none" w:pos="15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in the Report fairly presents, in all material respects, the financial condition and results of operations of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10, 2020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164592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4592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Anish Bhatnagar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President, Chief Executive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(principal executive officer)</w:t>
      </w:r>
    </w:p>
    <w:p>
      <w:pPr>
        <w:sectPr>
          <w:pgSz w:w="11900" w:h="16838" w:orient="portrait"/>
          <w:cols w:equalWidth="0" w:num="1">
            <w:col w:w="11300"/>
          </w:cols>
          <w:pgMar w:left="300" w:top="269" w:right="2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In connection with the Quarterly Report of Soleno Therapeutics, Inc. (the “Company”) on Form 10-Q for the fiscal quarter ended September 30, 2020, as filed with the Securities and Exchange Commission (the “Report”), James Mackaness, Chief Financial Officer of the Company does hereby certify, pursuant to 18 U.S.C. Section 1350, as adopted pursuant to Section 906 of the Sarbanes-Oxley Act of 2002, that:</w:t>
      </w:r>
    </w:p>
    <w:p>
      <w:pPr>
        <w:spacing w:after="0" w:line="39" w:lineRule="exact"/>
        <w:rPr>
          <w:sz w:val="20"/>
          <w:szCs w:val="20"/>
          <w:color w:val="auto"/>
        </w:rPr>
      </w:pPr>
    </w:p>
    <w:p>
      <w:pPr>
        <w:ind w:left="1520" w:hanging="511"/>
        <w:spacing w:after="0"/>
        <w:tabs>
          <w:tab w:leader="none" w:pos="1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78" w:lineRule="exact"/>
        <w:rPr>
          <w:rFonts w:ascii="Times New Roman" w:cs="Times New Roman" w:eastAsia="Times New Roman" w:hAnsi="Times New Roman"/>
          <w:sz w:val="12"/>
          <w:szCs w:val="12"/>
          <w:color w:val="auto"/>
        </w:rPr>
      </w:pPr>
    </w:p>
    <w:p>
      <w:pPr>
        <w:ind w:left="1520" w:hanging="511"/>
        <w:spacing w:after="0"/>
        <w:tabs>
          <w:tab w:leader="none" w:pos="1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in the Report fairly presents, in all material respects, the financial condition and results of operations of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10, 2020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164592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4592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James Mackaness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(principal financial and accounting officer)</w:t>
      </w:r>
    </w:p>
    <w:sectPr>
      <w:pgSz w:w="11900" w:h="16838" w:orient="portrait"/>
      <w:cols w:equalWidth="0" w:num="1">
        <w:col w:w="11300"/>
      </w:cols>
      <w:pgMar w:left="300" w:top="26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2020-11-10T15:16:35Z</dcterms:created>
  <dcterms:modified xsi:type="dcterms:W3CDTF">2020-11-10T15:16:35Z</dcterms:modified>
</cp:coreProperties>
</file>